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C0BC38E">
      <w:pPr>
        <w:spacing w:line="480" w:lineRule="exact"/>
        <w:ind w:firstLine="643" w:firstLineChars="200"/>
        <w:jc w:val="right"/>
        <w:rPr>
          <w:rFonts w:hint="eastAsia" w:ascii="宋体" w:hAnsi="宋体" w:eastAsia="宋体" w:cs="宋体"/>
          <w:b/>
          <w:color w:val="auto"/>
          <w:sz w:val="36"/>
          <w:szCs w:val="36"/>
          <w:highlight w:val="none"/>
          <w:bdr w:val="single" w:color="auto" w:sz="4" w:space="0"/>
          <w:shd w:val="pct10" w:color="auto" w:fill="FFFFFF"/>
        </w:rPr>
      </w:pPr>
      <w:r>
        <w:rPr>
          <w:rFonts w:hint="eastAsia" w:ascii="宋体" w:hAnsi="宋体" w:eastAsia="宋体" w:cs="宋体"/>
          <w:b/>
          <w:bCs/>
          <w:color w:val="auto"/>
          <w:sz w:val="32"/>
          <w:szCs w:val="32"/>
          <w:highlight w:val="none"/>
          <w:lang w:val="zh-CN"/>
        </w:rPr>
        <w:drawing>
          <wp:anchor distT="0" distB="0" distL="114300" distR="114300" simplePos="0" relativeHeight="251664384" behindDoc="0" locked="0" layoutInCell="1" allowOverlap="1">
            <wp:simplePos x="0" y="0"/>
            <wp:positionH relativeFrom="column">
              <wp:posOffset>-1111250</wp:posOffset>
            </wp:positionH>
            <wp:positionV relativeFrom="paragraph">
              <wp:posOffset>-972185</wp:posOffset>
            </wp:positionV>
            <wp:extent cx="7526020" cy="10638790"/>
            <wp:effectExtent l="0" t="0" r="17780" b="10160"/>
            <wp:wrapNone/>
            <wp:docPr id="12" name="图片 12" descr="SKM_C2262601301611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KM_C22626013016110_01"/>
                    <pic:cNvPicPr>
                      <a:picLocks noChangeAspect="1"/>
                    </pic:cNvPicPr>
                  </pic:nvPicPr>
                  <pic:blipFill>
                    <a:blip r:embed="rId14"/>
                    <a:stretch>
                      <a:fillRect/>
                    </a:stretch>
                  </pic:blipFill>
                  <pic:spPr>
                    <a:xfrm>
                      <a:off x="0" y="0"/>
                      <a:ext cx="7526020" cy="10638790"/>
                    </a:xfrm>
                    <a:prstGeom prst="rect">
                      <a:avLst/>
                    </a:prstGeom>
                  </pic:spPr>
                </pic:pic>
              </a:graphicData>
            </a:graphic>
          </wp:anchor>
        </w:drawing>
      </w:r>
      <w:r>
        <w:rPr>
          <w:rFonts w:hint="eastAsia" w:ascii="宋体" w:hAnsi="宋体" w:eastAsia="宋体" w:cs="宋体"/>
          <w:b/>
          <w:color w:val="auto"/>
          <w:sz w:val="36"/>
          <w:szCs w:val="36"/>
          <w:highlight w:val="none"/>
          <w:bdr w:val="single" w:color="auto" w:sz="4" w:space="0"/>
          <w:shd w:val="pct10" w:color="auto" w:fill="FFFFFF"/>
        </w:rPr>
        <w:t>政府采购项目</w:t>
      </w:r>
    </w:p>
    <w:p w14:paraId="1D83B1FF">
      <w:pPr>
        <w:autoSpaceDE w:val="0"/>
        <w:autoSpaceDN w:val="0"/>
        <w:adjustRightInd w:val="0"/>
        <w:snapToGrid w:val="0"/>
        <w:spacing w:line="360" w:lineRule="auto"/>
        <w:jc w:val="left"/>
        <w:rPr>
          <w:rFonts w:hint="eastAsia" w:ascii="宋体" w:hAnsi="宋体" w:eastAsia="宋体" w:cs="宋体"/>
          <w:color w:val="auto"/>
          <w:sz w:val="32"/>
          <w:szCs w:val="32"/>
          <w:highlight w:val="none"/>
          <w:lang w:val="zh-CN"/>
        </w:rPr>
      </w:pPr>
    </w:p>
    <w:p w14:paraId="63792AB2">
      <w:pPr>
        <w:autoSpaceDE w:val="0"/>
        <w:autoSpaceDN w:val="0"/>
        <w:adjustRightInd w:val="0"/>
        <w:snapToGrid w:val="0"/>
        <w:spacing w:line="360" w:lineRule="auto"/>
        <w:jc w:val="left"/>
        <w:rPr>
          <w:rFonts w:hint="eastAsia" w:ascii="宋体" w:hAnsi="宋体" w:cs="宋体"/>
          <w:b/>
          <w:bCs/>
          <w:color w:val="auto"/>
          <w:sz w:val="32"/>
          <w:szCs w:val="32"/>
          <w:highlight w:val="none"/>
          <w:lang w:val="zh-CN" w:eastAsia="zh-CN"/>
        </w:rPr>
      </w:pPr>
      <w:r>
        <w:rPr>
          <w:rFonts w:hint="eastAsia" w:ascii="宋体" w:hAnsi="宋体" w:eastAsia="宋体" w:cs="宋体"/>
          <w:b/>
          <w:bCs/>
          <w:color w:val="auto"/>
          <w:sz w:val="32"/>
          <w:szCs w:val="32"/>
          <w:highlight w:val="none"/>
          <w:lang w:val="zh-CN"/>
        </w:rPr>
        <w:t>项目编号：</w:t>
      </w:r>
      <w:r>
        <w:rPr>
          <w:rFonts w:hint="eastAsia" w:ascii="宋体" w:hAnsi="宋体" w:cs="宋体"/>
          <w:b/>
          <w:bCs/>
          <w:color w:val="auto"/>
          <w:sz w:val="32"/>
          <w:szCs w:val="32"/>
          <w:highlight w:val="none"/>
          <w:lang w:val="zh-CN" w:eastAsia="zh-CN"/>
        </w:rPr>
        <w:t>XYR-2026-004(GC)</w:t>
      </w:r>
    </w:p>
    <w:p w14:paraId="5FEF8A0A">
      <w:pPr>
        <w:autoSpaceDE w:val="0"/>
        <w:autoSpaceDN w:val="0"/>
        <w:adjustRightInd w:val="0"/>
        <w:snapToGrid w:val="0"/>
        <w:spacing w:line="360" w:lineRule="auto"/>
        <w:jc w:val="left"/>
        <w:rPr>
          <w:rFonts w:hint="eastAsia" w:ascii="宋体" w:hAnsi="宋体" w:cs="宋体"/>
          <w:b/>
          <w:bCs/>
          <w:color w:val="auto"/>
          <w:sz w:val="32"/>
          <w:szCs w:val="32"/>
          <w:highlight w:val="none"/>
          <w:lang w:val="zh-CN" w:eastAsia="zh-CN"/>
        </w:rPr>
      </w:pPr>
    </w:p>
    <w:p w14:paraId="2B765958">
      <w:pPr>
        <w:pStyle w:val="25"/>
        <w:ind w:left="0" w:leftChars="0" w:firstLine="0" w:firstLineChars="0"/>
        <w:jc w:val="both"/>
        <w:rPr>
          <w:rFonts w:hint="eastAsia" w:hAnsi="宋体" w:cs="宋体"/>
          <w:b/>
          <w:bCs/>
          <w:color w:val="auto"/>
          <w:sz w:val="56"/>
          <w:szCs w:val="56"/>
          <w:highlight w:val="none"/>
          <w:lang w:val="en-US" w:eastAsia="zh-CN"/>
        </w:rPr>
      </w:pPr>
    </w:p>
    <w:p w14:paraId="3063EDC8">
      <w:pPr>
        <w:pStyle w:val="25"/>
        <w:ind w:left="0" w:leftChars="0" w:firstLine="0" w:firstLineChars="0"/>
        <w:jc w:val="center"/>
        <w:rPr>
          <w:rFonts w:hint="eastAsia" w:ascii="宋体" w:hAnsi="宋体" w:cs="宋体"/>
          <w:b/>
          <w:bCs/>
          <w:color w:val="auto"/>
          <w:sz w:val="56"/>
          <w:szCs w:val="56"/>
          <w:highlight w:val="none"/>
          <w:lang w:val="en-US" w:eastAsia="zh-CN"/>
        </w:rPr>
      </w:pPr>
      <w:r>
        <w:rPr>
          <w:rFonts w:hint="eastAsia" w:hAnsi="宋体" w:cs="宋体"/>
          <w:b/>
          <w:bCs/>
          <w:color w:val="auto"/>
          <w:sz w:val="56"/>
          <w:szCs w:val="56"/>
          <w:highlight w:val="none"/>
          <w:lang w:val="en-US" w:eastAsia="zh-CN"/>
        </w:rPr>
        <w:t>2025年神农镇太平庄村供水抗旱应急水源项目</w:t>
      </w:r>
    </w:p>
    <w:p w14:paraId="732C9A38">
      <w:pPr>
        <w:pStyle w:val="24"/>
        <w:rPr>
          <w:rFonts w:hint="eastAsia"/>
          <w:highlight w:val="none"/>
          <w:lang w:val="en-US" w:eastAsia="zh-CN"/>
        </w:rPr>
      </w:pPr>
    </w:p>
    <w:p w14:paraId="710742B4">
      <w:pPr>
        <w:pStyle w:val="24"/>
        <w:rPr>
          <w:rFonts w:hint="eastAsia"/>
          <w:highlight w:val="none"/>
          <w:lang w:val="en-US" w:eastAsia="zh-CN"/>
        </w:rPr>
      </w:pPr>
    </w:p>
    <w:p w14:paraId="0036DE0A">
      <w:pPr>
        <w:pStyle w:val="24"/>
        <w:rPr>
          <w:rFonts w:hint="eastAsia"/>
          <w:highlight w:val="none"/>
          <w:lang w:val="en-US" w:eastAsia="zh-CN"/>
        </w:rPr>
      </w:pPr>
    </w:p>
    <w:p w14:paraId="13C74778">
      <w:pPr>
        <w:pStyle w:val="25"/>
        <w:rPr>
          <w:rFonts w:hint="eastAsia"/>
          <w:highlight w:val="none"/>
          <w:lang w:val="en-US" w:eastAsia="zh-CN"/>
        </w:rPr>
      </w:pPr>
    </w:p>
    <w:p w14:paraId="36CC9031">
      <w:pPr>
        <w:spacing w:line="360" w:lineRule="auto"/>
        <w:ind w:firstLine="361" w:firstLineChars="50"/>
        <w:jc w:val="center"/>
        <w:rPr>
          <w:rFonts w:hint="eastAsia" w:ascii="宋体" w:hAnsi="宋体" w:eastAsia="宋体" w:cs="宋体"/>
          <w:highlight w:val="none"/>
          <w:lang w:val="zh-CN"/>
        </w:rPr>
      </w:pPr>
      <w:r>
        <w:rPr>
          <w:rFonts w:hint="eastAsia" w:ascii="宋体" w:hAnsi="宋体" w:eastAsia="宋体" w:cs="宋体"/>
          <w:b/>
          <w:bCs/>
          <w:color w:val="auto"/>
          <w:sz w:val="72"/>
          <w:szCs w:val="72"/>
          <w:highlight w:val="none"/>
        </w:rPr>
        <w:t>竞争性磋商</w:t>
      </w:r>
      <w:r>
        <w:rPr>
          <w:rFonts w:hint="eastAsia" w:ascii="宋体" w:hAnsi="宋体" w:eastAsia="宋体" w:cs="宋体"/>
          <w:b/>
          <w:bCs/>
          <w:color w:val="auto"/>
          <w:spacing w:val="4"/>
          <w:sz w:val="72"/>
          <w:szCs w:val="72"/>
          <w:highlight w:val="none"/>
        </w:rPr>
        <w:t>文件</w:t>
      </w:r>
    </w:p>
    <w:p w14:paraId="7A3C8D6A">
      <w:pPr>
        <w:rPr>
          <w:rFonts w:hint="eastAsia"/>
          <w:highlight w:val="none"/>
          <w:lang w:val="zh-CN"/>
        </w:rPr>
      </w:pPr>
    </w:p>
    <w:p w14:paraId="63BEEB5B">
      <w:pPr>
        <w:rPr>
          <w:rFonts w:hint="eastAsia"/>
          <w:highlight w:val="none"/>
          <w:lang w:val="zh-CN"/>
        </w:rPr>
      </w:pPr>
    </w:p>
    <w:p w14:paraId="780E7E55">
      <w:pPr>
        <w:pStyle w:val="20"/>
        <w:jc w:val="both"/>
        <w:rPr>
          <w:rFonts w:hint="eastAsia"/>
          <w:highlight w:val="none"/>
          <w:lang w:val="zh-CN"/>
        </w:rPr>
      </w:pPr>
    </w:p>
    <w:p w14:paraId="1E6D5EAE">
      <w:pPr>
        <w:tabs>
          <w:tab w:val="left" w:pos="5670"/>
        </w:tabs>
        <w:autoSpaceDE w:val="0"/>
        <w:autoSpaceDN w:val="0"/>
        <w:adjustRightInd w:val="0"/>
        <w:snapToGrid w:val="0"/>
        <w:spacing w:line="360" w:lineRule="auto"/>
        <w:jc w:val="center"/>
        <w:rPr>
          <w:rFonts w:hint="eastAsia" w:ascii="宋体" w:hAnsi="宋体" w:eastAsia="宋体" w:cs="宋体"/>
          <w:b/>
          <w:bCs/>
          <w:color w:val="auto"/>
          <w:sz w:val="32"/>
          <w:szCs w:val="32"/>
          <w:highlight w:val="none"/>
          <w:lang w:val="zh-CN"/>
        </w:rPr>
      </w:pPr>
    </w:p>
    <w:p w14:paraId="45E27CB0">
      <w:pPr>
        <w:tabs>
          <w:tab w:val="left" w:pos="5670"/>
        </w:tabs>
        <w:autoSpaceDE w:val="0"/>
        <w:autoSpaceDN w:val="0"/>
        <w:adjustRightInd w:val="0"/>
        <w:snapToGrid w:val="0"/>
        <w:spacing w:line="360" w:lineRule="auto"/>
        <w:jc w:val="center"/>
        <w:rPr>
          <w:rFonts w:hint="eastAsia" w:ascii="宋体" w:hAnsi="宋体" w:eastAsia="宋体" w:cs="宋体"/>
          <w:b/>
          <w:bCs/>
          <w:color w:val="auto"/>
          <w:sz w:val="32"/>
          <w:szCs w:val="32"/>
          <w:highlight w:val="none"/>
          <w:lang w:val="zh-CN"/>
        </w:rPr>
      </w:pPr>
    </w:p>
    <w:p w14:paraId="28AD34FE">
      <w:pPr>
        <w:tabs>
          <w:tab w:val="left" w:pos="5670"/>
        </w:tabs>
        <w:autoSpaceDE w:val="0"/>
        <w:autoSpaceDN w:val="0"/>
        <w:adjustRightInd w:val="0"/>
        <w:snapToGrid w:val="0"/>
        <w:spacing w:line="360" w:lineRule="auto"/>
        <w:jc w:val="center"/>
        <w:rPr>
          <w:rFonts w:hint="eastAsia" w:ascii="宋体" w:hAnsi="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采购单位：</w:t>
      </w:r>
      <w:r>
        <w:rPr>
          <w:rFonts w:hint="eastAsia" w:ascii="宋体" w:hAnsi="宋体" w:cs="宋体"/>
          <w:b/>
          <w:bCs/>
          <w:color w:val="auto"/>
          <w:sz w:val="32"/>
          <w:szCs w:val="32"/>
          <w:highlight w:val="none"/>
          <w:lang w:val="zh-CN"/>
        </w:rPr>
        <w:t>宝鸡市渭滨区神农镇人民政府</w:t>
      </w:r>
    </w:p>
    <w:p w14:paraId="0D307F64">
      <w:pPr>
        <w:tabs>
          <w:tab w:val="left" w:pos="5670"/>
        </w:tabs>
        <w:autoSpaceDE w:val="0"/>
        <w:autoSpaceDN w:val="0"/>
        <w:adjustRightInd w:val="0"/>
        <w:snapToGrid w:val="0"/>
        <w:spacing w:line="360" w:lineRule="auto"/>
        <w:jc w:val="both"/>
        <w:rPr>
          <w:rFonts w:hint="eastAsia" w:ascii="宋体" w:hAnsi="宋体" w:cs="宋体"/>
          <w:b/>
          <w:bCs/>
          <w:color w:val="auto"/>
          <w:sz w:val="32"/>
          <w:szCs w:val="32"/>
          <w:highlight w:val="none"/>
          <w:lang w:val="zh-CN"/>
        </w:rPr>
      </w:pPr>
    </w:p>
    <w:p w14:paraId="5B7BF32F">
      <w:pPr>
        <w:jc w:val="center"/>
        <w:rPr>
          <w:rFonts w:hint="eastAsia" w:ascii="宋体" w:hAnsi="宋体" w:cs="宋体"/>
          <w:b/>
          <w:bCs/>
          <w:color w:val="auto"/>
          <w:sz w:val="32"/>
          <w:szCs w:val="32"/>
          <w:highlight w:val="none"/>
          <w:lang w:val="zh-CN"/>
        </w:rPr>
      </w:pPr>
      <w:r>
        <w:rPr>
          <w:rFonts w:hint="eastAsia" w:ascii="宋体" w:hAnsi="宋体" w:eastAsia="宋体" w:cs="宋体"/>
          <w:b/>
          <w:bCs/>
          <w:color w:val="auto"/>
          <w:sz w:val="32"/>
          <w:szCs w:val="32"/>
          <w:highlight w:val="none"/>
        </w:rPr>
        <w:t>代理单位：</w:t>
      </w:r>
      <w:r>
        <w:rPr>
          <w:rFonts w:hint="eastAsia" w:ascii="宋体" w:hAnsi="宋体" w:cs="宋体"/>
          <w:b/>
          <w:bCs/>
          <w:color w:val="auto"/>
          <w:sz w:val="32"/>
          <w:szCs w:val="32"/>
          <w:highlight w:val="none"/>
          <w:lang w:val="zh-CN"/>
        </w:rPr>
        <w:t>鑫益瑞建设工程有限公司</w:t>
      </w:r>
    </w:p>
    <w:p w14:paraId="7357AFA1">
      <w:pPr>
        <w:jc w:val="center"/>
        <w:rPr>
          <w:rFonts w:hint="eastAsia" w:ascii="宋体" w:hAnsi="宋体" w:eastAsia="宋体" w:cs="宋体"/>
          <w:b/>
          <w:bCs/>
          <w:color w:val="auto"/>
          <w:kern w:val="2"/>
          <w:sz w:val="30"/>
          <w:szCs w:val="30"/>
          <w:highlight w:val="none"/>
          <w:lang w:val="zh-CN" w:eastAsia="zh-CN" w:bidi="ar-SA"/>
        </w:rPr>
      </w:pPr>
    </w:p>
    <w:p w14:paraId="278E9E68">
      <w:pPr>
        <w:jc w:val="center"/>
        <w:rPr>
          <w:rFonts w:hint="eastAsia" w:ascii="宋体" w:hAnsi="宋体" w:eastAsia="宋体" w:cs="宋体"/>
          <w:b/>
          <w:bCs/>
          <w:color w:val="auto"/>
          <w:kern w:val="2"/>
          <w:sz w:val="30"/>
          <w:szCs w:val="30"/>
          <w:highlight w:val="none"/>
          <w:lang w:val="zh-CN" w:eastAsia="zh-CN" w:bidi="ar-SA"/>
        </w:rPr>
      </w:pPr>
    </w:p>
    <w:p w14:paraId="74919C42">
      <w:pPr>
        <w:jc w:val="center"/>
        <w:rPr>
          <w:rFonts w:hint="eastAsia" w:ascii="宋体" w:hAnsi="宋体" w:eastAsia="宋体" w:cs="宋体"/>
          <w:b/>
          <w:bCs/>
          <w:color w:val="auto"/>
          <w:kern w:val="2"/>
          <w:sz w:val="30"/>
          <w:szCs w:val="30"/>
          <w:highlight w:val="none"/>
          <w:lang w:val="zh-CN" w:eastAsia="zh-CN" w:bidi="ar-SA"/>
        </w:rPr>
      </w:pPr>
      <w:r>
        <w:rPr>
          <w:rFonts w:hint="eastAsia" w:ascii="宋体" w:hAnsi="宋体" w:eastAsia="宋体" w:cs="宋体"/>
          <w:b/>
          <w:bCs/>
          <w:color w:val="auto"/>
          <w:kern w:val="2"/>
          <w:sz w:val="30"/>
          <w:szCs w:val="30"/>
          <w:highlight w:val="none"/>
          <w:lang w:val="zh-CN" w:eastAsia="zh-CN" w:bidi="ar-SA"/>
        </w:rPr>
        <w:t>二</w:t>
      </w:r>
      <w:r>
        <w:rPr>
          <w:rFonts w:hint="eastAsia" w:ascii="宋体" w:hAnsi="宋体" w:eastAsia="宋体" w:cs="宋体"/>
          <w:b/>
          <w:bCs/>
          <w:color w:val="auto"/>
          <w:kern w:val="2"/>
          <w:sz w:val="30"/>
          <w:szCs w:val="30"/>
          <w:highlight w:val="none"/>
          <w:lang w:val="en-US" w:eastAsia="zh-CN" w:bidi="ar-SA"/>
        </w:rPr>
        <w:t>零</w:t>
      </w:r>
      <w:r>
        <w:rPr>
          <w:rFonts w:hint="eastAsia" w:ascii="宋体" w:hAnsi="宋体" w:eastAsia="宋体" w:cs="宋体"/>
          <w:b/>
          <w:bCs/>
          <w:color w:val="auto"/>
          <w:kern w:val="2"/>
          <w:sz w:val="30"/>
          <w:szCs w:val="30"/>
          <w:highlight w:val="none"/>
          <w:lang w:val="zh-CN" w:eastAsia="zh-CN" w:bidi="ar-SA"/>
        </w:rPr>
        <w:t>二</w:t>
      </w:r>
      <w:r>
        <w:rPr>
          <w:rFonts w:hint="eastAsia" w:ascii="宋体" w:hAnsi="宋体" w:cs="宋体"/>
          <w:b/>
          <w:bCs/>
          <w:color w:val="auto"/>
          <w:kern w:val="2"/>
          <w:sz w:val="30"/>
          <w:szCs w:val="30"/>
          <w:highlight w:val="none"/>
          <w:lang w:val="zh-CN" w:eastAsia="zh-CN" w:bidi="ar-SA"/>
        </w:rPr>
        <w:t>六</w:t>
      </w:r>
      <w:r>
        <w:rPr>
          <w:rFonts w:hint="eastAsia" w:ascii="宋体" w:hAnsi="宋体" w:eastAsia="宋体" w:cs="宋体"/>
          <w:b/>
          <w:bCs/>
          <w:color w:val="auto"/>
          <w:kern w:val="2"/>
          <w:sz w:val="30"/>
          <w:szCs w:val="30"/>
          <w:highlight w:val="none"/>
          <w:lang w:val="zh-CN" w:eastAsia="zh-CN" w:bidi="ar-SA"/>
        </w:rPr>
        <w:t>年</w:t>
      </w:r>
      <w:r>
        <w:rPr>
          <w:rFonts w:hint="eastAsia" w:ascii="宋体" w:hAnsi="宋体" w:cs="宋体"/>
          <w:b/>
          <w:bCs/>
          <w:color w:val="auto"/>
          <w:kern w:val="2"/>
          <w:sz w:val="30"/>
          <w:szCs w:val="30"/>
          <w:highlight w:val="none"/>
          <w:lang w:val="en-US" w:eastAsia="zh-CN" w:bidi="ar-SA"/>
        </w:rPr>
        <w:t>一</w:t>
      </w:r>
      <w:r>
        <w:rPr>
          <w:rFonts w:hint="eastAsia" w:ascii="宋体" w:hAnsi="宋体" w:eastAsia="宋体" w:cs="宋体"/>
          <w:b/>
          <w:bCs/>
          <w:color w:val="auto"/>
          <w:kern w:val="2"/>
          <w:sz w:val="30"/>
          <w:szCs w:val="30"/>
          <w:highlight w:val="none"/>
          <w:lang w:val="zh-CN" w:eastAsia="zh-CN" w:bidi="ar-SA"/>
        </w:rPr>
        <w:t>月</w:t>
      </w:r>
    </w:p>
    <w:p w14:paraId="04F64B02">
      <w:pPr>
        <w:tabs>
          <w:tab w:val="left" w:pos="5460"/>
        </w:tabs>
        <w:autoSpaceDE w:val="0"/>
        <w:autoSpaceDN w:val="0"/>
        <w:adjustRightInd w:val="0"/>
        <w:snapToGrid w:val="0"/>
        <w:spacing w:line="360" w:lineRule="auto"/>
        <w:jc w:val="center"/>
        <w:rPr>
          <w:rFonts w:hint="eastAsia" w:ascii="宋体" w:hAnsi="宋体" w:eastAsia="宋体" w:cs="宋体"/>
          <w:b/>
          <w:bCs/>
          <w:color w:val="auto"/>
          <w:kern w:val="2"/>
          <w:sz w:val="30"/>
          <w:szCs w:val="30"/>
          <w:highlight w:val="none"/>
          <w:lang w:val="zh-CN" w:eastAsia="zh-CN" w:bidi="ar-SA"/>
        </w:rPr>
      </w:pPr>
    </w:p>
    <w:p w14:paraId="6F1B769D">
      <w:pPr>
        <w:tabs>
          <w:tab w:val="left" w:pos="5460"/>
        </w:tabs>
        <w:autoSpaceDE w:val="0"/>
        <w:autoSpaceDN w:val="0"/>
        <w:adjustRightInd w:val="0"/>
        <w:snapToGrid w:val="0"/>
        <w:spacing w:line="360" w:lineRule="auto"/>
        <w:jc w:val="center"/>
        <w:rPr>
          <w:rFonts w:hint="eastAsia" w:ascii="宋体" w:hAnsi="宋体" w:eastAsia="宋体" w:cs="宋体"/>
          <w:b/>
          <w:bCs/>
          <w:color w:val="auto"/>
          <w:kern w:val="44"/>
          <w:sz w:val="44"/>
          <w:szCs w:val="44"/>
          <w:highlight w:val="none"/>
          <w:lang w:val="zh-CN"/>
        </w:rPr>
        <w:sectPr>
          <w:headerReference r:id="rId3" w:type="default"/>
          <w:footerReference r:id="rId4" w:type="default"/>
          <w:pgSz w:w="11849" w:h="16781"/>
          <w:pgMar w:top="1440" w:right="1800" w:bottom="1440" w:left="1800" w:header="720" w:footer="720" w:gutter="0"/>
          <w:pgNumType w:fmt="decimal"/>
          <w:cols w:space="0" w:num="1"/>
          <w:rtlGutter w:val="0"/>
          <w:docGrid w:linePitch="0" w:charSpace="0"/>
        </w:sectPr>
      </w:pPr>
    </w:p>
    <w:p w14:paraId="5CB3A0A5">
      <w:pPr>
        <w:tabs>
          <w:tab w:val="left" w:pos="5460"/>
        </w:tabs>
        <w:autoSpaceDE w:val="0"/>
        <w:autoSpaceDN w:val="0"/>
        <w:adjustRightInd w:val="0"/>
        <w:snapToGrid w:val="0"/>
        <w:spacing w:line="360" w:lineRule="auto"/>
        <w:jc w:val="center"/>
        <w:rPr>
          <w:rFonts w:hint="eastAsia" w:ascii="宋体" w:hAnsi="宋体" w:eastAsia="宋体" w:cs="宋体"/>
          <w:b/>
          <w:bCs/>
          <w:color w:val="auto"/>
          <w:kern w:val="44"/>
          <w:sz w:val="44"/>
          <w:szCs w:val="44"/>
          <w:highlight w:val="none"/>
          <w:lang w:val="zh-CN"/>
        </w:rPr>
      </w:pPr>
      <w:r>
        <w:rPr>
          <w:rFonts w:hint="eastAsia" w:ascii="宋体" w:hAnsi="宋体" w:eastAsia="宋体" w:cs="宋体"/>
          <w:b/>
          <w:bCs/>
          <w:color w:val="auto"/>
          <w:kern w:val="44"/>
          <w:sz w:val="44"/>
          <w:szCs w:val="44"/>
          <w:highlight w:val="none"/>
          <w:lang w:val="zh-CN"/>
        </w:rPr>
        <w:t>温馨提示</w:t>
      </w:r>
    </w:p>
    <w:p w14:paraId="633547F2">
      <w:pPr>
        <w:pStyle w:val="7"/>
        <w:rPr>
          <w:rFonts w:hint="eastAsia" w:ascii="宋体" w:hAnsi="宋体" w:eastAsia="宋体" w:cs="宋体"/>
          <w:color w:val="auto"/>
          <w:highlight w:val="none"/>
          <w:lang w:val="zh-CN"/>
        </w:rPr>
      </w:pPr>
    </w:p>
    <w:p w14:paraId="0E0A411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1、请您仔细阅读磋商文件并正确理解磋商文件中各项具体要求。</w:t>
      </w:r>
    </w:p>
    <w:p w14:paraId="0F355ABF">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本项目采用不见面开标电子化投标方式磋商，投标供应商须使用数字认证证书（CA锁）对电子磋商响应文件进行签章、加密、递交、开标时解密以及二次报价等相关招投标事宜</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供应商通过线上观看开标现场视频，无需到现场参加开标会议。</w:t>
      </w:r>
    </w:p>
    <w:p w14:paraId="1F873220">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实施“不见面开标”，供应商应确保自己的电脑环境、CA锁、网络等状况良好，以免影响其参与交易活动。</w:t>
      </w:r>
    </w:p>
    <w:p w14:paraId="727225F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、请您确保磋商保证金凭证已办理。</w:t>
      </w:r>
    </w:p>
    <w:p w14:paraId="5505553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、咨询其他问题，请与我们的工作人员联系，竭诚为您服务。</w:t>
      </w:r>
    </w:p>
    <w:p w14:paraId="241D0827">
      <w:pPr>
        <w:spacing w:line="360" w:lineRule="auto"/>
        <w:ind w:firstLine="120" w:firstLineChars="5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代理机构：</w:t>
      </w:r>
      <w:r>
        <w:rPr>
          <w:rFonts w:hint="eastAsia" w:ascii="宋体" w:hAnsi="宋体" w:cs="宋体"/>
          <w:color w:val="auto"/>
          <w:sz w:val="24"/>
          <w:szCs w:val="24"/>
          <w:highlight w:val="none"/>
          <w:lang w:eastAsia="zh-CN"/>
        </w:rPr>
        <w:t>鑫益瑞建设工程有限公司</w:t>
      </w:r>
      <w:r>
        <w:rPr>
          <w:rFonts w:hint="eastAsia"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 xml:space="preserve"> </w:t>
      </w:r>
    </w:p>
    <w:p w14:paraId="3F21CB82">
      <w:pPr>
        <w:spacing w:line="360" w:lineRule="auto"/>
        <w:ind w:firstLine="120" w:firstLineChars="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地　　址：陕西省宝鸡市凤翔区南大街1号时代广场2号楼6楼0621室</w:t>
      </w:r>
    </w:p>
    <w:p w14:paraId="3918CC82">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联系方式：鑫益瑞</w:t>
      </w:r>
      <w:r>
        <w:rPr>
          <w:rFonts w:hint="eastAsia" w:ascii="宋体" w:hAnsi="宋体" w:eastAsia="宋体" w:cs="宋体"/>
          <w:color w:val="auto"/>
          <w:sz w:val="24"/>
          <w:szCs w:val="24"/>
          <w:highlight w:val="none"/>
          <w:lang w:val="en-US" w:eastAsia="zh-CN"/>
        </w:rPr>
        <w:t>经办18192295552</w:t>
      </w:r>
    </w:p>
    <w:p w14:paraId="5355E3F1">
      <w:pPr>
        <w:spacing w:line="360" w:lineRule="auto"/>
        <w:ind w:firstLine="120" w:firstLineChars="50"/>
        <w:rPr>
          <w:rFonts w:hint="eastAsia" w:ascii="宋体" w:hAnsi="宋体" w:eastAsia="宋体" w:cs="宋体"/>
          <w:color w:val="auto"/>
          <w:sz w:val="24"/>
          <w:szCs w:val="24"/>
          <w:highlight w:val="none"/>
          <w:lang w:val="en-US" w:eastAsia="zh-CN"/>
        </w:rPr>
      </w:pPr>
    </w:p>
    <w:p w14:paraId="0D3A30BF">
      <w:pPr>
        <w:spacing w:line="360" w:lineRule="auto"/>
        <w:rPr>
          <w:rFonts w:hint="eastAsia" w:ascii="宋体" w:hAnsi="宋体" w:eastAsia="宋体" w:cs="宋体"/>
          <w:color w:val="auto"/>
          <w:spacing w:val="4"/>
          <w:sz w:val="24"/>
          <w:szCs w:val="24"/>
          <w:highlight w:val="none"/>
        </w:rPr>
      </w:pPr>
    </w:p>
    <w:p w14:paraId="4292A153">
      <w:pPr>
        <w:spacing w:line="360" w:lineRule="auto"/>
        <w:rPr>
          <w:rFonts w:hint="eastAsia" w:ascii="宋体" w:hAnsi="宋体" w:eastAsia="宋体" w:cs="宋体"/>
          <w:color w:val="auto"/>
          <w:spacing w:val="4"/>
          <w:sz w:val="24"/>
          <w:szCs w:val="24"/>
          <w:highlight w:val="none"/>
        </w:rPr>
      </w:pPr>
    </w:p>
    <w:p w14:paraId="5A9AD29A">
      <w:pPr>
        <w:spacing w:line="360" w:lineRule="auto"/>
        <w:rPr>
          <w:rFonts w:hint="eastAsia" w:ascii="宋体" w:hAnsi="宋体" w:eastAsia="宋体" w:cs="宋体"/>
          <w:color w:val="auto"/>
          <w:spacing w:val="4"/>
          <w:sz w:val="24"/>
          <w:szCs w:val="24"/>
          <w:highlight w:val="none"/>
        </w:rPr>
      </w:pPr>
      <w:r>
        <w:rPr>
          <w:rFonts w:hint="eastAsia" w:ascii="宋体" w:hAnsi="宋体" w:eastAsia="宋体" w:cs="宋体"/>
          <w:color w:val="auto"/>
          <w:sz w:val="24"/>
          <w:szCs w:val="24"/>
          <w:highlight w:val="none"/>
        </w:rPr>
        <mc:AlternateContent>
          <mc:Choice Requires="wps">
            <w:drawing>
              <wp:inline distT="0" distB="0" distL="114300" distR="114300">
                <wp:extent cx="5436870" cy="793115"/>
                <wp:effectExtent l="4445" t="4445" r="6985" b="21590"/>
                <wp:docPr id="14" name="文本框 14"/>
                <wp:cNvGraphicFramePr/>
                <a:graphic xmlns:a="http://schemas.openxmlformats.org/drawingml/2006/main">
                  <a:graphicData uri="http://schemas.microsoft.com/office/word/2010/wordprocessingShape">
                    <wps:wsp>
                      <wps:cNvSpPr txBox="1"/>
                      <wps:spPr>
                        <a:xfrm>
                          <a:off x="0" y="0"/>
                          <a:ext cx="5436870" cy="793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ABD910">
                            <w:pPr>
                              <w:spacing w:line="480" w:lineRule="auto"/>
                              <w:jc w:val="left"/>
                              <w:rPr>
                                <w:rFonts w:ascii="宋体" w:hAnsi="宋体"/>
                                <w:b/>
                                <w:sz w:val="24"/>
                              </w:rPr>
                            </w:pPr>
                            <w:r>
                              <w:rPr>
                                <w:rFonts w:hint="eastAsia" w:ascii="宋体" w:hAnsi="宋体"/>
                                <w:b/>
                                <w:sz w:val="24"/>
                              </w:rPr>
                              <w:t>温馨提示：购买磋商文件后，请仔细阅读，特别注意粗体及划线部分，如有疑问请来电咨询。</w:t>
                            </w:r>
                          </w:p>
                        </w:txbxContent>
                      </wps:txbx>
                      <wps:bodyPr upright="1"/>
                    </wps:wsp>
                  </a:graphicData>
                </a:graphic>
              </wp:inline>
            </w:drawing>
          </mc:Choice>
          <mc:Fallback>
            <w:pict>
              <v:shape id="_x0000_s1026" o:spid="_x0000_s1026" o:spt="202" type="#_x0000_t202" style="height:62.45pt;width:428.1pt;" fillcolor="#FFFFFF" filled="t" stroked="t" coordsize="21600,21600" o:gfxdata="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ZiLdUAAAAFAQAADwAAAAAAAAABACAAAAAi&#10;AAAAZHJzL2Rvd25yZXYueG1sUEsBAhQAFAAAAAgAh07iQOQZIaANAgAAOAQAAA4AAAAAAAAAAQAg&#10;AAAAJAEAAGRycy9lMm9Eb2MueG1sUEsFBgAAAAAGAAYAWQEAAKMFAAAAAA==&#10;">
                <v:fill on="t" focussize="0,0"/>
                <v:stroke color="#000000" joinstyle="miter"/>
                <v:imagedata o:title=""/>
                <o:lock v:ext="edit" aspectratio="f"/>
                <v:textbox>
                  <w:txbxContent>
                    <w:p w14:paraId="0AABD910">
                      <w:pPr>
                        <w:spacing w:line="480" w:lineRule="auto"/>
                        <w:jc w:val="left"/>
                        <w:rPr>
                          <w:rFonts w:ascii="宋体" w:hAnsi="宋体"/>
                          <w:b/>
                          <w:sz w:val="24"/>
                        </w:rPr>
                      </w:pPr>
                      <w:r>
                        <w:rPr>
                          <w:rFonts w:hint="eastAsia" w:ascii="宋体" w:hAnsi="宋体"/>
                          <w:b/>
                          <w:sz w:val="24"/>
                        </w:rPr>
                        <w:t>温馨提示：购买磋商文件后，请仔细阅读，特别注意粗体及划线部分，如有疑问请来电咨询。</w:t>
                      </w:r>
                    </w:p>
                  </w:txbxContent>
                </v:textbox>
                <w10:wrap type="none"/>
                <w10:anchorlock/>
              </v:shape>
            </w:pict>
          </mc:Fallback>
        </mc:AlternateContent>
      </w:r>
    </w:p>
    <w:p w14:paraId="47620D23">
      <w:pPr>
        <w:pStyle w:val="24"/>
        <w:ind w:firstLine="248"/>
        <w:rPr>
          <w:rFonts w:hint="eastAsia" w:ascii="宋体" w:hAnsi="宋体" w:eastAsia="宋体" w:cs="宋体"/>
          <w:color w:val="auto"/>
          <w:spacing w:val="4"/>
          <w:sz w:val="24"/>
          <w:szCs w:val="24"/>
          <w:highlight w:val="none"/>
        </w:rPr>
      </w:pPr>
    </w:p>
    <w:p w14:paraId="744AA2C6">
      <w:pPr>
        <w:pStyle w:val="24"/>
        <w:ind w:firstLine="248"/>
        <w:rPr>
          <w:rFonts w:hint="eastAsia" w:ascii="宋体" w:hAnsi="宋体" w:eastAsia="宋体" w:cs="宋体"/>
          <w:color w:val="auto"/>
          <w:spacing w:val="4"/>
          <w:sz w:val="24"/>
          <w:szCs w:val="24"/>
          <w:highlight w:val="none"/>
        </w:rPr>
      </w:pPr>
    </w:p>
    <w:p w14:paraId="63C23523">
      <w:pPr>
        <w:pStyle w:val="24"/>
        <w:ind w:firstLine="248"/>
        <w:rPr>
          <w:rFonts w:hint="eastAsia" w:ascii="宋体" w:hAnsi="宋体" w:eastAsia="宋体" w:cs="宋体"/>
          <w:color w:val="auto"/>
          <w:spacing w:val="4"/>
          <w:sz w:val="24"/>
          <w:szCs w:val="24"/>
          <w:highlight w:val="none"/>
        </w:rPr>
      </w:pPr>
    </w:p>
    <w:p w14:paraId="3791CC61">
      <w:pPr>
        <w:pStyle w:val="24"/>
        <w:ind w:firstLine="248"/>
        <w:rPr>
          <w:rFonts w:hint="eastAsia" w:ascii="宋体" w:hAnsi="宋体" w:eastAsia="宋体" w:cs="宋体"/>
          <w:color w:val="auto"/>
          <w:spacing w:val="4"/>
          <w:sz w:val="24"/>
          <w:szCs w:val="24"/>
          <w:highlight w:val="none"/>
        </w:rPr>
      </w:pPr>
    </w:p>
    <w:p w14:paraId="7DC80A10">
      <w:pPr>
        <w:pStyle w:val="24"/>
        <w:ind w:firstLine="248"/>
        <w:rPr>
          <w:rFonts w:hint="eastAsia" w:ascii="宋体" w:hAnsi="宋体" w:eastAsia="宋体" w:cs="宋体"/>
          <w:color w:val="auto"/>
          <w:spacing w:val="4"/>
          <w:sz w:val="24"/>
          <w:szCs w:val="24"/>
          <w:highlight w:val="none"/>
        </w:rPr>
      </w:pPr>
    </w:p>
    <w:p w14:paraId="35A16A23">
      <w:pPr>
        <w:spacing w:line="360" w:lineRule="auto"/>
        <w:ind w:firstLine="2432" w:firstLineChars="543"/>
        <w:rPr>
          <w:rFonts w:hint="eastAsia" w:ascii="宋体" w:hAnsi="宋体" w:eastAsia="宋体" w:cs="宋体"/>
          <w:color w:val="auto"/>
          <w:spacing w:val="4"/>
          <w:sz w:val="44"/>
          <w:highlight w:val="none"/>
        </w:rPr>
      </w:pPr>
    </w:p>
    <w:p w14:paraId="156B327D">
      <w:pPr>
        <w:pStyle w:val="25"/>
        <w:rPr>
          <w:rFonts w:hint="eastAsia" w:ascii="宋体" w:hAnsi="宋体" w:eastAsia="宋体" w:cs="宋体"/>
          <w:color w:val="auto"/>
          <w:spacing w:val="4"/>
          <w:sz w:val="44"/>
          <w:highlight w:val="none"/>
        </w:rPr>
      </w:pPr>
    </w:p>
    <w:p w14:paraId="51D636D2">
      <w:pPr>
        <w:rPr>
          <w:rFonts w:hint="eastAsia" w:ascii="宋体" w:hAnsi="宋体" w:eastAsia="宋体" w:cs="宋体"/>
          <w:color w:val="auto"/>
          <w:spacing w:val="4"/>
          <w:sz w:val="44"/>
          <w:highlight w:val="none"/>
        </w:rPr>
      </w:pPr>
    </w:p>
    <w:p w14:paraId="790FA593">
      <w:pPr>
        <w:pStyle w:val="25"/>
        <w:rPr>
          <w:rFonts w:hint="eastAsia" w:ascii="宋体" w:hAnsi="宋体" w:eastAsia="宋体" w:cs="宋体"/>
          <w:color w:val="auto"/>
          <w:spacing w:val="4"/>
          <w:sz w:val="44"/>
          <w:highlight w:val="none"/>
        </w:rPr>
      </w:pPr>
    </w:p>
    <w:p w14:paraId="0FB8CEB5">
      <w:pPr>
        <w:spacing w:line="360" w:lineRule="auto"/>
        <w:ind w:firstLine="2442" w:firstLineChars="543"/>
        <w:rPr>
          <w:rFonts w:hint="eastAsia" w:ascii="宋体" w:hAnsi="宋体" w:eastAsia="宋体" w:cs="宋体"/>
          <w:b/>
          <w:bCs/>
          <w:color w:val="auto"/>
          <w:spacing w:val="4"/>
          <w:sz w:val="44"/>
          <w:highlight w:val="none"/>
        </w:rPr>
      </w:pPr>
      <w:r>
        <w:rPr>
          <w:rFonts w:hint="eastAsia" w:ascii="宋体" w:hAnsi="宋体" w:eastAsia="宋体" w:cs="宋体"/>
          <w:b/>
          <w:bCs/>
          <w:color w:val="auto"/>
          <w:spacing w:val="4"/>
          <w:sz w:val="44"/>
          <w:highlight w:val="none"/>
        </w:rPr>
        <w:t>竞争性磋商文件目录</w:t>
      </w:r>
    </w:p>
    <w:p w14:paraId="5DE55B16">
      <w:pPr>
        <w:spacing w:line="360" w:lineRule="auto"/>
        <w:ind w:firstLine="2442" w:firstLineChars="543"/>
        <w:rPr>
          <w:rFonts w:hint="eastAsia" w:ascii="宋体" w:hAnsi="宋体" w:eastAsia="宋体" w:cs="宋体"/>
          <w:b/>
          <w:bCs/>
          <w:color w:val="auto"/>
          <w:spacing w:val="4"/>
          <w:sz w:val="44"/>
          <w:highlight w:val="none"/>
        </w:rPr>
      </w:pPr>
    </w:p>
    <w:p w14:paraId="1DF908C2">
      <w:pPr>
        <w:pStyle w:val="18"/>
        <w:tabs>
          <w:tab w:val="right" w:leader="middleDot" w:pos="8249"/>
        </w:tabs>
        <w:spacing w:line="480" w:lineRule="auto"/>
        <w:rPr>
          <w:sz w:val="40"/>
          <w:szCs w:val="24"/>
          <w:highlight w:val="none"/>
        </w:rPr>
      </w:pPr>
      <w:r>
        <w:rPr>
          <w:rFonts w:hint="eastAsia" w:ascii="宋体" w:hAnsi="宋体" w:eastAsia="宋体" w:cs="宋体"/>
          <w:color w:val="auto"/>
          <w:spacing w:val="4"/>
          <w:sz w:val="44"/>
          <w:szCs w:val="24"/>
          <w:highlight w:val="none"/>
        </w:rPr>
        <w:fldChar w:fldCharType="begin"/>
      </w:r>
      <w:r>
        <w:rPr>
          <w:rFonts w:hint="eastAsia" w:ascii="宋体" w:hAnsi="宋体" w:eastAsia="宋体" w:cs="宋体"/>
          <w:color w:val="auto"/>
          <w:spacing w:val="4"/>
          <w:sz w:val="44"/>
          <w:szCs w:val="24"/>
          <w:highlight w:val="none"/>
        </w:rPr>
        <w:instrText xml:space="preserve">TOC \o "1-1" \h \u </w:instrText>
      </w:r>
      <w:r>
        <w:rPr>
          <w:rFonts w:hint="eastAsia" w:ascii="宋体" w:hAnsi="宋体" w:eastAsia="宋体" w:cs="宋体"/>
          <w:color w:val="auto"/>
          <w:spacing w:val="4"/>
          <w:sz w:val="44"/>
          <w:szCs w:val="24"/>
          <w:highlight w:val="none"/>
        </w:rPr>
        <w:fldChar w:fldCharType="separate"/>
      </w:r>
      <w:r>
        <w:rPr>
          <w:rFonts w:hint="eastAsia" w:ascii="宋体" w:hAnsi="宋体" w:eastAsia="宋体" w:cs="宋体"/>
          <w:color w:val="auto"/>
          <w:spacing w:val="4"/>
          <w:sz w:val="40"/>
          <w:szCs w:val="24"/>
          <w:highlight w:val="none"/>
        </w:rPr>
        <w:fldChar w:fldCharType="begin"/>
      </w:r>
      <w:r>
        <w:rPr>
          <w:rFonts w:hint="eastAsia" w:ascii="宋体" w:hAnsi="宋体" w:eastAsia="宋体" w:cs="宋体"/>
          <w:spacing w:val="4"/>
          <w:sz w:val="40"/>
          <w:szCs w:val="24"/>
          <w:highlight w:val="none"/>
        </w:rPr>
        <w:instrText xml:space="preserve"> HYPERLINK \l _Toc8863 </w:instrText>
      </w:r>
      <w:r>
        <w:rPr>
          <w:rFonts w:hint="eastAsia" w:ascii="宋体" w:hAnsi="宋体" w:eastAsia="宋体" w:cs="宋体"/>
          <w:spacing w:val="4"/>
          <w:sz w:val="40"/>
          <w:szCs w:val="24"/>
          <w:highlight w:val="none"/>
        </w:rPr>
        <w:fldChar w:fldCharType="separate"/>
      </w:r>
      <w:r>
        <w:rPr>
          <w:rFonts w:hint="eastAsia" w:ascii="宋体" w:hAnsi="宋体" w:eastAsia="宋体" w:cs="宋体"/>
          <w:bCs/>
          <w:sz w:val="40"/>
          <w:szCs w:val="56"/>
          <w:highlight w:val="none"/>
          <w:lang w:eastAsia="zh-CN"/>
        </w:rPr>
        <w:t xml:space="preserve">第一章 </w:t>
      </w:r>
      <w:r>
        <w:rPr>
          <w:rFonts w:hint="eastAsia" w:ascii="宋体" w:hAnsi="宋体" w:eastAsia="宋体" w:cs="宋体"/>
          <w:bCs/>
          <w:sz w:val="40"/>
          <w:szCs w:val="56"/>
          <w:highlight w:val="none"/>
        </w:rPr>
        <w:t>竞争性磋商</w:t>
      </w:r>
      <w:r>
        <w:rPr>
          <w:rFonts w:hint="eastAsia" w:ascii="宋体" w:hAnsi="宋体" w:eastAsia="宋体" w:cs="宋体"/>
          <w:bCs/>
          <w:sz w:val="40"/>
          <w:szCs w:val="56"/>
          <w:highlight w:val="none"/>
          <w:lang w:eastAsia="zh-CN"/>
        </w:rPr>
        <w:t>公告</w:t>
      </w:r>
      <w:r>
        <w:rPr>
          <w:sz w:val="40"/>
          <w:szCs w:val="24"/>
          <w:highlight w:val="none"/>
        </w:rPr>
        <w:tab/>
      </w:r>
      <w:r>
        <w:rPr>
          <w:rFonts w:hint="eastAsia"/>
          <w:sz w:val="40"/>
          <w:szCs w:val="24"/>
          <w:highlight w:val="none"/>
          <w:lang w:val="en-US" w:eastAsia="zh-CN"/>
        </w:rPr>
        <w:t>3</w:t>
      </w:r>
      <w:r>
        <w:rPr>
          <w:rFonts w:hint="eastAsia" w:ascii="宋体" w:hAnsi="宋体" w:eastAsia="宋体" w:cs="宋体"/>
          <w:color w:val="auto"/>
          <w:spacing w:val="4"/>
          <w:sz w:val="40"/>
          <w:szCs w:val="24"/>
          <w:highlight w:val="none"/>
        </w:rPr>
        <w:fldChar w:fldCharType="end"/>
      </w:r>
    </w:p>
    <w:p w14:paraId="7BE6F6BE">
      <w:pPr>
        <w:pStyle w:val="18"/>
        <w:tabs>
          <w:tab w:val="right" w:leader="middleDot" w:pos="8249"/>
        </w:tabs>
        <w:spacing w:line="480" w:lineRule="auto"/>
        <w:rPr>
          <w:sz w:val="40"/>
          <w:szCs w:val="24"/>
          <w:highlight w:val="none"/>
        </w:rPr>
      </w:pPr>
      <w:r>
        <w:rPr>
          <w:rFonts w:hint="eastAsia" w:ascii="宋体" w:hAnsi="宋体" w:eastAsia="宋体" w:cs="宋体"/>
          <w:color w:val="auto"/>
          <w:spacing w:val="4"/>
          <w:sz w:val="40"/>
          <w:szCs w:val="24"/>
          <w:highlight w:val="none"/>
        </w:rPr>
        <w:fldChar w:fldCharType="begin"/>
      </w:r>
      <w:r>
        <w:rPr>
          <w:rFonts w:hint="eastAsia" w:ascii="宋体" w:hAnsi="宋体" w:eastAsia="宋体" w:cs="宋体"/>
          <w:spacing w:val="4"/>
          <w:sz w:val="40"/>
          <w:szCs w:val="24"/>
          <w:highlight w:val="none"/>
        </w:rPr>
        <w:instrText xml:space="preserve"> HYPERLINK \l _Toc3775 </w:instrText>
      </w:r>
      <w:r>
        <w:rPr>
          <w:rFonts w:hint="eastAsia" w:ascii="宋体" w:hAnsi="宋体" w:eastAsia="宋体" w:cs="宋体"/>
          <w:spacing w:val="4"/>
          <w:sz w:val="40"/>
          <w:szCs w:val="24"/>
          <w:highlight w:val="none"/>
        </w:rPr>
        <w:fldChar w:fldCharType="separate"/>
      </w:r>
      <w:r>
        <w:rPr>
          <w:rFonts w:hint="eastAsia" w:ascii="宋体" w:hAnsi="宋体" w:eastAsia="宋体" w:cs="宋体"/>
          <w:bCs/>
          <w:sz w:val="40"/>
          <w:szCs w:val="56"/>
          <w:highlight w:val="none"/>
        </w:rPr>
        <w:t>第二章 竞争性磋商须知</w:t>
      </w:r>
      <w:r>
        <w:rPr>
          <w:sz w:val="40"/>
          <w:szCs w:val="24"/>
          <w:highlight w:val="none"/>
        </w:rPr>
        <w:tab/>
      </w:r>
      <w:r>
        <w:rPr>
          <w:rFonts w:hint="eastAsia"/>
          <w:sz w:val="40"/>
          <w:szCs w:val="24"/>
          <w:highlight w:val="none"/>
          <w:lang w:val="en-US" w:eastAsia="zh-CN"/>
        </w:rPr>
        <w:t>8</w:t>
      </w:r>
      <w:r>
        <w:rPr>
          <w:rFonts w:hint="eastAsia" w:ascii="宋体" w:hAnsi="宋体" w:eastAsia="宋体" w:cs="宋体"/>
          <w:color w:val="auto"/>
          <w:spacing w:val="4"/>
          <w:sz w:val="40"/>
          <w:szCs w:val="24"/>
          <w:highlight w:val="none"/>
        </w:rPr>
        <w:fldChar w:fldCharType="end"/>
      </w:r>
    </w:p>
    <w:p w14:paraId="64945DF0">
      <w:pPr>
        <w:pStyle w:val="18"/>
        <w:tabs>
          <w:tab w:val="right" w:leader="middleDot" w:pos="8249"/>
        </w:tabs>
        <w:spacing w:line="480" w:lineRule="auto"/>
        <w:rPr>
          <w:sz w:val="40"/>
          <w:szCs w:val="24"/>
          <w:highlight w:val="none"/>
        </w:rPr>
      </w:pPr>
      <w:r>
        <w:rPr>
          <w:rFonts w:hint="eastAsia" w:ascii="宋体" w:hAnsi="宋体" w:eastAsia="宋体" w:cs="宋体"/>
          <w:color w:val="auto"/>
          <w:spacing w:val="4"/>
          <w:sz w:val="40"/>
          <w:szCs w:val="24"/>
          <w:highlight w:val="none"/>
        </w:rPr>
        <w:fldChar w:fldCharType="begin"/>
      </w:r>
      <w:r>
        <w:rPr>
          <w:rFonts w:hint="eastAsia" w:ascii="宋体" w:hAnsi="宋体" w:eastAsia="宋体" w:cs="宋体"/>
          <w:spacing w:val="4"/>
          <w:sz w:val="40"/>
          <w:szCs w:val="24"/>
          <w:highlight w:val="none"/>
        </w:rPr>
        <w:instrText xml:space="preserve"> HYPERLINK \l _Toc13014 </w:instrText>
      </w:r>
      <w:r>
        <w:rPr>
          <w:rFonts w:hint="eastAsia" w:ascii="宋体" w:hAnsi="宋体" w:eastAsia="宋体" w:cs="宋体"/>
          <w:spacing w:val="4"/>
          <w:sz w:val="40"/>
          <w:szCs w:val="24"/>
          <w:highlight w:val="none"/>
        </w:rPr>
        <w:fldChar w:fldCharType="separate"/>
      </w:r>
      <w:r>
        <w:rPr>
          <w:rFonts w:hint="eastAsia" w:ascii="宋体" w:hAnsi="宋体" w:eastAsia="宋体" w:cs="宋体"/>
          <w:bCs/>
          <w:kern w:val="2"/>
          <w:sz w:val="40"/>
          <w:szCs w:val="56"/>
          <w:highlight w:val="none"/>
          <w:lang w:eastAsia="zh-CN"/>
        </w:rPr>
        <w:t>第三章 工程量清单</w:t>
      </w:r>
      <w:r>
        <w:rPr>
          <w:sz w:val="40"/>
          <w:szCs w:val="24"/>
          <w:highlight w:val="none"/>
        </w:rPr>
        <w:tab/>
      </w:r>
      <w:r>
        <w:rPr>
          <w:sz w:val="40"/>
          <w:szCs w:val="24"/>
          <w:highlight w:val="none"/>
        </w:rPr>
        <w:fldChar w:fldCharType="begin"/>
      </w:r>
      <w:r>
        <w:rPr>
          <w:sz w:val="40"/>
          <w:szCs w:val="24"/>
          <w:highlight w:val="none"/>
        </w:rPr>
        <w:instrText xml:space="preserve"> PAGEREF _Toc13014 \h </w:instrText>
      </w:r>
      <w:r>
        <w:rPr>
          <w:sz w:val="40"/>
          <w:szCs w:val="24"/>
          <w:highlight w:val="none"/>
        </w:rPr>
        <w:fldChar w:fldCharType="separate"/>
      </w:r>
      <w:r>
        <w:rPr>
          <w:sz w:val="40"/>
          <w:szCs w:val="24"/>
          <w:highlight w:val="none"/>
        </w:rPr>
        <w:t>38</w:t>
      </w:r>
      <w:r>
        <w:rPr>
          <w:sz w:val="40"/>
          <w:szCs w:val="24"/>
          <w:highlight w:val="none"/>
        </w:rPr>
        <w:fldChar w:fldCharType="end"/>
      </w:r>
      <w:r>
        <w:rPr>
          <w:rFonts w:hint="eastAsia" w:ascii="宋体" w:hAnsi="宋体" w:eastAsia="宋体" w:cs="宋体"/>
          <w:color w:val="auto"/>
          <w:spacing w:val="4"/>
          <w:sz w:val="40"/>
          <w:szCs w:val="24"/>
          <w:highlight w:val="none"/>
        </w:rPr>
        <w:fldChar w:fldCharType="end"/>
      </w:r>
    </w:p>
    <w:p w14:paraId="29DF40D7">
      <w:pPr>
        <w:pStyle w:val="18"/>
        <w:tabs>
          <w:tab w:val="right" w:leader="middleDot" w:pos="8249"/>
        </w:tabs>
        <w:spacing w:line="480" w:lineRule="auto"/>
        <w:rPr>
          <w:sz w:val="40"/>
          <w:szCs w:val="24"/>
          <w:highlight w:val="none"/>
        </w:rPr>
      </w:pPr>
      <w:r>
        <w:rPr>
          <w:rFonts w:hint="eastAsia" w:ascii="宋体" w:hAnsi="宋体" w:eastAsia="宋体" w:cs="宋体"/>
          <w:color w:val="auto"/>
          <w:spacing w:val="4"/>
          <w:sz w:val="40"/>
          <w:szCs w:val="24"/>
          <w:highlight w:val="none"/>
        </w:rPr>
        <w:fldChar w:fldCharType="begin"/>
      </w:r>
      <w:r>
        <w:rPr>
          <w:rFonts w:hint="eastAsia" w:ascii="宋体" w:hAnsi="宋体" w:eastAsia="宋体" w:cs="宋体"/>
          <w:spacing w:val="4"/>
          <w:sz w:val="40"/>
          <w:szCs w:val="24"/>
          <w:highlight w:val="none"/>
        </w:rPr>
        <w:instrText xml:space="preserve"> HYPERLINK \l _Toc26588 </w:instrText>
      </w:r>
      <w:r>
        <w:rPr>
          <w:rFonts w:hint="eastAsia" w:ascii="宋体" w:hAnsi="宋体" w:eastAsia="宋体" w:cs="宋体"/>
          <w:spacing w:val="4"/>
          <w:sz w:val="40"/>
          <w:szCs w:val="24"/>
          <w:highlight w:val="none"/>
        </w:rPr>
        <w:fldChar w:fldCharType="separate"/>
      </w:r>
      <w:r>
        <w:rPr>
          <w:rFonts w:hint="eastAsia" w:ascii="宋体" w:hAnsi="宋体" w:eastAsia="宋体" w:cs="宋体"/>
          <w:bCs/>
          <w:kern w:val="2"/>
          <w:sz w:val="40"/>
          <w:szCs w:val="56"/>
          <w:highlight w:val="none"/>
        </w:rPr>
        <w:t>第四章 商务要求</w:t>
      </w:r>
      <w:r>
        <w:rPr>
          <w:sz w:val="40"/>
          <w:szCs w:val="24"/>
          <w:highlight w:val="none"/>
        </w:rPr>
        <w:tab/>
      </w:r>
      <w:r>
        <w:rPr>
          <w:sz w:val="40"/>
          <w:szCs w:val="24"/>
          <w:highlight w:val="none"/>
        </w:rPr>
        <w:fldChar w:fldCharType="begin"/>
      </w:r>
      <w:r>
        <w:rPr>
          <w:sz w:val="40"/>
          <w:szCs w:val="24"/>
          <w:highlight w:val="none"/>
        </w:rPr>
        <w:instrText xml:space="preserve"> PAGEREF _Toc26588 \h </w:instrText>
      </w:r>
      <w:r>
        <w:rPr>
          <w:sz w:val="40"/>
          <w:szCs w:val="24"/>
          <w:highlight w:val="none"/>
        </w:rPr>
        <w:fldChar w:fldCharType="separate"/>
      </w:r>
      <w:r>
        <w:rPr>
          <w:sz w:val="40"/>
          <w:szCs w:val="24"/>
          <w:highlight w:val="none"/>
        </w:rPr>
        <w:t>46</w:t>
      </w:r>
      <w:r>
        <w:rPr>
          <w:sz w:val="40"/>
          <w:szCs w:val="24"/>
          <w:highlight w:val="none"/>
        </w:rPr>
        <w:fldChar w:fldCharType="end"/>
      </w:r>
      <w:r>
        <w:rPr>
          <w:rFonts w:hint="eastAsia" w:ascii="宋体" w:hAnsi="宋体" w:eastAsia="宋体" w:cs="宋体"/>
          <w:color w:val="auto"/>
          <w:spacing w:val="4"/>
          <w:sz w:val="40"/>
          <w:szCs w:val="24"/>
          <w:highlight w:val="none"/>
        </w:rPr>
        <w:fldChar w:fldCharType="end"/>
      </w:r>
    </w:p>
    <w:p w14:paraId="27D71590">
      <w:pPr>
        <w:pStyle w:val="18"/>
        <w:tabs>
          <w:tab w:val="right" w:leader="middleDot" w:pos="8249"/>
        </w:tabs>
        <w:spacing w:line="480" w:lineRule="auto"/>
        <w:rPr>
          <w:sz w:val="40"/>
          <w:szCs w:val="24"/>
          <w:highlight w:val="none"/>
        </w:rPr>
      </w:pPr>
      <w:r>
        <w:rPr>
          <w:rFonts w:hint="eastAsia" w:ascii="宋体" w:hAnsi="宋体" w:eastAsia="宋体" w:cs="宋体"/>
          <w:color w:val="auto"/>
          <w:spacing w:val="4"/>
          <w:sz w:val="40"/>
          <w:szCs w:val="24"/>
          <w:highlight w:val="none"/>
        </w:rPr>
        <w:fldChar w:fldCharType="begin"/>
      </w:r>
      <w:r>
        <w:rPr>
          <w:rFonts w:hint="eastAsia" w:ascii="宋体" w:hAnsi="宋体" w:eastAsia="宋体" w:cs="宋体"/>
          <w:spacing w:val="4"/>
          <w:sz w:val="40"/>
          <w:szCs w:val="24"/>
          <w:highlight w:val="none"/>
        </w:rPr>
        <w:instrText xml:space="preserve"> HYPERLINK \l _Toc5336 </w:instrText>
      </w:r>
      <w:r>
        <w:rPr>
          <w:rFonts w:hint="eastAsia" w:ascii="宋体" w:hAnsi="宋体" w:eastAsia="宋体" w:cs="宋体"/>
          <w:spacing w:val="4"/>
          <w:sz w:val="40"/>
          <w:szCs w:val="24"/>
          <w:highlight w:val="none"/>
        </w:rPr>
        <w:fldChar w:fldCharType="separate"/>
      </w:r>
      <w:r>
        <w:rPr>
          <w:rFonts w:hint="eastAsia" w:ascii="宋体" w:hAnsi="宋体" w:eastAsia="宋体" w:cs="宋体"/>
          <w:sz w:val="40"/>
          <w:szCs w:val="24"/>
          <w:highlight w:val="none"/>
        </w:rPr>
        <w:t>第五章 合同条款</w:t>
      </w:r>
      <w:r>
        <w:rPr>
          <w:rFonts w:hint="eastAsia" w:ascii="宋体" w:hAnsi="宋体" w:eastAsia="宋体" w:cs="宋体"/>
          <w:bCs/>
          <w:sz w:val="40"/>
          <w:szCs w:val="40"/>
          <w:highlight w:val="none"/>
        </w:rPr>
        <w:t>（参考）</w:t>
      </w:r>
      <w:r>
        <w:rPr>
          <w:sz w:val="40"/>
          <w:szCs w:val="24"/>
          <w:highlight w:val="none"/>
        </w:rPr>
        <w:tab/>
      </w:r>
      <w:r>
        <w:rPr>
          <w:sz w:val="40"/>
          <w:szCs w:val="24"/>
          <w:highlight w:val="none"/>
        </w:rPr>
        <w:fldChar w:fldCharType="begin"/>
      </w:r>
      <w:r>
        <w:rPr>
          <w:sz w:val="40"/>
          <w:szCs w:val="24"/>
          <w:highlight w:val="none"/>
        </w:rPr>
        <w:instrText xml:space="preserve"> PAGEREF _Toc5336 \h </w:instrText>
      </w:r>
      <w:r>
        <w:rPr>
          <w:sz w:val="40"/>
          <w:szCs w:val="24"/>
          <w:highlight w:val="none"/>
        </w:rPr>
        <w:fldChar w:fldCharType="separate"/>
      </w:r>
      <w:r>
        <w:rPr>
          <w:sz w:val="40"/>
          <w:szCs w:val="24"/>
          <w:highlight w:val="none"/>
        </w:rPr>
        <w:t>48</w:t>
      </w:r>
      <w:r>
        <w:rPr>
          <w:sz w:val="40"/>
          <w:szCs w:val="24"/>
          <w:highlight w:val="none"/>
        </w:rPr>
        <w:fldChar w:fldCharType="end"/>
      </w:r>
      <w:r>
        <w:rPr>
          <w:rFonts w:hint="eastAsia" w:ascii="宋体" w:hAnsi="宋体" w:eastAsia="宋体" w:cs="宋体"/>
          <w:color w:val="auto"/>
          <w:spacing w:val="4"/>
          <w:sz w:val="40"/>
          <w:szCs w:val="24"/>
          <w:highlight w:val="none"/>
        </w:rPr>
        <w:fldChar w:fldCharType="end"/>
      </w:r>
    </w:p>
    <w:p w14:paraId="053D6429">
      <w:pPr>
        <w:pStyle w:val="18"/>
        <w:tabs>
          <w:tab w:val="right" w:leader="middleDot" w:pos="8249"/>
        </w:tabs>
        <w:spacing w:line="480" w:lineRule="auto"/>
        <w:rPr>
          <w:rFonts w:hint="eastAsia" w:eastAsia="宋体"/>
          <w:sz w:val="40"/>
          <w:szCs w:val="24"/>
          <w:highlight w:val="none"/>
          <w:lang w:val="en-US" w:eastAsia="zh-CN"/>
        </w:rPr>
      </w:pPr>
      <w:r>
        <w:rPr>
          <w:rFonts w:hint="eastAsia" w:ascii="宋体" w:hAnsi="宋体" w:eastAsia="宋体" w:cs="宋体"/>
          <w:color w:val="auto"/>
          <w:spacing w:val="4"/>
          <w:sz w:val="40"/>
          <w:szCs w:val="24"/>
          <w:highlight w:val="none"/>
        </w:rPr>
        <w:fldChar w:fldCharType="begin"/>
      </w:r>
      <w:r>
        <w:rPr>
          <w:rFonts w:hint="eastAsia" w:ascii="宋体" w:hAnsi="宋体" w:eastAsia="宋体" w:cs="宋体"/>
          <w:spacing w:val="4"/>
          <w:sz w:val="40"/>
          <w:szCs w:val="24"/>
          <w:highlight w:val="none"/>
        </w:rPr>
        <w:instrText xml:space="preserve"> HYPERLINK \l _Toc23018 </w:instrText>
      </w:r>
      <w:r>
        <w:rPr>
          <w:rFonts w:hint="eastAsia" w:ascii="宋体" w:hAnsi="宋体" w:eastAsia="宋体" w:cs="宋体"/>
          <w:spacing w:val="4"/>
          <w:sz w:val="40"/>
          <w:szCs w:val="24"/>
          <w:highlight w:val="none"/>
        </w:rPr>
        <w:fldChar w:fldCharType="separate"/>
      </w:r>
      <w:r>
        <w:rPr>
          <w:rFonts w:hint="eastAsia" w:ascii="宋体" w:hAnsi="宋体" w:eastAsia="宋体" w:cs="宋体"/>
          <w:sz w:val="40"/>
          <w:szCs w:val="24"/>
          <w:highlight w:val="none"/>
        </w:rPr>
        <w:t xml:space="preserve">第六章 </w:t>
      </w:r>
      <w:r>
        <w:rPr>
          <w:rFonts w:hint="eastAsia" w:ascii="宋体" w:hAnsi="宋体" w:eastAsia="宋体" w:cs="宋体"/>
          <w:sz w:val="40"/>
          <w:szCs w:val="24"/>
          <w:highlight w:val="none"/>
          <w:lang w:val="en-US" w:eastAsia="zh-CN"/>
        </w:rPr>
        <w:t>磋商响应文件组成部分</w:t>
      </w:r>
      <w:r>
        <w:rPr>
          <w:sz w:val="40"/>
          <w:szCs w:val="24"/>
          <w:highlight w:val="none"/>
        </w:rPr>
        <w:tab/>
      </w:r>
      <w:r>
        <w:rPr>
          <w:sz w:val="40"/>
          <w:szCs w:val="24"/>
          <w:highlight w:val="none"/>
        </w:rPr>
        <w:fldChar w:fldCharType="begin"/>
      </w:r>
      <w:r>
        <w:rPr>
          <w:sz w:val="40"/>
          <w:szCs w:val="24"/>
          <w:highlight w:val="none"/>
        </w:rPr>
        <w:instrText xml:space="preserve"> PAGEREF _Toc23018 \h </w:instrText>
      </w:r>
      <w:r>
        <w:rPr>
          <w:sz w:val="40"/>
          <w:szCs w:val="24"/>
          <w:highlight w:val="none"/>
        </w:rPr>
        <w:fldChar w:fldCharType="separate"/>
      </w:r>
      <w:r>
        <w:rPr>
          <w:sz w:val="40"/>
          <w:szCs w:val="24"/>
          <w:highlight w:val="none"/>
        </w:rPr>
        <w:t>64</w:t>
      </w:r>
      <w:r>
        <w:rPr>
          <w:sz w:val="40"/>
          <w:szCs w:val="24"/>
          <w:highlight w:val="none"/>
        </w:rPr>
        <w:fldChar w:fldCharType="end"/>
      </w:r>
      <w:r>
        <w:rPr>
          <w:rFonts w:hint="eastAsia" w:ascii="宋体" w:hAnsi="宋体" w:eastAsia="宋体" w:cs="宋体"/>
          <w:color w:val="auto"/>
          <w:spacing w:val="4"/>
          <w:sz w:val="40"/>
          <w:szCs w:val="24"/>
          <w:highlight w:val="none"/>
        </w:rPr>
        <w:fldChar w:fldCharType="end"/>
      </w:r>
    </w:p>
    <w:p w14:paraId="06D27C6B">
      <w:pPr>
        <w:spacing w:line="480" w:lineRule="auto"/>
        <w:ind w:firstLine="2113" w:firstLineChars="518"/>
        <w:jc w:val="left"/>
        <w:rPr>
          <w:rFonts w:hint="eastAsia" w:ascii="宋体" w:hAnsi="宋体" w:eastAsia="宋体" w:cs="宋体"/>
          <w:color w:val="auto"/>
          <w:spacing w:val="4"/>
          <w:sz w:val="32"/>
          <w:highlight w:val="none"/>
        </w:rPr>
      </w:pPr>
      <w:r>
        <w:rPr>
          <w:rFonts w:hint="eastAsia" w:ascii="宋体" w:hAnsi="宋体" w:eastAsia="宋体" w:cs="宋体"/>
          <w:color w:val="auto"/>
          <w:spacing w:val="4"/>
          <w:sz w:val="40"/>
          <w:szCs w:val="24"/>
          <w:highlight w:val="none"/>
        </w:rPr>
        <w:fldChar w:fldCharType="end"/>
      </w:r>
      <w:bookmarkStart w:id="98" w:name="_GoBack"/>
      <w:bookmarkEnd w:id="98"/>
    </w:p>
    <w:p w14:paraId="10004E21">
      <w:pPr>
        <w:spacing w:line="360" w:lineRule="auto"/>
        <w:ind w:firstLine="656" w:firstLineChars="200"/>
        <w:rPr>
          <w:rFonts w:hint="eastAsia" w:ascii="宋体" w:hAnsi="宋体" w:eastAsia="宋体" w:cs="宋体"/>
          <w:color w:val="auto"/>
          <w:spacing w:val="4"/>
          <w:sz w:val="32"/>
          <w:highlight w:val="none"/>
        </w:rPr>
      </w:pPr>
    </w:p>
    <w:p w14:paraId="3121967A">
      <w:pPr>
        <w:spacing w:line="360" w:lineRule="auto"/>
        <w:ind w:firstLine="656" w:firstLineChars="200"/>
        <w:rPr>
          <w:rFonts w:hint="eastAsia" w:ascii="宋体" w:hAnsi="宋体" w:eastAsia="宋体" w:cs="宋体"/>
          <w:color w:val="auto"/>
          <w:spacing w:val="4"/>
          <w:sz w:val="32"/>
          <w:highlight w:val="none"/>
        </w:rPr>
      </w:pPr>
    </w:p>
    <w:p w14:paraId="1553FFDD">
      <w:pPr>
        <w:spacing w:line="360" w:lineRule="auto"/>
        <w:ind w:firstLine="656" w:firstLineChars="200"/>
        <w:rPr>
          <w:rFonts w:hint="eastAsia" w:ascii="宋体" w:hAnsi="宋体" w:eastAsia="宋体" w:cs="宋体"/>
          <w:color w:val="auto"/>
          <w:spacing w:val="4"/>
          <w:sz w:val="32"/>
          <w:highlight w:val="none"/>
        </w:rPr>
      </w:pPr>
    </w:p>
    <w:p w14:paraId="7B9D43FB">
      <w:pPr>
        <w:spacing w:line="360" w:lineRule="auto"/>
        <w:ind w:firstLine="656" w:firstLineChars="200"/>
        <w:rPr>
          <w:rFonts w:hint="eastAsia" w:ascii="宋体" w:hAnsi="宋体" w:eastAsia="宋体" w:cs="宋体"/>
          <w:color w:val="auto"/>
          <w:spacing w:val="4"/>
          <w:sz w:val="32"/>
          <w:highlight w:val="none"/>
        </w:rPr>
      </w:pPr>
    </w:p>
    <w:p w14:paraId="1D480F38">
      <w:pPr>
        <w:spacing w:line="360" w:lineRule="auto"/>
        <w:rPr>
          <w:rFonts w:hint="eastAsia" w:ascii="宋体" w:hAnsi="宋体" w:eastAsia="宋体" w:cs="宋体"/>
          <w:color w:val="auto"/>
          <w:spacing w:val="4"/>
          <w:sz w:val="32"/>
          <w:highlight w:val="none"/>
        </w:rPr>
      </w:pPr>
    </w:p>
    <w:p w14:paraId="4D35107C">
      <w:pPr>
        <w:spacing w:line="360" w:lineRule="auto"/>
        <w:rPr>
          <w:rFonts w:hint="eastAsia" w:ascii="宋体" w:hAnsi="宋体" w:eastAsia="宋体" w:cs="宋体"/>
          <w:color w:val="auto"/>
          <w:spacing w:val="4"/>
          <w:sz w:val="32"/>
          <w:highlight w:val="none"/>
        </w:rPr>
      </w:pPr>
    </w:p>
    <w:p w14:paraId="44941768">
      <w:pPr>
        <w:spacing w:line="360" w:lineRule="auto"/>
        <w:rPr>
          <w:rFonts w:hint="eastAsia" w:ascii="宋体" w:hAnsi="宋体" w:eastAsia="宋体" w:cs="宋体"/>
          <w:color w:val="auto"/>
          <w:spacing w:val="4"/>
          <w:sz w:val="32"/>
          <w:highlight w:val="none"/>
        </w:rPr>
      </w:pPr>
    </w:p>
    <w:p w14:paraId="2AB016DD">
      <w:pPr>
        <w:numPr>
          <w:ilvl w:val="0"/>
          <w:numId w:val="1"/>
        </w:numPr>
        <w:jc w:val="center"/>
        <w:outlineLvl w:val="0"/>
        <w:rPr>
          <w:rFonts w:hint="eastAsia" w:ascii="宋体" w:hAnsi="宋体" w:eastAsia="宋体" w:cs="宋体"/>
          <w:b/>
          <w:bCs/>
          <w:color w:val="auto"/>
          <w:sz w:val="44"/>
          <w:szCs w:val="44"/>
          <w:highlight w:val="none"/>
          <w:lang w:eastAsia="zh-CN"/>
        </w:rPr>
      </w:pPr>
      <w:r>
        <w:rPr>
          <w:rFonts w:hint="eastAsia" w:ascii="宋体" w:hAnsi="宋体" w:eastAsia="宋体" w:cs="宋体"/>
          <w:b/>
          <w:bCs/>
          <w:color w:val="auto"/>
          <w:sz w:val="44"/>
          <w:szCs w:val="44"/>
          <w:highlight w:val="none"/>
        </w:rPr>
        <w:t xml:space="preserve"> </w:t>
      </w:r>
      <w:bookmarkStart w:id="0" w:name="_Toc8863"/>
      <w:r>
        <w:rPr>
          <w:rFonts w:hint="eastAsia" w:ascii="宋体" w:hAnsi="宋体" w:eastAsia="宋体" w:cs="宋体"/>
          <w:b/>
          <w:bCs/>
          <w:color w:val="auto"/>
          <w:sz w:val="44"/>
          <w:szCs w:val="44"/>
          <w:highlight w:val="none"/>
        </w:rPr>
        <w:t>竞争性磋商</w:t>
      </w:r>
      <w:r>
        <w:rPr>
          <w:rFonts w:hint="eastAsia" w:ascii="宋体" w:hAnsi="宋体" w:eastAsia="宋体" w:cs="宋体"/>
          <w:b/>
          <w:bCs/>
          <w:color w:val="auto"/>
          <w:sz w:val="44"/>
          <w:szCs w:val="44"/>
          <w:highlight w:val="none"/>
          <w:lang w:eastAsia="zh-CN"/>
        </w:rPr>
        <w:t>公告</w:t>
      </w:r>
      <w:bookmarkEnd w:id="0"/>
    </w:p>
    <w:p w14:paraId="4B518196">
      <w:pPr>
        <w:pStyle w:val="10"/>
        <w:numPr>
          <w:ilvl w:val="0"/>
          <w:numId w:val="0"/>
        </w:numPr>
        <w:shd w:val="clear"/>
        <w:rPr>
          <w:rFonts w:hint="eastAsia"/>
          <w:highlight w:val="none"/>
          <w:lang w:eastAsia="zh-CN"/>
        </w:rPr>
      </w:pPr>
    </w:p>
    <w:p w14:paraId="07CA9C93">
      <w:pPr>
        <w:spacing w:line="360" w:lineRule="auto"/>
        <w:jc w:val="center"/>
        <w:rPr>
          <w:rFonts w:hint="eastAsia" w:eastAsia="宋体"/>
          <w:sz w:val="24"/>
          <w:szCs w:val="24"/>
          <w:lang w:eastAsia="zh-CN"/>
        </w:rPr>
      </w:pPr>
      <w:r>
        <w:rPr>
          <w:rFonts w:hint="default"/>
          <w:sz w:val="32"/>
          <w:szCs w:val="32"/>
        </w:rPr>
        <w:t>宝鸡市渭滨区神农镇人民政府</w:t>
      </w:r>
      <w:r>
        <w:rPr>
          <w:rFonts w:hint="eastAsia"/>
          <w:sz w:val="32"/>
          <w:szCs w:val="32"/>
          <w:lang w:eastAsia="zh-CN"/>
        </w:rPr>
        <w:t>2025年神农镇太平庄村供水抗旱应急水源项目</w:t>
      </w:r>
    </w:p>
    <w:p w14:paraId="06FD9699">
      <w:pPr>
        <w:spacing w:line="360" w:lineRule="auto"/>
        <w:rPr>
          <w:b/>
          <w:bCs/>
          <w:sz w:val="28"/>
          <w:szCs w:val="28"/>
        </w:rPr>
      </w:pPr>
      <w:r>
        <w:rPr>
          <w:b/>
          <w:bCs/>
          <w:sz w:val="28"/>
          <w:szCs w:val="28"/>
        </w:rPr>
        <w:t>项目概况</w:t>
      </w:r>
    </w:p>
    <w:p w14:paraId="0998E146">
      <w:pPr>
        <w:spacing w:line="360" w:lineRule="auto"/>
        <w:ind w:firstLine="480" w:firstLineChars="200"/>
        <w:rPr>
          <w:sz w:val="24"/>
          <w:szCs w:val="24"/>
        </w:rPr>
      </w:pPr>
      <w:r>
        <w:rPr>
          <w:rFonts w:hint="eastAsia"/>
          <w:sz w:val="24"/>
          <w:szCs w:val="24"/>
          <w:lang w:eastAsia="zh-CN"/>
        </w:rPr>
        <w:t>2025年神农镇太平庄村供水抗旱应急水源项目</w:t>
      </w:r>
      <w:r>
        <w:rPr>
          <w:rFonts w:hint="eastAsia"/>
          <w:sz w:val="24"/>
          <w:szCs w:val="24"/>
        </w:rPr>
        <w:t>采购项目的潜在供应商应在全国公共资源交易平台（陕西省·宝鸡市）获取采购文件，并于 </w:t>
      </w:r>
      <w:r>
        <w:rPr>
          <w:rFonts w:hint="eastAsia"/>
          <w:sz w:val="24"/>
          <w:szCs w:val="24"/>
          <w:lang w:eastAsia="zh-CN"/>
        </w:rPr>
        <w:t>2026年02月12日 09时00分</w:t>
      </w:r>
      <w:r>
        <w:rPr>
          <w:rFonts w:hint="eastAsia"/>
          <w:sz w:val="24"/>
          <w:szCs w:val="24"/>
        </w:rPr>
        <w:t> （北京时间）前提交响应文件。</w:t>
      </w:r>
    </w:p>
    <w:p w14:paraId="45B0DCF4">
      <w:pPr>
        <w:spacing w:line="360" w:lineRule="auto"/>
        <w:rPr>
          <w:b/>
          <w:bCs/>
          <w:sz w:val="28"/>
          <w:szCs w:val="28"/>
        </w:rPr>
      </w:pPr>
      <w:r>
        <w:rPr>
          <w:b/>
          <w:bCs/>
          <w:sz w:val="28"/>
          <w:szCs w:val="28"/>
        </w:rPr>
        <w:t>一、项目基本情况</w:t>
      </w:r>
    </w:p>
    <w:p w14:paraId="791DDC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szCs w:val="24"/>
          <w:lang w:eastAsia="zh-CN"/>
        </w:rPr>
      </w:pPr>
      <w:r>
        <w:rPr>
          <w:rFonts w:hint="eastAsia"/>
          <w:sz w:val="24"/>
          <w:szCs w:val="24"/>
        </w:rPr>
        <w:t>项目编号：</w:t>
      </w:r>
      <w:r>
        <w:rPr>
          <w:rFonts w:hint="eastAsia"/>
          <w:sz w:val="24"/>
          <w:szCs w:val="24"/>
          <w:lang w:eastAsia="zh-CN"/>
        </w:rPr>
        <w:t>XYR-2026-004(GC)</w:t>
      </w:r>
    </w:p>
    <w:p w14:paraId="59528F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szCs w:val="24"/>
          <w:lang w:eastAsia="zh-CN"/>
        </w:rPr>
      </w:pPr>
      <w:r>
        <w:rPr>
          <w:rFonts w:hint="eastAsia"/>
          <w:sz w:val="24"/>
          <w:szCs w:val="24"/>
        </w:rPr>
        <w:t>项目名称：</w:t>
      </w:r>
      <w:r>
        <w:rPr>
          <w:rFonts w:hint="eastAsia"/>
          <w:sz w:val="24"/>
          <w:szCs w:val="24"/>
          <w:lang w:eastAsia="zh-CN"/>
        </w:rPr>
        <w:t>2025年神农镇太平庄村供水抗旱应急水源项目</w:t>
      </w:r>
    </w:p>
    <w:p w14:paraId="7B71D7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采购方式：竞争性磋商</w:t>
      </w:r>
    </w:p>
    <w:p w14:paraId="0A364D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预算金额：</w:t>
      </w:r>
      <w:r>
        <w:rPr>
          <w:rFonts w:hint="eastAsia"/>
          <w:sz w:val="24"/>
          <w:szCs w:val="24"/>
          <w:lang w:eastAsia="zh-CN"/>
        </w:rPr>
        <w:t>733,100.00</w:t>
      </w:r>
      <w:r>
        <w:rPr>
          <w:rFonts w:hint="eastAsia"/>
          <w:sz w:val="24"/>
          <w:szCs w:val="24"/>
        </w:rPr>
        <w:t>元</w:t>
      </w:r>
    </w:p>
    <w:p w14:paraId="3D37B3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采购需求：</w:t>
      </w:r>
    </w:p>
    <w:p w14:paraId="184647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w:t>
      </w:r>
      <w:r>
        <w:rPr>
          <w:rFonts w:hint="eastAsia"/>
          <w:sz w:val="24"/>
          <w:szCs w:val="24"/>
          <w:lang w:eastAsia="zh-CN"/>
        </w:rPr>
        <w:t>2025年神农镇太平庄村供水抗旱应急水源项目</w:t>
      </w:r>
      <w:r>
        <w:rPr>
          <w:rFonts w:hint="eastAsia"/>
          <w:sz w:val="24"/>
          <w:szCs w:val="24"/>
        </w:rPr>
        <w:t>):</w:t>
      </w:r>
    </w:p>
    <w:p w14:paraId="6EAEE3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合同包预算金额：</w:t>
      </w:r>
      <w:r>
        <w:rPr>
          <w:rFonts w:hint="eastAsia"/>
          <w:sz w:val="24"/>
          <w:szCs w:val="24"/>
          <w:lang w:eastAsia="zh-CN"/>
        </w:rPr>
        <w:t>733,100.00</w:t>
      </w:r>
      <w:r>
        <w:rPr>
          <w:rFonts w:hint="eastAsia"/>
          <w:sz w:val="24"/>
          <w:szCs w:val="24"/>
        </w:rPr>
        <w:t>元</w:t>
      </w:r>
    </w:p>
    <w:p w14:paraId="378B22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合同包最高限价：</w:t>
      </w:r>
      <w:r>
        <w:rPr>
          <w:rFonts w:hint="eastAsia"/>
          <w:sz w:val="24"/>
          <w:szCs w:val="24"/>
          <w:lang w:eastAsia="zh-CN"/>
        </w:rPr>
        <w:t>732,566.04</w:t>
      </w:r>
      <w:r>
        <w:rPr>
          <w:rFonts w:hint="eastAsia"/>
          <w:sz w:val="24"/>
          <w:szCs w:val="24"/>
        </w:rPr>
        <w:t>元</w:t>
      </w:r>
    </w:p>
    <w:tbl>
      <w:tblPr>
        <w:tblStyle w:val="26"/>
        <w:tblW w:w="94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66"/>
        <w:gridCol w:w="1969"/>
        <w:gridCol w:w="1620"/>
        <w:gridCol w:w="1608"/>
        <w:gridCol w:w="1678"/>
        <w:gridCol w:w="1516"/>
      </w:tblGrid>
      <w:tr w14:paraId="6D6D8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8" w:hRule="atLeast"/>
          <w:tblHeader/>
          <w:jc w:val="center"/>
        </w:trPr>
        <w:tc>
          <w:tcPr>
            <w:tcW w:w="10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B2C2E8">
            <w:pPr>
              <w:spacing w:line="360" w:lineRule="auto"/>
              <w:jc w:val="center"/>
              <w:rPr>
                <w:sz w:val="24"/>
                <w:szCs w:val="24"/>
              </w:rPr>
            </w:pPr>
            <w:r>
              <w:rPr>
                <w:sz w:val="24"/>
                <w:szCs w:val="24"/>
                <w:lang w:val="en-US" w:eastAsia="zh-CN"/>
              </w:rPr>
              <w:t>品目号</w:t>
            </w:r>
          </w:p>
        </w:tc>
        <w:tc>
          <w:tcPr>
            <w:tcW w:w="19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28D554">
            <w:pPr>
              <w:spacing w:line="360" w:lineRule="auto"/>
              <w:jc w:val="center"/>
              <w:rPr>
                <w:sz w:val="24"/>
                <w:szCs w:val="24"/>
              </w:rPr>
            </w:pPr>
            <w:r>
              <w:rPr>
                <w:sz w:val="24"/>
                <w:szCs w:val="24"/>
                <w:lang w:val="en-US" w:eastAsia="zh-CN"/>
              </w:rPr>
              <w:t>品目名称</w:t>
            </w:r>
          </w:p>
        </w:tc>
        <w:tc>
          <w:tcPr>
            <w:tcW w:w="16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4710D2">
            <w:pPr>
              <w:spacing w:line="360" w:lineRule="auto"/>
              <w:jc w:val="center"/>
              <w:rPr>
                <w:sz w:val="24"/>
                <w:szCs w:val="24"/>
              </w:rPr>
            </w:pPr>
            <w:r>
              <w:rPr>
                <w:sz w:val="24"/>
                <w:szCs w:val="24"/>
                <w:lang w:val="en-US" w:eastAsia="zh-CN"/>
              </w:rPr>
              <w:t>采购标的</w:t>
            </w:r>
          </w:p>
        </w:tc>
        <w:tc>
          <w:tcPr>
            <w:tcW w:w="16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9E0138">
            <w:pPr>
              <w:spacing w:line="360" w:lineRule="auto"/>
              <w:jc w:val="center"/>
              <w:rPr>
                <w:sz w:val="24"/>
                <w:szCs w:val="24"/>
              </w:rPr>
            </w:pPr>
            <w:r>
              <w:rPr>
                <w:sz w:val="24"/>
                <w:szCs w:val="24"/>
                <w:lang w:val="en-US" w:eastAsia="zh-CN"/>
              </w:rPr>
              <w:t>数量（单位）</w:t>
            </w:r>
          </w:p>
        </w:tc>
        <w:tc>
          <w:tcPr>
            <w:tcW w:w="16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49527F">
            <w:pPr>
              <w:spacing w:line="360" w:lineRule="auto"/>
              <w:jc w:val="center"/>
              <w:rPr>
                <w:sz w:val="24"/>
                <w:szCs w:val="24"/>
              </w:rPr>
            </w:pPr>
            <w:r>
              <w:rPr>
                <w:sz w:val="24"/>
                <w:szCs w:val="24"/>
                <w:lang w:val="en-US" w:eastAsia="zh-CN"/>
              </w:rPr>
              <w:t>技术规格、参数及要求</w:t>
            </w:r>
          </w:p>
        </w:tc>
        <w:tc>
          <w:tcPr>
            <w:tcW w:w="15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5FA1C4">
            <w:pPr>
              <w:spacing w:line="360" w:lineRule="auto"/>
              <w:jc w:val="center"/>
              <w:rPr>
                <w:sz w:val="24"/>
                <w:szCs w:val="24"/>
              </w:rPr>
            </w:pPr>
            <w:r>
              <w:rPr>
                <w:sz w:val="24"/>
                <w:szCs w:val="24"/>
                <w:lang w:val="en-US" w:eastAsia="zh-CN"/>
              </w:rPr>
              <w:t>品目预算(元)</w:t>
            </w:r>
          </w:p>
        </w:tc>
      </w:tr>
      <w:tr w14:paraId="1B985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9" w:hRule="atLeast"/>
          <w:jc w:val="center"/>
        </w:trPr>
        <w:tc>
          <w:tcPr>
            <w:tcW w:w="10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019DB6">
            <w:pPr>
              <w:spacing w:line="360" w:lineRule="auto"/>
              <w:jc w:val="center"/>
              <w:rPr>
                <w:sz w:val="24"/>
                <w:szCs w:val="24"/>
              </w:rPr>
            </w:pPr>
            <w:r>
              <w:rPr>
                <w:sz w:val="24"/>
                <w:szCs w:val="24"/>
                <w:lang w:val="en-US" w:eastAsia="zh-CN"/>
              </w:rPr>
              <w:t>1-1</w:t>
            </w:r>
          </w:p>
        </w:tc>
        <w:tc>
          <w:tcPr>
            <w:tcW w:w="19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CE6D6B">
            <w:pPr>
              <w:spacing w:line="360" w:lineRule="auto"/>
              <w:jc w:val="center"/>
              <w:rPr>
                <w:sz w:val="24"/>
                <w:szCs w:val="24"/>
              </w:rPr>
            </w:pPr>
            <w:r>
              <w:rPr>
                <w:sz w:val="24"/>
                <w:szCs w:val="24"/>
                <w:lang w:val="en-US" w:eastAsia="zh-CN"/>
              </w:rPr>
              <w:t>其他公共设施施工</w:t>
            </w:r>
          </w:p>
        </w:tc>
        <w:tc>
          <w:tcPr>
            <w:tcW w:w="16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16F5A7">
            <w:pPr>
              <w:spacing w:line="360" w:lineRule="auto"/>
              <w:jc w:val="center"/>
              <w:rPr>
                <w:sz w:val="24"/>
                <w:szCs w:val="24"/>
              </w:rPr>
            </w:pPr>
            <w:r>
              <w:rPr>
                <w:sz w:val="24"/>
                <w:szCs w:val="24"/>
                <w:lang w:val="en-US" w:eastAsia="zh-CN"/>
              </w:rPr>
              <w:t>人饮工程提升项目</w:t>
            </w:r>
          </w:p>
        </w:tc>
        <w:tc>
          <w:tcPr>
            <w:tcW w:w="16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23C8D0">
            <w:pPr>
              <w:spacing w:line="360" w:lineRule="auto"/>
              <w:jc w:val="center"/>
              <w:rPr>
                <w:sz w:val="24"/>
                <w:szCs w:val="24"/>
              </w:rPr>
            </w:pPr>
            <w:r>
              <w:rPr>
                <w:sz w:val="24"/>
                <w:szCs w:val="24"/>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6A2550">
            <w:pPr>
              <w:spacing w:line="360" w:lineRule="auto"/>
              <w:jc w:val="center"/>
              <w:rPr>
                <w:sz w:val="24"/>
                <w:szCs w:val="24"/>
              </w:rPr>
            </w:pPr>
            <w:r>
              <w:rPr>
                <w:sz w:val="24"/>
                <w:szCs w:val="24"/>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BC1432">
            <w:pPr>
              <w:spacing w:line="360" w:lineRule="auto"/>
              <w:jc w:val="center"/>
              <w:rPr>
                <w:sz w:val="24"/>
                <w:szCs w:val="24"/>
              </w:rPr>
            </w:pPr>
            <w:r>
              <w:rPr>
                <w:rFonts w:hint="eastAsia"/>
                <w:sz w:val="24"/>
                <w:szCs w:val="24"/>
                <w:lang w:val="en-US" w:eastAsia="zh-CN"/>
              </w:rPr>
              <w:t>733,100.00</w:t>
            </w:r>
          </w:p>
        </w:tc>
      </w:tr>
    </w:tbl>
    <w:p w14:paraId="641F0C4C">
      <w:pPr>
        <w:spacing w:line="360" w:lineRule="auto"/>
        <w:ind w:firstLine="480" w:firstLineChars="200"/>
        <w:rPr>
          <w:sz w:val="24"/>
          <w:szCs w:val="24"/>
        </w:rPr>
      </w:pPr>
      <w:r>
        <w:rPr>
          <w:rFonts w:hint="eastAsia"/>
          <w:sz w:val="24"/>
          <w:szCs w:val="24"/>
        </w:rPr>
        <w:t>本合同包不接受联合体投标</w:t>
      </w:r>
    </w:p>
    <w:p w14:paraId="45A18154">
      <w:pPr>
        <w:spacing w:line="360" w:lineRule="auto"/>
        <w:ind w:firstLine="480" w:firstLineChars="200"/>
        <w:rPr>
          <w:rFonts w:hint="eastAsia" w:eastAsia="宋体"/>
          <w:sz w:val="24"/>
          <w:szCs w:val="24"/>
          <w:lang w:eastAsia="zh-CN"/>
        </w:rPr>
      </w:pPr>
      <w:r>
        <w:rPr>
          <w:rFonts w:hint="eastAsia"/>
          <w:sz w:val="24"/>
          <w:szCs w:val="24"/>
        </w:rPr>
        <w:t>合同履行期限：</w:t>
      </w:r>
      <w:r>
        <w:rPr>
          <w:rFonts w:hint="eastAsia"/>
          <w:sz w:val="24"/>
          <w:szCs w:val="24"/>
          <w:lang w:eastAsia="zh-CN"/>
        </w:rPr>
        <w:t>90日历天</w:t>
      </w:r>
    </w:p>
    <w:p w14:paraId="08B67162">
      <w:pPr>
        <w:spacing w:line="360" w:lineRule="auto"/>
        <w:rPr>
          <w:b/>
          <w:bCs/>
          <w:sz w:val="24"/>
          <w:szCs w:val="24"/>
        </w:rPr>
      </w:pPr>
      <w:r>
        <w:rPr>
          <w:b/>
          <w:bCs/>
          <w:sz w:val="24"/>
          <w:szCs w:val="24"/>
        </w:rPr>
        <w:t>二、申请人的资格要求：</w:t>
      </w:r>
    </w:p>
    <w:p w14:paraId="123407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1.满足《中华人民共和国政府采购法》第二十二条规定;</w:t>
      </w:r>
    </w:p>
    <w:p w14:paraId="1840F9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2.落实政府采购政策需满足的资格要求：</w:t>
      </w:r>
    </w:p>
    <w:p w14:paraId="26750E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w:t>
      </w:r>
      <w:r>
        <w:rPr>
          <w:rFonts w:hint="eastAsia"/>
          <w:sz w:val="24"/>
          <w:szCs w:val="24"/>
          <w:lang w:eastAsia="zh-CN"/>
        </w:rPr>
        <w:t>2025年神农镇太平庄村供水抗旱应急水源项目</w:t>
      </w:r>
      <w:r>
        <w:rPr>
          <w:rFonts w:hint="eastAsia"/>
          <w:sz w:val="24"/>
          <w:szCs w:val="24"/>
        </w:rPr>
        <w:t>)落实政府采购政策需满足的资格要求如下:</w:t>
      </w:r>
    </w:p>
    <w:p w14:paraId="6F0EBA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2.1关于印发《政府采购促进中小企业发展管理办法》的通知（财库〔2020〕46号）；《财政部关于进一步加大政府采购支持中小企业力度的通知》（财库〔2022〕19号）；</w:t>
      </w:r>
      <w:r>
        <w:rPr>
          <w:rFonts w:hint="eastAsia"/>
          <w:sz w:val="24"/>
          <w:szCs w:val="24"/>
        </w:rPr>
        <w:br w:type="textWrapping"/>
      </w:r>
      <w:r>
        <w:rPr>
          <w:rFonts w:hint="eastAsia"/>
          <w:sz w:val="24"/>
          <w:szCs w:val="24"/>
          <w:lang w:val="en-US" w:eastAsia="zh-CN"/>
        </w:rPr>
        <w:t xml:space="preserve">    </w:t>
      </w:r>
      <w:r>
        <w:rPr>
          <w:rFonts w:hint="eastAsia"/>
          <w:sz w:val="24"/>
          <w:szCs w:val="24"/>
        </w:rPr>
        <w:t>2.2《财政部司法部关于政府采购支持监狱企业发展有关问题的通知》（财库〔2014〕68号）；</w:t>
      </w:r>
      <w:r>
        <w:rPr>
          <w:rFonts w:hint="eastAsia"/>
          <w:sz w:val="24"/>
          <w:szCs w:val="24"/>
        </w:rPr>
        <w:br w:type="textWrapping"/>
      </w:r>
      <w:r>
        <w:rPr>
          <w:rFonts w:hint="eastAsia"/>
          <w:sz w:val="24"/>
          <w:szCs w:val="24"/>
          <w:lang w:val="en-US" w:eastAsia="zh-CN"/>
        </w:rPr>
        <w:t xml:space="preserve">    </w:t>
      </w:r>
      <w:r>
        <w:rPr>
          <w:rFonts w:hint="eastAsia"/>
          <w:sz w:val="24"/>
          <w:szCs w:val="24"/>
        </w:rPr>
        <w:t>2.3《财政部民政部中国残疾人联合会关于促进残疾人就业政府采购政策的通知》（财库〔2017〕141号）；</w:t>
      </w:r>
      <w:r>
        <w:rPr>
          <w:rFonts w:hint="eastAsia"/>
          <w:sz w:val="24"/>
          <w:szCs w:val="24"/>
        </w:rPr>
        <w:br w:type="textWrapping"/>
      </w:r>
      <w:r>
        <w:rPr>
          <w:rFonts w:hint="eastAsia"/>
          <w:sz w:val="24"/>
          <w:szCs w:val="24"/>
          <w:lang w:val="en-US" w:eastAsia="zh-CN"/>
        </w:rPr>
        <w:t xml:space="preserve">    </w:t>
      </w:r>
      <w:r>
        <w:rPr>
          <w:rFonts w:hint="eastAsia"/>
          <w:sz w:val="24"/>
          <w:szCs w:val="24"/>
        </w:rPr>
        <w:t>2.4《财政部 国家发展改革委关于印发(节能产品政府采购实施意见)的通知》(财库〔2004〕185号)；</w:t>
      </w:r>
      <w:r>
        <w:rPr>
          <w:rFonts w:hint="eastAsia"/>
          <w:sz w:val="24"/>
          <w:szCs w:val="24"/>
        </w:rPr>
        <w:br w:type="textWrapping"/>
      </w:r>
      <w:r>
        <w:rPr>
          <w:rFonts w:hint="eastAsia"/>
          <w:sz w:val="24"/>
          <w:szCs w:val="24"/>
          <w:lang w:val="en-US" w:eastAsia="zh-CN"/>
        </w:rPr>
        <w:t xml:space="preserve">    </w:t>
      </w:r>
      <w:r>
        <w:rPr>
          <w:rFonts w:hint="eastAsia"/>
          <w:sz w:val="24"/>
          <w:szCs w:val="24"/>
        </w:rPr>
        <w:t>2.5《国务院办公厅关于建立政府强制采购节能产品制度的通知》(国办发〔2007〕51号)；</w:t>
      </w:r>
      <w:r>
        <w:rPr>
          <w:rFonts w:hint="eastAsia"/>
          <w:sz w:val="24"/>
          <w:szCs w:val="24"/>
        </w:rPr>
        <w:br w:type="textWrapping"/>
      </w:r>
      <w:r>
        <w:rPr>
          <w:rFonts w:hint="eastAsia"/>
          <w:sz w:val="24"/>
          <w:szCs w:val="24"/>
          <w:lang w:val="en-US" w:eastAsia="zh-CN"/>
        </w:rPr>
        <w:t xml:space="preserve">    </w:t>
      </w:r>
      <w:r>
        <w:rPr>
          <w:rFonts w:hint="eastAsia"/>
          <w:sz w:val="24"/>
          <w:szCs w:val="24"/>
        </w:rPr>
        <w:t>2.6《财政部环保总局关于环境标志产品政府采购实施的意见》(财库〔2006〕90号)</w:t>
      </w:r>
      <w:r>
        <w:rPr>
          <w:rFonts w:hint="eastAsia"/>
          <w:sz w:val="24"/>
          <w:szCs w:val="24"/>
        </w:rPr>
        <w:br w:type="textWrapping"/>
      </w:r>
      <w:r>
        <w:rPr>
          <w:rFonts w:hint="eastAsia"/>
          <w:sz w:val="24"/>
          <w:szCs w:val="24"/>
          <w:lang w:val="en-US" w:eastAsia="zh-CN"/>
        </w:rPr>
        <w:t xml:space="preserve">    </w:t>
      </w:r>
      <w:r>
        <w:rPr>
          <w:rFonts w:hint="eastAsia"/>
          <w:sz w:val="24"/>
          <w:szCs w:val="24"/>
        </w:rPr>
        <w:t>2.7《财政部发展改革委生态环境部市场监管总局关于调整优化节能产品、环境标志产品政府采购执行机制的通知》（财库〔2019〕9号）；</w:t>
      </w:r>
      <w:r>
        <w:rPr>
          <w:rFonts w:hint="eastAsia"/>
          <w:sz w:val="24"/>
          <w:szCs w:val="24"/>
        </w:rPr>
        <w:br w:type="textWrapping"/>
      </w:r>
      <w:r>
        <w:rPr>
          <w:rFonts w:hint="eastAsia"/>
          <w:sz w:val="24"/>
          <w:szCs w:val="24"/>
          <w:lang w:val="en-US" w:eastAsia="zh-CN"/>
        </w:rPr>
        <w:t xml:space="preserve">    </w:t>
      </w:r>
      <w:r>
        <w:rPr>
          <w:rFonts w:hint="eastAsia"/>
          <w:sz w:val="24"/>
          <w:szCs w:val="24"/>
        </w:rPr>
        <w:t>2.8《关于印发环境标志产品政府采购品目清单的通知》（财库〔2019〕18号）；</w:t>
      </w:r>
      <w:r>
        <w:rPr>
          <w:rFonts w:hint="eastAsia"/>
          <w:sz w:val="24"/>
          <w:szCs w:val="24"/>
        </w:rPr>
        <w:br w:type="textWrapping"/>
      </w:r>
      <w:r>
        <w:rPr>
          <w:rFonts w:hint="eastAsia"/>
          <w:sz w:val="24"/>
          <w:szCs w:val="24"/>
          <w:lang w:val="en-US" w:eastAsia="zh-CN"/>
        </w:rPr>
        <w:t xml:space="preserve">    </w:t>
      </w:r>
      <w:r>
        <w:rPr>
          <w:rFonts w:hint="eastAsia"/>
          <w:sz w:val="24"/>
          <w:szCs w:val="24"/>
        </w:rPr>
        <w:t>2.9《关于印发节能产品政府采购品目清单的通知》（财库〔2019〕19号）；</w:t>
      </w:r>
      <w:r>
        <w:rPr>
          <w:rFonts w:hint="eastAsia"/>
          <w:sz w:val="24"/>
          <w:szCs w:val="24"/>
        </w:rPr>
        <w:br w:type="textWrapping"/>
      </w:r>
      <w:r>
        <w:rPr>
          <w:rFonts w:hint="eastAsia"/>
          <w:sz w:val="24"/>
          <w:szCs w:val="24"/>
          <w:lang w:val="en-US" w:eastAsia="zh-CN"/>
        </w:rPr>
        <w:t xml:space="preserve">    </w:t>
      </w:r>
      <w:r>
        <w:rPr>
          <w:rFonts w:hint="eastAsia"/>
          <w:sz w:val="24"/>
          <w:szCs w:val="24"/>
        </w:rPr>
        <w:t>2.10《财政部农业农村部 国家乡村振兴局关于运用政府采购政策支持乡村产业振兴的通知》（财库〔2021〕19号）；</w:t>
      </w:r>
      <w:r>
        <w:rPr>
          <w:rFonts w:hint="eastAsia"/>
          <w:sz w:val="24"/>
          <w:szCs w:val="24"/>
        </w:rPr>
        <w:br w:type="textWrapping"/>
      </w:r>
      <w:r>
        <w:rPr>
          <w:rFonts w:hint="eastAsia"/>
          <w:sz w:val="24"/>
          <w:szCs w:val="24"/>
          <w:lang w:val="en-US" w:eastAsia="zh-CN"/>
        </w:rPr>
        <w:t xml:space="preserve">    </w:t>
      </w:r>
      <w:r>
        <w:rPr>
          <w:rFonts w:hint="eastAsia"/>
          <w:sz w:val="24"/>
          <w:szCs w:val="24"/>
        </w:rPr>
        <w:t>2.11《陕西省财政厅关于印发陕西省中小企业政府采购信用融资办法》（陕财办采〔2018〕23号）；</w:t>
      </w:r>
      <w:r>
        <w:rPr>
          <w:rFonts w:hint="eastAsia"/>
          <w:sz w:val="24"/>
          <w:szCs w:val="24"/>
        </w:rPr>
        <w:br w:type="textWrapping"/>
      </w:r>
      <w:r>
        <w:rPr>
          <w:rFonts w:hint="eastAsia"/>
          <w:sz w:val="24"/>
          <w:szCs w:val="24"/>
          <w:lang w:val="en-US" w:eastAsia="zh-CN"/>
        </w:rPr>
        <w:t xml:space="preserve">    </w:t>
      </w:r>
      <w:r>
        <w:rPr>
          <w:rFonts w:hint="eastAsia"/>
          <w:sz w:val="24"/>
          <w:szCs w:val="24"/>
        </w:rPr>
        <w:t>2.12《陕西省财政厅关于加快推进我省中小企业政府采购信用融资工作的通知》（陕财办采〔2020〕15号）。</w:t>
      </w:r>
    </w:p>
    <w:p w14:paraId="7FD2FC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3.本项目的特定资格要求：</w:t>
      </w:r>
    </w:p>
    <w:p w14:paraId="0337D7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w:t>
      </w:r>
      <w:r>
        <w:rPr>
          <w:rFonts w:hint="eastAsia"/>
          <w:sz w:val="24"/>
          <w:szCs w:val="24"/>
          <w:lang w:eastAsia="zh-CN"/>
        </w:rPr>
        <w:t>2025年神农镇太平庄村供水抗旱应急水源项目</w:t>
      </w:r>
      <w:r>
        <w:rPr>
          <w:rFonts w:hint="eastAsia"/>
          <w:sz w:val="24"/>
          <w:szCs w:val="24"/>
        </w:rPr>
        <w:t>)特定资格要求如下:</w:t>
      </w:r>
    </w:p>
    <w:p w14:paraId="4F565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（1）供应商须为合法注册的法人、其他组织或者自然人，并具有独立承担民事责任的能力；提供统一社会信用代码的营业执照（或事业法人证、自然人身份证）等证明文件；</w:t>
      </w:r>
      <w:r>
        <w:rPr>
          <w:rFonts w:hint="eastAsia"/>
          <w:sz w:val="24"/>
          <w:szCs w:val="24"/>
        </w:rPr>
        <w:br w:type="textWrapping"/>
      </w:r>
      <w:r>
        <w:rPr>
          <w:rFonts w:hint="eastAsia"/>
          <w:sz w:val="24"/>
          <w:szCs w:val="24"/>
          <w:lang w:val="en-US" w:eastAsia="zh-CN"/>
        </w:rPr>
        <w:t xml:space="preserve">    </w:t>
      </w:r>
      <w:r>
        <w:rPr>
          <w:rFonts w:hint="eastAsia"/>
          <w:sz w:val="24"/>
          <w:szCs w:val="24"/>
        </w:rPr>
        <w:t>（2）法定代表人参加采购活动须出示本人身份证（原件及复印件），被授权代表参加采购活动须出示本人身份证原件和法定代表人授权书；</w:t>
      </w:r>
      <w:r>
        <w:rPr>
          <w:rFonts w:hint="eastAsia"/>
          <w:sz w:val="24"/>
          <w:szCs w:val="24"/>
        </w:rPr>
        <w:br w:type="textWrapping"/>
      </w:r>
      <w:r>
        <w:rPr>
          <w:rFonts w:hint="eastAsia"/>
          <w:sz w:val="24"/>
          <w:szCs w:val="24"/>
          <w:lang w:val="en-US" w:eastAsia="zh-CN"/>
        </w:rPr>
        <w:t xml:space="preserve">    </w:t>
      </w:r>
      <w:r>
        <w:rPr>
          <w:rFonts w:hint="eastAsia"/>
          <w:sz w:val="24"/>
          <w:szCs w:val="24"/>
        </w:rPr>
        <w:t>（3）</w:t>
      </w:r>
      <w:r>
        <w:rPr>
          <w:rFonts w:hint="default"/>
          <w:sz w:val="24"/>
          <w:szCs w:val="24"/>
        </w:rPr>
        <w:t>供应商应具备水利水电工程施工总承包三级及以上资质和有效的安全生产许可证；拟派本工程项目经理须具有水利水电工程专业二级及以上建造师资格证、注册证及有效的安全生产考核合格证，并无在建项目（以无在建承诺书为准）</w:t>
      </w:r>
      <w:r>
        <w:rPr>
          <w:rFonts w:hint="eastAsia"/>
          <w:sz w:val="24"/>
          <w:szCs w:val="24"/>
        </w:rPr>
        <w:t>；</w:t>
      </w:r>
      <w:r>
        <w:rPr>
          <w:rFonts w:hint="eastAsia"/>
          <w:sz w:val="24"/>
          <w:szCs w:val="24"/>
        </w:rPr>
        <w:br w:type="textWrapping"/>
      </w:r>
      <w:r>
        <w:rPr>
          <w:rFonts w:hint="eastAsia"/>
          <w:sz w:val="24"/>
          <w:szCs w:val="24"/>
          <w:lang w:val="en-US" w:eastAsia="zh-CN"/>
        </w:rPr>
        <w:t xml:space="preserve">   </w:t>
      </w:r>
      <w:r>
        <w:rPr>
          <w:rFonts w:hint="eastAsia"/>
          <w:sz w:val="24"/>
          <w:szCs w:val="24"/>
        </w:rPr>
        <w:t>（4）财务状况报告：提供具有财务审计资质单位出具的2024年度财务审计报告，（成立时间至提交投标文件截止时间不足一年的可提供成立后任意时段的资产负债表），或开标时间前六个月内银行出具的资信证明；</w:t>
      </w:r>
      <w:r>
        <w:rPr>
          <w:rFonts w:hint="eastAsia"/>
          <w:sz w:val="24"/>
          <w:szCs w:val="24"/>
        </w:rPr>
        <w:br w:type="textWrapping"/>
      </w:r>
      <w:r>
        <w:rPr>
          <w:rFonts w:hint="eastAsia"/>
          <w:sz w:val="24"/>
          <w:szCs w:val="24"/>
          <w:lang w:val="en-US" w:eastAsia="zh-CN"/>
        </w:rPr>
        <w:t xml:space="preserve">   </w:t>
      </w:r>
      <w:r>
        <w:rPr>
          <w:rFonts w:hint="eastAsia"/>
          <w:sz w:val="24"/>
          <w:szCs w:val="24"/>
        </w:rPr>
        <w:t>（5）社会保障资金缴纳证明：</w:t>
      </w:r>
      <w:r>
        <w:rPr>
          <w:rFonts w:hint="default"/>
          <w:sz w:val="24"/>
          <w:szCs w:val="24"/>
        </w:rPr>
        <w:t>提供截止至采购时间前任意六个月的社保缴费凭据或社保机构开具的社会保险参保缴费情况证明（依法不需要缴纳社会保障资金的供应商应提供相关证明）</w:t>
      </w:r>
      <w:r>
        <w:rPr>
          <w:rFonts w:hint="eastAsia"/>
          <w:sz w:val="24"/>
          <w:szCs w:val="24"/>
        </w:rPr>
        <w:t>；</w:t>
      </w:r>
      <w:r>
        <w:rPr>
          <w:rFonts w:hint="eastAsia"/>
          <w:sz w:val="24"/>
          <w:szCs w:val="24"/>
        </w:rPr>
        <w:br w:type="textWrapping"/>
      </w:r>
      <w:r>
        <w:rPr>
          <w:rFonts w:hint="eastAsia"/>
          <w:sz w:val="24"/>
          <w:szCs w:val="24"/>
          <w:lang w:val="en-US" w:eastAsia="zh-CN"/>
        </w:rPr>
        <w:t xml:space="preserve">   </w:t>
      </w:r>
      <w:r>
        <w:rPr>
          <w:rFonts w:hint="eastAsia"/>
          <w:sz w:val="24"/>
          <w:szCs w:val="24"/>
        </w:rPr>
        <w:t>（6）完税证明：</w:t>
      </w:r>
      <w:r>
        <w:rPr>
          <w:rFonts w:hint="default"/>
          <w:sz w:val="24"/>
          <w:szCs w:val="24"/>
        </w:rPr>
        <w:t>提供截止至采购时间前任意六个月的纳税证明或完税证明，依法免税的单位应提供相关证明材料</w:t>
      </w:r>
      <w:r>
        <w:rPr>
          <w:rFonts w:hint="eastAsia"/>
          <w:sz w:val="24"/>
          <w:szCs w:val="24"/>
        </w:rPr>
        <w:t>；</w:t>
      </w:r>
      <w:r>
        <w:rPr>
          <w:rFonts w:hint="eastAsia"/>
          <w:sz w:val="24"/>
          <w:szCs w:val="24"/>
        </w:rPr>
        <w:br w:type="textWrapping"/>
      </w:r>
      <w:r>
        <w:rPr>
          <w:rFonts w:hint="eastAsia"/>
          <w:sz w:val="24"/>
          <w:szCs w:val="24"/>
          <w:lang w:val="en-US" w:eastAsia="zh-CN"/>
        </w:rPr>
        <w:t xml:space="preserve">   </w:t>
      </w:r>
      <w:r>
        <w:rPr>
          <w:rFonts w:hint="eastAsia"/>
          <w:sz w:val="24"/>
          <w:szCs w:val="24"/>
        </w:rPr>
        <w:t>（7）参加政府采购活动前3年内在经营活动中没有重大违法记录的书面声明；</w:t>
      </w:r>
      <w:r>
        <w:rPr>
          <w:rFonts w:hint="eastAsia"/>
          <w:sz w:val="24"/>
          <w:szCs w:val="24"/>
        </w:rPr>
        <w:br w:type="textWrapping"/>
      </w:r>
      <w:r>
        <w:rPr>
          <w:rFonts w:hint="eastAsia"/>
          <w:sz w:val="24"/>
          <w:szCs w:val="24"/>
          <w:lang w:val="en-US" w:eastAsia="zh-CN"/>
        </w:rPr>
        <w:t xml:space="preserve">   </w:t>
      </w:r>
      <w:r>
        <w:rPr>
          <w:rFonts w:hint="eastAsia"/>
          <w:sz w:val="24"/>
          <w:szCs w:val="24"/>
        </w:rPr>
        <w:t>（8）提供具有履行本合同所必需的设备和专业技术能力的说明及承诺；</w:t>
      </w:r>
      <w:r>
        <w:rPr>
          <w:rFonts w:hint="eastAsia"/>
          <w:sz w:val="24"/>
          <w:szCs w:val="24"/>
        </w:rPr>
        <w:br w:type="textWrapping"/>
      </w:r>
      <w:r>
        <w:rPr>
          <w:rFonts w:hint="eastAsia"/>
          <w:sz w:val="24"/>
          <w:szCs w:val="24"/>
          <w:lang w:val="en-US" w:eastAsia="zh-CN"/>
        </w:rPr>
        <w:t xml:space="preserve">   </w:t>
      </w:r>
      <w:r>
        <w:rPr>
          <w:rFonts w:hint="eastAsia"/>
          <w:sz w:val="24"/>
          <w:szCs w:val="24"/>
        </w:rPr>
        <w:t>（9）单位负责人为同一人或者存在直接控股、管理关系的不同供应商，不得参加同一合同项下的政府采购活动；（提供书面承诺函）；</w:t>
      </w:r>
      <w:r>
        <w:rPr>
          <w:rFonts w:hint="eastAsia"/>
          <w:sz w:val="24"/>
          <w:szCs w:val="24"/>
        </w:rPr>
        <w:br w:type="textWrapping"/>
      </w:r>
      <w:r>
        <w:rPr>
          <w:rFonts w:hint="eastAsia"/>
          <w:sz w:val="24"/>
          <w:szCs w:val="24"/>
          <w:lang w:val="en-US" w:eastAsia="zh-CN"/>
        </w:rPr>
        <w:t xml:space="preserve">   </w:t>
      </w:r>
      <w:r>
        <w:rPr>
          <w:rFonts w:hint="eastAsia"/>
          <w:sz w:val="24"/>
          <w:szCs w:val="24"/>
        </w:rPr>
        <w:t>（10）供应商不得为“信用中国(www.creditchina.gov.cn)”中列入失信被执行人和重大税收违法失信主体及“中国裁判文书网”（http://wenshu.court.gov.cn/）有行贿犯罪记录。（查询主体供应商、法定代表人、项目负责人）；不得为“中国政府采购网(www.ccgp.gov.cn)”政府采购严重违法失信行为记录名单中被财政部门禁止参加政府采购活动的供应商；</w:t>
      </w:r>
      <w:r>
        <w:rPr>
          <w:rFonts w:hint="eastAsia"/>
          <w:sz w:val="24"/>
          <w:szCs w:val="24"/>
        </w:rPr>
        <w:br w:type="textWrapping"/>
      </w:r>
      <w:r>
        <w:rPr>
          <w:rFonts w:hint="eastAsia"/>
          <w:sz w:val="24"/>
          <w:szCs w:val="24"/>
          <w:lang w:val="en-US" w:eastAsia="zh-CN"/>
        </w:rPr>
        <w:t xml:space="preserve">   </w:t>
      </w:r>
      <w:r>
        <w:rPr>
          <w:rFonts w:hint="eastAsia"/>
          <w:sz w:val="24"/>
          <w:szCs w:val="24"/>
        </w:rPr>
        <w:t>（11）本项目不接受联合体投标；</w:t>
      </w:r>
      <w:r>
        <w:rPr>
          <w:rFonts w:hint="eastAsia"/>
          <w:sz w:val="24"/>
          <w:szCs w:val="24"/>
        </w:rPr>
        <w:br w:type="textWrapping"/>
      </w:r>
      <w:r>
        <w:rPr>
          <w:rFonts w:hint="eastAsia"/>
          <w:sz w:val="24"/>
          <w:szCs w:val="24"/>
          <w:lang w:val="en-US" w:eastAsia="zh-CN"/>
        </w:rPr>
        <w:t xml:space="preserve">   </w:t>
      </w:r>
      <w:r>
        <w:rPr>
          <w:rFonts w:hint="eastAsia"/>
          <w:sz w:val="24"/>
          <w:szCs w:val="24"/>
        </w:rPr>
        <w:t>（12）本项目为专门面向中小企业，须提供中小企业声明函；</w:t>
      </w:r>
    </w:p>
    <w:p w14:paraId="4DDE8DA3">
      <w:pPr>
        <w:spacing w:line="360" w:lineRule="auto"/>
        <w:rPr>
          <w:b/>
          <w:bCs/>
          <w:sz w:val="28"/>
          <w:szCs w:val="28"/>
        </w:rPr>
      </w:pPr>
      <w:r>
        <w:rPr>
          <w:b/>
          <w:bCs/>
          <w:sz w:val="28"/>
          <w:szCs w:val="28"/>
        </w:rPr>
        <w:t>三、获取采购文件</w:t>
      </w:r>
    </w:p>
    <w:p w14:paraId="07397235">
      <w:pPr>
        <w:keepNext w:val="0"/>
        <w:keepLines w:val="0"/>
        <w:pageBreakBefore w:val="0"/>
        <w:widowControl w:val="0"/>
        <w:kinsoku w:val="0"/>
        <w:wordWrap w:val="0"/>
        <w:overflowPunct w:val="0"/>
        <w:topLinePunct w:val="0"/>
        <w:autoSpaceDE w:val="0"/>
        <w:autoSpaceDN w:val="0"/>
        <w:bidi w:val="0"/>
        <w:adjustRightInd/>
        <w:snapToGrid/>
        <w:spacing w:line="360" w:lineRule="auto"/>
        <w:ind w:firstLine="720" w:firstLineChars="300"/>
        <w:jc w:val="left"/>
        <w:textAlignment w:val="auto"/>
        <w:rPr>
          <w:rFonts w:hint="default"/>
          <w:sz w:val="24"/>
          <w:szCs w:val="24"/>
        </w:rPr>
      </w:pPr>
      <w:r>
        <w:rPr>
          <w:rFonts w:hint="eastAsia"/>
          <w:sz w:val="24"/>
          <w:szCs w:val="24"/>
        </w:rPr>
        <w:t>时间：</w:t>
      </w:r>
      <w:r>
        <w:rPr>
          <w:rFonts w:hint="default"/>
          <w:sz w:val="24"/>
          <w:szCs w:val="24"/>
        </w:rPr>
        <w:t>2026年01月30日至 2026年02月05日，每天上午00:00:00至12:00:00 ，下午12:00:00至23:59:59（北京时间）</w:t>
      </w:r>
    </w:p>
    <w:p w14:paraId="69203411">
      <w:pPr>
        <w:spacing w:line="360" w:lineRule="auto"/>
        <w:ind w:firstLine="480" w:firstLineChars="200"/>
        <w:rPr>
          <w:sz w:val="24"/>
          <w:szCs w:val="24"/>
        </w:rPr>
      </w:pPr>
      <w:r>
        <w:rPr>
          <w:rFonts w:hint="eastAsia"/>
          <w:sz w:val="24"/>
          <w:szCs w:val="24"/>
        </w:rPr>
        <w:t>途径：全国公共资源交易平台（陕西省·宝鸡市）</w:t>
      </w:r>
    </w:p>
    <w:p w14:paraId="216755FB">
      <w:pPr>
        <w:spacing w:line="360" w:lineRule="auto"/>
        <w:ind w:firstLine="480" w:firstLineChars="200"/>
        <w:rPr>
          <w:sz w:val="24"/>
          <w:szCs w:val="24"/>
        </w:rPr>
      </w:pPr>
      <w:r>
        <w:rPr>
          <w:rFonts w:hint="eastAsia"/>
          <w:sz w:val="24"/>
          <w:szCs w:val="24"/>
        </w:rPr>
        <w:t>方式：在线获取</w:t>
      </w:r>
    </w:p>
    <w:p w14:paraId="64D1DE3C">
      <w:pPr>
        <w:spacing w:line="360" w:lineRule="auto"/>
        <w:ind w:firstLine="480" w:firstLineChars="200"/>
        <w:rPr>
          <w:sz w:val="24"/>
          <w:szCs w:val="24"/>
        </w:rPr>
      </w:pPr>
      <w:r>
        <w:rPr>
          <w:rFonts w:hint="eastAsia"/>
          <w:sz w:val="24"/>
          <w:szCs w:val="24"/>
        </w:rPr>
        <w:t>售价： 0元</w:t>
      </w:r>
    </w:p>
    <w:p w14:paraId="09CC4D9D">
      <w:pPr>
        <w:spacing w:line="360" w:lineRule="auto"/>
        <w:rPr>
          <w:b/>
          <w:bCs/>
          <w:sz w:val="28"/>
          <w:szCs w:val="28"/>
        </w:rPr>
      </w:pPr>
      <w:r>
        <w:rPr>
          <w:b/>
          <w:bCs/>
          <w:sz w:val="28"/>
          <w:szCs w:val="28"/>
        </w:rPr>
        <w:t>四、响应文件提交</w:t>
      </w:r>
    </w:p>
    <w:p w14:paraId="7C2C291D">
      <w:pPr>
        <w:spacing w:line="360" w:lineRule="auto"/>
        <w:ind w:firstLine="480" w:firstLineChars="200"/>
        <w:rPr>
          <w:sz w:val="24"/>
          <w:szCs w:val="24"/>
        </w:rPr>
      </w:pPr>
      <w:r>
        <w:rPr>
          <w:rFonts w:hint="eastAsia"/>
          <w:sz w:val="24"/>
          <w:szCs w:val="24"/>
        </w:rPr>
        <w:t>截止时间： </w:t>
      </w:r>
      <w:r>
        <w:rPr>
          <w:rFonts w:hint="eastAsia"/>
          <w:sz w:val="24"/>
          <w:szCs w:val="24"/>
          <w:lang w:eastAsia="zh-CN"/>
        </w:rPr>
        <w:t>2026年02月12日 09时00分</w:t>
      </w:r>
      <w:r>
        <w:rPr>
          <w:rFonts w:hint="eastAsia"/>
          <w:sz w:val="24"/>
          <w:szCs w:val="24"/>
        </w:rPr>
        <w:t>00秒 （北京时间）</w:t>
      </w:r>
    </w:p>
    <w:p w14:paraId="13AD011A">
      <w:pPr>
        <w:spacing w:line="360" w:lineRule="auto"/>
        <w:ind w:firstLine="480" w:firstLineChars="200"/>
        <w:rPr>
          <w:sz w:val="24"/>
          <w:szCs w:val="24"/>
        </w:rPr>
      </w:pPr>
      <w:r>
        <w:rPr>
          <w:rFonts w:hint="eastAsia"/>
          <w:sz w:val="24"/>
          <w:szCs w:val="24"/>
        </w:rPr>
        <w:t>地点：全国公共资源交易平台（陕西省·宝鸡市）在线提交</w:t>
      </w:r>
    </w:p>
    <w:p w14:paraId="1DD8C621">
      <w:pPr>
        <w:spacing w:line="360" w:lineRule="auto"/>
        <w:rPr>
          <w:b/>
          <w:bCs/>
          <w:sz w:val="28"/>
          <w:szCs w:val="28"/>
        </w:rPr>
      </w:pPr>
      <w:r>
        <w:rPr>
          <w:b/>
          <w:bCs/>
          <w:sz w:val="28"/>
          <w:szCs w:val="28"/>
        </w:rPr>
        <w:t>五、开启</w:t>
      </w:r>
    </w:p>
    <w:p w14:paraId="7056D95F">
      <w:pPr>
        <w:spacing w:line="360" w:lineRule="auto"/>
        <w:ind w:firstLine="480" w:firstLineChars="200"/>
        <w:rPr>
          <w:sz w:val="24"/>
          <w:szCs w:val="24"/>
        </w:rPr>
      </w:pPr>
      <w:r>
        <w:rPr>
          <w:rFonts w:hint="eastAsia"/>
          <w:sz w:val="24"/>
          <w:szCs w:val="24"/>
        </w:rPr>
        <w:t>时间： </w:t>
      </w:r>
      <w:r>
        <w:rPr>
          <w:rFonts w:hint="eastAsia"/>
          <w:sz w:val="24"/>
          <w:szCs w:val="24"/>
          <w:lang w:eastAsia="zh-CN"/>
        </w:rPr>
        <w:t>2026年02月12日 09时00分</w:t>
      </w:r>
      <w:r>
        <w:rPr>
          <w:rFonts w:hint="eastAsia"/>
          <w:sz w:val="24"/>
          <w:szCs w:val="24"/>
        </w:rPr>
        <w:t>00秒 （北京时间）</w:t>
      </w:r>
    </w:p>
    <w:p w14:paraId="465F6EDE">
      <w:pPr>
        <w:spacing w:line="360" w:lineRule="auto"/>
        <w:ind w:firstLine="480" w:firstLineChars="200"/>
        <w:rPr>
          <w:sz w:val="24"/>
          <w:szCs w:val="24"/>
        </w:rPr>
      </w:pPr>
      <w:r>
        <w:rPr>
          <w:rFonts w:hint="eastAsia"/>
          <w:sz w:val="24"/>
          <w:szCs w:val="24"/>
        </w:rPr>
        <w:t>地点：全国公共资源交易平台（陕西省·宝鸡市）不见面开标大厅</w:t>
      </w:r>
    </w:p>
    <w:p w14:paraId="5091B3A3">
      <w:pPr>
        <w:spacing w:line="360" w:lineRule="auto"/>
        <w:rPr>
          <w:b/>
          <w:bCs/>
          <w:sz w:val="28"/>
          <w:szCs w:val="28"/>
        </w:rPr>
      </w:pPr>
      <w:r>
        <w:rPr>
          <w:b/>
          <w:bCs/>
          <w:sz w:val="28"/>
          <w:szCs w:val="28"/>
        </w:rPr>
        <w:t>六、公告期限</w:t>
      </w:r>
    </w:p>
    <w:p w14:paraId="79B30DCA">
      <w:pPr>
        <w:spacing w:line="360" w:lineRule="auto"/>
        <w:ind w:firstLine="480" w:firstLineChars="200"/>
        <w:rPr>
          <w:sz w:val="24"/>
          <w:szCs w:val="24"/>
        </w:rPr>
      </w:pPr>
      <w:r>
        <w:rPr>
          <w:rFonts w:hint="eastAsia"/>
          <w:sz w:val="24"/>
          <w:szCs w:val="24"/>
        </w:rPr>
        <w:t>自本公告发布之日起3个工作日。</w:t>
      </w:r>
    </w:p>
    <w:p w14:paraId="6CD4B88F">
      <w:pPr>
        <w:spacing w:line="360" w:lineRule="auto"/>
        <w:rPr>
          <w:sz w:val="24"/>
          <w:szCs w:val="24"/>
        </w:rPr>
      </w:pPr>
      <w:r>
        <w:rPr>
          <w:b/>
          <w:bCs/>
          <w:sz w:val="28"/>
          <w:szCs w:val="28"/>
        </w:rPr>
        <w:t>七、其他补充事宜</w:t>
      </w:r>
    </w:p>
    <w:p w14:paraId="5A1C22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1、本项目有意向供应商须登录全国公共资源交易平台（陕西省宝鸡市）宝鸡市公共资源交易中心（http://ggzy.baoji.gov.cn/），交易平台〖首页〉电子交易平台〉企业端〗后，在〖招标公告/出让公告〗模块中选择有意向的项目点击“我要投标”，并打印回执单，报名成功后即可从〖我的项目〉项目流程〉交易文件下载〗中下载磋商文件（*.SXSZF格式），如未及时下载磋商文件（*.SXSZF格式），所引起的不良后果，由供应商自行承担；</w:t>
      </w:r>
    </w:p>
    <w:p w14:paraId="20630E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2、供应商在网上填写单位信息（单位名称、营业执照相关信息）时应与竞争性磋商响应文件中相关信息一致，否则造成资格审查不通过的后果自负；</w:t>
      </w:r>
    </w:p>
    <w:p w14:paraId="044CDA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3、请供应商按照陕西省财政厅关于政府采购供应商注册登记有关事项的通知中的要求，通过陕西省政府采购网（http://www.ccgp-shaanxi.gov.cn/）注册登记加入陕西省政府采购供应商库；</w:t>
      </w:r>
    </w:p>
    <w:p w14:paraId="28ADAE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4、本项目为“全流程电子化”采购模式，实行电子投标，各供应商须自行在网上下载磋商文件、缴纳磋商保证金，并登录全国公共资源交易平台（陕西省宝鸡市）宝鸡市公共资源交易中心（http://ggzy.baoji.gov.cn/）-服务指南-下载专区-下载政府采购电子标书制作工具，按照流程制作电子标书并在规定的响应截止时前上传电子响应文件，逾期提交的，系统将会拒收。</w:t>
      </w:r>
    </w:p>
    <w:p w14:paraId="6EDDEB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5、提交竞争性磋商响应文件截止时间前，供应商应随时留意【陕西省政府采购网〗、【全国公区资源交易平台（陕西省·宝鸡市）〗上可能发布的变更公告。若变更公告中明确注明本项目提供有变更文件的，供应商应登录企业端后，从【项目流程·&gt;项目管理·&gt;答疑文件下载〗获取更新后的电子竞争性磋商文件（*.SXSCF）,使用旧版电子竞争性磋商文件制作的电子投标文件（*.SXSTF），系统将拒绝接收。</w:t>
      </w:r>
    </w:p>
    <w:p w14:paraId="07FBDD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6、本项目采用“不见面开标”方式。不见面开标大厅登录方式为：全国公共资源交易平台（陕西省·宝鸡市）→不见面开标系统（新）。相关操作流程详见全国公共资源交易平台（宝鸡市）网站〖首页·〉服务指南·〉下载专区〗中的《宝鸡公共资源交易不见面开标大厅投标人操作手册》-（http://113.200.250.17:81/BidOpeningNew/bidhall/shanxi/login.html。）。</w:t>
      </w:r>
    </w:p>
    <w:p w14:paraId="6CC8A5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7、为了保证远程不见面开标顺利进行，供应商需使用配备相关设备的电脑提前一小时登录网络开标大厅，因供应商自身设施故障或自身原因导致无法完成签到、解密、磋商或二次报价的，由供应商自行承担后果。</w:t>
      </w:r>
    </w:p>
    <w:p w14:paraId="56FF60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8、其他要求详见本项目竞争性磋商文件。</w:t>
      </w:r>
    </w:p>
    <w:p w14:paraId="54805F55">
      <w:pPr>
        <w:spacing w:line="360" w:lineRule="auto"/>
        <w:rPr>
          <w:b/>
          <w:bCs/>
          <w:sz w:val="28"/>
          <w:szCs w:val="28"/>
        </w:rPr>
      </w:pPr>
      <w:r>
        <w:rPr>
          <w:b/>
          <w:bCs/>
          <w:sz w:val="28"/>
          <w:szCs w:val="28"/>
        </w:rPr>
        <w:t>八、对本次招标提出询问，请按以下方式联系。</w:t>
      </w:r>
    </w:p>
    <w:p w14:paraId="768254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1.采购人信息</w:t>
      </w:r>
    </w:p>
    <w:p w14:paraId="41E2AD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名称：宝鸡市渭滨区神农镇人民政府</w:t>
      </w:r>
    </w:p>
    <w:p w14:paraId="7FAF7A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地址：清姜路3号</w:t>
      </w:r>
    </w:p>
    <w:p w14:paraId="17762F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联系方式：0917-3803552</w:t>
      </w:r>
    </w:p>
    <w:p w14:paraId="1BA683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2.采购代理机构信息</w:t>
      </w:r>
    </w:p>
    <w:p w14:paraId="2C330F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名称：鑫益瑞建设工程有限公司</w:t>
      </w:r>
    </w:p>
    <w:p w14:paraId="3C6DC2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地址：陕西省宝鸡市凤翔区南大街1号时代广场2号楼6楼0621室</w:t>
      </w:r>
    </w:p>
    <w:p w14:paraId="1D6B0A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联系方式：18192295552</w:t>
      </w:r>
    </w:p>
    <w:p w14:paraId="3CE3AC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3.项目联系方式</w:t>
      </w:r>
    </w:p>
    <w:p w14:paraId="3C9BC4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项目联系人：王晓辉</w:t>
      </w:r>
    </w:p>
    <w:p w14:paraId="6033ED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电话：18192295552</w:t>
      </w:r>
    </w:p>
    <w:p w14:paraId="62CE64CF">
      <w:pPr>
        <w:spacing w:line="360" w:lineRule="auto"/>
        <w:jc w:val="right"/>
        <w:rPr>
          <w:sz w:val="24"/>
          <w:szCs w:val="24"/>
        </w:rPr>
      </w:pPr>
      <w:r>
        <w:rPr>
          <w:rFonts w:hint="eastAsia"/>
          <w:sz w:val="24"/>
          <w:szCs w:val="24"/>
        </w:rPr>
        <w:t>鑫益瑞建设工程有限公司</w:t>
      </w:r>
    </w:p>
    <w:p w14:paraId="67F34C12">
      <w:pPr>
        <w:spacing w:line="360" w:lineRule="auto"/>
        <w:jc w:val="right"/>
        <w:rPr>
          <w:sz w:val="24"/>
          <w:szCs w:val="24"/>
        </w:rPr>
      </w:pPr>
      <w:r>
        <w:rPr>
          <w:rFonts w:ascii="微软雅黑" w:hAnsi="微软雅黑" w:eastAsia="微软雅黑" w:cs="微软雅黑"/>
          <w:i w:val="0"/>
          <w:iCs w:val="0"/>
          <w:caps w:val="0"/>
          <w:color w:val="333333"/>
          <w:spacing w:val="0"/>
          <w:sz w:val="21"/>
          <w:szCs w:val="21"/>
          <w:shd w:val="clear" w:fill="FFFFFF"/>
        </w:rPr>
        <w:t>2026年01月29日</w:t>
      </w:r>
    </w:p>
    <w:p w14:paraId="70632B71">
      <w:pP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br w:type="page"/>
      </w:r>
    </w:p>
    <w:p w14:paraId="4A5468A5">
      <w:pPr>
        <w:widowControl/>
        <w:tabs>
          <w:tab w:val="center" w:pos="4466"/>
          <w:tab w:val="right" w:pos="8479"/>
        </w:tabs>
        <w:spacing w:line="360" w:lineRule="auto"/>
        <w:ind w:right="78" w:rightChars="28"/>
        <w:jc w:val="center"/>
        <w:outlineLvl w:val="0"/>
        <w:rPr>
          <w:rFonts w:hint="eastAsia" w:ascii="宋体" w:hAnsi="宋体" w:eastAsia="宋体" w:cs="宋体"/>
          <w:color w:val="auto"/>
          <w:sz w:val="44"/>
          <w:szCs w:val="44"/>
          <w:highlight w:val="none"/>
        </w:rPr>
      </w:pPr>
      <w:bookmarkStart w:id="1" w:name="_Toc3775"/>
      <w:r>
        <w:rPr>
          <w:rFonts w:hint="eastAsia" w:ascii="宋体" w:hAnsi="宋体" w:eastAsia="宋体" w:cs="宋体"/>
          <w:b/>
          <w:bCs/>
          <w:color w:val="auto"/>
          <w:sz w:val="44"/>
          <w:szCs w:val="44"/>
          <w:highlight w:val="none"/>
        </w:rPr>
        <w:t>第二章  竞争性磋商须知</w:t>
      </w:r>
      <w:bookmarkEnd w:id="1"/>
    </w:p>
    <w:p w14:paraId="15886F74">
      <w:pPr>
        <w:pStyle w:val="3"/>
        <w:spacing w:before="0" w:after="0"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一、供应商须知前附表</w:t>
      </w:r>
    </w:p>
    <w:tbl>
      <w:tblPr>
        <w:tblStyle w:val="26"/>
        <w:tblW w:w="9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959"/>
        <w:gridCol w:w="6406"/>
      </w:tblGrid>
      <w:tr w14:paraId="0F65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4153E304">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959" w:type="dxa"/>
            <w:noWrap w:val="0"/>
            <w:vAlign w:val="center"/>
          </w:tcPr>
          <w:p w14:paraId="1A48F382">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条款名称</w:t>
            </w:r>
          </w:p>
        </w:tc>
        <w:tc>
          <w:tcPr>
            <w:tcW w:w="6406" w:type="dxa"/>
            <w:noWrap w:val="0"/>
            <w:vAlign w:val="top"/>
          </w:tcPr>
          <w:p w14:paraId="34740519">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说明和要求</w:t>
            </w:r>
          </w:p>
        </w:tc>
      </w:tr>
      <w:tr w14:paraId="08BA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3BBE80C3">
            <w:pPr>
              <w:numPr>
                <w:ilvl w:val="0"/>
                <w:numId w:val="0"/>
              </w:numPr>
              <w:ind w:leftChars="0" w:firstLine="240" w:firstLineChars="1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959" w:type="dxa"/>
            <w:shd w:val="clear" w:color="auto" w:fill="auto"/>
            <w:noWrap w:val="0"/>
            <w:vAlign w:val="center"/>
          </w:tcPr>
          <w:p w14:paraId="6EFF460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6406" w:type="dxa"/>
            <w:shd w:val="clear" w:color="auto" w:fill="auto"/>
            <w:noWrap w:val="0"/>
            <w:vAlign w:val="top"/>
          </w:tcPr>
          <w:p w14:paraId="5FFA95CD">
            <w:pPr>
              <w:spacing w:line="460" w:lineRule="exact"/>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w:t>
            </w:r>
            <w:r>
              <w:rPr>
                <w:rFonts w:hint="eastAsia" w:ascii="宋体" w:hAnsi="宋体" w:cs="宋体"/>
                <w:color w:val="auto"/>
                <w:sz w:val="24"/>
                <w:szCs w:val="24"/>
                <w:highlight w:val="none"/>
                <w:lang w:val="en-US" w:eastAsia="zh-CN"/>
              </w:rPr>
              <w:t>宝鸡市渭滨区神农镇人民政府</w:t>
            </w:r>
          </w:p>
          <w:p w14:paraId="3A48CF48">
            <w:pPr>
              <w:spacing w:line="460" w:lineRule="exact"/>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w:t>
            </w:r>
            <w:r>
              <w:rPr>
                <w:rFonts w:hint="eastAsia" w:ascii="宋体" w:hAnsi="宋体" w:cs="宋体"/>
                <w:color w:val="auto"/>
                <w:sz w:val="24"/>
                <w:szCs w:val="24"/>
                <w:highlight w:val="none"/>
                <w:lang w:val="en-US" w:eastAsia="zh-CN"/>
              </w:rPr>
              <w:t>：清姜路3号</w:t>
            </w:r>
          </w:p>
          <w:p w14:paraId="1E4BA8DB">
            <w:pPr>
              <w:spacing w:line="46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w:t>
            </w:r>
            <w:r>
              <w:rPr>
                <w:rFonts w:hint="eastAsia" w:ascii="宋体" w:hAnsi="宋体" w:cs="宋体"/>
                <w:color w:val="auto"/>
                <w:sz w:val="24"/>
                <w:szCs w:val="24"/>
                <w:highlight w:val="none"/>
                <w:lang w:val="en-US" w:eastAsia="zh-CN"/>
              </w:rPr>
              <w:t>神农镇经办</w:t>
            </w:r>
          </w:p>
          <w:p w14:paraId="38E8E3B3">
            <w:pPr>
              <w:spacing w:line="460" w:lineRule="exact"/>
              <w:rPr>
                <w:rFonts w:hint="default"/>
                <w:color w:val="auto"/>
                <w:highlight w:val="none"/>
                <w:lang w:val="en-US" w:eastAsia="zh-CN"/>
              </w:rPr>
            </w:pPr>
            <w:r>
              <w:rPr>
                <w:rFonts w:hint="eastAsia" w:ascii="宋体" w:hAnsi="宋体" w:eastAsia="宋体" w:cs="宋体"/>
                <w:color w:val="auto"/>
                <w:sz w:val="24"/>
                <w:szCs w:val="24"/>
                <w:highlight w:val="none"/>
                <w:lang w:val="en-US" w:eastAsia="zh-CN"/>
              </w:rPr>
              <w:t>联系方式：0917-3803552</w:t>
            </w:r>
          </w:p>
        </w:tc>
      </w:tr>
      <w:tr w14:paraId="1A2C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2FD273CF">
            <w:pPr>
              <w:numPr>
                <w:ilvl w:val="0"/>
                <w:numId w:val="0"/>
              </w:numPr>
              <w:ind w:leftChars="0" w:firstLine="240" w:firstLineChars="1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959" w:type="dxa"/>
            <w:noWrap w:val="0"/>
            <w:vAlign w:val="center"/>
          </w:tcPr>
          <w:p w14:paraId="15D713F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6406" w:type="dxa"/>
            <w:noWrap w:val="0"/>
            <w:vAlign w:val="top"/>
          </w:tcPr>
          <w:p w14:paraId="141DF15D">
            <w:pPr>
              <w:spacing w:line="460" w:lineRule="exact"/>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eastAsia="zh-CN"/>
              </w:rPr>
              <w:t>名称：</w:t>
            </w:r>
            <w:r>
              <w:rPr>
                <w:rFonts w:hint="eastAsia" w:ascii="宋体" w:hAnsi="宋体" w:cs="宋体"/>
                <w:color w:val="auto"/>
                <w:sz w:val="24"/>
                <w:szCs w:val="24"/>
                <w:highlight w:val="none"/>
                <w:lang w:eastAsia="zh-CN"/>
              </w:rPr>
              <w:t>鑫益瑞建设工程有限公司</w:t>
            </w:r>
          </w:p>
          <w:p w14:paraId="589E63C2">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地址：</w:t>
            </w:r>
            <w:r>
              <w:rPr>
                <w:rFonts w:hint="eastAsia" w:cs="宋体"/>
                <w:color w:val="auto"/>
                <w:sz w:val="24"/>
                <w:szCs w:val="24"/>
                <w:highlight w:val="none"/>
                <w:lang w:val="en-US" w:eastAsia="zh-CN"/>
              </w:rPr>
              <w:t>陕西省宝鸡市凤翔区南大街1号时代广场2号楼6楼0621室</w:t>
            </w:r>
          </w:p>
          <w:p w14:paraId="274598A3">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联系人：王晓辉</w:t>
            </w:r>
          </w:p>
          <w:p w14:paraId="1B683B12">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电 话：</w:t>
            </w:r>
            <w:r>
              <w:rPr>
                <w:rFonts w:hint="eastAsia" w:ascii="宋体" w:hAnsi="宋体" w:eastAsia="宋体" w:cs="宋体"/>
                <w:color w:val="auto"/>
                <w:sz w:val="24"/>
                <w:szCs w:val="24"/>
                <w:highlight w:val="none"/>
                <w:lang w:val="en-US" w:eastAsia="zh-CN"/>
              </w:rPr>
              <w:t>18192295552</w:t>
            </w:r>
          </w:p>
        </w:tc>
      </w:tr>
      <w:tr w14:paraId="56B9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5F93F4E0">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959" w:type="dxa"/>
            <w:noWrap w:val="0"/>
            <w:vAlign w:val="center"/>
          </w:tcPr>
          <w:p w14:paraId="40D38B5B">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监督管理机构</w:t>
            </w:r>
          </w:p>
        </w:tc>
        <w:tc>
          <w:tcPr>
            <w:tcW w:w="6406" w:type="dxa"/>
            <w:noWrap w:val="0"/>
            <w:vAlign w:val="top"/>
          </w:tcPr>
          <w:p w14:paraId="6E8C1954">
            <w:pPr>
              <w:pageBreakBefore w:val="0"/>
              <w:wordWrap/>
              <w:topLinePunct w:val="0"/>
              <w:bidi w:val="0"/>
              <w:spacing w:line="365" w:lineRule="auto"/>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宝鸡市渭滨区农业农村局</w:t>
            </w:r>
          </w:p>
        </w:tc>
      </w:tr>
      <w:tr w14:paraId="0AC0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5980E7B0">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959" w:type="dxa"/>
            <w:noWrap w:val="0"/>
            <w:vAlign w:val="center"/>
          </w:tcPr>
          <w:p w14:paraId="3E21691F">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项目名称</w:t>
            </w:r>
          </w:p>
        </w:tc>
        <w:tc>
          <w:tcPr>
            <w:tcW w:w="6406" w:type="dxa"/>
            <w:noWrap w:val="0"/>
            <w:vAlign w:val="top"/>
          </w:tcPr>
          <w:p w14:paraId="0942C0DD">
            <w:pPr>
              <w:pageBreakBefore w:val="0"/>
              <w:wordWrap/>
              <w:topLinePunct w:val="0"/>
              <w:bidi w:val="0"/>
              <w:spacing w:line="365" w:lineRule="auto"/>
              <w:textAlignment w:val="auto"/>
              <w:rPr>
                <w:rFonts w:hint="eastAsia" w:ascii="宋体" w:hAnsi="宋体" w:eastAsia="宋体" w:cs="宋体"/>
                <w:color w:val="auto"/>
                <w:sz w:val="24"/>
                <w:szCs w:val="24"/>
                <w:highlight w:val="none"/>
                <w:lang w:eastAsia="zh-CN"/>
              </w:rPr>
            </w:pPr>
            <w:r>
              <w:rPr>
                <w:rFonts w:hint="eastAsia" w:ascii="宋体" w:hAnsi="宋体" w:cs="宋体"/>
                <w:b w:val="0"/>
                <w:bCs/>
                <w:color w:val="auto"/>
                <w:sz w:val="24"/>
                <w:szCs w:val="24"/>
                <w:highlight w:val="none"/>
                <w:u w:val="none" w:color="FF0000"/>
                <w:lang w:val="en-US" w:eastAsia="zh-CN"/>
              </w:rPr>
              <w:t>2025年神农镇太平庄村供水抗旱应急水源项目</w:t>
            </w:r>
          </w:p>
        </w:tc>
      </w:tr>
      <w:tr w14:paraId="0C69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14:paraId="4FB13AAF">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59" w:type="dxa"/>
            <w:noWrap w:val="0"/>
            <w:vAlign w:val="center"/>
          </w:tcPr>
          <w:p w14:paraId="1D874DC9">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项目编号</w:t>
            </w:r>
          </w:p>
        </w:tc>
        <w:tc>
          <w:tcPr>
            <w:tcW w:w="6406" w:type="dxa"/>
            <w:noWrap w:val="0"/>
            <w:vAlign w:val="top"/>
          </w:tcPr>
          <w:p w14:paraId="1E58CBCC">
            <w:pPr>
              <w:pageBreakBefore w:val="0"/>
              <w:wordWrap/>
              <w:topLinePunct w:val="0"/>
              <w:bidi w:val="0"/>
              <w:spacing w:line="365" w:lineRule="auto"/>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XYR-2026-004(GC)</w:t>
            </w:r>
          </w:p>
        </w:tc>
      </w:tr>
      <w:tr w14:paraId="1DF9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1E1AE28D">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59" w:type="dxa"/>
            <w:noWrap w:val="0"/>
            <w:vAlign w:val="center"/>
          </w:tcPr>
          <w:p w14:paraId="290A85AD">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资金性质</w:t>
            </w:r>
          </w:p>
        </w:tc>
        <w:tc>
          <w:tcPr>
            <w:tcW w:w="6406" w:type="dxa"/>
            <w:noWrap w:val="0"/>
            <w:vAlign w:val="top"/>
          </w:tcPr>
          <w:p w14:paraId="32FC5004">
            <w:pPr>
              <w:pageBreakBefore w:val="0"/>
              <w:wordWrap/>
              <w:topLinePunct w:val="0"/>
              <w:bidi w:val="0"/>
              <w:spacing w:line="365" w:lineRule="auto"/>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财政衔接资金</w:t>
            </w:r>
          </w:p>
        </w:tc>
      </w:tr>
      <w:tr w14:paraId="42A0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14:paraId="6B11122A">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59" w:type="dxa"/>
            <w:shd w:val="clear" w:color="auto" w:fill="auto"/>
            <w:noWrap w:val="0"/>
            <w:vAlign w:val="center"/>
          </w:tcPr>
          <w:p w14:paraId="2B90BC76">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u w:val="none" w:color="auto"/>
                <w:lang w:val="en-US" w:eastAsia="zh-CN"/>
              </w:rPr>
            </w:pPr>
            <w:r>
              <w:rPr>
                <w:rFonts w:hint="eastAsia" w:ascii="宋体" w:hAnsi="宋体" w:eastAsia="宋体" w:cs="宋体"/>
                <w:color w:val="auto"/>
                <w:sz w:val="24"/>
                <w:szCs w:val="24"/>
                <w:highlight w:val="none"/>
                <w:u w:val="none" w:color="auto"/>
              </w:rPr>
              <w:t>项目</w:t>
            </w:r>
            <w:r>
              <w:rPr>
                <w:rFonts w:hint="eastAsia" w:ascii="宋体" w:hAnsi="宋体" w:eastAsia="宋体" w:cs="宋体"/>
                <w:color w:val="auto"/>
                <w:sz w:val="24"/>
                <w:szCs w:val="24"/>
                <w:highlight w:val="none"/>
                <w:u w:val="none" w:color="auto"/>
                <w:lang w:eastAsia="zh-CN"/>
              </w:rPr>
              <w:t>最高限价</w:t>
            </w:r>
            <w:r>
              <w:rPr>
                <w:rFonts w:hint="eastAsia" w:ascii="宋体" w:hAnsi="宋体" w:cs="宋体"/>
                <w:color w:val="auto"/>
                <w:sz w:val="24"/>
                <w:szCs w:val="24"/>
                <w:highlight w:val="none"/>
                <w:u w:val="none" w:color="auto"/>
                <w:lang w:eastAsia="zh-CN"/>
              </w:rPr>
              <w:t>（</w:t>
            </w:r>
            <w:r>
              <w:rPr>
                <w:rFonts w:hint="eastAsia" w:ascii="宋体" w:hAnsi="宋体" w:cs="宋体"/>
                <w:color w:val="auto"/>
                <w:sz w:val="24"/>
                <w:szCs w:val="24"/>
                <w:highlight w:val="none"/>
                <w:u w:val="none" w:color="auto"/>
                <w:lang w:val="en-US" w:eastAsia="zh-CN"/>
              </w:rPr>
              <w:t>元</w:t>
            </w:r>
            <w:r>
              <w:rPr>
                <w:rFonts w:hint="eastAsia" w:ascii="宋体" w:hAnsi="宋体" w:cs="宋体"/>
                <w:color w:val="auto"/>
                <w:sz w:val="24"/>
                <w:szCs w:val="24"/>
                <w:highlight w:val="none"/>
                <w:u w:val="none" w:color="auto"/>
                <w:lang w:eastAsia="zh-CN"/>
              </w:rPr>
              <w:t>）</w:t>
            </w:r>
          </w:p>
        </w:tc>
        <w:tc>
          <w:tcPr>
            <w:tcW w:w="6406" w:type="dxa"/>
            <w:shd w:val="clear" w:color="auto" w:fill="auto"/>
            <w:noWrap w:val="0"/>
            <w:vAlign w:val="center"/>
          </w:tcPr>
          <w:p w14:paraId="1D0C8D49">
            <w:pPr>
              <w:pageBreakBefore w:val="0"/>
              <w:wordWrap/>
              <w:topLinePunct w:val="0"/>
              <w:bidi w:val="0"/>
              <w:spacing w:line="365" w:lineRule="auto"/>
              <w:jc w:val="both"/>
              <w:textAlignment w:val="auto"/>
              <w:rPr>
                <w:rFonts w:hint="eastAsia" w:ascii="宋体" w:hAnsi="宋体" w:eastAsia="宋体" w:cs="宋体"/>
                <w:color w:val="auto"/>
                <w:sz w:val="24"/>
                <w:szCs w:val="24"/>
                <w:highlight w:val="none"/>
                <w:u w:val="none" w:color="auto"/>
                <w:lang w:val="en-US" w:eastAsia="zh-CN"/>
              </w:rPr>
            </w:pPr>
            <w:r>
              <w:rPr>
                <w:rFonts w:hint="eastAsia" w:ascii="宋体" w:hAnsi="宋体" w:eastAsia="宋体" w:cs="宋体"/>
                <w:color w:val="auto"/>
                <w:sz w:val="24"/>
                <w:szCs w:val="24"/>
                <w:highlight w:val="none"/>
                <w:u w:val="none" w:color="auto"/>
                <w:lang w:val="en-US" w:eastAsia="zh-CN"/>
              </w:rPr>
              <w:t>最高限价：</w:t>
            </w:r>
            <w:r>
              <w:rPr>
                <w:rFonts w:hint="eastAsia" w:ascii="宋体" w:hAnsi="宋体" w:cs="宋体"/>
                <w:color w:val="auto"/>
                <w:sz w:val="24"/>
                <w:szCs w:val="24"/>
                <w:highlight w:val="none"/>
                <w:u w:val="none" w:color="auto"/>
                <w:lang w:val="en-US" w:eastAsia="zh-CN"/>
              </w:rPr>
              <w:t>732,566.04</w:t>
            </w:r>
            <w:r>
              <w:rPr>
                <w:rFonts w:hint="eastAsia" w:ascii="宋体" w:hAnsi="宋体" w:eastAsia="宋体" w:cs="宋体"/>
                <w:color w:val="auto"/>
                <w:sz w:val="24"/>
                <w:szCs w:val="24"/>
                <w:highlight w:val="none"/>
                <w:u w:val="none" w:color="auto"/>
                <w:lang w:val="en-US" w:eastAsia="zh-CN"/>
              </w:rPr>
              <w:t>元</w:t>
            </w:r>
          </w:p>
        </w:tc>
      </w:tr>
      <w:tr w14:paraId="4249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14:paraId="4BB14ED5">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p>
        </w:tc>
        <w:tc>
          <w:tcPr>
            <w:tcW w:w="1959" w:type="dxa"/>
            <w:shd w:val="clear" w:color="auto" w:fill="auto"/>
            <w:noWrap w:val="0"/>
            <w:vAlign w:val="center"/>
          </w:tcPr>
          <w:p w14:paraId="44AF67C3">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项目用途</w:t>
            </w:r>
          </w:p>
        </w:tc>
        <w:tc>
          <w:tcPr>
            <w:tcW w:w="6406" w:type="dxa"/>
            <w:shd w:val="clear" w:color="auto" w:fill="auto"/>
            <w:noWrap w:val="0"/>
            <w:vAlign w:val="center"/>
          </w:tcPr>
          <w:p w14:paraId="65C05207">
            <w:pPr>
              <w:pageBreakBefore w:val="0"/>
              <w:wordWrap/>
              <w:topLinePunct w:val="0"/>
              <w:bidi w:val="0"/>
              <w:spacing w:line="365" w:lineRule="auto"/>
              <w:jc w:val="left"/>
              <w:textAlignment w:val="auto"/>
              <w:rPr>
                <w:rFonts w:hint="default" w:ascii="宋体" w:hAnsi="宋体" w:cs="宋体"/>
                <w:color w:val="auto"/>
                <w:sz w:val="24"/>
                <w:szCs w:val="24"/>
                <w:highlight w:val="none"/>
                <w:u w:val="none" w:color="auto"/>
                <w:lang w:val="en-US" w:eastAsia="zh-CN"/>
              </w:rPr>
            </w:pPr>
            <w:r>
              <w:rPr>
                <w:rFonts w:hint="eastAsia" w:ascii="宋体" w:hAnsi="宋体" w:cs="宋体"/>
                <w:b w:val="0"/>
                <w:bCs/>
                <w:color w:val="auto"/>
                <w:sz w:val="24"/>
                <w:szCs w:val="24"/>
                <w:highlight w:val="none"/>
                <w:u w:val="none" w:color="FF0000"/>
                <w:lang w:val="en-US" w:eastAsia="zh-CN"/>
              </w:rPr>
              <w:t>2025年神农镇太平庄村供水抗旱应急水源项目</w:t>
            </w:r>
          </w:p>
        </w:tc>
      </w:tr>
      <w:tr w14:paraId="7E29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99" w:type="dxa"/>
            <w:noWrap w:val="0"/>
            <w:vAlign w:val="center"/>
          </w:tcPr>
          <w:p w14:paraId="03CD57B8">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p>
        </w:tc>
        <w:tc>
          <w:tcPr>
            <w:tcW w:w="1959" w:type="dxa"/>
            <w:noWrap w:val="0"/>
            <w:vAlign w:val="center"/>
          </w:tcPr>
          <w:p w14:paraId="15E4E458">
            <w:pPr>
              <w:pageBreakBefore w:val="0"/>
              <w:wordWrap/>
              <w:topLinePunct w:val="0"/>
              <w:bidi w:val="0"/>
              <w:spacing w:line="365"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color="auto"/>
              </w:rPr>
              <w:t>采购内容和要求</w:t>
            </w:r>
          </w:p>
        </w:tc>
        <w:tc>
          <w:tcPr>
            <w:tcW w:w="6406" w:type="dxa"/>
            <w:noWrap w:val="0"/>
            <w:vAlign w:val="center"/>
          </w:tcPr>
          <w:p w14:paraId="3629063E">
            <w:pPr>
              <w:pStyle w:val="22"/>
              <w:keepNext w:val="0"/>
              <w:keepLines w:val="0"/>
              <w:pageBreakBefore w:val="0"/>
              <w:widowControl/>
              <w:suppressLineNumbers w:val="0"/>
              <w:wordWrap/>
              <w:topLinePunct w:val="0"/>
              <w:bidi w:val="0"/>
              <w:spacing w:line="365" w:lineRule="auto"/>
              <w:textAlignment w:val="auto"/>
              <w:rPr>
                <w:rFonts w:hint="eastAsia" w:ascii="宋体" w:hAnsi="宋体" w:eastAsia="宋体" w:cs="宋体"/>
                <w:color w:val="auto"/>
                <w:sz w:val="24"/>
                <w:szCs w:val="24"/>
                <w:highlight w:val="none"/>
                <w:lang w:val="en-US"/>
              </w:rPr>
            </w:pPr>
            <w:r>
              <w:rPr>
                <w:rFonts w:hint="eastAsia" w:cs="宋体"/>
                <w:color w:val="auto"/>
                <w:sz w:val="24"/>
                <w:szCs w:val="24"/>
                <w:highlight w:val="none"/>
                <w:lang w:val="en-US" w:eastAsia="zh-CN"/>
              </w:rPr>
              <w:t>建设内容为：根据项目区自然地理状况和用水需求等情况，工程设计居民用水标准按80L/(人.d)计取，设计基准年为2024年，设计年限为10年，不考虑人口自然增长率，设计供水规模为78.61m³/d。基本同意以下建设项目内容:1、新打180m深井一眼。2、新建50m³圆形蓄水池一座。3、新建泉室、机井房一座。4、埋设官网913m，配套砖砌闸阀井一座。5、安装次氯酸钠发生器消毒设备一套</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具体以工程量清单及施工图为准。</w:t>
            </w:r>
          </w:p>
        </w:tc>
      </w:tr>
      <w:tr w14:paraId="7ED4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35FC4BBF">
            <w:pPr>
              <w:numPr>
                <w:ilvl w:val="0"/>
                <w:numId w:val="0"/>
              </w:numPr>
              <w:ind w:leftChars="0" w:firstLine="240" w:firstLineChars="10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1959" w:type="dxa"/>
            <w:noWrap w:val="0"/>
            <w:vAlign w:val="center"/>
          </w:tcPr>
          <w:p w14:paraId="157D2290">
            <w:pPr>
              <w:spacing w:line="48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6406" w:type="dxa"/>
            <w:noWrap w:val="0"/>
            <w:vAlign w:val="top"/>
          </w:tcPr>
          <w:p w14:paraId="33CDA6F7">
            <w:pPr>
              <w:spacing w:line="4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响应</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"http://baike.baidu.com/view/8707.htm" \t "_blank"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磋商</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并且符合竞争性磋商文件规定资格条件和参加磋商竞争的法人。</w:t>
            </w:r>
          </w:p>
        </w:tc>
      </w:tr>
      <w:tr w14:paraId="3EEB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6280F04B">
            <w:pPr>
              <w:numPr>
                <w:ilvl w:val="0"/>
                <w:numId w:val="0"/>
              </w:numPr>
              <w:ind w:leftChars="0" w:firstLine="240" w:firstLineChars="10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w:t>
            </w:r>
          </w:p>
        </w:tc>
        <w:tc>
          <w:tcPr>
            <w:tcW w:w="1959" w:type="dxa"/>
            <w:noWrap w:val="0"/>
            <w:vAlign w:val="center"/>
          </w:tcPr>
          <w:p w14:paraId="6021E9E5">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供应商资格要求</w:t>
            </w:r>
          </w:p>
        </w:tc>
        <w:tc>
          <w:tcPr>
            <w:tcW w:w="6406" w:type="dxa"/>
            <w:noWrap w:val="0"/>
            <w:vAlign w:val="top"/>
          </w:tcPr>
          <w:p w14:paraId="3B7E0BD2">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1.满足《中华人民共和国政府采购法》第二十二条规定;</w:t>
            </w:r>
          </w:p>
          <w:p w14:paraId="35E27AE5">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2.落实政府采购政策需满足的资格要求：</w:t>
            </w:r>
          </w:p>
          <w:p w14:paraId="4E8BCBD3">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合同包1(</w:t>
            </w:r>
            <w:r>
              <w:rPr>
                <w:rFonts w:hint="eastAsia" w:cs="宋体"/>
                <w:i w:val="0"/>
                <w:iCs w:val="0"/>
                <w:caps w:val="0"/>
                <w:color w:val="auto"/>
                <w:spacing w:val="0"/>
                <w:sz w:val="24"/>
                <w:szCs w:val="24"/>
                <w:highlight w:val="none"/>
                <w:shd w:val="clear" w:fill="FFFFFF"/>
                <w:lang w:eastAsia="zh-CN"/>
              </w:rPr>
              <w:t>2025年神农镇太平庄村供水抗旱应急水源项目</w:t>
            </w:r>
            <w:r>
              <w:rPr>
                <w:rFonts w:hint="eastAsia" w:ascii="宋体" w:hAnsi="宋体" w:eastAsia="宋体" w:cs="宋体"/>
                <w:i w:val="0"/>
                <w:iCs w:val="0"/>
                <w:caps w:val="0"/>
                <w:color w:val="auto"/>
                <w:spacing w:val="0"/>
                <w:sz w:val="24"/>
                <w:szCs w:val="24"/>
                <w:highlight w:val="none"/>
                <w:shd w:val="clear" w:fill="FFFFFF"/>
              </w:rPr>
              <w:t>)落实政府采购政策需满足的资格要求如下:</w:t>
            </w:r>
          </w:p>
          <w:p w14:paraId="45319342">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b/>
                <w:bCs/>
                <w:i w:val="0"/>
                <w:iCs w:val="0"/>
                <w:caps w:val="0"/>
                <w:color w:val="auto"/>
                <w:spacing w:val="0"/>
                <w:sz w:val="24"/>
                <w:szCs w:val="24"/>
                <w:highlight w:val="none"/>
                <w:shd w:val="clear" w:fill="FFFFFF"/>
              </w:rPr>
            </w:pPr>
            <w:r>
              <w:rPr>
                <w:rFonts w:hint="eastAsia" w:ascii="宋体" w:hAnsi="宋体" w:eastAsia="宋体" w:cs="宋体"/>
                <w:b/>
                <w:bCs/>
                <w:i w:val="0"/>
                <w:iCs w:val="0"/>
                <w:caps w:val="0"/>
                <w:color w:val="auto"/>
                <w:spacing w:val="0"/>
                <w:sz w:val="24"/>
                <w:szCs w:val="24"/>
                <w:highlight w:val="none"/>
                <w:shd w:val="clear" w:fill="FFFFFF"/>
              </w:rPr>
              <w:t>本项目专门面向中小企业采购。（残疾人福利性单位、监狱企业视同小型、微型企业）；须符合《政府采购促进中小企业发展管理办法》（财库〔2020〕46号）规定的中小企业参加。本项目采购标的所属行业为：</w:t>
            </w:r>
            <w:r>
              <w:rPr>
                <w:rFonts w:hint="eastAsia" w:ascii="宋体" w:hAnsi="宋体" w:eastAsia="宋体" w:cs="宋体"/>
                <w:b/>
                <w:bCs/>
                <w:i w:val="0"/>
                <w:iCs w:val="0"/>
                <w:caps w:val="0"/>
                <w:color w:val="auto"/>
                <w:spacing w:val="0"/>
                <w:sz w:val="24"/>
                <w:szCs w:val="24"/>
                <w:highlight w:val="none"/>
                <w:shd w:val="clear" w:fill="FFFFFF"/>
                <w:lang w:eastAsia="zh-CN"/>
              </w:rPr>
              <w:t>建筑业</w:t>
            </w:r>
            <w:r>
              <w:rPr>
                <w:rFonts w:hint="eastAsia" w:ascii="宋体" w:hAnsi="宋体" w:eastAsia="宋体" w:cs="宋体"/>
                <w:b/>
                <w:bCs/>
                <w:i w:val="0"/>
                <w:iCs w:val="0"/>
                <w:caps w:val="0"/>
                <w:color w:val="auto"/>
                <w:spacing w:val="0"/>
                <w:sz w:val="24"/>
                <w:szCs w:val="24"/>
                <w:highlight w:val="none"/>
                <w:shd w:val="clear" w:fill="FFFFFF"/>
              </w:rPr>
              <w:t>。</w:t>
            </w:r>
          </w:p>
          <w:p w14:paraId="48AE3EDB">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right="0"/>
              <w:jc w:val="both"/>
              <w:textAlignment w:val="baseline"/>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3.本项目的特定资格要求：</w:t>
            </w:r>
          </w:p>
          <w:p w14:paraId="00B79B3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right="0"/>
              <w:jc w:val="both"/>
              <w:textAlignment w:val="baseline"/>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合同包1(</w:t>
            </w:r>
            <w:r>
              <w:rPr>
                <w:rFonts w:hint="eastAsia" w:cs="宋体"/>
                <w:i w:val="0"/>
                <w:iCs w:val="0"/>
                <w:caps w:val="0"/>
                <w:color w:val="auto"/>
                <w:spacing w:val="0"/>
                <w:sz w:val="24"/>
                <w:szCs w:val="24"/>
                <w:highlight w:val="none"/>
                <w:shd w:val="clear" w:fill="FFFFFF"/>
                <w:lang w:eastAsia="zh-CN"/>
              </w:rPr>
              <w:t>2025年神农镇太平庄村供水抗旱应急水源项目</w:t>
            </w:r>
            <w:r>
              <w:rPr>
                <w:rFonts w:hint="eastAsia" w:ascii="宋体" w:hAnsi="宋体" w:eastAsia="宋体" w:cs="宋体"/>
                <w:i w:val="0"/>
                <w:iCs w:val="0"/>
                <w:caps w:val="0"/>
                <w:color w:val="auto"/>
                <w:spacing w:val="0"/>
                <w:sz w:val="24"/>
                <w:szCs w:val="24"/>
                <w:highlight w:val="none"/>
                <w:shd w:val="clear" w:fill="FFFFFF"/>
              </w:rPr>
              <w:t>)特定资格要求如下:</w:t>
            </w:r>
          </w:p>
          <w:p w14:paraId="67B4F23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right="0"/>
              <w:jc w:val="left"/>
              <w:textAlignment w:val="baseline"/>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（1）供应商须为合法注册的法人、其他组织或者自然人，并具有独立承担民事责任的能力；提供统一社会信用代码的营业执照（或事业法人证、自然人身份证）等证明文件；</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（2）法定代表人参加采购活动须出示本人身份证（原件及复印件），被授权代表参加采购活动须出示本人身份证原件和法定代表人授权书；</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（3）</w:t>
            </w:r>
            <w:r>
              <w:rPr>
                <w:rFonts w:hint="default" w:cs="宋体"/>
                <w:i w:val="0"/>
                <w:iCs w:val="0"/>
                <w:caps w:val="0"/>
                <w:color w:val="auto"/>
                <w:spacing w:val="0"/>
                <w:sz w:val="24"/>
                <w:szCs w:val="24"/>
                <w:highlight w:val="none"/>
                <w:shd w:val="clear" w:fill="FFFFFF"/>
              </w:rPr>
              <w:t>供应商应具备水利水电工程施工总承包三级及以上资质和有效的安全生产许可证；拟派本工程项目经理须具有水利水电工程专业二级及以上建造师资格证、注册证及有效的安全生产考核合格证，并无在建项目（以无在建承诺书为准）</w:t>
            </w: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4）财务状况报告：提供具有财务审计资质单位出具的2024年度财务审计报告，（成立时间至提交投标文件截止时间不足一年的可提供成立后任意时段的资产负债表），或开标时间前六个月内银行出具的资信证明；</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（5）社会保障资金缴纳证明：</w:t>
            </w:r>
            <w:r>
              <w:rPr>
                <w:rFonts w:hint="default" w:cs="宋体"/>
                <w:i w:val="0"/>
                <w:iCs w:val="0"/>
                <w:caps w:val="0"/>
                <w:color w:val="auto"/>
                <w:spacing w:val="0"/>
                <w:sz w:val="24"/>
                <w:szCs w:val="24"/>
                <w:highlight w:val="none"/>
                <w:shd w:val="clear" w:fill="FFFFFF"/>
              </w:rPr>
              <w:t>提供截止至采购时间前任意六个月的社保缴费凭据或社保机构开具的社会保险参保缴费情况证明（依法不需要缴纳社会保障资金的供应商应提供相关证明）</w:t>
            </w: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（6）完税证明：</w:t>
            </w:r>
            <w:r>
              <w:rPr>
                <w:rFonts w:hint="default" w:cs="宋体"/>
                <w:i w:val="0"/>
                <w:iCs w:val="0"/>
                <w:caps w:val="0"/>
                <w:color w:val="auto"/>
                <w:spacing w:val="0"/>
                <w:sz w:val="24"/>
                <w:szCs w:val="24"/>
                <w:highlight w:val="none"/>
                <w:shd w:val="clear" w:fill="FFFFFF"/>
              </w:rPr>
              <w:t>提供截止至采购时间前任意六个月的纳税证明或完税证明，依法免税的单位应提供相关证明材料</w:t>
            </w: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（7）参加政府采购活动前3年内在经营活动中没有重大违法记录的书面声明；</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（8）提供具有履行本合同所必需的设备和专业技术能力的说明及承诺；</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（9）单位负责人为同一人或者存在直接控股、管理关系的不同供应商，不得参加同一合同项下的政府采购活动；（提供书面承诺函）；</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10）供应商不得为“信用中国(www.creditchina.gov.cn)”中列入失信被执行人和重大税收违法失信主体及“中国裁判文书网”（http://wenshu.court.gov.cn/）有行贿犯罪记录。（查询主体供应商、法定代表人、项目负责人）；不得为“中国政府采购网(www.ccgp.gov.cn)”政府采购严重违法失信行为记录名单中被财政部门禁止参加政府采购活动的供应商；</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（11）本项目不接受联合体投标；</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ascii="宋体" w:hAnsi="宋体" w:eastAsia="宋体" w:cs="宋体"/>
                <w:i w:val="0"/>
                <w:iCs w:val="0"/>
                <w:caps w:val="0"/>
                <w:color w:val="auto"/>
                <w:spacing w:val="0"/>
                <w:sz w:val="24"/>
                <w:szCs w:val="24"/>
                <w:highlight w:val="none"/>
                <w:shd w:val="clear" w:fill="FFFFFF"/>
              </w:rPr>
              <w:t>（12）本项目为专门面向中小企业，须提供中小企业声明函；</w:t>
            </w:r>
          </w:p>
        </w:tc>
      </w:tr>
      <w:tr w14:paraId="27E9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2F0B90F1">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1959" w:type="dxa"/>
            <w:shd w:val="clear" w:color="auto" w:fill="auto"/>
            <w:noWrap w:val="0"/>
            <w:vAlign w:val="center"/>
          </w:tcPr>
          <w:p w14:paraId="2C0AD1AA">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工期</w:t>
            </w:r>
            <w:r>
              <w:rPr>
                <w:rFonts w:hint="eastAsia" w:ascii="宋体" w:hAnsi="宋体" w:eastAsia="宋体" w:cs="宋体"/>
                <w:color w:val="auto"/>
                <w:sz w:val="24"/>
                <w:highlight w:val="none"/>
              </w:rPr>
              <w:t>、地点</w:t>
            </w:r>
          </w:p>
        </w:tc>
        <w:tc>
          <w:tcPr>
            <w:tcW w:w="6406" w:type="dxa"/>
            <w:shd w:val="clear" w:color="auto" w:fill="auto"/>
            <w:noWrap w:val="0"/>
            <w:vAlign w:val="top"/>
          </w:tcPr>
          <w:p w14:paraId="73C4CADF">
            <w:pPr>
              <w:pStyle w:val="59"/>
              <w:shd w:val="clear"/>
              <w:spacing w:line="460" w:lineRule="exact"/>
              <w:ind w:left="240" w:hanging="240" w:hangingChars="100"/>
              <w:rPr>
                <w:rFonts w:hint="default" w:ascii="宋体" w:hAnsi="宋体" w:eastAsia="宋体" w:cs="宋体"/>
                <w:i w:val="0"/>
                <w:iCs w:val="0"/>
                <w:caps w:val="0"/>
                <w:color w:val="auto"/>
                <w:spacing w:val="0"/>
                <w:kern w:val="0"/>
                <w:sz w:val="24"/>
                <w:szCs w:val="24"/>
                <w:highlight w:val="none"/>
                <w:shd w:val="clear" w:fill="FFFFFF"/>
                <w:lang w:val="en-US" w:eastAsia="zh-CN" w:bidi="ar-SA"/>
              </w:rPr>
            </w:pPr>
            <w:r>
              <w:rPr>
                <w:rFonts w:hint="eastAsia" w:ascii="宋体" w:hAnsi="宋体" w:eastAsia="宋体" w:cs="宋体"/>
                <w:i w:val="0"/>
                <w:iCs w:val="0"/>
                <w:caps w:val="0"/>
                <w:color w:val="auto"/>
                <w:spacing w:val="0"/>
                <w:kern w:val="0"/>
                <w:sz w:val="24"/>
                <w:szCs w:val="24"/>
                <w:highlight w:val="none"/>
                <w:shd w:val="clear" w:fill="FFFFFF"/>
                <w:lang w:val="en-US" w:eastAsia="zh-CN" w:bidi="ar-SA"/>
              </w:rPr>
              <w:t>工期：</w:t>
            </w:r>
            <w:r>
              <w:rPr>
                <w:rFonts w:hint="eastAsia" w:ascii="宋体" w:hAnsi="宋体" w:cs="宋体"/>
                <w:i w:val="0"/>
                <w:iCs w:val="0"/>
                <w:caps w:val="0"/>
                <w:color w:val="auto"/>
                <w:spacing w:val="0"/>
                <w:kern w:val="0"/>
                <w:sz w:val="24"/>
                <w:szCs w:val="24"/>
                <w:highlight w:val="none"/>
                <w:shd w:val="clear" w:fill="FFFFFF"/>
                <w:lang w:val="en-US" w:eastAsia="zh-CN" w:bidi="ar-SA"/>
              </w:rPr>
              <w:t>90日历天 </w:t>
            </w:r>
          </w:p>
          <w:p w14:paraId="462914B3">
            <w:pPr>
              <w:pStyle w:val="59"/>
              <w:spacing w:line="460" w:lineRule="exact"/>
              <w:ind w:left="240" w:hanging="240" w:hangingChars="100"/>
              <w:rPr>
                <w:rFonts w:hint="eastAsia" w:ascii="宋体" w:hAnsi="宋体" w:eastAsia="宋体" w:cs="宋体"/>
                <w:color w:val="auto"/>
                <w:sz w:val="24"/>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SA"/>
              </w:rPr>
              <w:t>地点</w:t>
            </w:r>
            <w:r>
              <w:rPr>
                <w:rFonts w:hint="eastAsia" w:ascii="宋体" w:hAnsi="宋体" w:eastAsia="宋体" w:cs="宋体"/>
                <w:i w:val="0"/>
                <w:iCs w:val="0"/>
                <w:caps w:val="0"/>
                <w:color w:val="auto"/>
                <w:spacing w:val="0"/>
                <w:kern w:val="0"/>
                <w:sz w:val="24"/>
                <w:szCs w:val="24"/>
                <w:highlight w:val="none"/>
                <w:shd w:val="clear" w:fill="FFFFFF"/>
                <w:lang w:val="zh-CN" w:eastAsia="zh-CN" w:bidi="ar-SA"/>
              </w:rPr>
              <w:t>：采购人指定地点</w:t>
            </w:r>
          </w:p>
        </w:tc>
      </w:tr>
      <w:tr w14:paraId="1B82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14:paraId="71CD8E8A">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w:t>
            </w:r>
          </w:p>
        </w:tc>
        <w:tc>
          <w:tcPr>
            <w:tcW w:w="1959" w:type="dxa"/>
            <w:noWrap w:val="0"/>
            <w:vAlign w:val="center"/>
          </w:tcPr>
          <w:p w14:paraId="49641454">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竞争性磋商文件</w:t>
            </w:r>
            <w:r>
              <w:rPr>
                <w:rFonts w:hint="eastAsia" w:ascii="宋体" w:hAnsi="宋体" w:cs="宋体"/>
                <w:color w:val="auto"/>
                <w:sz w:val="24"/>
                <w:highlight w:val="none"/>
                <w:lang w:eastAsia="zh-CN"/>
              </w:rPr>
              <w:t>获取</w:t>
            </w:r>
          </w:p>
        </w:tc>
        <w:tc>
          <w:tcPr>
            <w:tcW w:w="6406" w:type="dxa"/>
            <w:shd w:val="clear" w:color="auto" w:fill="auto"/>
            <w:noWrap w:val="0"/>
            <w:vAlign w:val="top"/>
          </w:tcPr>
          <w:p w14:paraId="3CF0BF55">
            <w:pPr>
              <w:pStyle w:val="59"/>
              <w:spacing w:line="460" w:lineRule="exact"/>
              <w:jc w:val="left"/>
              <w:rPr>
                <w:rFonts w:hint="eastAsia" w:ascii="宋体" w:hAnsi="宋体" w:eastAsia="宋体" w:cs="宋体"/>
                <w:i w:val="0"/>
                <w:iCs w:val="0"/>
                <w:caps w:val="0"/>
                <w:color w:val="auto"/>
                <w:spacing w:val="0"/>
                <w:kern w:val="0"/>
                <w:sz w:val="24"/>
                <w:szCs w:val="24"/>
                <w:highlight w:val="none"/>
                <w:shd w:val="clear" w:fill="FFFFFF"/>
                <w:lang w:val="en-US" w:eastAsia="zh-CN" w:bidi="ar-SA"/>
              </w:rPr>
            </w:pPr>
            <w:r>
              <w:rPr>
                <w:rFonts w:hint="eastAsia" w:ascii="宋体" w:hAnsi="宋体" w:cs="宋体"/>
                <w:color w:val="auto"/>
                <w:sz w:val="24"/>
                <w:szCs w:val="24"/>
                <w:highlight w:val="none"/>
                <w:lang w:eastAsia="zh-CN"/>
              </w:rPr>
              <w:t>获取</w:t>
            </w:r>
            <w:r>
              <w:rPr>
                <w:rFonts w:hint="eastAsia" w:ascii="宋体" w:hAnsi="宋体" w:eastAsia="宋体" w:cs="宋体"/>
                <w:color w:val="auto"/>
                <w:sz w:val="24"/>
                <w:szCs w:val="24"/>
                <w:highlight w:val="none"/>
              </w:rPr>
              <w:t>时间</w:t>
            </w:r>
            <w:r>
              <w:rPr>
                <w:rFonts w:hint="eastAsia" w:ascii="宋体" w:hAnsi="宋体" w:eastAsia="宋体" w:cs="宋体"/>
                <w:i w:val="0"/>
                <w:iCs w:val="0"/>
                <w:caps w:val="0"/>
                <w:color w:val="auto"/>
                <w:spacing w:val="0"/>
                <w:sz w:val="24"/>
                <w:szCs w:val="24"/>
                <w:highlight w:val="none"/>
                <w:shd w:val="clear" w:fill="FFFFFF"/>
                <w:lang w:val="en-US" w:eastAsia="zh-CN"/>
              </w:rPr>
              <w:t>：2026年01月30日至 2026年02月05日，每天上午00:00:00至12:00:00 ，下午12:00:00至23:59:59（北京时间）。</w:t>
            </w:r>
          </w:p>
          <w:p w14:paraId="10A36F97">
            <w:pPr>
              <w:pStyle w:val="59"/>
              <w:spacing w:line="460" w:lineRule="exact"/>
              <w:rPr>
                <w:rFonts w:hint="eastAsia" w:ascii="宋体" w:hAnsi="宋体" w:eastAsia="宋体" w:cs="宋体"/>
                <w:color w:val="auto"/>
                <w:sz w:val="24"/>
                <w:szCs w:val="24"/>
                <w:highlight w:val="none"/>
                <w:lang w:val="en-US" w:eastAsia="zh-CN"/>
              </w:rPr>
            </w:pPr>
            <w:r>
              <w:rPr>
                <w:rFonts w:hint="eastAsia" w:ascii="宋体" w:hAnsi="宋体" w:cs="宋体"/>
                <w:i w:val="0"/>
                <w:iCs w:val="0"/>
                <w:caps w:val="0"/>
                <w:color w:val="auto"/>
                <w:spacing w:val="0"/>
                <w:kern w:val="0"/>
                <w:sz w:val="24"/>
                <w:szCs w:val="24"/>
                <w:highlight w:val="none"/>
                <w:shd w:val="clear" w:fill="FFFFFF"/>
                <w:lang w:val="en-US" w:eastAsia="zh-CN" w:bidi="ar-SA"/>
              </w:rPr>
              <w:t>获取方式</w:t>
            </w:r>
            <w:r>
              <w:rPr>
                <w:rFonts w:hint="eastAsia" w:ascii="宋体" w:hAnsi="宋体" w:eastAsia="宋体" w:cs="宋体"/>
                <w:i w:val="0"/>
                <w:iCs w:val="0"/>
                <w:caps w:val="0"/>
                <w:color w:val="auto"/>
                <w:spacing w:val="0"/>
                <w:kern w:val="0"/>
                <w:sz w:val="24"/>
                <w:szCs w:val="24"/>
                <w:highlight w:val="none"/>
                <w:shd w:val="clear" w:fill="FFFFFF"/>
                <w:lang w:val="en-US" w:eastAsia="zh-CN" w:bidi="ar-SA"/>
              </w:rPr>
              <w:t>：在线</w:t>
            </w:r>
            <w:r>
              <w:rPr>
                <w:rFonts w:hint="eastAsia" w:ascii="宋体" w:hAnsi="宋体" w:cs="宋体"/>
                <w:i w:val="0"/>
                <w:iCs w:val="0"/>
                <w:caps w:val="0"/>
                <w:color w:val="auto"/>
                <w:spacing w:val="0"/>
                <w:kern w:val="0"/>
                <w:sz w:val="24"/>
                <w:szCs w:val="24"/>
                <w:highlight w:val="none"/>
                <w:shd w:val="clear" w:fill="FFFFFF"/>
                <w:lang w:val="en-US" w:eastAsia="zh-CN" w:bidi="ar-SA"/>
              </w:rPr>
              <w:t>下载</w:t>
            </w:r>
            <w:r>
              <w:rPr>
                <w:rFonts w:hint="eastAsia" w:ascii="宋体" w:hAnsi="宋体" w:eastAsia="宋体" w:cs="宋体"/>
                <w:i w:val="0"/>
                <w:iCs w:val="0"/>
                <w:caps w:val="0"/>
                <w:color w:val="auto"/>
                <w:spacing w:val="0"/>
                <w:kern w:val="0"/>
                <w:sz w:val="24"/>
                <w:szCs w:val="24"/>
                <w:highlight w:val="none"/>
                <w:shd w:val="clear" w:fill="FFFFFF"/>
                <w:lang w:val="en-US" w:eastAsia="zh-CN" w:bidi="ar-SA"/>
              </w:rPr>
              <w:t>。</w:t>
            </w:r>
          </w:p>
        </w:tc>
      </w:tr>
      <w:tr w14:paraId="22E5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99" w:type="dxa"/>
            <w:noWrap w:val="0"/>
            <w:vAlign w:val="center"/>
          </w:tcPr>
          <w:p w14:paraId="2A433E1E">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959" w:type="dxa"/>
            <w:noWrap w:val="0"/>
            <w:vAlign w:val="center"/>
          </w:tcPr>
          <w:p w14:paraId="706D0A2A">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联合体磋商</w:t>
            </w:r>
          </w:p>
        </w:tc>
        <w:tc>
          <w:tcPr>
            <w:tcW w:w="6406" w:type="dxa"/>
            <w:noWrap w:val="0"/>
            <w:vAlign w:val="top"/>
          </w:tcPr>
          <w:p w14:paraId="061FE411">
            <w:pPr>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不接受</w:t>
            </w:r>
          </w:p>
        </w:tc>
      </w:tr>
      <w:tr w14:paraId="4219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99" w:type="dxa"/>
            <w:noWrap w:val="0"/>
            <w:vAlign w:val="center"/>
          </w:tcPr>
          <w:p w14:paraId="3DE164E1">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1959" w:type="dxa"/>
            <w:noWrap w:val="0"/>
            <w:vAlign w:val="center"/>
          </w:tcPr>
          <w:p w14:paraId="732EBB67">
            <w:pPr>
              <w:spacing w:line="4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现场勘查、标前答疑会</w:t>
            </w:r>
          </w:p>
        </w:tc>
        <w:tc>
          <w:tcPr>
            <w:tcW w:w="6406" w:type="dxa"/>
            <w:noWrap w:val="0"/>
            <w:vAlign w:val="center"/>
          </w:tcPr>
          <w:p w14:paraId="3373B8B1">
            <w:pPr>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w:t>
            </w:r>
            <w:r>
              <w:rPr>
                <w:rFonts w:hint="eastAsia" w:ascii="宋体" w:hAnsi="宋体" w:eastAsia="宋体" w:cs="宋体"/>
                <w:color w:val="auto"/>
                <w:sz w:val="24"/>
                <w:highlight w:val="none"/>
                <w:lang w:eastAsia="zh-CN"/>
              </w:rPr>
              <w:t>统一</w:t>
            </w:r>
            <w:r>
              <w:rPr>
                <w:rFonts w:hint="eastAsia" w:ascii="宋体" w:hAnsi="宋体" w:eastAsia="宋体" w:cs="宋体"/>
                <w:color w:val="auto"/>
                <w:sz w:val="24"/>
                <w:highlight w:val="none"/>
              </w:rPr>
              <w:t>组织。供应商认为有必要可自行勘查，并承担所有费用及风险。</w:t>
            </w:r>
          </w:p>
        </w:tc>
      </w:tr>
      <w:tr w14:paraId="49B6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0D1AAF9F">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w:t>
            </w:r>
          </w:p>
        </w:tc>
        <w:tc>
          <w:tcPr>
            <w:tcW w:w="1959" w:type="dxa"/>
            <w:noWrap w:val="0"/>
            <w:vAlign w:val="center"/>
          </w:tcPr>
          <w:p w14:paraId="4E07D5D4">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供应商对竞争性磋商文件提出质疑的时间</w:t>
            </w:r>
          </w:p>
        </w:tc>
        <w:tc>
          <w:tcPr>
            <w:tcW w:w="6406" w:type="dxa"/>
            <w:noWrap w:val="0"/>
            <w:vAlign w:val="top"/>
          </w:tcPr>
          <w:p w14:paraId="037E01D9">
            <w:pPr>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可在</w:t>
            </w:r>
            <w:r>
              <w:rPr>
                <w:rFonts w:hint="eastAsia" w:ascii="宋体" w:hAnsi="宋体" w:cs="宋体"/>
                <w:color w:val="auto"/>
                <w:sz w:val="24"/>
                <w:szCs w:val="24"/>
                <w:highlight w:val="none"/>
                <w:lang w:eastAsia="zh-CN"/>
              </w:rPr>
              <w:t>获</w:t>
            </w:r>
            <w:r>
              <w:rPr>
                <w:rFonts w:hint="eastAsia" w:ascii="宋体" w:hAnsi="宋体" w:eastAsia="宋体" w:cs="宋体"/>
                <w:color w:val="auto"/>
                <w:sz w:val="24"/>
                <w:szCs w:val="24"/>
                <w:highlight w:val="none"/>
                <w:lang w:eastAsia="zh-CN"/>
              </w:rPr>
              <w:t>取磋商文件之日起或</w:t>
            </w: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公告期限届满之日起七个工作日内，以书面形式向采购代理机构一次性提出，</w:t>
            </w:r>
            <w:r>
              <w:rPr>
                <w:rFonts w:hint="eastAsia" w:ascii="宋体" w:hAnsi="宋体" w:eastAsia="宋体" w:cs="宋体"/>
                <w:color w:val="auto"/>
                <w:sz w:val="24"/>
                <w:highlight w:val="none"/>
              </w:rPr>
              <w:t>在此之后提出的质疑无效</w:t>
            </w:r>
            <w:r>
              <w:rPr>
                <w:rFonts w:hint="eastAsia" w:ascii="宋体" w:hAnsi="宋体" w:eastAsia="宋体" w:cs="宋体"/>
                <w:color w:val="auto"/>
                <w:sz w:val="24"/>
                <w:szCs w:val="24"/>
                <w:highlight w:val="none"/>
              </w:rPr>
              <w:t>。</w:t>
            </w:r>
          </w:p>
        </w:tc>
      </w:tr>
      <w:tr w14:paraId="5E5C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114C5132">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w:t>
            </w:r>
          </w:p>
        </w:tc>
        <w:tc>
          <w:tcPr>
            <w:tcW w:w="1959" w:type="dxa"/>
            <w:noWrap w:val="0"/>
            <w:vAlign w:val="center"/>
          </w:tcPr>
          <w:p w14:paraId="46840C5C">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构成竞争性磋商文件的其他文件</w:t>
            </w:r>
          </w:p>
        </w:tc>
        <w:tc>
          <w:tcPr>
            <w:tcW w:w="6406" w:type="dxa"/>
            <w:noWrap w:val="0"/>
            <w:vAlign w:val="top"/>
          </w:tcPr>
          <w:p w14:paraId="374C6E29">
            <w:pPr>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竞争性磋商文件的澄清、修改及有关补充通知</w:t>
            </w:r>
            <w:r>
              <w:rPr>
                <w:rFonts w:hint="eastAsia" w:ascii="宋体" w:hAnsi="宋体" w:eastAsia="宋体" w:cs="宋体"/>
                <w:color w:val="auto"/>
                <w:sz w:val="24"/>
                <w:highlight w:val="none"/>
                <w:lang w:eastAsia="zh-CN"/>
              </w:rPr>
              <w:t>均</w:t>
            </w:r>
            <w:r>
              <w:rPr>
                <w:rFonts w:hint="eastAsia" w:ascii="宋体" w:hAnsi="宋体" w:eastAsia="宋体" w:cs="宋体"/>
                <w:color w:val="auto"/>
                <w:sz w:val="24"/>
                <w:highlight w:val="none"/>
              </w:rPr>
              <w:t>为竞争性磋商文件的有效组成部分。</w:t>
            </w:r>
          </w:p>
        </w:tc>
      </w:tr>
      <w:tr w14:paraId="6B55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1B6F11DC">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w:t>
            </w:r>
          </w:p>
        </w:tc>
        <w:tc>
          <w:tcPr>
            <w:tcW w:w="1959" w:type="dxa"/>
            <w:noWrap w:val="0"/>
            <w:vAlign w:val="center"/>
          </w:tcPr>
          <w:p w14:paraId="69547E7F">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磋商响应文件提交截止时间及磋商时间和地点</w:t>
            </w:r>
          </w:p>
        </w:tc>
        <w:tc>
          <w:tcPr>
            <w:tcW w:w="6406" w:type="dxa"/>
            <w:noWrap w:val="0"/>
            <w:vAlign w:val="top"/>
          </w:tcPr>
          <w:p w14:paraId="4F3EF09F">
            <w:pPr>
              <w:spacing w:line="360" w:lineRule="auto"/>
              <w:jc w:val="left"/>
              <w:rPr>
                <w:rFonts w:hint="eastAsia" w:ascii="宋体" w:hAnsi="宋体" w:eastAsia="宋体" w:cs="宋体"/>
                <w:b/>
                <w:bCs/>
                <w:color w:val="auto"/>
                <w:sz w:val="24"/>
                <w:highlight w:val="none"/>
                <w:lang w:val="en-US" w:eastAsia="zh-CN"/>
              </w:rPr>
            </w:pPr>
            <w:r>
              <w:rPr>
                <w:rFonts w:hint="eastAsia" w:ascii="宋体" w:hAnsi="宋体" w:eastAsia="宋体" w:cs="宋体"/>
                <w:b w:val="0"/>
                <w:bCs w:val="0"/>
                <w:color w:val="auto"/>
                <w:sz w:val="24"/>
                <w:szCs w:val="24"/>
                <w:highlight w:val="none"/>
                <w:lang w:val="en-US" w:eastAsia="zh-CN"/>
              </w:rPr>
              <w:t>1、磋商响应文</w:t>
            </w:r>
            <w:r>
              <w:rPr>
                <w:rFonts w:hint="eastAsia" w:ascii="宋体" w:hAnsi="宋体" w:eastAsia="宋体" w:cs="宋体"/>
                <w:b w:val="0"/>
                <w:bCs w:val="0"/>
                <w:color w:val="auto"/>
                <w:sz w:val="24"/>
                <w:highlight w:val="none"/>
                <w:lang w:val="en-US" w:eastAsia="zh-CN"/>
              </w:rPr>
              <w:t>件提交截止时间：</w:t>
            </w:r>
            <w:r>
              <w:rPr>
                <w:rFonts w:hint="eastAsia" w:ascii="宋体" w:hAnsi="宋体" w:cs="宋体"/>
                <w:b w:val="0"/>
                <w:bCs w:val="0"/>
                <w:color w:val="auto"/>
                <w:sz w:val="24"/>
                <w:highlight w:val="none"/>
                <w:lang w:val="en-US" w:eastAsia="zh-CN"/>
              </w:rPr>
              <w:t>2026年02月12日 09时00分</w:t>
            </w:r>
            <w:r>
              <w:rPr>
                <w:rFonts w:hint="eastAsia" w:ascii="宋体" w:hAnsi="宋体" w:eastAsia="宋体" w:cs="宋体"/>
                <w:b w:val="0"/>
                <w:bCs w:val="0"/>
                <w:color w:val="auto"/>
                <w:sz w:val="24"/>
                <w:highlight w:val="none"/>
                <w:lang w:val="en-US" w:eastAsia="zh-CN"/>
              </w:rPr>
              <w:t>00秒 （北京时间）</w:t>
            </w:r>
          </w:p>
          <w:p w14:paraId="30001DC5">
            <w:pPr>
              <w:spacing w:line="360" w:lineRule="auto"/>
              <w:jc w:val="left"/>
              <w:rPr>
                <w:rFonts w:hint="eastAsia" w:ascii="宋体" w:hAnsi="宋体" w:eastAsia="宋体" w:cs="宋体"/>
                <w:b/>
                <w:bCs/>
                <w:color w:val="auto"/>
                <w:sz w:val="24"/>
                <w:highlight w:val="none"/>
                <w:lang w:val="en-US" w:eastAsia="zh-CN"/>
              </w:rPr>
            </w:pPr>
            <w:r>
              <w:rPr>
                <w:rFonts w:hint="eastAsia" w:ascii="宋体" w:hAnsi="宋体" w:eastAsia="宋体" w:cs="宋体"/>
                <w:b w:val="0"/>
                <w:bCs w:val="0"/>
                <w:color w:val="auto"/>
                <w:sz w:val="24"/>
                <w:highlight w:val="none"/>
                <w:lang w:val="en-US" w:eastAsia="zh-CN"/>
              </w:rPr>
              <w:t>2、磋商时间：</w:t>
            </w:r>
            <w:r>
              <w:rPr>
                <w:rFonts w:hint="eastAsia" w:ascii="宋体" w:hAnsi="宋体" w:cs="宋体"/>
                <w:b w:val="0"/>
                <w:bCs w:val="0"/>
                <w:color w:val="auto"/>
                <w:sz w:val="24"/>
                <w:highlight w:val="none"/>
                <w:lang w:val="en-US" w:eastAsia="zh-CN"/>
              </w:rPr>
              <w:t>2026年02月12日 09时00分</w:t>
            </w:r>
            <w:r>
              <w:rPr>
                <w:rFonts w:hint="eastAsia" w:ascii="宋体" w:hAnsi="宋体" w:eastAsia="宋体" w:cs="宋体"/>
                <w:b w:val="0"/>
                <w:bCs w:val="0"/>
                <w:color w:val="auto"/>
                <w:sz w:val="24"/>
                <w:highlight w:val="none"/>
                <w:lang w:val="en-US" w:eastAsia="zh-CN"/>
              </w:rPr>
              <w:t>00秒 （北京时间）</w:t>
            </w:r>
          </w:p>
          <w:p w14:paraId="5B29B4CE">
            <w:pPr>
              <w:pStyle w:val="22"/>
              <w:spacing w:before="0" w:beforeAutospacing="0" w:after="0" w:afterAutospacing="0" w:line="360" w:lineRule="auto"/>
              <w:jc w:val="both"/>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kern w:val="2"/>
                <w:sz w:val="24"/>
                <w:szCs w:val="20"/>
                <w:highlight w:val="none"/>
                <w:lang w:val="en-US" w:eastAsia="zh-CN" w:bidi="ar-SA"/>
              </w:rPr>
              <w:t>磋商响应文件提交：全国公共资源交易平台（陕西省·宝鸡市）宝鸡市公共资源交易中心（http://ggzy.baoji.gov.cn/）线上提交</w:t>
            </w:r>
          </w:p>
          <w:p w14:paraId="6FC40BC5">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0"/>
                <w:highlight w:val="none"/>
                <w:lang w:val="en-US" w:eastAsia="zh-CN" w:bidi="ar-SA"/>
              </w:rPr>
              <w:t>4、磋商地点：全国公共资源交易平台(陕西省·宝鸡市)宝鸡市公共资源交易中心-不见面开标</w:t>
            </w:r>
          </w:p>
        </w:tc>
      </w:tr>
      <w:tr w14:paraId="52CE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24C4DE6F">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19</w:t>
            </w:r>
          </w:p>
        </w:tc>
        <w:tc>
          <w:tcPr>
            <w:tcW w:w="1959" w:type="dxa"/>
            <w:noWrap w:val="0"/>
            <w:vAlign w:val="center"/>
          </w:tcPr>
          <w:p w14:paraId="4B947A63">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磋商响应有效期</w:t>
            </w:r>
          </w:p>
        </w:tc>
        <w:tc>
          <w:tcPr>
            <w:tcW w:w="6406" w:type="dxa"/>
            <w:noWrap w:val="0"/>
            <w:vAlign w:val="top"/>
          </w:tcPr>
          <w:p w14:paraId="28F0F22E">
            <w:pPr>
              <w:spacing w:line="460" w:lineRule="exact"/>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rPr>
              <w:t>自磋商之日起</w:t>
            </w:r>
            <w:r>
              <w:rPr>
                <w:rFonts w:hint="eastAsia" w:ascii="宋体" w:hAnsi="宋体" w:eastAsia="宋体" w:cs="宋体"/>
                <w:color w:val="auto"/>
                <w:spacing w:val="-4"/>
                <w:sz w:val="24"/>
                <w:highlight w:val="none"/>
                <w:lang w:val="en-US" w:eastAsia="zh-CN"/>
              </w:rPr>
              <w:t>计</w:t>
            </w:r>
            <w:r>
              <w:rPr>
                <w:rFonts w:hint="eastAsia" w:ascii="宋体" w:hAnsi="宋体" w:eastAsia="宋体" w:cs="宋体"/>
                <w:color w:val="auto"/>
                <w:spacing w:val="-4"/>
                <w:sz w:val="24"/>
                <w:highlight w:val="none"/>
              </w:rPr>
              <w:t>算90日历日。</w:t>
            </w:r>
          </w:p>
        </w:tc>
      </w:tr>
      <w:tr w14:paraId="0FB1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6214EDD3">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1959" w:type="dxa"/>
            <w:noWrap w:val="0"/>
            <w:vAlign w:val="center"/>
          </w:tcPr>
          <w:p w14:paraId="04D5AE67">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磋商担保</w:t>
            </w:r>
          </w:p>
        </w:tc>
        <w:tc>
          <w:tcPr>
            <w:tcW w:w="6406" w:type="dxa"/>
            <w:noWrap w:val="0"/>
            <w:vAlign w:val="top"/>
          </w:tcPr>
          <w:p w14:paraId="33E09555">
            <w:pPr>
              <w:spacing w:line="460" w:lineRule="exact"/>
              <w:rPr>
                <w:rFonts w:hint="eastAsia" w:ascii="宋体" w:hAnsi="宋体" w:eastAsia="宋体" w:cs="宋体"/>
                <w:color w:val="auto"/>
                <w:spacing w:val="-4"/>
                <w:sz w:val="24"/>
                <w:szCs w:val="24"/>
                <w:highlight w:val="none"/>
                <w:lang w:val="en-US" w:eastAsia="zh-CN"/>
              </w:rPr>
            </w:pPr>
            <w:r>
              <w:rPr>
                <w:rFonts w:hint="eastAsia" w:ascii="宋体" w:hAnsi="宋体" w:eastAsia="宋体" w:cs="宋体"/>
                <w:b/>
                <w:bCs/>
                <w:color w:val="auto"/>
                <w:spacing w:val="-4"/>
                <w:sz w:val="24"/>
                <w:szCs w:val="24"/>
                <w:highlight w:val="none"/>
                <w:lang w:val="en-US" w:eastAsia="zh-CN"/>
              </w:rPr>
              <w:t>磋商</w:t>
            </w:r>
            <w:r>
              <w:rPr>
                <w:rFonts w:hint="eastAsia" w:ascii="宋体" w:hAnsi="宋体" w:eastAsia="宋体" w:cs="宋体"/>
                <w:b/>
                <w:bCs/>
                <w:color w:val="auto"/>
                <w:spacing w:val="-4"/>
                <w:sz w:val="24"/>
                <w:szCs w:val="24"/>
                <w:highlight w:val="none"/>
                <w:lang w:eastAsia="zh-CN"/>
              </w:rPr>
              <w:t>保证金金额：</w:t>
            </w:r>
            <w:r>
              <w:rPr>
                <w:rFonts w:hint="eastAsia" w:ascii="宋体" w:hAnsi="宋体" w:eastAsia="宋体" w:cs="宋体"/>
                <w:color w:val="auto"/>
                <w:spacing w:val="-4"/>
                <w:sz w:val="24"/>
                <w:szCs w:val="24"/>
                <w:highlight w:val="none"/>
                <w:lang w:val="en-US" w:eastAsia="zh-CN"/>
              </w:rPr>
              <w:tab/>
            </w:r>
          </w:p>
          <w:p w14:paraId="0970F844">
            <w:pPr>
              <w:spacing w:line="460" w:lineRule="exact"/>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磋商保证金：人民币</w:t>
            </w:r>
            <w:r>
              <w:rPr>
                <w:rFonts w:hint="eastAsia" w:ascii="宋体" w:hAnsi="宋体" w:cs="宋体"/>
                <w:color w:val="auto"/>
                <w:spacing w:val="-4"/>
                <w:sz w:val="24"/>
                <w:szCs w:val="24"/>
                <w:highlight w:val="none"/>
                <w:lang w:val="en-US" w:eastAsia="zh-CN"/>
              </w:rPr>
              <w:t>壹万元整</w:t>
            </w:r>
            <w:r>
              <w:rPr>
                <w:rFonts w:hint="eastAsia" w:ascii="宋体" w:hAnsi="宋体" w:eastAsia="宋体" w:cs="宋体"/>
                <w:color w:val="auto"/>
                <w:spacing w:val="-4"/>
                <w:sz w:val="24"/>
                <w:szCs w:val="24"/>
                <w:highlight w:val="none"/>
                <w:lang w:val="en-US" w:eastAsia="zh-CN"/>
              </w:rPr>
              <w:t>（</w:t>
            </w:r>
            <w:r>
              <w:rPr>
                <w:rFonts w:hint="eastAsia" w:ascii="宋体" w:hAnsi="宋体" w:cs="宋体"/>
                <w:color w:val="auto"/>
                <w:spacing w:val="-4"/>
                <w:sz w:val="24"/>
                <w:szCs w:val="24"/>
                <w:highlight w:val="none"/>
                <w:lang w:val="en-US" w:eastAsia="zh-CN"/>
              </w:rPr>
              <w:t>10000</w:t>
            </w:r>
            <w:r>
              <w:rPr>
                <w:rFonts w:hint="eastAsia" w:ascii="宋体" w:hAnsi="宋体" w:eastAsia="宋体" w:cs="宋体"/>
                <w:color w:val="auto"/>
                <w:spacing w:val="-4"/>
                <w:sz w:val="24"/>
                <w:szCs w:val="24"/>
                <w:highlight w:val="none"/>
                <w:lang w:val="en-US" w:eastAsia="zh-CN"/>
              </w:rPr>
              <w:t>.00元）</w:t>
            </w:r>
          </w:p>
          <w:p w14:paraId="21ED241D">
            <w:pPr>
              <w:spacing w:line="460" w:lineRule="exac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投标保证金的形式：银行保函或基本户转账</w:t>
            </w:r>
          </w:p>
          <w:p w14:paraId="32F742B8">
            <w:pPr>
              <w:spacing w:line="460" w:lineRule="exact"/>
              <w:rPr>
                <w:rFonts w:hint="eastAsia" w:ascii="宋体" w:hAnsi="宋体" w:eastAsia="宋体" w:cs="宋体"/>
                <w:b/>
                <w:bCs/>
                <w:color w:val="auto"/>
                <w:spacing w:val="-4"/>
                <w:sz w:val="24"/>
                <w:szCs w:val="24"/>
                <w:highlight w:val="none"/>
                <w:lang w:val="zh-CN" w:eastAsia="zh-CN"/>
              </w:rPr>
            </w:pPr>
            <w:r>
              <w:rPr>
                <w:rFonts w:hint="eastAsia" w:ascii="宋体" w:hAnsi="宋体" w:eastAsia="宋体" w:cs="宋体"/>
                <w:b/>
                <w:bCs/>
                <w:color w:val="auto"/>
                <w:spacing w:val="-4"/>
                <w:sz w:val="24"/>
                <w:szCs w:val="24"/>
                <w:highlight w:val="none"/>
                <w:lang w:val="zh-CN" w:eastAsia="zh-CN"/>
              </w:rPr>
              <w:t>投标保证金账户名称：宝鸡市公共资源交易中心保证金专户</w:t>
            </w:r>
          </w:p>
          <w:p w14:paraId="61289009">
            <w:pPr>
              <w:spacing w:line="460" w:lineRule="exact"/>
              <w:rPr>
                <w:rFonts w:hint="eastAsia" w:ascii="宋体" w:hAnsi="宋体" w:eastAsia="宋体" w:cs="宋体"/>
                <w:b/>
                <w:bCs/>
                <w:color w:val="auto"/>
                <w:spacing w:val="-4"/>
                <w:sz w:val="24"/>
                <w:szCs w:val="24"/>
                <w:highlight w:val="none"/>
                <w:lang w:val="zh-CN" w:eastAsia="zh-CN"/>
              </w:rPr>
            </w:pPr>
            <w:r>
              <w:rPr>
                <w:rFonts w:hint="eastAsia" w:ascii="宋体" w:hAnsi="宋体" w:eastAsia="宋体" w:cs="宋体"/>
                <w:b/>
                <w:bCs/>
                <w:color w:val="auto"/>
                <w:spacing w:val="-4"/>
                <w:sz w:val="24"/>
                <w:szCs w:val="24"/>
                <w:highlight w:val="none"/>
                <w:lang w:val="zh-CN" w:eastAsia="zh-CN"/>
              </w:rPr>
              <w:t>开  户  行：长安银行股份有限公司宝鸡分行营业部</w:t>
            </w:r>
          </w:p>
          <w:p w14:paraId="6A8CFE56">
            <w:pPr>
              <w:spacing w:line="460" w:lineRule="exact"/>
              <w:rPr>
                <w:rFonts w:hint="eastAsia" w:ascii="宋体" w:hAnsi="宋体" w:eastAsia="宋体" w:cs="宋体"/>
                <w:b/>
                <w:bCs/>
                <w:color w:val="auto"/>
                <w:spacing w:val="-4"/>
                <w:sz w:val="24"/>
                <w:szCs w:val="24"/>
                <w:highlight w:val="none"/>
                <w:lang w:val="zh-CN" w:eastAsia="zh-CN"/>
              </w:rPr>
            </w:pPr>
            <w:r>
              <w:rPr>
                <w:rFonts w:hint="eastAsia" w:ascii="宋体" w:hAnsi="宋体" w:eastAsia="宋体" w:cs="宋体"/>
                <w:b/>
                <w:bCs/>
                <w:color w:val="auto"/>
                <w:spacing w:val="-4"/>
                <w:sz w:val="24"/>
                <w:szCs w:val="24"/>
                <w:highlight w:val="none"/>
                <w:lang w:val="zh-CN" w:eastAsia="zh-CN"/>
              </w:rPr>
              <w:t>账      号：</w:t>
            </w:r>
            <w:r>
              <w:rPr>
                <w:rFonts w:hint="eastAsia" w:ascii="宋体" w:hAnsi="宋体" w:cs="宋体"/>
                <w:b/>
                <w:bCs/>
                <w:color w:val="auto"/>
                <w:spacing w:val="-4"/>
                <w:sz w:val="24"/>
                <w:szCs w:val="24"/>
                <w:highlight w:val="none"/>
                <w:lang w:val="zh-CN" w:eastAsia="zh-CN"/>
              </w:rPr>
              <w:t>80602000142101980616917</w:t>
            </w:r>
          </w:p>
          <w:p w14:paraId="613E5C63">
            <w:pPr>
              <w:spacing w:line="460" w:lineRule="exact"/>
              <w:rPr>
                <w:rFonts w:hint="eastAsia" w:cs="宋体"/>
                <w:b/>
                <w:bCs/>
                <w:i w:val="0"/>
                <w:iCs w:val="0"/>
                <w:caps w:val="0"/>
                <w:color w:val="auto"/>
                <w:spacing w:val="0"/>
                <w:sz w:val="24"/>
                <w:szCs w:val="24"/>
                <w:highlight w:val="none"/>
                <w:shd w:val="clear" w:fill="FFFFFF"/>
                <w:lang w:val="en-US" w:eastAsia="zh-CN"/>
              </w:rPr>
            </w:pPr>
            <w:r>
              <w:rPr>
                <w:rFonts w:hint="eastAsia" w:cs="宋体"/>
                <w:b/>
                <w:bCs/>
                <w:i w:val="0"/>
                <w:iCs w:val="0"/>
                <w:caps w:val="0"/>
                <w:color w:val="auto"/>
                <w:spacing w:val="0"/>
                <w:sz w:val="24"/>
                <w:szCs w:val="24"/>
                <w:highlight w:val="none"/>
                <w:shd w:val="clear" w:fill="FFFFFF"/>
                <w:lang w:val="en-US" w:eastAsia="zh-CN"/>
              </w:rPr>
              <w:t>注意事项：</w:t>
            </w:r>
          </w:p>
          <w:p w14:paraId="2C9E4871">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rightChars="0"/>
              <w:jc w:val="both"/>
              <w:rPr>
                <w:rFonts w:hint="eastAsia" w:cs="宋体"/>
                <w:i w:val="0"/>
                <w:iCs w:val="0"/>
                <w:caps w:val="0"/>
                <w:color w:val="auto"/>
                <w:spacing w:val="0"/>
                <w:sz w:val="24"/>
                <w:szCs w:val="24"/>
                <w:highlight w:val="none"/>
                <w:shd w:val="clear" w:fill="FFFFFF"/>
                <w:lang w:val="en-US" w:eastAsia="zh-CN"/>
              </w:rPr>
            </w:pPr>
            <w:r>
              <w:rPr>
                <w:rFonts w:hint="eastAsia" w:cs="宋体"/>
                <w:i w:val="0"/>
                <w:iCs w:val="0"/>
                <w:caps w:val="0"/>
                <w:color w:val="auto"/>
                <w:spacing w:val="0"/>
                <w:sz w:val="24"/>
                <w:szCs w:val="24"/>
                <w:highlight w:val="none"/>
                <w:shd w:val="clear" w:fill="FFFFFF"/>
                <w:lang w:val="en-US" w:eastAsia="zh-CN"/>
              </w:rPr>
              <w:t>（1）银行保函</w:t>
            </w:r>
          </w:p>
          <w:p w14:paraId="660EC927">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rightChars="0"/>
              <w:jc w:val="both"/>
              <w:rPr>
                <w:rFonts w:hint="eastAsia" w:ascii="宋体" w:hAnsi="宋体" w:eastAsia="宋体" w:cs="宋体"/>
                <w:b w:val="0"/>
                <w:bCs/>
                <w:color w:val="auto"/>
                <w:kern w:val="2"/>
                <w:sz w:val="24"/>
                <w:szCs w:val="24"/>
                <w:highlight w:val="none"/>
                <w:lang w:val="en-US" w:eastAsia="zh-CN" w:bidi="ar-SA"/>
              </w:rPr>
            </w:pPr>
            <w:r>
              <w:rPr>
                <w:rFonts w:hint="eastAsia" w:cs="宋体"/>
                <w:i w:val="0"/>
                <w:iCs w:val="0"/>
                <w:caps w:val="0"/>
                <w:color w:val="auto"/>
                <w:spacing w:val="0"/>
                <w:sz w:val="24"/>
                <w:szCs w:val="24"/>
                <w:highlight w:val="none"/>
                <w:shd w:val="clear" w:fill="FFFFFF"/>
                <w:lang w:val="en-US" w:eastAsia="zh-CN"/>
              </w:rPr>
              <w:t>必须为投标人基本</w:t>
            </w:r>
            <w:r>
              <w:rPr>
                <w:rFonts w:hint="eastAsia" w:ascii="宋体" w:hAnsi="宋体" w:eastAsia="宋体" w:cs="宋体"/>
                <w:b w:val="0"/>
                <w:bCs/>
                <w:color w:val="auto"/>
                <w:kern w:val="2"/>
                <w:sz w:val="24"/>
                <w:szCs w:val="24"/>
                <w:highlight w:val="none"/>
                <w:lang w:val="en-US" w:eastAsia="zh-CN" w:bidi="ar-SA"/>
              </w:rPr>
              <w:t>账户开户银行出具的银行保函，将银行保函及“基本账户开户许可证或基本存款账户信息”附在投标文件中，作为保证金缴纳凭证。以保函形式交纳保证金须在</w:t>
            </w:r>
            <w:r>
              <w:rPr>
                <w:rFonts w:hint="eastAsia" w:cs="宋体"/>
                <w:b w:val="0"/>
                <w:bCs/>
                <w:color w:val="auto"/>
                <w:kern w:val="2"/>
                <w:sz w:val="24"/>
                <w:szCs w:val="24"/>
                <w:highlight w:val="none"/>
                <w:lang w:val="en-US" w:eastAsia="zh-CN" w:bidi="ar-SA"/>
              </w:rPr>
              <w:t>代理公司</w:t>
            </w:r>
            <w:r>
              <w:rPr>
                <w:rFonts w:hint="eastAsia" w:ascii="宋体" w:hAnsi="宋体" w:eastAsia="宋体" w:cs="宋体"/>
                <w:b w:val="0"/>
                <w:bCs/>
                <w:color w:val="auto"/>
                <w:kern w:val="2"/>
                <w:sz w:val="24"/>
                <w:szCs w:val="24"/>
                <w:highlight w:val="none"/>
                <w:lang w:val="en-US" w:eastAsia="zh-CN" w:bidi="ar-SA"/>
              </w:rPr>
              <w:t>进行备案。</w:t>
            </w:r>
          </w:p>
          <w:p w14:paraId="2EF5D405">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rightChars="0"/>
              <w:jc w:val="both"/>
              <w:rPr>
                <w:rFonts w:hint="default"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注意事项：</w:t>
            </w:r>
            <w:r>
              <w:rPr>
                <w:rFonts w:hint="eastAsia" w:cs="宋体"/>
                <w:b/>
                <w:bCs w:val="0"/>
                <w:color w:val="auto"/>
                <w:kern w:val="2"/>
                <w:sz w:val="24"/>
                <w:szCs w:val="24"/>
                <w:highlight w:val="none"/>
                <w:lang w:val="en-US" w:eastAsia="zh-CN" w:bidi="ar-SA"/>
              </w:rPr>
              <w:t>1</w:t>
            </w:r>
            <w:r>
              <w:rPr>
                <w:rFonts w:hint="eastAsia" w:ascii="宋体" w:hAnsi="宋体" w:eastAsia="宋体" w:cs="宋体"/>
                <w:b/>
                <w:bCs w:val="0"/>
                <w:color w:val="auto"/>
                <w:kern w:val="2"/>
                <w:sz w:val="24"/>
                <w:szCs w:val="24"/>
                <w:highlight w:val="none"/>
                <w:lang w:val="en-US" w:eastAsia="zh-CN" w:bidi="ar-SA"/>
              </w:rPr>
              <w:t>、银行保函递交时间：所投项目开标前2-3个工作日递交至代理公司。</w:t>
            </w:r>
          </w:p>
          <w:p w14:paraId="434DBAD9">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rightChars="0"/>
              <w:jc w:val="both"/>
              <w:rPr>
                <w:rFonts w:hint="eastAsia" w:ascii="宋体" w:hAnsi="宋体" w:eastAsia="宋体" w:cs="宋体"/>
                <w:b/>
                <w:bCs w:val="0"/>
                <w:color w:val="auto"/>
                <w:kern w:val="2"/>
                <w:sz w:val="24"/>
                <w:szCs w:val="24"/>
                <w:highlight w:val="none"/>
                <w:lang w:val="en-US" w:eastAsia="zh-CN" w:bidi="ar-SA"/>
              </w:rPr>
            </w:pPr>
            <w:r>
              <w:rPr>
                <w:rFonts w:hint="eastAsia" w:cs="宋体"/>
                <w:b/>
                <w:bCs w:val="0"/>
                <w:color w:val="auto"/>
                <w:kern w:val="2"/>
                <w:sz w:val="24"/>
                <w:szCs w:val="24"/>
                <w:highlight w:val="none"/>
                <w:lang w:val="en-US" w:eastAsia="zh-CN" w:bidi="ar-SA"/>
              </w:rPr>
              <w:t>2</w:t>
            </w:r>
            <w:r>
              <w:rPr>
                <w:rFonts w:hint="eastAsia" w:ascii="宋体" w:hAnsi="宋体" w:eastAsia="宋体" w:cs="宋体"/>
                <w:b/>
                <w:bCs w:val="0"/>
                <w:color w:val="auto"/>
                <w:kern w:val="2"/>
                <w:sz w:val="24"/>
                <w:szCs w:val="24"/>
                <w:highlight w:val="none"/>
                <w:lang w:val="en-US" w:eastAsia="zh-CN" w:bidi="ar-SA"/>
              </w:rPr>
              <w:t>、需提交的备案资料：</w:t>
            </w:r>
          </w:p>
          <w:p w14:paraId="01FF1B82">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rightChars="0"/>
              <w:jc w:val="both"/>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①保函正本（纸质版）</w:t>
            </w:r>
          </w:p>
          <w:p w14:paraId="1E1912C6">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rightChars="0"/>
              <w:jc w:val="both"/>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②公司介绍信或委托书</w:t>
            </w:r>
          </w:p>
          <w:p w14:paraId="13D77424">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rightChars="0"/>
              <w:jc w:val="both"/>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③开户许可证复印件（加盖公司公章）</w:t>
            </w:r>
          </w:p>
          <w:p w14:paraId="3EC38A26">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rightChars="0"/>
              <w:jc w:val="both"/>
              <w:rPr>
                <w:rFonts w:hint="default"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④法定代表人和经办人身份证复印件（加盖公司公章）</w:t>
            </w:r>
          </w:p>
          <w:p w14:paraId="211347EA">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rightChars="0"/>
              <w:jc w:val="both"/>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（2）基本户转账</w:t>
            </w:r>
          </w:p>
          <w:p w14:paraId="304636F4">
            <w:pPr>
              <w:pStyle w:val="2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rightChars="0"/>
              <w:jc w:val="both"/>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必须为投标人基本账户以转账形式在投标截止时间前到达上述账号（以资金到账时间为确认保证金缴纳完毕时间），未按规定时间前或按额汇到指定账户的将否决其投标。投标保证金转账完成后，将“转账凭证”附在投标文件中，作为保证金缴纳的凭证。</w:t>
            </w:r>
          </w:p>
          <w:p w14:paraId="7CF0C31F">
            <w:pPr>
              <w:spacing w:line="460" w:lineRule="exact"/>
              <w:rPr>
                <w:rFonts w:hint="default" w:ascii="宋体" w:hAnsi="宋体" w:eastAsia="宋体" w:cs="宋体"/>
                <w:b/>
                <w:bCs/>
                <w:color w:val="auto"/>
                <w:spacing w:val="-4"/>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bidi="ar-SA"/>
              </w:rPr>
              <w:t>转账时必须备注：该项目子账号后五位数字，无需填写其他内容</w:t>
            </w:r>
          </w:p>
        </w:tc>
      </w:tr>
      <w:tr w14:paraId="701A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6A74F529">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21</w:t>
            </w:r>
          </w:p>
        </w:tc>
        <w:tc>
          <w:tcPr>
            <w:tcW w:w="1959" w:type="dxa"/>
            <w:noWrap w:val="0"/>
            <w:vAlign w:val="center"/>
          </w:tcPr>
          <w:p w14:paraId="41FCCDE9">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备选磋商方案</w:t>
            </w:r>
          </w:p>
          <w:p w14:paraId="4D118827">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和报价</w:t>
            </w:r>
          </w:p>
        </w:tc>
        <w:tc>
          <w:tcPr>
            <w:tcW w:w="6406" w:type="dxa"/>
            <w:noWrap w:val="0"/>
            <w:vAlign w:val="center"/>
          </w:tcPr>
          <w:p w14:paraId="2B779D4F">
            <w:pPr>
              <w:tabs>
                <w:tab w:val="left" w:pos="7013"/>
              </w:tabs>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不接受备选磋商方案和多个报价。</w:t>
            </w:r>
          </w:p>
        </w:tc>
      </w:tr>
      <w:tr w14:paraId="0200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0330EFC5">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w:t>
            </w:r>
          </w:p>
        </w:tc>
        <w:tc>
          <w:tcPr>
            <w:tcW w:w="1959" w:type="dxa"/>
            <w:noWrap w:val="0"/>
            <w:vAlign w:val="center"/>
          </w:tcPr>
          <w:p w14:paraId="70863147">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盖章签字</w:t>
            </w:r>
          </w:p>
        </w:tc>
        <w:tc>
          <w:tcPr>
            <w:tcW w:w="6406" w:type="dxa"/>
            <w:noWrap w:val="0"/>
            <w:vAlign w:val="center"/>
          </w:tcPr>
          <w:p w14:paraId="19414B00">
            <w:pPr>
              <w:tabs>
                <w:tab w:val="left" w:pos="7013"/>
              </w:tabs>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必须按照竞争性磋商文件的规定和要求在竞争性磋商响应文件中指定的页面落款处加盖公章（鲜章）并由法定代表人或被授权人签字（或盖章），其余页面逐页加盖</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公章（鲜章），否则将作为无效磋商处理。竞争性磋商文件凡是要求法定代表人签字或盖章之处，非法人单位的负责人均参照执行。</w:t>
            </w:r>
          </w:p>
        </w:tc>
      </w:tr>
      <w:tr w14:paraId="34B5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0A4AE16F">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w:t>
            </w:r>
          </w:p>
        </w:tc>
        <w:tc>
          <w:tcPr>
            <w:tcW w:w="1959" w:type="dxa"/>
            <w:noWrap w:val="0"/>
            <w:vAlign w:val="center"/>
          </w:tcPr>
          <w:p w14:paraId="0006339E">
            <w:pPr>
              <w:pageBreakBefore w:val="0"/>
              <w:wordWrap/>
              <w:topLinePunct w:val="0"/>
              <w:bidi w:val="0"/>
              <w:spacing w:line="365"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竞争性磋商</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文件的</w:t>
            </w:r>
            <w:r>
              <w:rPr>
                <w:rFonts w:hint="eastAsia" w:ascii="宋体" w:hAnsi="宋体" w:eastAsia="宋体" w:cs="宋体"/>
                <w:color w:val="auto"/>
                <w:sz w:val="24"/>
                <w:highlight w:val="none"/>
                <w:lang w:eastAsia="zh-CN"/>
              </w:rPr>
              <w:t>递交</w:t>
            </w:r>
          </w:p>
        </w:tc>
        <w:tc>
          <w:tcPr>
            <w:tcW w:w="6406" w:type="dxa"/>
            <w:noWrap w:val="0"/>
            <w:vAlign w:val="center"/>
          </w:tcPr>
          <w:p w14:paraId="764E989E">
            <w:pPr>
              <w:tabs>
                <w:tab w:val="left" w:pos="7013"/>
              </w:tabs>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本项目采用电子投标文件方式投标。电子</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可于提交</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截止时间前任意时段登录全国公共资源交易平台（陕西省·宝鸡市）网站[电子交易平台-企业端]进行提交，逾期系统将拒绝接收。提交时，</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登录全国公共资源交易中心平台（陕西省·宝鸡市），选择[“首页&gt;电子交易平台&gt;企业端&gt;我的项目”，点击[项目流程]，在打开的[项目管理]对话框中选择[上传响应文件]，上传加密的电子投标文件（*.SXSTF），上传成功后，电子化平台将予以记录。</w:t>
            </w:r>
          </w:p>
          <w:p w14:paraId="4424963B">
            <w:pPr>
              <w:spacing w:before="0" w:after="0" w:line="360" w:lineRule="auto"/>
              <w:rPr>
                <w:rFonts w:hint="eastAsia" w:ascii="宋体" w:hAnsi="宋体" w:eastAsia="宋体" w:cs="宋体"/>
                <w:color w:val="auto"/>
                <w:highlight w:val="none"/>
              </w:rPr>
            </w:pPr>
            <w:r>
              <w:rPr>
                <w:rFonts w:hint="eastAsia" w:ascii="宋体" w:hAnsi="宋体" w:eastAsia="宋体" w:cs="宋体"/>
                <w:b/>
                <w:bCs/>
                <w:color w:val="auto"/>
                <w:sz w:val="24"/>
                <w:highlight w:val="none"/>
                <w:lang w:val="en-US" w:eastAsia="zh-CN"/>
              </w:rPr>
              <w:t>注：由</w:t>
            </w:r>
            <w:r>
              <w:rPr>
                <w:rFonts w:hint="eastAsia" w:ascii="宋体" w:hAnsi="宋体" w:cs="宋体"/>
                <w:b/>
                <w:bCs/>
                <w:color w:val="auto"/>
                <w:sz w:val="24"/>
                <w:highlight w:val="none"/>
                <w:lang w:val="en-US" w:eastAsia="zh-CN"/>
              </w:rPr>
              <w:t>成交</w:t>
            </w:r>
            <w:r>
              <w:rPr>
                <w:rFonts w:hint="eastAsia" w:ascii="宋体" w:hAnsi="宋体" w:eastAsia="宋体" w:cs="宋体"/>
                <w:b/>
                <w:bCs/>
                <w:color w:val="auto"/>
                <w:sz w:val="24"/>
                <w:highlight w:val="none"/>
                <w:lang w:val="en-US" w:eastAsia="zh-CN"/>
              </w:rPr>
              <w:t>单位在领取</w:t>
            </w:r>
            <w:r>
              <w:rPr>
                <w:rFonts w:hint="eastAsia" w:ascii="宋体" w:hAnsi="宋体" w:cs="宋体"/>
                <w:b/>
                <w:bCs/>
                <w:color w:val="auto"/>
                <w:sz w:val="24"/>
                <w:highlight w:val="none"/>
                <w:lang w:val="en-US" w:eastAsia="zh-CN"/>
              </w:rPr>
              <w:t>成交</w:t>
            </w:r>
            <w:r>
              <w:rPr>
                <w:rFonts w:hint="eastAsia" w:ascii="宋体" w:hAnsi="宋体" w:eastAsia="宋体" w:cs="宋体"/>
                <w:b/>
                <w:bCs/>
                <w:color w:val="auto"/>
                <w:sz w:val="24"/>
                <w:highlight w:val="none"/>
                <w:lang w:val="en-US" w:eastAsia="zh-CN"/>
              </w:rPr>
              <w:t>通知书时提供</w:t>
            </w:r>
            <w:r>
              <w:rPr>
                <w:rFonts w:hint="eastAsia" w:ascii="宋体" w:hAnsi="宋体" w:cs="宋体"/>
                <w:b/>
                <w:bCs/>
                <w:color w:val="auto"/>
                <w:sz w:val="24"/>
                <w:highlight w:val="none"/>
                <w:lang w:val="en-US" w:eastAsia="zh-CN"/>
              </w:rPr>
              <w:t>成交</w:t>
            </w:r>
            <w:r>
              <w:rPr>
                <w:rFonts w:hint="eastAsia" w:ascii="宋体" w:hAnsi="宋体" w:eastAsia="宋体" w:cs="宋体"/>
                <w:b/>
                <w:bCs/>
                <w:color w:val="auto"/>
                <w:sz w:val="24"/>
                <w:highlight w:val="none"/>
                <w:lang w:val="en-US" w:eastAsia="zh-CN"/>
              </w:rPr>
              <w:t>单位</w:t>
            </w:r>
            <w:r>
              <w:rPr>
                <w:rFonts w:hint="eastAsia" w:ascii="宋体" w:hAnsi="宋体" w:cs="宋体"/>
                <w:b/>
                <w:bCs/>
                <w:color w:val="auto"/>
                <w:sz w:val="24"/>
                <w:highlight w:val="none"/>
                <w:lang w:val="en-US" w:eastAsia="zh-CN"/>
              </w:rPr>
              <w:t>最终上传系统的</w:t>
            </w:r>
            <w:r>
              <w:rPr>
                <w:rFonts w:hint="eastAsia" w:ascii="宋体" w:hAnsi="宋体" w:eastAsia="宋体" w:cs="宋体"/>
                <w:b/>
                <w:bCs/>
                <w:color w:val="auto"/>
                <w:sz w:val="24"/>
                <w:highlight w:val="none"/>
                <w:lang w:val="en-US" w:eastAsia="zh-CN"/>
              </w:rPr>
              <w:t>纸质</w:t>
            </w:r>
            <w:r>
              <w:rPr>
                <w:rFonts w:hint="eastAsia" w:ascii="宋体" w:hAnsi="宋体" w:cs="宋体"/>
                <w:b/>
                <w:bCs/>
                <w:color w:val="auto"/>
                <w:sz w:val="24"/>
                <w:highlight w:val="none"/>
                <w:lang w:val="en-US" w:eastAsia="zh-CN"/>
              </w:rPr>
              <w:t>版磋商响应</w:t>
            </w:r>
            <w:r>
              <w:rPr>
                <w:rFonts w:hint="eastAsia" w:ascii="宋体" w:hAnsi="宋体" w:eastAsia="宋体" w:cs="宋体"/>
                <w:b/>
                <w:bCs/>
                <w:color w:val="auto"/>
                <w:sz w:val="24"/>
                <w:highlight w:val="none"/>
                <w:lang w:val="en-US" w:eastAsia="zh-CN"/>
              </w:rPr>
              <w:t>文件</w:t>
            </w:r>
            <w:r>
              <w:rPr>
                <w:rFonts w:hint="eastAsia" w:ascii="宋体" w:hAnsi="宋体" w:cs="宋体"/>
                <w:b/>
                <w:bCs/>
                <w:color w:val="auto"/>
                <w:sz w:val="24"/>
                <w:highlight w:val="none"/>
                <w:lang w:val="en-US" w:eastAsia="zh-CN"/>
              </w:rPr>
              <w:t>正本一份、副本三份</w:t>
            </w:r>
            <w:r>
              <w:rPr>
                <w:rFonts w:hint="eastAsia" w:ascii="宋体" w:hAnsi="宋体" w:eastAsia="宋体" w:cs="宋体"/>
                <w:b/>
                <w:bCs/>
                <w:color w:val="auto"/>
                <w:sz w:val="24"/>
                <w:highlight w:val="none"/>
                <w:lang w:val="en-US" w:eastAsia="zh-CN"/>
              </w:rPr>
              <w:t>。</w:t>
            </w:r>
          </w:p>
        </w:tc>
      </w:tr>
      <w:tr w14:paraId="5314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14:paraId="6B3446BA">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24</w:t>
            </w:r>
          </w:p>
        </w:tc>
        <w:tc>
          <w:tcPr>
            <w:tcW w:w="1959" w:type="dxa"/>
            <w:noWrap w:val="0"/>
            <w:vAlign w:val="center"/>
          </w:tcPr>
          <w:p w14:paraId="5D314B39">
            <w:pPr>
              <w:jc w:val="center"/>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电</w:t>
            </w:r>
            <w:r>
              <w:rPr>
                <w:rFonts w:hint="eastAsia" w:ascii="宋体" w:hAnsi="宋体" w:eastAsia="宋体" w:cs="宋体"/>
                <w:color w:val="auto"/>
                <w:sz w:val="24"/>
                <w:highlight w:val="none"/>
                <w:lang w:val="en-US" w:eastAsia="zh-CN"/>
              </w:rPr>
              <w:t>子响应文件的</w:t>
            </w:r>
            <w:r>
              <w:rPr>
                <w:rFonts w:hint="eastAsia" w:ascii="宋体" w:hAnsi="宋体" w:eastAsia="宋体" w:cs="宋体"/>
                <w:color w:val="auto"/>
                <w:sz w:val="24"/>
                <w:highlight w:val="none"/>
                <w:lang w:eastAsia="zh-CN"/>
              </w:rPr>
              <w:t>制作和签署</w:t>
            </w:r>
          </w:p>
        </w:tc>
        <w:tc>
          <w:tcPr>
            <w:tcW w:w="6406" w:type="dxa"/>
            <w:noWrap w:val="0"/>
            <w:vAlign w:val="center"/>
          </w:tcPr>
          <w:p w14:paraId="7D0609BC">
            <w:pPr>
              <w:spacing w:before="0"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编制电子</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文件时，应使用最新发布的电子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文件及专用制作工具进行编制。并使用数字认证证书（CA）对电子</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文件进行签署、加密、递交及开标时解密及二次报</w:t>
            </w:r>
            <w:r>
              <w:rPr>
                <w:rFonts w:hint="eastAsia" w:ascii="宋体" w:hAnsi="宋体" w:eastAsia="宋体" w:cs="宋体"/>
                <w:color w:val="auto"/>
                <w:sz w:val="24"/>
                <w:highlight w:val="none"/>
                <w:lang w:val="en-US" w:eastAsia="zh-CN"/>
              </w:rPr>
              <w:t>价</w:t>
            </w:r>
            <w:r>
              <w:rPr>
                <w:rFonts w:hint="eastAsia" w:ascii="宋体" w:hAnsi="宋体" w:eastAsia="宋体" w:cs="宋体"/>
                <w:color w:val="auto"/>
                <w:sz w:val="24"/>
                <w:highlight w:val="none"/>
                <w:lang w:eastAsia="zh-CN"/>
              </w:rPr>
              <w:t>等相关操作。</w:t>
            </w:r>
          </w:p>
          <w:p w14:paraId="3EDFCBE2">
            <w:pPr>
              <w:spacing w:before="0"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文件下载</w:t>
            </w:r>
          </w:p>
          <w:p w14:paraId="1BFBEE60">
            <w:pPr>
              <w:spacing w:before="0" w:after="0"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供应商登录全国公共资源交易平台（陕西省·宝鸡市）网站[电子交易平台-企业端]后，在[我的项目]中点击“项目流程-交易文件下载”下载电子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文件（*.SXSZF）；注意：该项目如有变更文件，则应点击“项目流程&gt;答疑文件下载”下载更新后的电子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文件（*.SXSCF），使用旧版电子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文件制作的电子</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文件，系统将拒绝接收。</w:t>
            </w:r>
          </w:p>
          <w:p w14:paraId="516FAD96">
            <w:pPr>
              <w:spacing w:before="0"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文件需要使用专用软件打开、浏览</w:t>
            </w:r>
          </w:p>
          <w:p w14:paraId="1E6FB137">
            <w:pPr>
              <w:spacing w:before="0"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供应商登录全国公共资源交易平台（陕西省·宝鸡市）网站[服务指南-下载专区]免费下载《陕西省公共资源交易平台政府采购电子标书制作工具(V8.0.0.2)》，并升级至最新版本，使用该客户端可以打开电子</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文件。软件操作手册详见全国公共资源交易平台（陕西省·宝鸡市）网站[服务指南-下载专区]中的《陕西省公共资源交易（政府采购类）</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文件制作软件操作手册》；</w:t>
            </w:r>
          </w:p>
          <w:p w14:paraId="5CA7E8A9">
            <w:pPr>
              <w:spacing w:before="0"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制作电子</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w:t>
            </w:r>
          </w:p>
          <w:p w14:paraId="3F285244">
            <w:pPr>
              <w:spacing w:before="0" w:after="0"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电子</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lang w:eastAsia="zh-CN"/>
              </w:rPr>
              <w:t>文件同样需要使用上述软件进行编制。在编制过程中，如有技术性问题，请先翻阅操作手册或致电软件开发商，技术支持热线：4009280095、4009980000；</w:t>
            </w:r>
          </w:p>
          <w:p w14:paraId="20418999">
            <w:pPr>
              <w:tabs>
                <w:tab w:val="left" w:pos="7013"/>
              </w:tabs>
              <w:spacing w:line="460" w:lineRule="exact"/>
              <w:rPr>
                <w:rFonts w:hint="eastAsia" w:ascii="宋体" w:hAnsi="宋体" w:eastAsia="宋体" w:cs="宋体"/>
                <w:color w:val="auto"/>
                <w:sz w:val="24"/>
                <w:highlight w:val="none"/>
                <w:lang w:eastAsia="zh-CN"/>
              </w:rPr>
            </w:pPr>
            <w:r>
              <w:rPr>
                <w:rFonts w:hint="eastAsia" w:ascii="宋体" w:hAnsi="宋体" w:eastAsia="宋体" w:cs="宋体"/>
                <w:b/>
                <w:bCs/>
                <w:color w:val="auto"/>
                <w:kern w:val="2"/>
                <w:sz w:val="24"/>
                <w:szCs w:val="21"/>
                <w:highlight w:val="none"/>
                <w:lang w:val="en-US" w:eastAsia="zh-CN" w:bidi="ar-SA"/>
              </w:rPr>
              <w:t>注：如未按照上述要求进行响应文件制作和签署的均视其为无效响应文件。</w:t>
            </w:r>
          </w:p>
        </w:tc>
      </w:tr>
      <w:tr w14:paraId="0BE5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9" w:type="dxa"/>
            <w:noWrap w:val="0"/>
            <w:vAlign w:val="center"/>
          </w:tcPr>
          <w:p w14:paraId="21C24699">
            <w:pPr>
              <w:numPr>
                <w:ilvl w:val="0"/>
                <w:numId w:val="0"/>
              </w:numPr>
              <w:ind w:left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25</w:t>
            </w:r>
          </w:p>
        </w:tc>
        <w:tc>
          <w:tcPr>
            <w:tcW w:w="1959" w:type="dxa"/>
            <w:noWrap w:val="0"/>
            <w:vAlign w:val="center"/>
          </w:tcPr>
          <w:p w14:paraId="079F59DB">
            <w:pPr>
              <w:pageBreakBefore w:val="0"/>
              <w:wordWrap/>
              <w:topLinePunct w:val="0"/>
              <w:bidi w:val="0"/>
              <w:spacing w:line="365" w:lineRule="auto"/>
              <w:jc w:val="center"/>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lang w:val="en-US" w:eastAsia="zh-CN"/>
              </w:rPr>
              <w:t>无效文件说明</w:t>
            </w:r>
          </w:p>
        </w:tc>
        <w:tc>
          <w:tcPr>
            <w:tcW w:w="6406" w:type="dxa"/>
            <w:noWrap w:val="0"/>
            <w:vAlign w:val="center"/>
          </w:tcPr>
          <w:p w14:paraId="65B61C36">
            <w:pPr>
              <w:pageBreakBefore w:val="0"/>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在开标环节出现下列情况之一的，其</w:t>
            </w:r>
            <w:r>
              <w:rPr>
                <w:rFonts w:hint="eastAsia" w:ascii="宋体" w:hAnsi="宋体" w:eastAsia="宋体" w:cs="宋体"/>
                <w:b/>
                <w:color w:val="auto"/>
                <w:sz w:val="24"/>
                <w:szCs w:val="22"/>
                <w:highlight w:val="none"/>
                <w:lang w:val="en-US" w:eastAsia="zh-CN"/>
              </w:rPr>
              <w:t>响应</w:t>
            </w:r>
            <w:r>
              <w:rPr>
                <w:rFonts w:hint="eastAsia" w:ascii="宋体" w:hAnsi="宋体" w:eastAsia="宋体" w:cs="宋体"/>
                <w:b/>
                <w:color w:val="auto"/>
                <w:sz w:val="24"/>
                <w:szCs w:val="22"/>
                <w:highlight w:val="none"/>
              </w:rPr>
              <w:t>文件视为无效文件：</w:t>
            </w:r>
          </w:p>
          <w:p w14:paraId="60F6E3C9">
            <w:pPr>
              <w:pageBreakBefore w:val="0"/>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lang w:val="en-US" w:eastAsia="zh-CN"/>
              </w:rPr>
              <w:t>1、供应商</w:t>
            </w:r>
            <w:r>
              <w:rPr>
                <w:rFonts w:hint="eastAsia" w:ascii="宋体" w:hAnsi="宋体" w:eastAsia="宋体" w:cs="宋体"/>
                <w:b/>
                <w:color w:val="auto"/>
                <w:sz w:val="24"/>
                <w:szCs w:val="22"/>
                <w:highlight w:val="none"/>
              </w:rPr>
              <w:t>在规定时间内</w:t>
            </w:r>
            <w:r>
              <w:rPr>
                <w:rFonts w:hint="eastAsia" w:ascii="宋体" w:hAnsi="宋体" w:eastAsia="宋体" w:cs="宋体"/>
                <w:b/>
                <w:color w:val="auto"/>
                <w:sz w:val="24"/>
                <w:szCs w:val="22"/>
                <w:highlight w:val="none"/>
                <w:lang w:eastAsia="zh-CN"/>
              </w:rPr>
              <w:t>未</w:t>
            </w:r>
            <w:r>
              <w:rPr>
                <w:rFonts w:hint="eastAsia" w:ascii="宋体" w:hAnsi="宋体" w:eastAsia="宋体" w:cs="宋体"/>
                <w:b/>
                <w:color w:val="auto"/>
                <w:sz w:val="24"/>
                <w:szCs w:val="22"/>
                <w:highlight w:val="none"/>
              </w:rPr>
              <w:t>对电子</w:t>
            </w:r>
            <w:r>
              <w:rPr>
                <w:rFonts w:hint="eastAsia" w:ascii="宋体" w:hAnsi="宋体" w:eastAsia="宋体" w:cs="宋体"/>
                <w:b/>
                <w:color w:val="auto"/>
                <w:sz w:val="24"/>
                <w:szCs w:val="22"/>
                <w:highlight w:val="none"/>
                <w:lang w:val="en-US" w:eastAsia="zh-CN"/>
              </w:rPr>
              <w:t>响应</w:t>
            </w:r>
            <w:r>
              <w:rPr>
                <w:rFonts w:hint="eastAsia" w:ascii="宋体" w:hAnsi="宋体" w:eastAsia="宋体" w:cs="宋体"/>
                <w:b/>
                <w:color w:val="auto"/>
                <w:sz w:val="24"/>
                <w:szCs w:val="22"/>
                <w:highlight w:val="none"/>
              </w:rPr>
              <w:t>文件进行解密的；</w:t>
            </w:r>
          </w:p>
          <w:p w14:paraId="27E63BA4">
            <w:pPr>
              <w:pageBreakBefore w:val="0"/>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lang w:val="en-US" w:eastAsia="zh-CN"/>
              </w:rPr>
              <w:t>2、</w:t>
            </w:r>
            <w:r>
              <w:rPr>
                <w:rFonts w:hint="eastAsia" w:ascii="宋体" w:hAnsi="宋体" w:eastAsia="宋体" w:cs="宋体"/>
                <w:b/>
                <w:color w:val="auto"/>
                <w:sz w:val="24"/>
                <w:szCs w:val="22"/>
                <w:highlight w:val="none"/>
              </w:rPr>
              <w:t>上传的电子</w:t>
            </w:r>
            <w:r>
              <w:rPr>
                <w:rFonts w:hint="eastAsia" w:ascii="宋体" w:hAnsi="宋体" w:eastAsia="宋体" w:cs="宋体"/>
                <w:b/>
                <w:color w:val="auto"/>
                <w:sz w:val="24"/>
                <w:szCs w:val="22"/>
                <w:highlight w:val="none"/>
                <w:lang w:val="en-US" w:eastAsia="zh-CN"/>
              </w:rPr>
              <w:t>响应</w:t>
            </w:r>
            <w:r>
              <w:rPr>
                <w:rFonts w:hint="eastAsia" w:ascii="宋体" w:hAnsi="宋体" w:eastAsia="宋体" w:cs="宋体"/>
                <w:b/>
                <w:color w:val="auto"/>
                <w:sz w:val="24"/>
                <w:szCs w:val="22"/>
                <w:highlight w:val="none"/>
              </w:rPr>
              <w:t>文件无法打开的；</w:t>
            </w:r>
          </w:p>
          <w:p w14:paraId="5E1FE72A">
            <w:pPr>
              <w:pageBreakBefore w:val="0"/>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lang w:val="en-US" w:eastAsia="zh-CN"/>
              </w:rPr>
              <w:t>3、</w:t>
            </w:r>
            <w:r>
              <w:rPr>
                <w:rFonts w:hint="eastAsia" w:ascii="宋体" w:hAnsi="宋体" w:eastAsia="宋体" w:cs="宋体"/>
                <w:b/>
                <w:color w:val="auto"/>
                <w:sz w:val="24"/>
                <w:szCs w:val="22"/>
                <w:highlight w:val="none"/>
              </w:rPr>
              <w:t>法律法规规定的其他无效情形。</w:t>
            </w:r>
          </w:p>
          <w:p w14:paraId="7BF419DA">
            <w:pPr>
              <w:pageBreakBefore w:val="0"/>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lang w:val="en-US" w:eastAsia="zh-CN"/>
              </w:rPr>
              <w:t>4、供应商</w:t>
            </w:r>
            <w:r>
              <w:rPr>
                <w:rFonts w:hint="eastAsia" w:ascii="宋体" w:hAnsi="宋体" w:eastAsia="宋体" w:cs="宋体"/>
                <w:b/>
                <w:color w:val="auto"/>
                <w:sz w:val="24"/>
                <w:szCs w:val="22"/>
                <w:highlight w:val="none"/>
              </w:rPr>
              <w:t>拒绝对电子</w:t>
            </w:r>
            <w:r>
              <w:rPr>
                <w:rFonts w:hint="eastAsia" w:ascii="宋体" w:hAnsi="宋体" w:eastAsia="宋体" w:cs="宋体"/>
                <w:b/>
                <w:color w:val="auto"/>
                <w:sz w:val="24"/>
                <w:szCs w:val="22"/>
                <w:highlight w:val="none"/>
                <w:lang w:val="en-US" w:eastAsia="zh-CN"/>
              </w:rPr>
              <w:t>响应</w:t>
            </w:r>
            <w:r>
              <w:rPr>
                <w:rFonts w:hint="eastAsia" w:ascii="宋体" w:hAnsi="宋体" w:eastAsia="宋体" w:cs="宋体"/>
                <w:b/>
                <w:color w:val="auto"/>
                <w:sz w:val="24"/>
                <w:szCs w:val="22"/>
                <w:highlight w:val="none"/>
              </w:rPr>
              <w:t>文件进行解密的；</w:t>
            </w:r>
          </w:p>
          <w:p w14:paraId="45FBD571">
            <w:pPr>
              <w:pageBreakBefore w:val="0"/>
              <w:wordWrap/>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lang w:val="en-US" w:eastAsia="zh-CN"/>
              </w:rPr>
              <w:t>5、因供应商自身原因（如未带CA锁、或所带CA锁与制作电子投标文件使用的CA锁不一致、或沿用旧版磋商文件编制响应文件等情形），导致在规定时间内无法解密响应文件的；</w:t>
            </w:r>
          </w:p>
          <w:p w14:paraId="2C92328D">
            <w:pPr>
              <w:pageBreakBefore w:val="0"/>
              <w:wordWrap/>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rPr>
              <w:t>特殊情形下的应急处置</w:t>
            </w:r>
            <w:r>
              <w:rPr>
                <w:rFonts w:hint="eastAsia" w:ascii="宋体" w:hAnsi="宋体" w:eastAsia="宋体" w:cs="宋体"/>
                <w:b/>
                <w:color w:val="auto"/>
                <w:sz w:val="24"/>
                <w:szCs w:val="22"/>
                <w:highlight w:val="none"/>
                <w:lang w:eastAsia="zh-CN"/>
              </w:rPr>
              <w:t>：</w:t>
            </w:r>
          </w:p>
          <w:p w14:paraId="55A89C1A">
            <w:pPr>
              <w:pageBreakBefore w:val="0"/>
              <w:wordWrap/>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color w:val="auto"/>
                <w:sz w:val="24"/>
                <w:szCs w:val="24"/>
                <w:highlight w:val="none"/>
              </w:rPr>
              <w:t>在开标、评审过程中，如因</w:t>
            </w:r>
            <w:r>
              <w:rPr>
                <w:rFonts w:hint="eastAsia" w:ascii="宋体" w:hAnsi="宋体" w:eastAsia="宋体" w:cs="宋体"/>
                <w:b/>
                <w:color w:val="auto"/>
                <w:sz w:val="24"/>
                <w:szCs w:val="24"/>
                <w:highlight w:val="none"/>
                <w:lang w:val="en-US" w:eastAsia="zh-CN"/>
              </w:rPr>
              <w:t>宝鸡市公共资源交易中心</w:t>
            </w:r>
            <w:r>
              <w:rPr>
                <w:rFonts w:hint="eastAsia" w:ascii="宋体" w:hAnsi="宋体" w:eastAsia="宋体" w:cs="宋体"/>
                <w:b/>
                <w:color w:val="auto"/>
                <w:sz w:val="24"/>
                <w:szCs w:val="24"/>
                <w:highlight w:val="none"/>
              </w:rPr>
              <w:t>停电、断网、电子化系统故障等特殊原因导致电子化开、评标无法正常进行时，将</w:t>
            </w:r>
            <w:r>
              <w:rPr>
                <w:rFonts w:hint="eastAsia" w:ascii="宋体" w:hAnsi="宋体" w:eastAsia="宋体" w:cs="宋体"/>
                <w:b/>
                <w:color w:val="auto"/>
                <w:sz w:val="24"/>
                <w:szCs w:val="24"/>
                <w:highlight w:val="none"/>
                <w:lang w:eastAsia="zh-CN"/>
              </w:rPr>
              <w:t>延后</w:t>
            </w:r>
            <w:r>
              <w:rPr>
                <w:rFonts w:hint="eastAsia" w:ascii="宋体" w:hAnsi="宋体" w:eastAsia="宋体" w:cs="宋体"/>
                <w:b/>
                <w:color w:val="auto"/>
                <w:sz w:val="24"/>
                <w:szCs w:val="24"/>
                <w:highlight w:val="none"/>
              </w:rPr>
              <w:t>开展后续</w:t>
            </w:r>
            <w:r>
              <w:rPr>
                <w:rFonts w:hint="eastAsia" w:ascii="宋体" w:hAnsi="宋体" w:eastAsia="宋体" w:cs="宋体"/>
                <w:b/>
                <w:color w:val="auto"/>
                <w:sz w:val="24"/>
                <w:szCs w:val="24"/>
                <w:highlight w:val="none"/>
                <w:lang w:val="en-US" w:eastAsia="zh-CN"/>
              </w:rPr>
              <w:t>招标</w:t>
            </w:r>
            <w:r>
              <w:rPr>
                <w:rFonts w:hint="eastAsia" w:ascii="宋体" w:hAnsi="宋体" w:eastAsia="宋体" w:cs="宋体"/>
                <w:b/>
                <w:color w:val="auto"/>
                <w:sz w:val="24"/>
                <w:szCs w:val="24"/>
                <w:highlight w:val="none"/>
              </w:rPr>
              <w:t>活动。</w:t>
            </w:r>
          </w:p>
        </w:tc>
      </w:tr>
      <w:tr w14:paraId="707D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9" w:type="dxa"/>
            <w:noWrap w:val="0"/>
            <w:vAlign w:val="center"/>
          </w:tcPr>
          <w:p w14:paraId="20859BF3">
            <w:pPr>
              <w:numPr>
                <w:ilvl w:val="0"/>
                <w:numId w:val="0"/>
              </w:numPr>
              <w:ind w:left="0" w:leftChars="0" w:firstLine="0" w:firstLineChars="0"/>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26</w:t>
            </w:r>
          </w:p>
        </w:tc>
        <w:tc>
          <w:tcPr>
            <w:tcW w:w="1959" w:type="dxa"/>
            <w:noWrap w:val="0"/>
            <w:vAlign w:val="center"/>
          </w:tcPr>
          <w:p w14:paraId="7069C0AD">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评标办法及标准</w:t>
            </w:r>
          </w:p>
        </w:tc>
        <w:tc>
          <w:tcPr>
            <w:tcW w:w="6406" w:type="dxa"/>
            <w:noWrap w:val="0"/>
            <w:vAlign w:val="center"/>
          </w:tcPr>
          <w:p w14:paraId="49E1BC7D">
            <w:pPr>
              <w:pStyle w:val="59"/>
              <w:spacing w:line="46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详见竞争性磋商文件第二章。</w:t>
            </w:r>
          </w:p>
        </w:tc>
      </w:tr>
      <w:tr w14:paraId="12A9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99" w:type="dxa"/>
            <w:noWrap w:val="0"/>
            <w:vAlign w:val="center"/>
          </w:tcPr>
          <w:p w14:paraId="487B4CB8">
            <w:pPr>
              <w:numPr>
                <w:ilvl w:val="0"/>
                <w:numId w:val="0"/>
              </w:numPr>
              <w:ind w:leftChars="0"/>
              <w:jc w:val="both"/>
              <w:rPr>
                <w:rFonts w:hint="default" w:ascii="宋体" w:hAnsi="宋体" w:eastAsia="宋体" w:cs="宋体"/>
                <w:color w:val="auto"/>
                <w:sz w:val="24"/>
                <w:highlight w:val="none"/>
                <w:lang w:val="en-US" w:eastAsia="zh-CN"/>
              </w:rPr>
            </w:pPr>
            <w:bookmarkStart w:id="2" w:name="_Toc7453872"/>
            <w:r>
              <w:rPr>
                <w:rFonts w:hint="eastAsia" w:ascii="宋体" w:hAnsi="宋体" w:cs="宋体"/>
                <w:color w:val="auto"/>
                <w:sz w:val="24"/>
                <w:highlight w:val="none"/>
                <w:lang w:val="en-US" w:eastAsia="zh-CN"/>
              </w:rPr>
              <w:t>27</w:t>
            </w:r>
          </w:p>
        </w:tc>
        <w:tc>
          <w:tcPr>
            <w:tcW w:w="1959" w:type="dxa"/>
            <w:noWrap w:val="0"/>
            <w:vAlign w:val="center"/>
          </w:tcPr>
          <w:p w14:paraId="44706DAB">
            <w:pPr>
              <w:tabs>
                <w:tab w:val="left" w:pos="2860"/>
              </w:tabs>
              <w:bidi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不见面开标注意事项</w:t>
            </w:r>
          </w:p>
          <w:p w14:paraId="7909B9DE">
            <w:pPr>
              <w:spacing w:line="360" w:lineRule="auto"/>
              <w:jc w:val="center"/>
              <w:rPr>
                <w:rFonts w:hint="eastAsia" w:ascii="宋体" w:hAnsi="宋体" w:eastAsia="宋体" w:cs="宋体"/>
                <w:color w:val="auto"/>
                <w:kern w:val="2"/>
                <w:sz w:val="24"/>
                <w:szCs w:val="24"/>
                <w:highlight w:val="none"/>
                <w:lang w:val="en-US" w:eastAsia="zh-CN" w:bidi="ar-SA"/>
              </w:rPr>
            </w:pPr>
          </w:p>
        </w:tc>
        <w:tc>
          <w:tcPr>
            <w:tcW w:w="6406" w:type="dxa"/>
            <w:noWrap w:val="0"/>
            <w:vAlign w:val="center"/>
          </w:tcPr>
          <w:p w14:paraId="3850474E">
            <w:pPr>
              <w:numPr>
                <w:ilvl w:val="0"/>
                <w:numId w:val="2"/>
              </w:numPr>
              <w:tabs>
                <w:tab w:val="left" w:pos="2860"/>
              </w:tabs>
              <w:bidi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在响应文件提交截止时间前，各供应商必须在电子交易平台递交响应文件，否则无法进入后续的开标环节。</w:t>
            </w:r>
          </w:p>
          <w:p w14:paraId="556B27BC">
            <w:pPr>
              <w:numPr>
                <w:ilvl w:val="0"/>
                <w:numId w:val="2"/>
              </w:numPr>
              <w:tabs>
                <w:tab w:val="left" w:pos="2860"/>
              </w:tabs>
              <w:bidi w:val="0"/>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供应商通过线上观看开标现场</w:t>
            </w:r>
            <w:r>
              <w:rPr>
                <w:rFonts w:hint="eastAsia" w:ascii="宋体" w:hAnsi="宋体" w:cs="宋体"/>
                <w:color w:val="auto"/>
                <w:kern w:val="2"/>
                <w:sz w:val="24"/>
                <w:szCs w:val="24"/>
                <w:highlight w:val="none"/>
                <w:lang w:val="en-US" w:eastAsia="zh-CN" w:bidi="ar-SA"/>
              </w:rPr>
              <w:t>音</w:t>
            </w:r>
            <w:r>
              <w:rPr>
                <w:rFonts w:hint="eastAsia" w:ascii="宋体" w:hAnsi="宋体" w:eastAsia="宋体" w:cs="宋体"/>
                <w:color w:val="auto"/>
                <w:kern w:val="2"/>
                <w:sz w:val="24"/>
                <w:szCs w:val="24"/>
                <w:highlight w:val="none"/>
                <w:lang w:val="en-US" w:eastAsia="zh-CN" w:bidi="ar-SA"/>
              </w:rPr>
              <w:t>视频，无需到现场参加开标</w:t>
            </w:r>
            <w:r>
              <w:rPr>
                <w:rFonts w:hint="eastAsia" w:ascii="宋体" w:hAnsi="宋体" w:cs="宋体"/>
                <w:color w:val="auto"/>
                <w:kern w:val="2"/>
                <w:sz w:val="24"/>
                <w:szCs w:val="24"/>
                <w:highlight w:val="none"/>
                <w:lang w:val="en-US" w:eastAsia="zh-CN" w:bidi="ar-SA"/>
              </w:rPr>
              <w:t>磋商</w:t>
            </w:r>
            <w:r>
              <w:rPr>
                <w:rFonts w:hint="eastAsia" w:ascii="宋体" w:hAnsi="宋体" w:eastAsia="宋体" w:cs="宋体"/>
                <w:color w:val="auto"/>
                <w:kern w:val="2"/>
                <w:sz w:val="24"/>
                <w:szCs w:val="24"/>
                <w:highlight w:val="none"/>
                <w:lang w:val="en-US" w:eastAsia="zh-CN" w:bidi="ar-SA"/>
              </w:rPr>
              <w:t>会议。</w:t>
            </w:r>
          </w:p>
          <w:p w14:paraId="100367DB">
            <w:pPr>
              <w:numPr>
                <w:ilvl w:val="0"/>
                <w:numId w:val="2"/>
              </w:numPr>
              <w:tabs>
                <w:tab w:val="left" w:pos="2860"/>
              </w:tabs>
              <w:bidi w:val="0"/>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实施“不见面开标”，供应商应确保自己的电脑环境、CA锁、网络等状况良好，以免影响其参与交易活动。</w:t>
            </w:r>
          </w:p>
          <w:p w14:paraId="42422A54">
            <w:pPr>
              <w:numPr>
                <w:ilvl w:val="0"/>
                <w:numId w:val="2"/>
              </w:numPr>
              <w:tabs>
                <w:tab w:val="left" w:pos="2860"/>
              </w:tabs>
              <w:bidi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为保证线上不见面开标顺利进行，各供应商应及时访问全国公共资源交易平台（陕西省·宝鸡市）网站“服务指南-下载专区”栏目，下载学习“不见面开标”操作指南---</w:t>
            </w:r>
            <w:r>
              <w:rPr>
                <w:rFonts w:hint="eastAsia" w:ascii="宋体" w:hAnsi="宋体" w:eastAsia="宋体" w:cs="宋体"/>
                <w:b w:val="0"/>
                <w:bCs w:val="0"/>
                <w:i w:val="0"/>
                <w:iCs w:val="0"/>
                <w:caps w:val="0"/>
                <w:color w:val="auto"/>
                <w:spacing w:val="0"/>
                <w:kern w:val="0"/>
                <w:sz w:val="21"/>
                <w:szCs w:val="21"/>
                <w:highlight w:val="none"/>
                <w:shd w:val="clear" w:color="auto" w:fill="FFFFFF"/>
                <w:lang w:val="en-US" w:eastAsia="zh-CN" w:bidi="ar-SA"/>
              </w:rPr>
              <w:t>《</w:t>
            </w:r>
            <w:r>
              <w:rPr>
                <w:rFonts w:hint="eastAsia" w:ascii="宋体" w:hAnsi="宋体" w:eastAsia="宋体" w:cs="宋体"/>
                <w:color w:val="auto"/>
                <w:kern w:val="2"/>
                <w:sz w:val="24"/>
                <w:szCs w:val="24"/>
                <w:highlight w:val="none"/>
                <w:lang w:val="en-US" w:eastAsia="zh-CN" w:bidi="ar-SA"/>
              </w:rPr>
              <w:t>政府采购电子交易-不见面系统操作手册》、（新版政府采购不见面开标系统操作演示），提前做好有关设施、设备配置安装准备工作。因供应商自身软硬件配备不齐全、不达要求或发生故障等问题而导致在交互过程中出现不稳定或中断等情况的，由供应商自身承担后果。</w:t>
            </w:r>
          </w:p>
        </w:tc>
      </w:tr>
      <w:tr w14:paraId="6137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99" w:type="dxa"/>
            <w:noWrap w:val="0"/>
            <w:vAlign w:val="center"/>
          </w:tcPr>
          <w:p w14:paraId="4CC8E653">
            <w:pPr>
              <w:numPr>
                <w:ilvl w:val="0"/>
                <w:numId w:val="0"/>
              </w:numPr>
              <w:ind w:leftChars="0"/>
              <w:jc w:val="both"/>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28</w:t>
            </w:r>
          </w:p>
        </w:tc>
        <w:tc>
          <w:tcPr>
            <w:tcW w:w="1959" w:type="dxa"/>
            <w:noWrap w:val="0"/>
            <w:vAlign w:val="center"/>
          </w:tcPr>
          <w:p w14:paraId="1ABEE107">
            <w:pPr>
              <w:tabs>
                <w:tab w:val="left" w:pos="7013"/>
              </w:tabs>
              <w:spacing w:line="460" w:lineRule="exact"/>
              <w:rPr>
                <w:rFonts w:hint="eastAsia" w:ascii="宋体" w:hAnsi="宋体" w:eastAsia="宋体" w:cs="宋体"/>
                <w:color w:val="auto"/>
                <w:kern w:val="2"/>
                <w:sz w:val="24"/>
                <w:szCs w:val="24"/>
                <w:highlight w:val="none"/>
                <w:lang w:val="en-US" w:eastAsia="zh-CN" w:bidi="ar-SA"/>
              </w:rPr>
            </w:pPr>
            <w:r>
              <w:rPr>
                <w:rFonts w:hint="eastAsia" w:ascii="宋体" w:hAnsi="宋体" w:cs="宋体"/>
                <w:sz w:val="24"/>
                <w:highlight w:val="none"/>
                <w:lang w:val="en-US" w:eastAsia="zh-CN"/>
              </w:rPr>
              <w:t>标的所属行业</w:t>
            </w:r>
          </w:p>
        </w:tc>
        <w:tc>
          <w:tcPr>
            <w:tcW w:w="6406" w:type="dxa"/>
            <w:noWrap w:val="0"/>
            <w:vAlign w:val="center"/>
          </w:tcPr>
          <w:p w14:paraId="123EEDC5">
            <w:pPr>
              <w:keepNext w:val="0"/>
              <w:keepLines w:val="0"/>
              <w:widowControl/>
              <w:suppressLineNumbers w:val="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sz w:val="24"/>
                <w:highlight w:val="none"/>
                <w:lang w:val="en-US" w:eastAsia="zh-CN"/>
              </w:rPr>
              <w:t>本项目标的所属行业：</w:t>
            </w:r>
            <w:r>
              <w:rPr>
                <w:rFonts w:hint="eastAsia" w:ascii="宋体" w:hAnsi="宋体" w:cs="宋体"/>
                <w:kern w:val="2"/>
                <w:sz w:val="24"/>
                <w:szCs w:val="24"/>
                <w:highlight w:val="none"/>
                <w:lang w:val="en-US" w:eastAsia="zh-CN" w:bidi="ar-SA"/>
              </w:rPr>
              <w:t>建筑业</w:t>
            </w:r>
          </w:p>
        </w:tc>
      </w:tr>
      <w:tr w14:paraId="58F8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99" w:type="dxa"/>
            <w:noWrap w:val="0"/>
            <w:vAlign w:val="center"/>
          </w:tcPr>
          <w:p w14:paraId="0306A9CF">
            <w:pPr>
              <w:numPr>
                <w:ilvl w:val="0"/>
                <w:numId w:val="0"/>
              </w:numPr>
              <w:ind w:left="0" w:leftChars="0" w:firstLine="0" w:firstLineChars="0"/>
              <w:jc w:val="both"/>
              <w:rPr>
                <w:rFonts w:hint="default" w:ascii="宋体" w:hAnsi="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9</w:t>
            </w:r>
          </w:p>
        </w:tc>
        <w:tc>
          <w:tcPr>
            <w:tcW w:w="1959" w:type="dxa"/>
            <w:noWrap w:val="0"/>
            <w:vAlign w:val="center"/>
          </w:tcPr>
          <w:p w14:paraId="4255B1D7">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其它事项</w:t>
            </w:r>
          </w:p>
        </w:tc>
        <w:tc>
          <w:tcPr>
            <w:tcW w:w="6406" w:type="dxa"/>
            <w:noWrap w:val="0"/>
            <w:vAlign w:val="center"/>
          </w:tcPr>
          <w:p w14:paraId="1FA44534">
            <w:pPr>
              <w:pStyle w:val="59"/>
              <w:spacing w:line="46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rPr>
              <w:t>本次采购、磋商报价、评审和合同授予均以项目为单位，供应商必须就一个完整项目进行响应。成交供应商与采购人在成交通知书发出</w:t>
            </w:r>
            <w:r>
              <w:rPr>
                <w:rFonts w:hint="eastAsia" w:ascii="宋体" w:hAnsi="宋体" w:cs="宋体"/>
                <w:color w:val="auto"/>
                <w:kern w:val="2"/>
                <w:sz w:val="24"/>
                <w:szCs w:val="24"/>
                <w:highlight w:val="none"/>
                <w:lang w:val="en-US" w:eastAsia="zh-CN"/>
              </w:rPr>
              <w:t>25</w:t>
            </w:r>
            <w:r>
              <w:rPr>
                <w:rFonts w:hint="eastAsia" w:ascii="宋体" w:hAnsi="宋体" w:eastAsia="宋体" w:cs="宋体"/>
                <w:color w:val="auto"/>
                <w:kern w:val="2"/>
                <w:sz w:val="24"/>
                <w:szCs w:val="24"/>
                <w:highlight w:val="none"/>
              </w:rPr>
              <w:t>天内签订合同，不及时签订视为自动放弃。非经采购人同意，本项目不允许成交后另行转包或者分包。成交人无正当理由不得放弃中标。</w:t>
            </w:r>
            <w:r>
              <w:rPr>
                <w:rFonts w:hint="eastAsia" w:ascii="宋体" w:hAnsi="宋体" w:eastAsia="宋体" w:cs="宋体"/>
                <w:color w:val="auto"/>
                <w:sz w:val="24"/>
                <w:szCs w:val="24"/>
                <w:highlight w:val="none"/>
              </w:rPr>
              <w:t>因自身原因拒绝签订政府采购合同的或者未按合同约定进行履约的，成交人不得参加对该项目重新开展的</w:t>
            </w: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活动。</w:t>
            </w:r>
          </w:p>
        </w:tc>
      </w:tr>
    </w:tbl>
    <w:p w14:paraId="3368B574">
      <w:pPr>
        <w:pStyle w:val="22"/>
        <w:keepNext w:val="0"/>
        <w:keepLines w:val="0"/>
        <w:pageBreakBefore w:val="0"/>
        <w:widowControl/>
        <w:suppressLineNumbers w:val="0"/>
        <w:wordWrap/>
        <w:topLinePunct w:val="0"/>
        <w:bidi w:val="0"/>
        <w:spacing w:before="0" w:beforeAutospacing="0" w:after="0" w:afterAutospacing="0" w:line="365" w:lineRule="auto"/>
        <w:ind w:right="0"/>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二、项目说明</w:t>
      </w:r>
      <w:bookmarkEnd w:id="2"/>
    </w:p>
    <w:p w14:paraId="13E22DE3">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1、本项目说明详见供应商须知前附表。</w:t>
      </w:r>
    </w:p>
    <w:p w14:paraId="08C9332C">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2、本项目按照《中华人民共和国政府采购法》等有关法律、行政法规和部门规章，通过竞争性磋商方式择优选定成交供应商。</w:t>
      </w:r>
    </w:p>
    <w:p w14:paraId="5DAD1055">
      <w:pPr>
        <w:pStyle w:val="22"/>
        <w:keepNext w:val="0"/>
        <w:keepLines w:val="0"/>
        <w:pageBreakBefore w:val="0"/>
        <w:widowControl/>
        <w:suppressLineNumbers w:val="0"/>
        <w:wordWrap/>
        <w:topLinePunct w:val="0"/>
        <w:bidi w:val="0"/>
        <w:spacing w:before="0" w:beforeAutospacing="0" w:after="0" w:afterAutospacing="0" w:line="365" w:lineRule="auto"/>
        <w:ind w:right="0"/>
        <w:textAlignment w:val="auto"/>
        <w:outlineLvl w:val="1"/>
        <w:rPr>
          <w:rFonts w:hint="eastAsia" w:ascii="宋体" w:hAnsi="宋体" w:eastAsia="宋体" w:cs="宋体"/>
          <w:color w:val="auto"/>
          <w:kern w:val="2"/>
          <w:sz w:val="24"/>
          <w:szCs w:val="24"/>
          <w:highlight w:val="none"/>
          <w:lang w:val="en-US" w:eastAsia="zh-CN" w:bidi="ar-SA"/>
        </w:rPr>
      </w:pPr>
      <w:bookmarkStart w:id="3" w:name="_Toc458848734"/>
      <w:bookmarkStart w:id="4" w:name="_Toc458848967"/>
      <w:bookmarkStart w:id="5" w:name="_Toc458848819"/>
      <w:bookmarkStart w:id="6" w:name="_Toc7453873"/>
      <w:r>
        <w:rPr>
          <w:rFonts w:hint="eastAsia" w:ascii="宋体" w:hAnsi="宋体" w:eastAsia="宋体" w:cs="宋体"/>
          <w:b/>
          <w:bCs/>
          <w:color w:val="auto"/>
          <w:kern w:val="2"/>
          <w:sz w:val="24"/>
          <w:szCs w:val="24"/>
          <w:highlight w:val="none"/>
          <w:lang w:val="en-US" w:eastAsia="zh-CN" w:bidi="ar-SA"/>
        </w:rPr>
        <w:t>三、竞争性磋商文件</w:t>
      </w:r>
      <w:bookmarkEnd w:id="3"/>
      <w:bookmarkEnd w:id="4"/>
      <w:bookmarkEnd w:id="5"/>
      <w:bookmarkEnd w:id="6"/>
    </w:p>
    <w:p w14:paraId="0D2D6675">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1、竞争性磋商文件适用：仅适用于本次竞争性磋商文件所述项目。</w:t>
      </w:r>
    </w:p>
    <w:p w14:paraId="0A89A53A">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、竞争性磋商文件组成：包括竞争性磋商文件目录前六章。</w:t>
      </w:r>
    </w:p>
    <w:p w14:paraId="5E0AA43B">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、供应商应详细阅读和充分理解竞争性磋商文件所有的事项、格式、条款和规范要求等，在竞争性磋商响应文件中对竞争性磋商文件的各方面都做出实质性的响应，否则将导致响应无效。</w:t>
      </w:r>
    </w:p>
    <w:p w14:paraId="632C98E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、竞争性磋商文件的澄清或修改：</w:t>
      </w:r>
    </w:p>
    <w:p w14:paraId="1A14953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-1、提交磋商响应文件截止时间前，采购人、采购代理机构可以以书面形式对竞争性磋商文件进行必要的澄清或修改，但不得改变采购标的和资格条件。澄清或修改的内容均为竞争性磋商文件的组成部分，并对采购人及供应商起约束作用。澄清或修改的内容可能影响响应文件编制的，都将于提交磋商响应文件截止时间5日前以书面形式发送给所有参加磋商的供应商；不足5个日历日的，采购人、采购代理机构顺延递交竞争性磋商响应文件的截止时间。</w:t>
      </w:r>
    </w:p>
    <w:p w14:paraId="469371D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-2、竞争性磋商文件的澄清或修改内容均以书面形式明确的内容为准。当竞争性磋商文件的澄清、修改、补充等在同一内容的表述上不一致时，以最后发出的书面文件为准。所有补充文件将作为竞争性磋商文件的组成部分，对所有供应商具有约束力。</w:t>
      </w:r>
    </w:p>
    <w:p w14:paraId="14B0865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供应商若对磋商文件有任何疑问，可以以书面形式（纸质版加盖公章，下同）向采购代理机构提出询问。否则，视为同意磋商文件的一切条款和要求并承担由此引起的一切法律责任。凡因供应商对磋商文件阅读不深、理解不透、误解、疏漏、或因市场行情了解不清造成的后果和风险均由供应商自负。</w:t>
      </w:r>
    </w:p>
    <w:p w14:paraId="38DCFB71">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6</w:t>
      </w:r>
      <w:r>
        <w:rPr>
          <w:rFonts w:hint="eastAsia" w:ascii="宋体" w:hAnsi="宋体" w:eastAsia="宋体" w:cs="宋体"/>
          <w:color w:val="auto"/>
          <w:kern w:val="2"/>
          <w:sz w:val="24"/>
          <w:szCs w:val="24"/>
          <w:highlight w:val="none"/>
          <w:lang w:val="en-US" w:eastAsia="zh-CN" w:bidi="ar-SA"/>
        </w:rPr>
        <w:t>、供应商认为竞争性磋商文件使自己的权益受到损害的，在收到竞争性磋商文件之日起七个工作日内，以书面形式向采购代理机构提出质疑，逾期提出的无效，因此带来的一切不利后果由供应商自负。</w:t>
      </w:r>
    </w:p>
    <w:p w14:paraId="2248B291">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在磋商截止时间前，根据采购工作进展实际情况，采购人可酌情延长递交竞争性磋商响应文件的截止时间，若延长将另行以书面形式通知各供应商。采购代理机构和供应商的权利和义务将受到新的截止期的约束。</w:t>
      </w:r>
    </w:p>
    <w:p w14:paraId="3F6B0DE3">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、竞争性磋商文件的解释权归采购代理机构，如发现竞争性磋商文件内容与现行法律法规不相符的情况，以现行法律法规为准。</w:t>
      </w:r>
    </w:p>
    <w:p w14:paraId="0F17A8B6">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、现场勘查、标前答疑会：见须知前附表。</w:t>
      </w:r>
    </w:p>
    <w:p w14:paraId="3462BC03">
      <w:pPr>
        <w:pStyle w:val="22"/>
        <w:keepNext w:val="0"/>
        <w:keepLines w:val="0"/>
        <w:pageBreakBefore w:val="0"/>
        <w:widowControl/>
        <w:suppressLineNumbers w:val="0"/>
        <w:wordWrap/>
        <w:topLinePunct w:val="0"/>
        <w:bidi w:val="0"/>
        <w:spacing w:before="0" w:beforeAutospacing="0" w:after="0" w:afterAutospacing="0" w:line="365" w:lineRule="auto"/>
        <w:ind w:right="0"/>
        <w:textAlignment w:val="auto"/>
        <w:outlineLvl w:val="1"/>
        <w:rPr>
          <w:rFonts w:hint="eastAsia" w:ascii="宋体" w:hAnsi="宋体" w:eastAsia="宋体" w:cs="宋体"/>
          <w:b/>
          <w:bCs/>
          <w:i w:val="0"/>
          <w:iCs w:val="0"/>
          <w:caps w:val="0"/>
          <w:color w:val="auto"/>
          <w:spacing w:val="0"/>
          <w:sz w:val="24"/>
          <w:szCs w:val="24"/>
          <w:highlight w:val="none"/>
          <w:shd w:val="clear" w:fill="FFFFFF"/>
        </w:rPr>
      </w:pPr>
      <w:bookmarkStart w:id="7" w:name="_Toc458848820"/>
      <w:bookmarkStart w:id="8" w:name="_Toc458848968"/>
      <w:bookmarkStart w:id="9" w:name="_Toc458848735"/>
      <w:bookmarkStart w:id="10" w:name="_Toc7453874"/>
      <w:r>
        <w:rPr>
          <w:rFonts w:hint="eastAsia" w:ascii="宋体" w:hAnsi="宋体" w:eastAsia="宋体" w:cs="宋体"/>
          <w:b/>
          <w:bCs/>
          <w:i w:val="0"/>
          <w:iCs w:val="0"/>
          <w:caps w:val="0"/>
          <w:color w:val="auto"/>
          <w:spacing w:val="0"/>
          <w:sz w:val="24"/>
          <w:szCs w:val="24"/>
          <w:highlight w:val="none"/>
          <w:shd w:val="clear" w:fill="FFFFFF"/>
        </w:rPr>
        <w:t>四、竞争性磋商响应文件</w:t>
      </w:r>
      <w:bookmarkEnd w:id="7"/>
      <w:bookmarkEnd w:id="8"/>
      <w:bookmarkEnd w:id="9"/>
      <w:bookmarkEnd w:id="10"/>
    </w:p>
    <w:p w14:paraId="2CC63CF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1、供应商资格要求</w:t>
      </w:r>
    </w:p>
    <w:p w14:paraId="5F46B20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1.1满足《中华人民共和国政府采购法》第二十二条规定;</w:t>
      </w:r>
    </w:p>
    <w:p w14:paraId="50AE5EC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2.1落实政府采购政策需满足的资格要求：</w:t>
      </w:r>
    </w:p>
    <w:p w14:paraId="17AC667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合同包1(</w:t>
      </w:r>
      <w:r>
        <w:rPr>
          <w:rFonts w:hint="eastAsia" w:cs="宋体"/>
          <w:b w:val="0"/>
          <w:bCs w:val="0"/>
          <w:color w:val="auto"/>
          <w:kern w:val="2"/>
          <w:sz w:val="24"/>
          <w:szCs w:val="24"/>
          <w:highlight w:val="none"/>
          <w:lang w:val="en-US" w:eastAsia="zh-CN" w:bidi="ar-SA"/>
        </w:rPr>
        <w:t>2025年神农镇太平庄村供水抗旱应急水源项目</w:t>
      </w:r>
      <w:r>
        <w:rPr>
          <w:rFonts w:hint="eastAsia" w:ascii="宋体" w:hAnsi="宋体" w:eastAsia="宋体" w:cs="宋体"/>
          <w:b w:val="0"/>
          <w:bCs w:val="0"/>
          <w:color w:val="auto"/>
          <w:kern w:val="2"/>
          <w:sz w:val="24"/>
          <w:szCs w:val="24"/>
          <w:highlight w:val="none"/>
          <w:lang w:val="en-US" w:eastAsia="zh-CN" w:bidi="ar-SA"/>
        </w:rPr>
        <w:t>)落实政府采购政策需满足的资格要求如下:</w:t>
      </w:r>
    </w:p>
    <w:p w14:paraId="61206350">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本项目专门</w:t>
      </w:r>
      <w:r>
        <w:rPr>
          <w:rFonts w:hint="eastAsia" w:ascii="宋体" w:hAnsi="宋体" w:eastAsia="宋体" w:cs="宋体"/>
          <w:color w:val="auto"/>
          <w:kern w:val="2"/>
          <w:sz w:val="24"/>
          <w:szCs w:val="24"/>
          <w:highlight w:val="none"/>
          <w:lang w:val="en-US" w:eastAsia="zh-CN" w:bidi="ar-SA"/>
        </w:rPr>
        <w:t>面向中小企业采购。（残疾人福利性单位、监狱企业视同小型、微型企业）；须符合《政府采购促进中小企业发展管理办法》（财库〔2020〕46号）规定的中小企业参加。本项目采购标的所属行业为：建筑业。</w:t>
      </w:r>
    </w:p>
    <w:p w14:paraId="6B96BE2C">
      <w:pPr>
        <w:pStyle w:val="22"/>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3.1本项目的特定资格要求：</w:t>
      </w:r>
    </w:p>
    <w:p w14:paraId="4E199E3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合同包1(</w:t>
      </w:r>
      <w:r>
        <w:rPr>
          <w:rFonts w:hint="eastAsia" w:cs="宋体"/>
          <w:b w:val="0"/>
          <w:bCs w:val="0"/>
          <w:color w:val="auto"/>
          <w:kern w:val="2"/>
          <w:sz w:val="24"/>
          <w:szCs w:val="24"/>
          <w:highlight w:val="none"/>
          <w:lang w:val="en-US" w:eastAsia="zh-CN" w:bidi="ar-SA"/>
        </w:rPr>
        <w:t>2025年神农镇太平庄村供水抗旱应急水源项目</w:t>
      </w:r>
      <w:r>
        <w:rPr>
          <w:rFonts w:hint="eastAsia" w:ascii="宋体" w:hAnsi="宋体" w:eastAsia="宋体" w:cs="宋体"/>
          <w:b w:val="0"/>
          <w:bCs w:val="0"/>
          <w:color w:val="auto"/>
          <w:kern w:val="2"/>
          <w:sz w:val="24"/>
          <w:szCs w:val="24"/>
          <w:highlight w:val="none"/>
          <w:lang w:val="en-US" w:eastAsia="zh-CN" w:bidi="ar-SA"/>
        </w:rPr>
        <w:t>)特定资格要求如下:</w:t>
      </w:r>
    </w:p>
    <w:p w14:paraId="677F4399">
      <w:pPr>
        <w:pStyle w:val="22"/>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80" w:leftChars="0" w:right="0" w:rightChars="0" w:firstLine="480" w:firstLineChars="0"/>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供应商须为合法注册的法人、其他组织或者自然人，并具有独立承担民事责任的能力；提供统一社会信用代码的营业执照（或事业法人证、自然人身份证）等证明文件；</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（2）法定代表人参加采购活动须出示本人身份证（原件及复印件），被授权代表参加采购活动须出示本人身份证原件和法定代表人授权书；</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（3）</w:t>
      </w:r>
      <w:r>
        <w:rPr>
          <w:rFonts w:hint="default" w:cs="宋体"/>
          <w:i w:val="0"/>
          <w:iCs w:val="0"/>
          <w:caps w:val="0"/>
          <w:color w:val="auto"/>
          <w:spacing w:val="0"/>
          <w:sz w:val="24"/>
          <w:szCs w:val="24"/>
          <w:highlight w:val="none"/>
          <w:shd w:val="clear" w:fill="FFFFFF"/>
        </w:rPr>
        <w:t>供应商应具备水利水电工程施工总承包三级及以上资质和有效的安全生产许可证；拟派本工程项目经理须具有水利水电工程专业二级及以上建造师资格证、注册证及有效的安全生产考核合格证，并无在建项目（以无在建承诺书为准）</w:t>
      </w: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4）财务状况报告：提供具有财务审计资质单位出具的2024年度财务审计报告，（成立时间至提交投标文件截止时间不足一年的可提供成立后任意时段的资产负债表），或开标时间前六个月内银行出具的资信证明；</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（5）社会保障资金缴纳证明：</w:t>
      </w:r>
      <w:r>
        <w:rPr>
          <w:rFonts w:hint="default" w:cs="宋体"/>
          <w:i w:val="0"/>
          <w:iCs w:val="0"/>
          <w:caps w:val="0"/>
          <w:color w:val="auto"/>
          <w:spacing w:val="0"/>
          <w:sz w:val="24"/>
          <w:szCs w:val="24"/>
          <w:highlight w:val="none"/>
          <w:shd w:val="clear" w:fill="FFFFFF"/>
        </w:rPr>
        <w:t>提供截止至采购时间前任意六个月的社保缴费凭据或社保机构开具的社会保险参保缴费情况证明（依法不需要缴纳社会保障资金的供应商应提供相关证明）</w:t>
      </w: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（6）完税证明：提供截止至采购时间前六个月的纳税证明或完税证明，依</w:t>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法免税的单位应提供相关证明材料；</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（7）参加政府采购活动前3年内在经营活动中没有重大违法记录的书面声明；</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（8）提供具有履行本合同所必需的设备和专业技术能力的说明及承诺；</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（9）单位负责人为同一人或者存在直接控股、管理关系的不同供应商，不得参加同一合同项下的政府采购活动；（提供书面承诺函）；</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10）供应商不得为“信用中国(www.creditchina.gov.cn)”中列入失信被执行人和重大税收违法失信主体及“中国裁判文书网”（http://wenshu.court.gov.cn/）有行贿犯罪记录。（查询主体供应商、法定代表人、项目负责人）；不得为“中国政府采购网(www.ccgp.gov.cn)”政府采购严重违法失信行为记录名单中被财政部门禁止参加政府采购活动的供应商；</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（11）本项目不接受联合体投标；</w:t>
      </w:r>
      <w:r>
        <w:rPr>
          <w:rFonts w:hint="eastAsia" w:ascii="宋体" w:hAnsi="宋体" w:eastAsia="宋体" w:cs="宋体"/>
          <w:i w:val="0"/>
          <w:iCs w:val="0"/>
          <w:caps w:val="0"/>
          <w:color w:val="auto"/>
          <w:spacing w:val="0"/>
          <w:sz w:val="24"/>
          <w:szCs w:val="24"/>
          <w:highlight w:val="none"/>
          <w:shd w:val="clear" w:fill="FFFFFF"/>
        </w:rPr>
        <w:br w:type="textWrapping"/>
      </w:r>
      <w:r>
        <w:rPr>
          <w:rFonts w:hint="eastAsia" w:cs="宋体"/>
          <w:i w:val="0"/>
          <w:iCs w:val="0"/>
          <w:caps w:val="0"/>
          <w:color w:val="auto"/>
          <w:spacing w:val="0"/>
          <w:sz w:val="24"/>
          <w:szCs w:val="24"/>
          <w:highlight w:val="none"/>
          <w:shd w:val="clear" w:fill="FFFFFF"/>
          <w:lang w:val="en-US" w:eastAsia="zh-CN"/>
        </w:rPr>
        <w:t xml:space="preserve">    </w:t>
      </w:r>
      <w:r>
        <w:rPr>
          <w:rFonts w:hint="eastAsia" w:ascii="宋体" w:hAnsi="宋体" w:eastAsia="宋体" w:cs="宋体"/>
          <w:i w:val="0"/>
          <w:iCs w:val="0"/>
          <w:caps w:val="0"/>
          <w:color w:val="auto"/>
          <w:spacing w:val="0"/>
          <w:sz w:val="24"/>
          <w:szCs w:val="24"/>
          <w:highlight w:val="none"/>
          <w:shd w:val="clear" w:fill="FFFFFF"/>
        </w:rPr>
        <w:t>（12）本项目为专门面向中小企业，须提供中小企业声明函；</w:t>
      </w:r>
    </w:p>
    <w:p w14:paraId="0BCF90AE">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2、合格供应商</w:t>
      </w:r>
    </w:p>
    <w:p w14:paraId="745BE3A4">
      <w:pPr>
        <w:pageBreakBefore w:val="0"/>
        <w:wordWrap/>
        <w:topLinePunct w:val="0"/>
        <w:autoSpaceDE/>
        <w:autoSpaceDN/>
        <w:bidi w:val="0"/>
        <w:spacing w:line="365"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依照《中华人民共和国公司法》合法注册的法人或其他组织、符合《中华人民共和国政府采购法》</w:t>
      </w:r>
      <w:bookmarkStart w:id="11" w:name="OLE_LINK8"/>
      <w:r>
        <w:rPr>
          <w:rFonts w:hint="eastAsia" w:ascii="宋体" w:hAnsi="宋体" w:eastAsia="宋体" w:cs="宋体"/>
          <w:color w:val="auto"/>
          <w:sz w:val="24"/>
          <w:szCs w:val="24"/>
          <w:highlight w:val="none"/>
        </w:rPr>
        <w:t>及其实施条例等有关法律法规的规定</w:t>
      </w:r>
      <w:bookmarkEnd w:id="11"/>
      <w:r>
        <w:rPr>
          <w:rFonts w:hint="eastAsia" w:ascii="宋体" w:hAnsi="宋体" w:eastAsia="宋体" w:cs="宋体"/>
          <w:color w:val="auto"/>
          <w:sz w:val="24"/>
          <w:szCs w:val="24"/>
          <w:highlight w:val="none"/>
        </w:rPr>
        <w:t>并满足本项目资格条件。不符合上述规定的供应商，磋商响应无效。</w:t>
      </w:r>
    </w:p>
    <w:p w14:paraId="598732FC">
      <w:pPr>
        <w:pageBreakBefore w:val="0"/>
        <w:wordWrap/>
        <w:topLinePunct w:val="0"/>
        <w:autoSpaceDE/>
        <w:autoSpaceDN/>
        <w:bidi w:val="0"/>
        <w:spacing w:line="365"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3、供应商信用信息：</w:t>
      </w:r>
    </w:p>
    <w:p w14:paraId="3064F7A1">
      <w:pPr>
        <w:pageBreakBefore w:val="0"/>
        <w:wordWrap/>
        <w:topLinePunct w:val="0"/>
        <w:autoSpaceDE/>
        <w:autoSpaceDN/>
        <w:bidi w:val="0"/>
        <w:spacing w:line="365"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“信用中国”网站（www.creditchina.gov.cn）、中国政府采购网（www.ccgp.gov.cn）相关主体信用记录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供应商应提供信用承诺</w:t>
      </w:r>
      <w:r>
        <w:rPr>
          <w:rFonts w:hint="eastAsia" w:ascii="宋体" w:hAnsi="宋体" w:cs="宋体"/>
          <w:color w:val="auto"/>
          <w:sz w:val="24"/>
          <w:szCs w:val="24"/>
          <w:highlight w:val="none"/>
          <w:lang w:val="en-US" w:eastAsia="zh-CN"/>
        </w:rPr>
        <w:t>书</w:t>
      </w:r>
      <w:r>
        <w:rPr>
          <w:rFonts w:hint="eastAsia" w:ascii="宋体" w:hAnsi="宋体" w:eastAsia="宋体" w:cs="宋体"/>
          <w:color w:val="auto"/>
          <w:sz w:val="24"/>
          <w:szCs w:val="24"/>
          <w:highlight w:val="none"/>
          <w:lang w:val="en-US" w:eastAsia="zh-CN"/>
        </w:rPr>
        <w:t>，并对其承诺</w:t>
      </w:r>
      <w:r>
        <w:rPr>
          <w:rFonts w:hint="eastAsia" w:ascii="宋体" w:hAnsi="宋体" w:cs="宋体"/>
          <w:color w:val="auto"/>
          <w:sz w:val="24"/>
          <w:szCs w:val="24"/>
          <w:highlight w:val="none"/>
          <w:lang w:val="en-US" w:eastAsia="zh-CN"/>
        </w:rPr>
        <w:t>书</w:t>
      </w:r>
      <w:r>
        <w:rPr>
          <w:rFonts w:hint="eastAsia" w:ascii="宋体" w:hAnsi="宋体" w:eastAsia="宋体" w:cs="宋体"/>
          <w:color w:val="auto"/>
          <w:sz w:val="24"/>
          <w:szCs w:val="24"/>
          <w:highlight w:val="none"/>
          <w:lang w:val="en-US" w:eastAsia="zh-CN"/>
        </w:rPr>
        <w:t>的真实性负责</w:t>
      </w:r>
      <w:r>
        <w:rPr>
          <w:rFonts w:hint="eastAsia" w:ascii="宋体" w:hAnsi="宋体" w:eastAsia="宋体" w:cs="宋体"/>
          <w:color w:val="auto"/>
          <w:sz w:val="24"/>
          <w:szCs w:val="24"/>
          <w:highlight w:val="none"/>
        </w:rPr>
        <w:t>。</w:t>
      </w:r>
    </w:p>
    <w:p w14:paraId="045E6266">
      <w:pPr>
        <w:pageBreakBefore w:val="0"/>
        <w:wordWrap/>
        <w:topLinePunct w:val="0"/>
        <w:autoSpaceDE/>
        <w:autoSpaceDN/>
        <w:bidi w:val="0"/>
        <w:spacing w:line="365"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特别说明：</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如在</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通知书发出前出现违法失信行为，采购人仍有权利提请</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取消其中标资格；</w:t>
      </w:r>
    </w:p>
    <w:p w14:paraId="1C347F58">
      <w:pPr>
        <w:spacing w:line="480" w:lineRule="exact"/>
        <w:ind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xml:space="preserve">4、竞争性磋商响应文件的组成： </w:t>
      </w:r>
    </w:p>
    <w:p w14:paraId="1C2DE239">
      <w:pPr>
        <w:spacing w:line="480" w:lineRule="exact"/>
        <w:ind w:firstLine="480" w:firstLineChars="200"/>
        <w:rPr>
          <w:rFonts w:hint="eastAsia" w:ascii="宋体" w:hAnsi="宋体" w:eastAsia="宋体" w:cs="宋体"/>
          <w:bCs/>
          <w:color w:val="auto"/>
          <w:sz w:val="24"/>
          <w:szCs w:val="24"/>
          <w:highlight w:val="none"/>
          <w:lang w:val="en-US" w:eastAsia="zh-CN"/>
        </w:rPr>
      </w:pPr>
      <w:bookmarkStart w:id="12" w:name="_Toc35442385"/>
      <w:r>
        <w:rPr>
          <w:rFonts w:hint="eastAsia" w:ascii="宋体" w:hAnsi="宋体" w:eastAsia="宋体" w:cs="宋体"/>
          <w:bCs/>
          <w:color w:val="auto"/>
          <w:sz w:val="24"/>
          <w:szCs w:val="24"/>
          <w:highlight w:val="none"/>
          <w:lang w:val="en-US" w:eastAsia="zh-CN"/>
        </w:rPr>
        <w:t>4-1．响应文件格式</w:t>
      </w:r>
    </w:p>
    <w:p w14:paraId="6E7663DD">
      <w:pPr>
        <w:spacing w:line="48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4-2．资质证明文件</w:t>
      </w:r>
    </w:p>
    <w:p w14:paraId="0E9482B8">
      <w:pPr>
        <w:spacing w:line="48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4-3. 符合性证明文件</w:t>
      </w:r>
    </w:p>
    <w:p w14:paraId="0F14B635">
      <w:pPr>
        <w:spacing w:line="48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响应方案</w:t>
      </w:r>
    </w:p>
    <w:bookmarkEnd w:id="12"/>
    <w:p w14:paraId="10EAA0EB">
      <w:pPr>
        <w:spacing w:line="48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5、竞争性磋商响应文件编写说明</w:t>
      </w:r>
    </w:p>
    <w:p w14:paraId="4ABB2EC7">
      <w:pPr>
        <w:spacing w:line="48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5-1、竞争性磋商响应文件应当按照竞争性磋商文件给定的格式编制，格式之外的可自行编写。否则，将作为无效响应处理。</w:t>
      </w:r>
    </w:p>
    <w:p w14:paraId="6C2E5126">
      <w:pPr>
        <w:spacing w:line="48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5-2、</w:t>
      </w:r>
      <w:r>
        <w:rPr>
          <w:rFonts w:hint="eastAsia" w:ascii="宋体" w:hAnsi="宋体" w:eastAsia="宋体" w:cs="宋体"/>
          <w:bCs/>
          <w:color w:val="auto"/>
          <w:sz w:val="24"/>
          <w:szCs w:val="24"/>
          <w:highlight w:val="none"/>
        </w:rPr>
        <w:t>供应商必须按照</w:t>
      </w:r>
      <w:r>
        <w:rPr>
          <w:rFonts w:hint="eastAsia" w:ascii="宋体" w:hAnsi="宋体" w:eastAsia="宋体" w:cs="宋体"/>
          <w:color w:val="auto"/>
          <w:sz w:val="24"/>
          <w:szCs w:val="24"/>
          <w:highlight w:val="none"/>
        </w:rPr>
        <w:t>竞争性磋商文件</w:t>
      </w:r>
      <w:r>
        <w:rPr>
          <w:rFonts w:hint="eastAsia" w:ascii="宋体" w:hAnsi="宋体" w:eastAsia="宋体" w:cs="宋体"/>
          <w:bCs/>
          <w:color w:val="auto"/>
          <w:sz w:val="24"/>
          <w:szCs w:val="24"/>
          <w:highlight w:val="none"/>
        </w:rPr>
        <w:t>的规定和要求由法定代表人或被授权人签字（或盖章），并逐页加盖供应商公章（鲜章），如有遗漏，将作为无</w:t>
      </w:r>
      <w:r>
        <w:rPr>
          <w:rFonts w:hint="eastAsia" w:ascii="宋体" w:hAnsi="宋体" w:eastAsia="宋体" w:cs="宋体"/>
          <w:color w:val="auto"/>
          <w:sz w:val="24"/>
          <w:szCs w:val="24"/>
          <w:highlight w:val="none"/>
        </w:rPr>
        <w:t>效磋商响应处理</w:t>
      </w:r>
      <w:r>
        <w:rPr>
          <w:rFonts w:hint="eastAsia" w:ascii="宋体" w:hAnsi="宋体" w:eastAsia="宋体" w:cs="宋体"/>
          <w:bCs/>
          <w:color w:val="auto"/>
          <w:sz w:val="24"/>
          <w:szCs w:val="24"/>
          <w:highlight w:val="none"/>
        </w:rPr>
        <w:t>。</w:t>
      </w:r>
    </w:p>
    <w:p w14:paraId="0F6CE484">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、竞争性磋商响应文件</w:t>
      </w:r>
      <w:r>
        <w:rPr>
          <w:rFonts w:hint="eastAsia" w:ascii="宋体" w:hAnsi="宋体" w:eastAsia="宋体" w:cs="宋体"/>
          <w:color w:val="auto"/>
          <w:sz w:val="24"/>
          <w:szCs w:val="24"/>
          <w:highlight w:val="none"/>
          <w:lang w:val="en-US" w:eastAsia="zh-CN"/>
        </w:rPr>
        <w:t>因内容表达不清</w:t>
      </w:r>
      <w:r>
        <w:rPr>
          <w:rFonts w:hint="eastAsia" w:ascii="宋体" w:hAnsi="宋体" w:eastAsia="宋体" w:cs="宋体"/>
          <w:color w:val="auto"/>
          <w:sz w:val="24"/>
          <w:szCs w:val="24"/>
          <w:highlight w:val="none"/>
        </w:rPr>
        <w:t>、印章或证明材料内容模糊难辨等导致的不利后果由供应商自行承担。</w:t>
      </w:r>
    </w:p>
    <w:p w14:paraId="2E8CF2CC">
      <w:pPr>
        <w:spacing w:line="480" w:lineRule="exact"/>
        <w:ind w:firstLine="482" w:firstLineChars="200"/>
        <w:rPr>
          <w:rFonts w:hint="eastAsia" w:ascii="宋体" w:hAnsi="宋体" w:eastAsia="宋体" w:cs="宋体"/>
          <w:b/>
          <w:bCs/>
          <w:color w:val="auto"/>
          <w:kern w:val="2"/>
          <w:sz w:val="24"/>
          <w:szCs w:val="24"/>
          <w:highlight w:val="none"/>
          <w:shd w:val="clear" w:color="auto" w:fill="FFFFFF"/>
          <w:lang w:val="en-US" w:eastAsia="zh-CN" w:bidi="ar-SA"/>
        </w:rPr>
      </w:pPr>
      <w:r>
        <w:rPr>
          <w:rFonts w:hint="eastAsia" w:ascii="宋体" w:hAnsi="宋体" w:eastAsia="宋体" w:cs="宋体"/>
          <w:b/>
          <w:bCs/>
          <w:color w:val="auto"/>
          <w:kern w:val="2"/>
          <w:sz w:val="24"/>
          <w:szCs w:val="24"/>
          <w:highlight w:val="none"/>
          <w:shd w:val="clear" w:color="auto" w:fill="FFFFFF"/>
          <w:lang w:val="en-US" w:eastAsia="zh-CN" w:bidi="ar-SA"/>
        </w:rPr>
        <w:t>6、磋商响应文件的制作和签署</w:t>
      </w:r>
    </w:p>
    <w:p w14:paraId="338740F5">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highlight w:val="none"/>
          <w:lang w:val="en-US" w:eastAsia="zh-CN"/>
        </w:rPr>
        <w:t>登录全国公共资源交易平台（陕西省·宝鸡市）网站[服务指南-下载专区]免费下载《政府采购电子标书制作工具》。编制电子响应文件时，应使用最新发布的电子磋商文件及专用制作工具进行编制。并使用数字认证证书（CA）对响应文件进行签署、加密、递交、开标时解密以及二次报价等相关操作。电子磋商响应文件在编制过程中，如有技术性问题，请先翻阅操作手册或致电软件开发商，技术支持热线：4009980000。</w:t>
      </w:r>
    </w:p>
    <w:p w14:paraId="408E0275">
      <w:pPr>
        <w:spacing w:line="480" w:lineRule="exact"/>
        <w:ind w:firstLine="480" w:firstLine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注：该项目如有变更文件，则应点击“项目流程答疑文件下载”下载更新后的电子招标文件（*.SXSCF），使用旧版电子招标文件制作的电子响应文件，系统将拒绝接收。</w:t>
      </w:r>
    </w:p>
    <w:p w14:paraId="465E24B4">
      <w:pPr>
        <w:spacing w:line="4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7、竞争性磋商响应文件的计量单位</w:t>
      </w:r>
    </w:p>
    <w:p w14:paraId="095CD58A">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竞争性磋商响应文件中所使用的计量单位，除有特殊要求外，均采用国家法定计量单位。</w:t>
      </w:r>
    </w:p>
    <w:p w14:paraId="5EDEC576">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8、磋商报价</w:t>
      </w:r>
    </w:p>
    <w:p w14:paraId="50F0A49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8-1、磋商货币：人民币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单位：元（保留小数点后两位）。</w:t>
      </w:r>
    </w:p>
    <w:p w14:paraId="4B46203A">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highlight w:val="none"/>
        </w:rPr>
        <w:t>要按报价表内容填写名称、</w:t>
      </w:r>
      <w:r>
        <w:rPr>
          <w:rFonts w:hint="eastAsia" w:ascii="宋体" w:hAnsi="宋体" w:eastAsia="宋体" w:cs="宋体"/>
          <w:color w:val="auto"/>
          <w:sz w:val="24"/>
          <w:szCs w:val="24"/>
          <w:highlight w:val="none"/>
          <w:lang w:val="en-US" w:eastAsia="zh-CN"/>
        </w:rPr>
        <w:t>工</w:t>
      </w:r>
      <w:r>
        <w:rPr>
          <w:rFonts w:hint="eastAsia" w:ascii="宋体" w:hAnsi="宋体" w:eastAsia="宋体" w:cs="宋体"/>
          <w:color w:val="auto"/>
          <w:sz w:val="24"/>
          <w:szCs w:val="24"/>
          <w:highlight w:val="none"/>
          <w:lang w:eastAsia="zh-CN"/>
        </w:rPr>
        <w:t>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磋商报</w:t>
      </w:r>
      <w:r>
        <w:rPr>
          <w:rFonts w:hint="eastAsia" w:ascii="宋体" w:hAnsi="宋体" w:eastAsia="宋体" w:cs="宋体"/>
          <w:color w:val="auto"/>
          <w:sz w:val="24"/>
          <w:szCs w:val="24"/>
          <w:highlight w:val="none"/>
        </w:rPr>
        <w:t>价等内容，并由法定代表人或被授权人签署。</w:t>
      </w:r>
    </w:p>
    <w:p w14:paraId="3A167522">
      <w:pPr>
        <w:pStyle w:val="50"/>
        <w:tabs>
          <w:tab w:val="left" w:pos="1860"/>
          <w:tab w:val="center" w:pos="4680"/>
        </w:tabs>
        <w:spacing w:line="540" w:lineRule="exact"/>
        <w:ind w:firstLine="482" w:firstLineChars="200"/>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t>8-3、</w:t>
      </w:r>
      <w:r>
        <w:rPr>
          <w:rFonts w:hint="eastAsia" w:ascii="宋体" w:hAnsi="宋体" w:eastAsia="宋体" w:cs="宋体"/>
          <w:b/>
          <w:bCs/>
          <w:color w:val="auto"/>
          <w:kern w:val="2"/>
          <w:sz w:val="24"/>
          <w:szCs w:val="24"/>
          <w:highlight w:val="none"/>
          <w:lang w:val="en-US" w:eastAsia="zh-CN" w:bidi="ar-SA"/>
        </w:rPr>
        <w:t>磋商报价应是竞争性磋商响应文件所确定的磋商范围内的全部工作内容的价格体现，包括本项目所涉及的人员、设备及其他相关伴随费用的全部费用。</w:t>
      </w:r>
    </w:p>
    <w:p w14:paraId="345F242D">
      <w:pPr>
        <w:spacing w:line="4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SA"/>
        </w:rPr>
        <w:t>注：磋商报价（首轮）超过最高限价的，响应无效，按废标处理</w:t>
      </w:r>
      <w:r>
        <w:rPr>
          <w:rFonts w:hint="eastAsia" w:ascii="宋体" w:hAnsi="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二轮报价超过首轮报价的，响应无效，按废标处理。</w:t>
      </w:r>
    </w:p>
    <w:p w14:paraId="6DB211B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8-4、供应商所报的磋商价在合同执行过程中是固定不变的，不得以任何理由予以变更。任何包含价格调整要求的磋商，将被认为是非响应性磋商而予以拒绝。</w:t>
      </w:r>
    </w:p>
    <w:p w14:paraId="25480E24">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凡磋商文件要求或允许磋商中进行报价的各项费用项目，若磋商报价时未报，采购人将按这些费用已包含在磋商报价中对待。</w:t>
      </w:r>
    </w:p>
    <w:p w14:paraId="2C5E0B95">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8-6、</w:t>
      </w:r>
      <w:r>
        <w:rPr>
          <w:rFonts w:hint="eastAsia" w:ascii="宋体" w:hAnsi="宋体" w:eastAsia="宋体" w:cs="宋体"/>
          <w:color w:val="auto"/>
          <w:sz w:val="24"/>
          <w:szCs w:val="24"/>
          <w:highlight w:val="none"/>
        </w:rPr>
        <w:t>供应商的最终报价应是本采购项目全部内容的所有费用。</w:t>
      </w:r>
      <w:r>
        <w:rPr>
          <w:rFonts w:hint="eastAsia" w:ascii="宋体" w:hAnsi="宋体" w:eastAsia="宋体" w:cs="宋体"/>
          <w:color w:val="auto"/>
          <w:sz w:val="24"/>
          <w:szCs w:val="24"/>
          <w:highlight w:val="none"/>
          <w:lang w:val="zh-CN" w:eastAsia="zh-CN"/>
        </w:rPr>
        <w:t>供应商在磋商报价时应综合考虑施工机械进出场、施工现场材料堆放、施工材料二次倒运、建设期间交通组织和安全保险、生活费、税费等因素，将其纳入报价当中，</w:t>
      </w:r>
      <w:r>
        <w:rPr>
          <w:rFonts w:hint="eastAsia" w:ascii="宋体" w:hAnsi="宋体" w:eastAsia="宋体" w:cs="宋体"/>
          <w:color w:val="auto"/>
          <w:sz w:val="24"/>
          <w:szCs w:val="24"/>
          <w:highlight w:val="none"/>
        </w:rPr>
        <w:t>采购人不再单独支付其他任何费用。</w:t>
      </w:r>
    </w:p>
    <w:p w14:paraId="5E4C5038">
      <w:pPr>
        <w:spacing w:line="480" w:lineRule="exact"/>
        <w:outlineLvl w:val="1"/>
        <w:rPr>
          <w:rFonts w:hint="eastAsia" w:ascii="宋体" w:hAnsi="宋体" w:eastAsia="宋体" w:cs="宋体"/>
          <w:b/>
          <w:bCs/>
          <w:color w:val="auto"/>
          <w:sz w:val="24"/>
          <w:szCs w:val="24"/>
          <w:highlight w:val="none"/>
        </w:rPr>
      </w:pPr>
      <w:bookmarkStart w:id="13" w:name="_Toc7453875"/>
      <w:bookmarkStart w:id="14" w:name="_Toc458848736"/>
      <w:bookmarkStart w:id="15" w:name="_Toc458848821"/>
      <w:bookmarkStart w:id="16" w:name="_Toc458848969"/>
      <w:r>
        <w:rPr>
          <w:rFonts w:hint="eastAsia" w:ascii="宋体" w:hAnsi="宋体" w:eastAsia="宋体" w:cs="宋体"/>
          <w:b/>
          <w:bCs/>
          <w:color w:val="auto"/>
          <w:sz w:val="24"/>
          <w:szCs w:val="24"/>
          <w:highlight w:val="none"/>
        </w:rPr>
        <w:t>五、磋商担保</w:t>
      </w:r>
      <w:bookmarkEnd w:id="13"/>
      <w:bookmarkEnd w:id="14"/>
      <w:bookmarkEnd w:id="15"/>
      <w:bookmarkEnd w:id="16"/>
    </w:p>
    <w:p w14:paraId="59E8B99C">
      <w:pPr>
        <w:spacing w:line="480" w:lineRule="exact"/>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1、担保方式：见供应商须知前附表。</w:t>
      </w:r>
    </w:p>
    <w:p w14:paraId="00CBA1DA">
      <w:pPr>
        <w:spacing w:line="480" w:lineRule="exact"/>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2、磋商担保递交截止时间：见供应商须知前附表。</w:t>
      </w:r>
    </w:p>
    <w:p w14:paraId="3DC8BD46">
      <w:pPr>
        <w:spacing w:line="480" w:lineRule="exact"/>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3、若采购代理机构未在磋商担保递交截止时间</w:t>
      </w:r>
      <w:r>
        <w:rPr>
          <w:rFonts w:hint="eastAsia" w:ascii="宋体" w:hAnsi="宋体" w:eastAsia="宋体" w:cs="宋体"/>
          <w:color w:val="auto"/>
          <w:sz w:val="24"/>
          <w:szCs w:val="24"/>
          <w:highlight w:val="none"/>
          <w:lang w:eastAsia="zh-CN"/>
        </w:rPr>
        <w:t>查询</w:t>
      </w:r>
      <w:r>
        <w:rPr>
          <w:rFonts w:hint="eastAsia" w:ascii="宋体" w:hAnsi="宋体" w:eastAsia="宋体" w:cs="宋体"/>
          <w:color w:val="auto"/>
          <w:sz w:val="24"/>
          <w:szCs w:val="24"/>
          <w:highlight w:val="none"/>
        </w:rPr>
        <w:t xml:space="preserve">到足额磋商保证金或者有效磋商担保函的，其磋商将被拒绝。 </w:t>
      </w:r>
    </w:p>
    <w:p w14:paraId="4DB5FBFD">
      <w:pPr>
        <w:spacing w:line="480" w:lineRule="exact"/>
        <w:ind w:firstLine="480" w:firstLineChars="200"/>
        <w:rPr>
          <w:rFonts w:hint="eastAsia" w:ascii="宋体" w:hAnsi="宋体" w:eastAsia="宋体" w:cs="宋体"/>
          <w:color w:val="auto"/>
          <w:sz w:val="24"/>
          <w:szCs w:val="24"/>
          <w:highlight w:val="none"/>
        </w:rPr>
      </w:pPr>
      <w:bookmarkStart w:id="17" w:name="_Toc458848970"/>
      <w:bookmarkStart w:id="18" w:name="_Toc458848822"/>
      <w:bookmarkStart w:id="19" w:name="_Toc458848737"/>
      <w:bookmarkStart w:id="20" w:name="_Toc7453876"/>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highlight w:val="none"/>
          <w:lang w:eastAsia="zh-CN"/>
        </w:rPr>
        <w:t>参加磋商时，必须以</w:t>
      </w:r>
      <w:r>
        <w:rPr>
          <w:rFonts w:hint="eastAsia" w:ascii="宋体" w:hAnsi="宋体" w:eastAsia="宋体" w:cs="宋体"/>
          <w:color w:val="auto"/>
          <w:sz w:val="24"/>
          <w:szCs w:val="24"/>
          <w:highlight w:val="none"/>
        </w:rPr>
        <w:t>竞争性磋商文件规定的方式提交磋商担保，并作为其磋商响应的一部分。若未在磋商担保递交截止时间</w:t>
      </w:r>
      <w:r>
        <w:rPr>
          <w:rFonts w:hint="eastAsia" w:ascii="宋体" w:hAnsi="宋体" w:eastAsia="宋体" w:cs="宋体"/>
          <w:color w:val="auto"/>
          <w:sz w:val="24"/>
          <w:szCs w:val="24"/>
          <w:highlight w:val="none"/>
          <w:lang w:eastAsia="zh-CN"/>
        </w:rPr>
        <w:t>查询到</w:t>
      </w:r>
      <w:r>
        <w:rPr>
          <w:rFonts w:hint="eastAsia" w:ascii="宋体" w:hAnsi="宋体" w:eastAsia="宋体" w:cs="宋体"/>
          <w:color w:val="auto"/>
          <w:sz w:val="24"/>
          <w:szCs w:val="24"/>
          <w:highlight w:val="none"/>
        </w:rPr>
        <w:t>到足额磋商保证金或</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highlight w:val="none"/>
        </w:rPr>
        <w:t>不能自行证明其足额缴纳</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保证金的，</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highlight w:val="none"/>
        </w:rPr>
        <w:t>未在</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中附</w:t>
      </w:r>
      <w:r>
        <w:rPr>
          <w:rFonts w:hint="eastAsia" w:ascii="宋体" w:hAnsi="宋体" w:eastAsia="宋体" w:cs="宋体"/>
          <w:color w:val="auto"/>
          <w:sz w:val="24"/>
          <w:szCs w:val="24"/>
          <w:highlight w:val="none"/>
          <w:lang w:eastAsia="zh-CN"/>
        </w:rPr>
        <w:t>银行汇（存）款回执单或担保机构出具的担保函，</w:t>
      </w:r>
      <w:r>
        <w:rPr>
          <w:rFonts w:hint="eastAsia" w:ascii="宋体" w:hAnsi="宋体" w:eastAsia="宋体" w:cs="宋体"/>
          <w:color w:val="auto"/>
          <w:sz w:val="24"/>
          <w:szCs w:val="24"/>
          <w:highlight w:val="none"/>
        </w:rPr>
        <w:t>其磋商响应文件无效。</w:t>
      </w:r>
    </w:p>
    <w:p w14:paraId="68FC1BAA">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、退还磋商保证金：</w:t>
      </w:r>
    </w:p>
    <w:p w14:paraId="35FD0030">
      <w:pPr>
        <w:spacing w:line="480" w:lineRule="exact"/>
        <w:ind w:firstLine="482" w:firstLineChars="200"/>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u w:val="single"/>
        </w:rPr>
        <w:t>在磋商截止时间前撤回已提交磋商响应文件的</w:t>
      </w:r>
      <w:r>
        <w:rPr>
          <w:rFonts w:hint="eastAsia" w:ascii="宋体" w:hAnsi="宋体" w:eastAsia="宋体" w:cs="宋体"/>
          <w:b/>
          <w:color w:val="auto"/>
          <w:sz w:val="24"/>
          <w:szCs w:val="24"/>
          <w:highlight w:val="none"/>
          <w:u w:val="single"/>
          <w:lang w:val="en-US" w:eastAsia="zh-CN"/>
        </w:rPr>
        <w:t>供应商</w:t>
      </w:r>
      <w:r>
        <w:rPr>
          <w:rFonts w:hint="eastAsia" w:ascii="宋体" w:hAnsi="宋体" w:eastAsia="宋体" w:cs="宋体"/>
          <w:b/>
          <w:color w:val="auto"/>
          <w:sz w:val="24"/>
          <w:szCs w:val="24"/>
          <w:highlight w:val="none"/>
          <w:u w:val="single"/>
        </w:rPr>
        <w:t>的磋商保证金，将在招标代理机构收到</w:t>
      </w:r>
      <w:r>
        <w:rPr>
          <w:rFonts w:hint="eastAsia" w:ascii="宋体" w:hAnsi="宋体" w:eastAsia="宋体" w:cs="宋体"/>
          <w:b/>
          <w:color w:val="auto"/>
          <w:sz w:val="24"/>
          <w:szCs w:val="24"/>
          <w:highlight w:val="none"/>
          <w:u w:val="single"/>
          <w:lang w:val="en-US" w:eastAsia="zh-CN"/>
        </w:rPr>
        <w:t>供应商</w:t>
      </w:r>
      <w:r>
        <w:rPr>
          <w:rFonts w:hint="eastAsia" w:ascii="宋体" w:hAnsi="宋体" w:eastAsia="宋体" w:cs="宋体"/>
          <w:b/>
          <w:color w:val="auto"/>
          <w:sz w:val="24"/>
          <w:szCs w:val="24"/>
          <w:highlight w:val="none"/>
          <w:u w:val="single"/>
        </w:rPr>
        <w:t>书面撤回通知之日起5个工作日内退还。</w:t>
      </w:r>
    </w:p>
    <w:p w14:paraId="0ACB0DDD">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u w:val="single"/>
        </w:rPr>
        <w:t>所有未成交人的磋商保证金，将在成交通知书发出后5个工作日内退还。</w:t>
      </w:r>
    </w:p>
    <w:p w14:paraId="618DA1BC">
      <w:pPr>
        <w:spacing w:line="480" w:lineRule="exact"/>
        <w:ind w:firstLine="482" w:firstLineChars="200"/>
        <w:rPr>
          <w:rFonts w:hint="eastAsia" w:ascii="宋体" w:hAnsi="宋体" w:eastAsia="宋体" w:cs="宋体"/>
          <w:b/>
          <w:color w:val="auto"/>
          <w:spacing w:val="-4"/>
          <w:sz w:val="24"/>
          <w:szCs w:val="24"/>
          <w:highlight w:val="none"/>
          <w:u w:val="single"/>
        </w:rPr>
      </w:pPr>
      <w:r>
        <w:rPr>
          <w:rFonts w:hint="eastAsia" w:ascii="宋体" w:hAnsi="宋体" w:eastAsia="宋体" w:cs="宋体"/>
          <w:b/>
          <w:color w:val="auto"/>
          <w:sz w:val="24"/>
          <w:szCs w:val="24"/>
          <w:highlight w:val="none"/>
        </w:rPr>
        <w:t>（3）</w:t>
      </w:r>
      <w:r>
        <w:rPr>
          <w:rFonts w:hint="eastAsia" w:ascii="宋体" w:hAnsi="宋体" w:eastAsia="宋体" w:cs="宋体"/>
          <w:b/>
          <w:color w:val="auto"/>
          <w:spacing w:val="-4"/>
          <w:sz w:val="24"/>
          <w:szCs w:val="24"/>
          <w:highlight w:val="none"/>
          <w:u w:val="single"/>
        </w:rPr>
        <w:t>成交的</w:t>
      </w:r>
      <w:r>
        <w:rPr>
          <w:rFonts w:hint="eastAsia" w:ascii="宋体" w:hAnsi="宋体" w:eastAsia="宋体" w:cs="宋体"/>
          <w:b/>
          <w:color w:val="auto"/>
          <w:spacing w:val="-4"/>
          <w:sz w:val="24"/>
          <w:szCs w:val="24"/>
          <w:highlight w:val="none"/>
          <w:u w:val="single"/>
          <w:lang w:val="en-US" w:eastAsia="zh-CN"/>
        </w:rPr>
        <w:t>供应商</w:t>
      </w:r>
      <w:r>
        <w:rPr>
          <w:rFonts w:hint="eastAsia" w:ascii="宋体" w:hAnsi="宋体" w:eastAsia="宋体" w:cs="宋体"/>
          <w:b/>
          <w:color w:val="auto"/>
          <w:spacing w:val="-4"/>
          <w:sz w:val="24"/>
          <w:szCs w:val="24"/>
          <w:highlight w:val="none"/>
          <w:u w:val="single"/>
        </w:rPr>
        <w:t>的磋商保证金在签订合同后，执合同予以</w:t>
      </w:r>
      <w:r>
        <w:rPr>
          <w:rFonts w:hint="eastAsia" w:ascii="宋体" w:hAnsi="宋体" w:eastAsia="宋体" w:cs="宋体"/>
          <w:b/>
          <w:color w:val="auto"/>
          <w:sz w:val="24"/>
          <w:szCs w:val="24"/>
          <w:highlight w:val="none"/>
          <w:u w:val="single"/>
        </w:rPr>
        <w:t>5个工作日内</w:t>
      </w:r>
      <w:r>
        <w:rPr>
          <w:rFonts w:hint="eastAsia" w:ascii="宋体" w:hAnsi="宋体" w:eastAsia="宋体" w:cs="宋体"/>
          <w:b/>
          <w:color w:val="auto"/>
          <w:spacing w:val="-4"/>
          <w:sz w:val="24"/>
          <w:szCs w:val="24"/>
          <w:highlight w:val="none"/>
          <w:u w:val="single"/>
        </w:rPr>
        <w:t>退还。</w:t>
      </w:r>
    </w:p>
    <w:p w14:paraId="3B44ABBC">
      <w:pPr>
        <w:tabs>
          <w:tab w:val="left" w:pos="2700"/>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、如磋商发生下列情况之一时，磋商保证金将不予退还：</w:t>
      </w:r>
    </w:p>
    <w:p w14:paraId="0F3676A6">
      <w:pPr>
        <w:tabs>
          <w:tab w:val="left" w:pos="2700"/>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rPr>
        <w:t>提供虚假资质谋取成交的；</w:t>
      </w:r>
    </w:p>
    <w:p w14:paraId="0401B47D">
      <w:pPr>
        <w:spacing w:line="4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rPr>
        <w:t>有围标、串标现象，经查证属实的；</w:t>
      </w:r>
    </w:p>
    <w:p w14:paraId="5E52847C">
      <w:pPr>
        <w:spacing w:line="4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rPr>
        <w:t>在竞争性磋商文件规定的磋商响应有效期内撤回磋商响应文件的；</w:t>
      </w:r>
    </w:p>
    <w:p w14:paraId="3466A5B3">
      <w:pPr>
        <w:spacing w:line="4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rPr>
        <w:t>自行放弃磋商资格而未在磋商会议前一个工作日内以书面形式告知招标代理机构的；</w:t>
      </w:r>
    </w:p>
    <w:p w14:paraId="71FF2E4C">
      <w:pPr>
        <w:spacing w:line="4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rPr>
        <w:t>自行放弃成交资格的；</w:t>
      </w:r>
    </w:p>
    <w:p w14:paraId="2EAD6885">
      <w:pPr>
        <w:spacing w:line="4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u w:val="single"/>
        </w:rPr>
        <w:t>成交人不在规定的时效内领取《成交通知书》的；</w:t>
      </w:r>
    </w:p>
    <w:p w14:paraId="05C1C3B9">
      <w:pPr>
        <w:spacing w:line="4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u w:val="single"/>
        </w:rPr>
        <w:t>成交人不按规定支付招标服务费的；</w:t>
      </w:r>
    </w:p>
    <w:p w14:paraId="222E0A26">
      <w:pPr>
        <w:spacing w:line="4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u w:val="single"/>
        </w:rPr>
        <w:t>成交人因自身原因未能在规定期限内与招标人签订合同的。</w:t>
      </w:r>
    </w:p>
    <w:p w14:paraId="405C26C7">
      <w:pPr>
        <w:spacing w:line="480" w:lineRule="exact"/>
        <w:ind w:firstLine="480" w:firstLineChars="200"/>
        <w:rPr>
          <w:rFonts w:hint="eastAsia" w:ascii="宋体" w:hAnsi="宋体" w:eastAsia="宋体" w:cs="宋体"/>
          <w:highlight w:val="none"/>
        </w:rPr>
      </w:pPr>
      <w:r>
        <w:rPr>
          <w:rFonts w:hint="eastAsia" w:ascii="宋体" w:hAnsi="宋体" w:eastAsia="宋体" w:cs="宋体"/>
          <w:color w:val="auto"/>
          <w:sz w:val="24"/>
          <w:szCs w:val="24"/>
          <w:highlight w:val="none"/>
          <w:lang w:val="en-US" w:eastAsia="zh-CN"/>
        </w:rPr>
        <w:t>6-9、供应商无故不参加磋商活动的。</w:t>
      </w:r>
    </w:p>
    <w:p w14:paraId="15781BBE">
      <w:pPr>
        <w:pStyle w:val="3"/>
        <w:spacing w:before="0" w:after="0" w:line="48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六、磋商响应</w:t>
      </w:r>
      <w:bookmarkEnd w:id="17"/>
      <w:bookmarkEnd w:id="18"/>
      <w:bookmarkEnd w:id="19"/>
      <w:bookmarkEnd w:id="20"/>
    </w:p>
    <w:p w14:paraId="021A973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1、磋商响应文件的提交：</w:t>
      </w:r>
    </w:p>
    <w:p w14:paraId="05441B07">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highlight w:val="none"/>
        </w:rPr>
        <w:t>应在磋商截止时间前将响应文件</w:t>
      </w:r>
      <w:r>
        <w:rPr>
          <w:rFonts w:hint="eastAsia" w:ascii="宋体" w:hAnsi="宋体" w:eastAsia="宋体" w:cs="宋体"/>
          <w:color w:val="auto"/>
          <w:sz w:val="24"/>
          <w:szCs w:val="24"/>
          <w:highlight w:val="none"/>
          <w:lang w:eastAsia="zh-CN"/>
        </w:rPr>
        <w:t>上传</w:t>
      </w:r>
      <w:r>
        <w:rPr>
          <w:rFonts w:hint="eastAsia" w:ascii="宋体" w:hAnsi="宋体" w:eastAsia="宋体" w:cs="宋体"/>
          <w:color w:val="auto"/>
          <w:sz w:val="24"/>
          <w:szCs w:val="24"/>
          <w:highlight w:val="none"/>
        </w:rPr>
        <w:t>至</w:t>
      </w:r>
      <w:r>
        <w:rPr>
          <w:rFonts w:hint="eastAsia" w:ascii="宋体" w:hAnsi="宋体" w:eastAsia="宋体" w:cs="宋体"/>
          <w:color w:val="auto"/>
          <w:sz w:val="24"/>
          <w:szCs w:val="24"/>
          <w:highlight w:val="none"/>
          <w:lang w:eastAsia="zh-CN"/>
        </w:rPr>
        <w:t>交易平台</w:t>
      </w:r>
      <w:r>
        <w:rPr>
          <w:rFonts w:hint="eastAsia" w:ascii="宋体" w:hAnsi="宋体" w:eastAsia="宋体" w:cs="宋体"/>
          <w:color w:val="auto"/>
          <w:sz w:val="24"/>
          <w:szCs w:val="24"/>
          <w:highlight w:val="none"/>
        </w:rPr>
        <w:t>；</w:t>
      </w:r>
    </w:p>
    <w:p w14:paraId="48A47271">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1-2、磋商</w:t>
      </w:r>
      <w:r>
        <w:rPr>
          <w:rFonts w:hint="eastAsia" w:ascii="宋体" w:hAnsi="宋体" w:eastAsia="宋体" w:cs="宋体"/>
          <w:color w:val="auto"/>
          <w:sz w:val="24"/>
          <w:szCs w:val="24"/>
          <w:highlight w:val="none"/>
          <w:lang w:val="zh-CN" w:eastAsia="zh-CN"/>
        </w:rPr>
        <w:t>响应文件可于提交磋商响应文件截止时间前任意时段登录全国公共资源交易平台 （</w:t>
      </w:r>
      <w:r>
        <w:rPr>
          <w:rFonts w:hint="eastAsia" w:ascii="宋体" w:hAnsi="宋体" w:eastAsia="宋体" w:cs="宋体"/>
          <w:color w:val="auto"/>
          <w:sz w:val="24"/>
          <w:szCs w:val="24"/>
          <w:highlight w:val="none"/>
          <w:lang w:val="en-US" w:eastAsia="zh-CN"/>
        </w:rPr>
        <w:t>陕西省·宝鸡市</w:t>
      </w:r>
      <w:r>
        <w:rPr>
          <w:rFonts w:hint="eastAsia" w:ascii="宋体" w:hAnsi="宋体" w:eastAsia="宋体" w:cs="宋体"/>
          <w:color w:val="auto"/>
          <w:sz w:val="24"/>
          <w:szCs w:val="24"/>
          <w:highlight w:val="none"/>
          <w:lang w:val="zh-CN" w:eastAsia="zh-CN"/>
        </w:rPr>
        <w:t>）网站[电子交易平台-企业端]进行提交，逾期系统将拒绝接收。提交时，</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highlight w:val="none"/>
          <w:lang w:val="zh-CN" w:eastAsia="zh-CN"/>
        </w:rPr>
        <w:t>应登录全国公共资源交易中心平台（陕西省</w:t>
      </w:r>
      <w:r>
        <w:rPr>
          <w:rFonts w:hint="eastAsia" w:ascii="宋体" w:hAnsi="宋体" w:eastAsia="宋体" w:cs="宋体"/>
          <w:color w:val="auto"/>
          <w:sz w:val="24"/>
          <w:szCs w:val="24"/>
          <w:highlight w:val="none"/>
          <w:lang w:val="en-US" w:eastAsia="zh-CN"/>
        </w:rPr>
        <w:t>.宝鸡市</w:t>
      </w:r>
      <w:r>
        <w:rPr>
          <w:rFonts w:hint="eastAsia" w:ascii="宋体" w:hAnsi="宋体" w:eastAsia="宋体" w:cs="宋体"/>
          <w:color w:val="auto"/>
          <w:sz w:val="24"/>
          <w:szCs w:val="24"/>
          <w:highlight w:val="none"/>
          <w:lang w:val="zh-CN" w:eastAsia="zh-CN"/>
        </w:rPr>
        <w:t>），选择[“首页&gt;电子交易平台&gt;企业端&gt;我的项目]”，点击[项目流程]，在打开的[项目管理]对话框中选择[上传响应文件]，上传加密的电子响应文件（*.SXSTF），上传成功后，电子化平台将予以记录。逾期上传的将被拒绝接收。</w:t>
      </w:r>
    </w:p>
    <w:p w14:paraId="754D73F4">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bCs/>
          <w:color w:val="auto"/>
          <w:sz w:val="24"/>
          <w:szCs w:val="24"/>
          <w:highlight w:val="none"/>
        </w:rPr>
        <w:t>竞争性磋商</w:t>
      </w:r>
      <w:r>
        <w:rPr>
          <w:rFonts w:hint="eastAsia" w:ascii="宋体" w:hAnsi="宋体" w:eastAsia="宋体" w:cs="宋体"/>
          <w:color w:val="auto"/>
          <w:sz w:val="24"/>
          <w:szCs w:val="24"/>
          <w:highlight w:val="none"/>
        </w:rPr>
        <w:t>响应文件的补充、修改与撤回：</w:t>
      </w:r>
    </w:p>
    <w:p w14:paraId="710D1E79">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提交</w:t>
      </w:r>
      <w:r>
        <w:rPr>
          <w:rFonts w:hint="eastAsia" w:ascii="宋体" w:hAnsi="宋体" w:eastAsia="宋体" w:cs="宋体"/>
          <w:color w:val="auto"/>
          <w:sz w:val="24"/>
          <w:szCs w:val="24"/>
          <w:highlight w:val="none"/>
        </w:rPr>
        <w:t>响应文件后，磋商截止时间前，可以修改或撤回其响应文件，并在规定的磋商截止期之前，将修改或撤回的响应文件</w:t>
      </w:r>
      <w:r>
        <w:rPr>
          <w:rFonts w:hint="eastAsia" w:ascii="宋体" w:hAnsi="宋体" w:eastAsia="宋体" w:cs="宋体"/>
          <w:color w:val="auto"/>
          <w:sz w:val="24"/>
          <w:szCs w:val="24"/>
          <w:highlight w:val="none"/>
          <w:lang w:eastAsia="zh-CN"/>
        </w:rPr>
        <w:t>上传</w:t>
      </w:r>
      <w:r>
        <w:rPr>
          <w:rFonts w:hint="eastAsia" w:ascii="宋体" w:hAnsi="宋体" w:eastAsia="宋体" w:cs="宋体"/>
          <w:color w:val="auto"/>
          <w:sz w:val="24"/>
          <w:szCs w:val="24"/>
          <w:highlight w:val="none"/>
        </w:rPr>
        <w:t>到</w:t>
      </w:r>
      <w:r>
        <w:rPr>
          <w:rFonts w:hint="eastAsia" w:ascii="宋体" w:hAnsi="宋体" w:eastAsia="宋体" w:cs="宋体"/>
          <w:color w:val="auto"/>
          <w:sz w:val="24"/>
          <w:szCs w:val="24"/>
          <w:highlight w:val="none"/>
          <w:lang w:eastAsia="zh-CN"/>
        </w:rPr>
        <w:t>交易平台，逾期递交的响应文件将不予受理</w:t>
      </w:r>
      <w:r>
        <w:rPr>
          <w:rFonts w:hint="eastAsia" w:ascii="宋体" w:hAnsi="宋体" w:eastAsia="宋体" w:cs="宋体"/>
          <w:color w:val="auto"/>
          <w:sz w:val="24"/>
          <w:szCs w:val="24"/>
          <w:highlight w:val="none"/>
        </w:rPr>
        <w:t>。</w:t>
      </w:r>
    </w:p>
    <w:p w14:paraId="7F8FDEC7">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、磋商截止时间之后，供应商不得补充、修改竞争性磋商响应文件；</w:t>
      </w:r>
    </w:p>
    <w:p w14:paraId="2F21D6C9">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、在磋商截止时间至磋商响应有效期满之前，供应商不得撤回其竞争性磋商响应文件，否则其磋商保证金将不予退还，提供磋商担保的供应商将由专业担保机构先行偿付采购人损失。</w:t>
      </w:r>
    </w:p>
    <w:p w14:paraId="32D7E2D1">
      <w:pPr>
        <w:spacing w:line="48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、竞争性磋商响应有效期：</w:t>
      </w:r>
    </w:p>
    <w:p w14:paraId="7F1F8E92">
      <w:pPr>
        <w:pStyle w:val="4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3-1、自提交磋商响应文件的截止之日起90个日历日。竞争性磋商响应有效期短于竞争性磋商文件规定的磋商响应有效期，按无效竞争性磋商响应处理。成交单位的竞争性磋商有效期延长至合同执行完毕。</w:t>
      </w:r>
    </w:p>
    <w:p w14:paraId="16AF2836">
      <w:pPr>
        <w:pStyle w:val="4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-2、在原有有效期结束前，采购代理机构可要求供应商延长竞争性磋商响应有效期。拒绝延长有效期的供应商有权收回磋商保证金，但不得参与该项目后续采购活动。同意延长有效期的供应商应相应延长磋商担保的有效期，但不得修改竞争性磋商响应文件的实质性内容。 </w:t>
      </w:r>
    </w:p>
    <w:p w14:paraId="71C2C66B">
      <w:pPr>
        <w:pStyle w:val="45"/>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sz w:val="24"/>
          <w:szCs w:val="24"/>
          <w:highlight w:val="none"/>
        </w:rPr>
        <w:t>4、供应商</w:t>
      </w:r>
      <w:r>
        <w:rPr>
          <w:rFonts w:hint="eastAsia" w:ascii="宋体" w:hAnsi="宋体" w:eastAsia="宋体" w:cs="宋体"/>
          <w:color w:val="auto"/>
          <w:kern w:val="2"/>
          <w:sz w:val="24"/>
          <w:szCs w:val="24"/>
          <w:highlight w:val="none"/>
        </w:rPr>
        <w:t>有下列情形之一的，属于恶意串通，对其依照《中华人民共和国政府采购法》第七十七条第一款的规定追究法律责任，响应无效：</w:t>
      </w:r>
    </w:p>
    <w:p w14:paraId="234DF4CD">
      <w:pPr>
        <w:pStyle w:val="45"/>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4-1、供应商直接或者间接从采购人或采购代理机构处获得其他供应商的相关情况并修改其磋商响应文件；</w:t>
      </w:r>
    </w:p>
    <w:p w14:paraId="7D716291">
      <w:pPr>
        <w:pStyle w:val="45"/>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4-2、供应商按照采购人或采购代理机构的授意撤换、修改磋商响应文件；</w:t>
      </w:r>
    </w:p>
    <w:p w14:paraId="2AD6B16B">
      <w:pPr>
        <w:pStyle w:val="45"/>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4-3、供应商之间协商报价、技术方案等磋商响应文件的实质性内容；</w:t>
      </w:r>
    </w:p>
    <w:p w14:paraId="572AF3A2">
      <w:pPr>
        <w:pStyle w:val="45"/>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4-4、属于同一集团、协会、商会等组织成员的供应商按照该组织要求协同参加政府采购活动；</w:t>
      </w:r>
    </w:p>
    <w:p w14:paraId="4ADEE429">
      <w:pPr>
        <w:pStyle w:val="45"/>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4-5、供应商之间事先约定由某一特定供应商成交；</w:t>
      </w:r>
    </w:p>
    <w:p w14:paraId="4E505F75">
      <w:pPr>
        <w:pStyle w:val="45"/>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4-6、供应商之间商定部分供应商放弃参加政府采购活动或放弃成交；</w:t>
      </w:r>
    </w:p>
    <w:p w14:paraId="282F8BF2">
      <w:pPr>
        <w:pStyle w:val="45"/>
        <w:spacing w:line="480" w:lineRule="exact"/>
        <w:ind w:firstLine="48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4-7、供应商相互之间，为谋求特定供应商成交或排斥其他供应商的其他串通行为。</w:t>
      </w:r>
    </w:p>
    <w:p w14:paraId="44CF1994">
      <w:pPr>
        <w:pStyle w:val="4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5、有下列情形之一的，视为供应商串通磋商，其响应无效：</w:t>
      </w:r>
    </w:p>
    <w:p w14:paraId="73F3E21A">
      <w:pPr>
        <w:pStyle w:val="45"/>
        <w:spacing w:line="48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5-1、不同供应商的磋商响应文件由同一单位或者个人编制；</w:t>
      </w:r>
    </w:p>
    <w:p w14:paraId="66DE5D9F">
      <w:pPr>
        <w:pStyle w:val="45"/>
        <w:spacing w:line="48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5-2、不同供应商委托同一单位或者个人办理磋商事宜；</w:t>
      </w:r>
    </w:p>
    <w:p w14:paraId="089A8FDE">
      <w:pPr>
        <w:pStyle w:val="45"/>
        <w:spacing w:line="48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5-3、不同供应商的磋商响应文件载明的项目管理成员或者联系人为同一人；</w:t>
      </w:r>
    </w:p>
    <w:p w14:paraId="66DE5B11">
      <w:pPr>
        <w:pStyle w:val="45"/>
        <w:spacing w:line="480" w:lineRule="exact"/>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5-4、不同供应商的磋商响应文件异常一致或者磋商报价呈现规律性差异；</w:t>
      </w:r>
    </w:p>
    <w:p w14:paraId="729A0390">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5-5、</w:t>
      </w:r>
      <w:r>
        <w:rPr>
          <w:rFonts w:hint="eastAsia" w:ascii="宋体" w:hAnsi="宋体" w:eastAsia="宋体" w:cs="宋体"/>
          <w:color w:val="auto"/>
          <w:sz w:val="24"/>
          <w:szCs w:val="24"/>
          <w:highlight w:val="none"/>
          <w:lang w:val="en-US" w:eastAsia="zh-CN"/>
        </w:rPr>
        <w:t>不同供应商的磋商保证金从同一单位或者个人的账户转出。</w:t>
      </w:r>
      <w:bookmarkStart w:id="21" w:name="_Toc458848823"/>
      <w:bookmarkStart w:id="22" w:name="_Toc458848971"/>
      <w:bookmarkStart w:id="23" w:name="_Toc458848738"/>
      <w:bookmarkStart w:id="24" w:name="_Toc7453877"/>
    </w:p>
    <w:p w14:paraId="6F85726D">
      <w:pPr>
        <w:spacing w:line="480" w:lineRule="exact"/>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七、磋商</w:t>
      </w:r>
      <w:bookmarkEnd w:id="21"/>
      <w:bookmarkEnd w:id="22"/>
      <w:bookmarkEnd w:id="23"/>
      <w:r>
        <w:rPr>
          <w:rFonts w:hint="eastAsia" w:ascii="宋体" w:hAnsi="宋体" w:eastAsia="宋体" w:cs="宋体"/>
          <w:b/>
          <w:bCs/>
          <w:color w:val="auto"/>
          <w:kern w:val="0"/>
          <w:sz w:val="24"/>
          <w:szCs w:val="24"/>
          <w:highlight w:val="none"/>
        </w:rPr>
        <w:t>、评审及定标</w:t>
      </w:r>
      <w:bookmarkEnd w:id="24"/>
    </w:p>
    <w:p w14:paraId="198C9568">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1、磋商</w:t>
      </w:r>
    </w:p>
    <w:p w14:paraId="2F04A630">
      <w:pPr>
        <w:spacing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1-1、采购代理机构按竞争性磋商文件规定的时间、地点组织磋商。所有</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kern w:val="2"/>
          <w:sz w:val="24"/>
          <w:szCs w:val="24"/>
          <w:highlight w:val="none"/>
          <w:lang w:val="en-US" w:eastAsia="zh-CN" w:bidi="ar-SA"/>
        </w:rPr>
        <w:t>应按时参加磋商会议。</w:t>
      </w:r>
    </w:p>
    <w:p w14:paraId="6EEBEBB3">
      <w:pPr>
        <w:spacing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1-2、磋商会议由采购代理机构主持。</w:t>
      </w:r>
      <w:r>
        <w:rPr>
          <w:rFonts w:hint="eastAsia" w:ascii="宋体" w:hAnsi="宋体" w:eastAsia="宋体" w:cs="宋体"/>
          <w:color w:val="auto"/>
          <w:kern w:val="2"/>
          <w:sz w:val="24"/>
          <w:szCs w:val="24"/>
          <w:highlight w:val="none"/>
          <w:lang w:val="zh-CN" w:eastAsia="zh-CN" w:bidi="ar-SA"/>
        </w:rPr>
        <w:t>采购人、</w:t>
      </w:r>
      <w:r>
        <w:rPr>
          <w:rFonts w:hint="eastAsia" w:ascii="宋体" w:hAnsi="宋体" w:eastAsia="宋体" w:cs="宋体"/>
          <w:color w:val="auto"/>
          <w:kern w:val="2"/>
          <w:sz w:val="24"/>
          <w:szCs w:val="24"/>
          <w:highlight w:val="none"/>
          <w:lang w:val="en-US" w:eastAsia="zh-CN" w:bidi="ar-SA"/>
        </w:rPr>
        <w:t>供应商（线上）</w:t>
      </w:r>
      <w:r>
        <w:rPr>
          <w:rFonts w:hint="eastAsia" w:ascii="宋体" w:hAnsi="宋体" w:eastAsia="宋体" w:cs="宋体"/>
          <w:color w:val="auto"/>
          <w:kern w:val="2"/>
          <w:sz w:val="24"/>
          <w:szCs w:val="24"/>
          <w:highlight w:val="none"/>
          <w:lang w:val="zh-CN" w:eastAsia="zh-CN" w:bidi="ar-SA"/>
        </w:rPr>
        <w:t>和有关方面代表参加</w:t>
      </w:r>
      <w:r>
        <w:rPr>
          <w:rFonts w:hint="eastAsia" w:ascii="宋体" w:hAnsi="宋体" w:eastAsia="宋体" w:cs="宋体"/>
          <w:color w:val="auto"/>
          <w:kern w:val="2"/>
          <w:sz w:val="24"/>
          <w:szCs w:val="24"/>
          <w:highlight w:val="none"/>
          <w:lang w:val="en-US" w:eastAsia="zh-CN" w:bidi="ar-SA"/>
        </w:rPr>
        <w:t>。</w:t>
      </w:r>
    </w:p>
    <w:p w14:paraId="00B6C367">
      <w:pPr>
        <w:pStyle w:val="45"/>
        <w:spacing w:line="480" w:lineRule="exact"/>
        <w:ind w:firstLine="48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1-3、开标程序</w:t>
      </w:r>
    </w:p>
    <w:p w14:paraId="0673A2FA">
      <w:pPr>
        <w:pStyle w:val="45"/>
        <w:keepNext w:val="0"/>
        <w:keepLines w:val="0"/>
        <w:pageBreakBefore w:val="0"/>
        <w:widowControl w:val="0"/>
        <w:kinsoku w:val="0"/>
        <w:wordWrap w:val="0"/>
        <w:overflowPunct w:val="0"/>
        <w:topLinePunct w:val="0"/>
        <w:autoSpaceDE w:val="0"/>
        <w:autoSpaceDN w:val="0"/>
        <w:bidi w:val="0"/>
        <w:adjustRightInd/>
        <w:snapToGrid/>
        <w:spacing w:line="480" w:lineRule="exact"/>
        <w:ind w:firstLine="480"/>
        <w:textAlignment w:val="auto"/>
        <w:rPr>
          <w:rFonts w:hint="eastAsia" w:ascii="宋体" w:hAnsi="宋体" w:eastAsia="宋体" w:cs="宋体"/>
          <w:color w:val="auto"/>
          <w:kern w:val="2"/>
          <w:sz w:val="16"/>
          <w:szCs w:val="16"/>
          <w:highlight w:val="none"/>
        </w:rPr>
      </w:pPr>
      <w:r>
        <w:rPr>
          <w:rFonts w:hint="eastAsia" w:ascii="宋体" w:hAnsi="宋体" w:eastAsia="宋体" w:cs="宋体"/>
          <w:color w:val="auto"/>
          <w:kern w:val="2"/>
          <w:sz w:val="24"/>
          <w:szCs w:val="24"/>
          <w:highlight w:val="none"/>
          <w:lang w:val="en-US" w:eastAsia="zh-CN"/>
        </w:rPr>
        <w:t>（1）本项目采用</w:t>
      </w:r>
      <w:r>
        <w:rPr>
          <w:rFonts w:hint="eastAsia" w:ascii="宋体" w:hAnsi="宋体" w:eastAsia="宋体" w:cs="宋体"/>
          <w:color w:val="auto"/>
          <w:kern w:val="2"/>
          <w:sz w:val="24"/>
          <w:szCs w:val="24"/>
          <w:highlight w:val="none"/>
        </w:rPr>
        <w:t>“不见面开标”</w:t>
      </w:r>
      <w:r>
        <w:rPr>
          <w:rFonts w:hint="eastAsia" w:ascii="宋体" w:hAnsi="宋体" w:eastAsia="宋体" w:cs="宋体"/>
          <w:color w:val="auto"/>
          <w:kern w:val="2"/>
          <w:sz w:val="24"/>
          <w:szCs w:val="24"/>
          <w:highlight w:val="none"/>
          <w:lang w:eastAsia="zh-CN"/>
        </w:rPr>
        <w:t>，</w:t>
      </w:r>
      <w:r>
        <w:rPr>
          <w:rFonts w:hint="eastAsia" w:ascii="宋体" w:hAnsi="宋体" w:eastAsia="宋体" w:cs="宋体"/>
          <w:b/>
          <w:bCs/>
          <w:color w:val="auto"/>
          <w:kern w:val="2"/>
          <w:sz w:val="24"/>
          <w:szCs w:val="24"/>
          <w:highlight w:val="none"/>
        </w:rPr>
        <w:t>“不见面开标”</w:t>
      </w:r>
      <w:r>
        <w:rPr>
          <w:rFonts w:hint="eastAsia" w:ascii="宋体" w:hAnsi="宋体" w:eastAsia="宋体" w:cs="宋体"/>
          <w:color w:val="auto"/>
          <w:kern w:val="2"/>
          <w:sz w:val="24"/>
          <w:szCs w:val="24"/>
          <w:highlight w:val="none"/>
        </w:rPr>
        <w:t>系统操作说明详见全国公共资源交易平台（陕西省·</w:t>
      </w:r>
      <w:r>
        <w:rPr>
          <w:rFonts w:hint="eastAsia" w:ascii="宋体" w:hAnsi="宋体" w:eastAsia="宋体" w:cs="宋体"/>
          <w:color w:val="auto"/>
          <w:kern w:val="2"/>
          <w:sz w:val="24"/>
          <w:szCs w:val="24"/>
          <w:highlight w:val="none"/>
          <w:lang w:val="en-US" w:eastAsia="zh-CN"/>
        </w:rPr>
        <w:t>宝鸡市</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eastAsia="zh-CN"/>
        </w:rPr>
        <w:t>宝鸡市公共资源交易中心</w:t>
      </w:r>
      <w:r>
        <w:rPr>
          <w:rFonts w:hint="eastAsia" w:ascii="宋体" w:hAnsi="宋体" w:eastAsia="宋体" w:cs="宋体"/>
          <w:color w:val="auto"/>
          <w:kern w:val="2"/>
          <w:sz w:val="24"/>
          <w:szCs w:val="24"/>
          <w:highlight w:val="none"/>
        </w:rPr>
        <w:t>〖首页·〉服务指南·〉下载专区〗中的</w:t>
      </w:r>
      <w:r>
        <w:rPr>
          <w:rFonts w:hint="eastAsia" w:ascii="宋体" w:hAnsi="宋体" w:eastAsia="宋体" w:cs="宋体"/>
          <w:b w:val="0"/>
          <w:bCs w:val="0"/>
          <w:color w:val="auto"/>
          <w:kern w:val="2"/>
          <w:sz w:val="24"/>
          <w:szCs w:val="24"/>
          <w:highlight w:val="none"/>
          <w:lang w:val="en-US" w:eastAsia="zh-CN" w:bidi="ar-SA"/>
        </w:rPr>
        <w:t>《政府采购电子交易-不见面系统操作手册</w:t>
      </w:r>
      <w:r>
        <w:rPr>
          <w:rFonts w:hint="eastAsia" w:ascii="宋体" w:hAnsi="宋体" w:eastAsia="宋体" w:cs="宋体"/>
          <w:color w:val="auto"/>
          <w:kern w:val="2"/>
          <w:sz w:val="24"/>
          <w:szCs w:val="24"/>
          <w:highlight w:val="none"/>
        </w:rPr>
        <w:t>》。链接地址：http://ggzy.baoji.gov.cn/fwzn/004003/20231123/d2048104-5dd1-4825-97f0-186cb8450ee5.html</w:t>
      </w:r>
    </w:p>
    <w:p w14:paraId="069F5365">
      <w:pPr>
        <w:spacing w:line="480" w:lineRule="exact"/>
        <w:ind w:firstLine="480" w:firstLineChars="200"/>
        <w:rPr>
          <w:rFonts w:hint="eastAsia" w:ascii="宋体" w:hAnsi="宋体" w:eastAsia="宋体" w:cs="宋体"/>
          <w:b/>
          <w:bCs/>
          <w:color w:val="auto"/>
          <w:sz w:val="24"/>
          <w:szCs w:val="24"/>
          <w:highlight w:val="none"/>
          <w:lang w:val="zh-CN" w:eastAsia="zh-CN"/>
        </w:rPr>
      </w:pPr>
      <w:r>
        <w:rPr>
          <w:rFonts w:hint="eastAsia" w:ascii="宋体" w:hAnsi="宋体" w:eastAsia="宋体" w:cs="宋体"/>
          <w:color w:val="auto"/>
          <w:sz w:val="24"/>
          <w:szCs w:val="24"/>
          <w:highlight w:val="none"/>
          <w:lang w:val="en-US" w:eastAsia="zh-CN"/>
        </w:rPr>
        <w:t>（2）磋商当日，供应商不必抵达开标现场，可通过公共资源交易不见面开标系统参加磋商会议。</w:t>
      </w:r>
      <w:r>
        <w:rPr>
          <w:rFonts w:hint="eastAsia" w:ascii="宋体" w:hAnsi="宋体" w:eastAsia="宋体" w:cs="宋体"/>
          <w:color w:val="auto"/>
          <w:sz w:val="24"/>
          <w:szCs w:val="24"/>
          <w:highlight w:val="none"/>
          <w:lang w:val="zh-CN" w:eastAsia="zh-CN"/>
        </w:rPr>
        <w:t>不见面开标大厅登录方式为：</w:t>
      </w:r>
      <w:r>
        <w:rPr>
          <w:rFonts w:hint="eastAsia" w:ascii="宋体" w:hAnsi="宋体" w:eastAsia="宋体" w:cs="宋体"/>
          <w:b/>
          <w:bCs/>
          <w:color w:val="auto"/>
          <w:sz w:val="24"/>
          <w:szCs w:val="24"/>
          <w:highlight w:val="none"/>
          <w:lang w:val="zh-CN" w:eastAsia="zh-CN"/>
        </w:rPr>
        <w:t>全国公共资源交易平台（陕西省·宝鸡市）</w:t>
      </w:r>
      <w:r>
        <w:rPr>
          <w:rFonts w:hint="eastAsia" w:ascii="宋体" w:hAnsi="宋体" w:eastAsia="宋体" w:cs="宋体"/>
          <w:b/>
          <w:bCs/>
          <w:color w:val="auto"/>
          <w:kern w:val="2"/>
          <w:sz w:val="24"/>
          <w:szCs w:val="24"/>
          <w:highlight w:val="none"/>
          <w:lang w:eastAsia="zh-CN"/>
        </w:rPr>
        <w:t>宝鸡市公共资源交易中心</w:t>
      </w:r>
      <w:r>
        <w:rPr>
          <w:rFonts w:hint="eastAsia" w:ascii="宋体" w:hAnsi="宋体" w:eastAsia="宋体" w:cs="宋体"/>
          <w:b/>
          <w:bCs/>
          <w:color w:val="auto"/>
          <w:sz w:val="24"/>
          <w:szCs w:val="24"/>
          <w:highlight w:val="none"/>
          <w:lang w:val="zh-CN" w:eastAsia="zh-CN"/>
        </w:rPr>
        <w:t>→不见面开标。</w:t>
      </w:r>
    </w:p>
    <w:p w14:paraId="3FA36132">
      <w:pPr>
        <w:spacing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（3）供应商应提前1小时登录远程不见面开标大厅，调试设备至正常状态，并在远程不见面开标大厅中进行远程签到。</w:t>
      </w:r>
    </w:p>
    <w:p w14:paraId="01C9BF7D">
      <w:pPr>
        <w:spacing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（4）开标时，供应商须使用电子响应文件加密时所用的数字认证证书（CA 锁）在规定的时间内进行远程</w:t>
      </w:r>
      <w:r>
        <w:rPr>
          <w:rFonts w:hint="eastAsia" w:ascii="宋体" w:hAnsi="宋体" w:cs="宋体"/>
          <w:color w:val="auto"/>
          <w:kern w:val="2"/>
          <w:sz w:val="24"/>
          <w:szCs w:val="24"/>
          <w:highlight w:val="none"/>
          <w:lang w:val="en-US" w:eastAsia="zh-CN" w:bidi="ar-SA"/>
        </w:rPr>
        <w:t>在线</w:t>
      </w:r>
      <w:r>
        <w:rPr>
          <w:rFonts w:hint="eastAsia" w:ascii="宋体" w:hAnsi="宋体" w:eastAsia="宋体" w:cs="宋体"/>
          <w:color w:val="auto"/>
          <w:kern w:val="2"/>
          <w:sz w:val="24"/>
          <w:szCs w:val="24"/>
          <w:highlight w:val="none"/>
          <w:lang w:val="en-US" w:eastAsia="zh-CN" w:bidi="ar-SA"/>
        </w:rPr>
        <w:t>解密。</w:t>
      </w:r>
    </w:p>
    <w:p w14:paraId="0FF4C49C">
      <w:pPr>
        <w:spacing w:line="440" w:lineRule="exact"/>
        <w:ind w:firstLine="480" w:firstLine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kern w:val="2"/>
          <w:sz w:val="24"/>
          <w:szCs w:val="24"/>
          <w:highlight w:val="none"/>
          <w:lang w:val="en-US" w:eastAsia="zh-CN" w:bidi="ar-SA"/>
        </w:rPr>
        <w:t>（5）响应文件的加密和解密应当使用同一CA锁证书，解密文件时应当使用加密电子响应文件的CA锁证书进行解密；由此导致无法解密电子响应文件造成的后果，由</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kern w:val="2"/>
          <w:sz w:val="24"/>
          <w:szCs w:val="24"/>
          <w:highlight w:val="none"/>
          <w:lang w:val="en-US" w:eastAsia="zh-CN" w:bidi="ar-SA"/>
        </w:rPr>
        <w:t>自行承担。</w:t>
      </w:r>
    </w:p>
    <w:p w14:paraId="7E1B1BE4">
      <w:pPr>
        <w:spacing w:line="480" w:lineRule="exact"/>
        <w:ind w:firstLine="480" w:firstLine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zh-CN" w:eastAsia="zh-CN"/>
        </w:rPr>
        <w:t>在收到主持人“开始解密”指令后，应使用“加密该</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eastAsia="zh-CN"/>
        </w:rPr>
        <w:t>文件的CA锁在线完成</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eastAsia="zh-CN"/>
        </w:rPr>
        <w:t>文件解密。除因【宝鸡市公共资源交易中心】断电、断网、系统故障及其他不可抗力等因素，导致“不见面开标”系统无法正常运行外，</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zh-CN" w:eastAsia="zh-CN"/>
        </w:rPr>
        <w:t>应在规定的解密时间内完成解密。</w:t>
      </w:r>
    </w:p>
    <w:p w14:paraId="62EF957D">
      <w:pPr>
        <w:spacing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（7）线上</w:t>
      </w:r>
      <w:r>
        <w:rPr>
          <w:rFonts w:hint="eastAsia" w:ascii="宋体" w:hAnsi="宋体" w:eastAsia="宋体" w:cs="宋体"/>
          <w:color w:val="auto"/>
          <w:kern w:val="2"/>
          <w:sz w:val="24"/>
          <w:szCs w:val="24"/>
          <w:highlight w:val="none"/>
          <w:lang w:val="zh-CN" w:eastAsia="zh-CN" w:bidi="ar-SA"/>
        </w:rPr>
        <w:t>开标结束进入评审环节。</w:t>
      </w:r>
      <w:r>
        <w:rPr>
          <w:rFonts w:hint="eastAsia" w:ascii="宋体" w:hAnsi="宋体" w:eastAsia="宋体" w:cs="宋体"/>
          <w:color w:val="auto"/>
          <w:kern w:val="2"/>
          <w:sz w:val="24"/>
          <w:szCs w:val="24"/>
          <w:highlight w:val="none"/>
          <w:lang w:val="en-US" w:eastAsia="zh-CN" w:bidi="ar-SA"/>
        </w:rPr>
        <w:t>供应商</w:t>
      </w:r>
      <w:r>
        <w:rPr>
          <w:rFonts w:hint="eastAsia" w:ascii="宋体" w:hAnsi="宋体" w:eastAsia="宋体" w:cs="宋体"/>
          <w:color w:val="auto"/>
          <w:kern w:val="2"/>
          <w:sz w:val="24"/>
          <w:szCs w:val="24"/>
          <w:highlight w:val="none"/>
          <w:lang w:val="zh-CN" w:eastAsia="zh-CN" w:bidi="ar-SA"/>
        </w:rPr>
        <w:t>应保持在线因</w:t>
      </w:r>
      <w:r>
        <w:rPr>
          <w:rFonts w:hint="eastAsia" w:ascii="宋体" w:hAnsi="宋体" w:eastAsia="宋体" w:cs="宋体"/>
          <w:color w:val="auto"/>
          <w:kern w:val="2"/>
          <w:sz w:val="24"/>
          <w:szCs w:val="24"/>
          <w:highlight w:val="none"/>
          <w:lang w:val="en-US" w:eastAsia="zh-CN" w:bidi="ar-SA"/>
        </w:rPr>
        <w:t>供应</w:t>
      </w:r>
      <w:r>
        <w:rPr>
          <w:rFonts w:hint="eastAsia" w:ascii="宋体" w:hAnsi="宋体" w:eastAsia="宋体" w:cs="宋体"/>
          <w:color w:val="auto"/>
          <w:kern w:val="2"/>
          <w:sz w:val="24"/>
          <w:szCs w:val="24"/>
          <w:highlight w:val="none"/>
          <w:lang w:val="zh-CN" w:eastAsia="zh-CN" w:bidi="ar-SA"/>
        </w:rPr>
        <w:t>擅自离席造成的不利后果，由</w:t>
      </w:r>
      <w:r>
        <w:rPr>
          <w:rFonts w:hint="eastAsia" w:ascii="宋体" w:hAnsi="宋体" w:eastAsia="宋体" w:cs="宋体"/>
          <w:color w:val="auto"/>
          <w:kern w:val="2"/>
          <w:sz w:val="24"/>
          <w:szCs w:val="24"/>
          <w:highlight w:val="none"/>
          <w:lang w:val="en-US" w:eastAsia="zh-CN" w:bidi="ar-SA"/>
        </w:rPr>
        <w:t>供应商</w:t>
      </w:r>
      <w:r>
        <w:rPr>
          <w:rFonts w:hint="eastAsia" w:ascii="宋体" w:hAnsi="宋体" w:eastAsia="宋体" w:cs="宋体"/>
          <w:color w:val="auto"/>
          <w:kern w:val="2"/>
          <w:sz w:val="24"/>
          <w:szCs w:val="24"/>
          <w:highlight w:val="none"/>
          <w:lang w:val="zh-CN" w:eastAsia="zh-CN" w:bidi="ar-SA"/>
        </w:rPr>
        <w:t>自行承担。</w:t>
      </w:r>
    </w:p>
    <w:p w14:paraId="15009CB9">
      <w:pPr>
        <w:spacing w:line="440" w:lineRule="exact"/>
        <w:ind w:firstLine="480" w:firstLineChars="200"/>
        <w:rPr>
          <w:rFonts w:hint="eastAsia" w:ascii="宋体" w:hAnsi="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（8）线上开标流程结束后各供应商需在不见面开标系统内等待磋商小组发起在线磋商，投标供应商收到磋商小组在线磋商通知后，点击进入询标室与磋商小组连麦进行磋商。</w:t>
      </w:r>
    </w:p>
    <w:p w14:paraId="50400892">
      <w:pPr>
        <w:spacing w:line="440" w:lineRule="exact"/>
        <w:ind w:firstLine="480" w:firstLineChars="200"/>
        <w:rPr>
          <w:rFonts w:hint="eastAsia" w:ascii="宋体" w:hAnsi="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注：投标供应商在整个磋商过程中因退出不见面开标系统或未及时接受在线磋商通知或因自身原因导致无法正常进行磋商的，导致的不利后果由供应商自行承担。</w:t>
      </w:r>
    </w:p>
    <w:p w14:paraId="1A4F1B44">
      <w:pPr>
        <w:numPr>
          <w:ilvl w:val="0"/>
          <w:numId w:val="4"/>
        </w:numPr>
        <w:spacing w:line="440" w:lineRule="exact"/>
        <w:ind w:firstLine="480" w:firstLineChars="200"/>
        <w:rPr>
          <w:rFonts w:hint="eastAsia" w:ascii="宋体" w:hAnsi="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磋商小组完成在线磋商后发起最后报价，投标供应商可通过“不见面开标大厅”直接跳转到二次报价页面进行报价并签章后提交。最后报价一旦提交后，供应商不得以任何理由撤回，供应商未按磋商小组要求在规定时间内提交最后报价的，视为其退出磋商。</w:t>
      </w:r>
    </w:p>
    <w:p w14:paraId="18F0D1DA">
      <w:pPr>
        <w:pStyle w:val="45"/>
        <w:spacing w:line="480" w:lineRule="exact"/>
        <w:ind w:firstLine="480"/>
        <w:rPr>
          <w:rFonts w:hint="eastAsia" w:ascii="宋体" w:hAnsi="宋体" w:cs="宋体"/>
          <w:b/>
          <w:bCs/>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1-4、</w:t>
      </w:r>
      <w:r>
        <w:rPr>
          <w:rFonts w:hint="eastAsia" w:ascii="宋体" w:hAnsi="宋体" w:eastAsia="宋体" w:cs="宋体"/>
          <w:color w:val="auto"/>
          <w:kern w:val="2"/>
          <w:sz w:val="24"/>
          <w:szCs w:val="24"/>
          <w:highlight w:val="none"/>
        </w:rPr>
        <w:t>各</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rPr>
        <w:t>需实时在线观看音视频直播并及时互动，</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lang w:val="zh-CN"/>
        </w:rPr>
        <w:t>代表对开标过程和开标记录有疑义，以及认为采购人、采购代理机构相关工作人员有需要回避的情形的，应当场提出询问或者回避申请。</w:t>
      </w:r>
      <w:r>
        <w:rPr>
          <w:rFonts w:hint="eastAsia" w:ascii="宋体" w:hAnsi="宋体" w:eastAsia="宋体" w:cs="宋体"/>
          <w:color w:val="auto"/>
          <w:kern w:val="2"/>
          <w:sz w:val="24"/>
          <w:szCs w:val="24"/>
          <w:highlight w:val="none"/>
        </w:rPr>
        <w:t>未按时加入系统或未在线参与互动的，视为放弃标书解密和对开评标全过程质疑、澄清、答辩的权利，并承担由此产生的</w:t>
      </w:r>
      <w:r>
        <w:rPr>
          <w:rFonts w:hint="eastAsia" w:ascii="宋体" w:hAnsi="宋体" w:eastAsia="宋体" w:cs="宋体"/>
          <w:color w:val="auto"/>
          <w:kern w:val="2"/>
          <w:sz w:val="24"/>
          <w:szCs w:val="24"/>
          <w:highlight w:val="none"/>
          <w:lang w:val="en-US" w:eastAsia="zh-CN"/>
        </w:rPr>
        <w:t>一切</w:t>
      </w:r>
      <w:r>
        <w:rPr>
          <w:rFonts w:hint="eastAsia" w:ascii="宋体" w:hAnsi="宋体" w:eastAsia="宋体" w:cs="宋体"/>
          <w:color w:val="auto"/>
          <w:kern w:val="2"/>
          <w:sz w:val="24"/>
          <w:szCs w:val="24"/>
          <w:highlight w:val="none"/>
        </w:rPr>
        <w:t>后果。</w:t>
      </w:r>
      <w:r>
        <w:rPr>
          <w:rFonts w:hint="eastAsia" w:ascii="宋体" w:hAnsi="宋体" w:eastAsia="宋体" w:cs="宋体"/>
          <w:color w:val="auto"/>
          <w:kern w:val="2"/>
          <w:sz w:val="24"/>
          <w:szCs w:val="24"/>
          <w:highlight w:val="none"/>
          <w:lang w:val="zh-CN"/>
        </w:rPr>
        <w:t>采购代理机构对</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lang w:val="zh-CN"/>
        </w:rPr>
        <w:t>代表提出的询问或者回避申请应当及时处理。</w:t>
      </w:r>
    </w:p>
    <w:p w14:paraId="48939D30">
      <w:pPr>
        <w:spacing w:line="440" w:lineRule="exact"/>
        <w:ind w:firstLine="480" w:firstLineChars="200"/>
        <w:rPr>
          <w:rFonts w:hint="eastAsia" w:ascii="宋体" w:hAnsi="宋体" w:eastAsia="宋体" w:cs="宋体"/>
          <w:highlight w:val="none"/>
          <w:lang w:val="en-US" w:eastAsia="zh-CN"/>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、供应商代表对磋商过程有疑义的，以及认为采购人、采购代理机构相关工作人员有需要回避的情形的，应当</w:t>
      </w:r>
      <w:r>
        <w:rPr>
          <w:rFonts w:hint="eastAsia" w:ascii="宋体" w:hAnsi="宋体" w:cs="宋体"/>
          <w:color w:val="auto"/>
          <w:kern w:val="2"/>
          <w:sz w:val="24"/>
          <w:szCs w:val="24"/>
          <w:highlight w:val="none"/>
          <w:lang w:val="en-US" w:eastAsia="zh-CN" w:bidi="ar-SA"/>
        </w:rPr>
        <w:t>在线</w:t>
      </w:r>
      <w:r>
        <w:rPr>
          <w:rFonts w:hint="eastAsia" w:ascii="宋体" w:hAnsi="宋体" w:eastAsia="宋体" w:cs="宋体"/>
          <w:color w:val="auto"/>
          <w:kern w:val="2"/>
          <w:sz w:val="24"/>
          <w:szCs w:val="24"/>
          <w:highlight w:val="none"/>
          <w:lang w:val="en-US" w:eastAsia="zh-CN" w:bidi="ar-SA"/>
        </w:rPr>
        <w:t>提出询问或回避申请。</w:t>
      </w:r>
    </w:p>
    <w:p w14:paraId="1DC15234">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2、评审</w:t>
      </w:r>
    </w:p>
    <w:p w14:paraId="04D4CC9C">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2-1、磋商小组</w:t>
      </w:r>
    </w:p>
    <w:p w14:paraId="53A3B38C">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bookmarkStart w:id="25" w:name="OLE_LINK4"/>
      <w:bookmarkStart w:id="26" w:name="OLE_LINK14"/>
      <w:r>
        <w:rPr>
          <w:rFonts w:hint="eastAsia" w:ascii="宋体" w:hAnsi="宋体" w:eastAsia="宋体" w:cs="宋体"/>
          <w:color w:val="auto"/>
          <w:sz w:val="24"/>
          <w:szCs w:val="24"/>
          <w:highlight w:val="none"/>
        </w:rPr>
        <w:t>采购代理机构根据《中华人民共和国政府采购法》及其实施条例、《政府采购竞争性磋商采购方式管理暂行办法》的通知（财库【2014】214号）等规定，依法组建磋商小组。</w:t>
      </w:r>
      <w:r>
        <w:rPr>
          <w:rFonts w:hint="eastAsia" w:ascii="宋体" w:hAnsi="宋体" w:cs="宋体"/>
          <w:color w:val="auto"/>
          <w:sz w:val="24"/>
          <w:szCs w:val="24"/>
          <w:highlight w:val="none"/>
          <w:lang w:val="en-US" w:eastAsia="zh-CN"/>
        </w:rPr>
        <w:t>本项目磋商小组由采购代理机构工作人员在陕西省政府采购网随机抽取评审专家2名及采购人代表1名共同组成</w:t>
      </w:r>
      <w:r>
        <w:rPr>
          <w:rFonts w:hint="eastAsia" w:ascii="宋体" w:hAnsi="宋体" w:eastAsia="宋体" w:cs="宋体"/>
          <w:color w:val="auto"/>
          <w:sz w:val="24"/>
          <w:szCs w:val="24"/>
          <w:highlight w:val="none"/>
        </w:rPr>
        <w:t>。</w:t>
      </w:r>
    </w:p>
    <w:p w14:paraId="5969F203">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（2）采购人派一名代表进入磋商小组，并向采购代理机构出具授权函。</w:t>
      </w:r>
      <w:bookmarkEnd w:id="25"/>
    </w:p>
    <w:p w14:paraId="6C4FB4C4">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（3）磋商小组应推荐一名评审专家担任评审组长，并由评审组长牵头组织该项目评审工作，采购人</w:t>
      </w:r>
      <w:r>
        <w:rPr>
          <w:rFonts w:hint="eastAsia" w:ascii="宋体" w:hAnsi="宋体" w:eastAsia="宋体" w:cs="宋体"/>
          <w:color w:val="auto"/>
          <w:sz w:val="24"/>
          <w:szCs w:val="24"/>
          <w:highlight w:val="none"/>
          <w:lang w:eastAsia="zh-CN"/>
        </w:rPr>
        <w:t>代表</w:t>
      </w:r>
      <w:r>
        <w:rPr>
          <w:rFonts w:hint="eastAsia" w:ascii="宋体" w:hAnsi="宋体" w:eastAsia="宋体" w:cs="宋体"/>
          <w:color w:val="auto"/>
          <w:sz w:val="24"/>
          <w:szCs w:val="24"/>
          <w:highlight w:val="none"/>
        </w:rPr>
        <w:t>不得担任评审组长。</w:t>
      </w:r>
    </w:p>
    <w:bookmarkEnd w:id="26"/>
    <w:p w14:paraId="497DE2B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（4）磋商小组成员应当遵守并履行下列职责义务：</w:t>
      </w:r>
    </w:p>
    <w:p w14:paraId="2C467767">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a、遵纪守法，客观、公正、认真负责地履行职责，根据磋商文件规定的评审程序、评审方法和评审标准审查磋商响应文件；</w:t>
      </w:r>
    </w:p>
    <w:p w14:paraId="6E86FAD9">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b、资格审查、符合性审查、评价磋商响应文件是否符合磋商文件的商务、技术等实质性要求；</w:t>
      </w:r>
    </w:p>
    <w:p w14:paraId="529448C8">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c、要求供应商对磋商响应文件有关事项作出澄清或者说明；</w:t>
      </w:r>
    </w:p>
    <w:p w14:paraId="7E8DB85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d、对磋商响应文件进行比较和评价；</w:t>
      </w:r>
    </w:p>
    <w:p w14:paraId="2BADD2E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e、推荐成交候选单位名单，对磋商意见承担个人责任；</w:t>
      </w:r>
    </w:p>
    <w:p w14:paraId="48AAFFF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f、拟定磋商结果；</w:t>
      </w:r>
    </w:p>
    <w:p w14:paraId="56E54E9D">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g、对磋商过程及各供应商的商业机密予以保密；</w:t>
      </w:r>
    </w:p>
    <w:p w14:paraId="4DBB9D2C">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h、向财政部门报告在评审过程中发现的供应商的违法违规行为；</w:t>
      </w:r>
    </w:p>
    <w:p w14:paraId="567CDF53">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i、配合采购人、采购代理机构答复各供应商提出的质疑；</w:t>
      </w:r>
    </w:p>
    <w:p w14:paraId="1A0DB613">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j、配合各部门的投诉处理和监督检查工作。</w:t>
      </w:r>
    </w:p>
    <w:p w14:paraId="6DF781D0">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2-2、在政府采购活动中，采购人员及相关人员（包括磋商小组）与供应商有下列利害关系之一的，应当回避：</w:t>
      </w:r>
    </w:p>
    <w:p w14:paraId="0A7B656E">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（1）参加采购活动前3年内与供应商存在劳动关系；</w:t>
      </w:r>
    </w:p>
    <w:p w14:paraId="4D56F8CE">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（2）参加采购活动前3年内担任供应商的董事、监事；</w:t>
      </w:r>
    </w:p>
    <w:p w14:paraId="40F4A863">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（3）参加采购活动前3年内是供应商的控股股东或者实际控制人；</w:t>
      </w:r>
    </w:p>
    <w:p w14:paraId="0B5A67FD">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（4）与供应商的法定代表人或者负责人有夫妻、直系血亲、三代以内旁系血亲或者近姻亲关系；</w:t>
      </w:r>
    </w:p>
    <w:p w14:paraId="22249A6A">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（5）与供应商有其他可能影响政府采购活动公平、公正进行的关系。</w:t>
      </w:r>
    </w:p>
    <w:p w14:paraId="463F129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2-3、磋商原则：坚持公平、公正、科学、择优原则，禁止不正当竞争。</w:t>
      </w:r>
    </w:p>
    <w:p w14:paraId="5C52D626">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2-4、评审办法：本次</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采用综合评分法（详见本节评分标准）。</w:t>
      </w:r>
    </w:p>
    <w:p w14:paraId="746794E6">
      <w:pPr>
        <w:spacing w:line="4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2-5、磋商工作程序：</w:t>
      </w:r>
      <w:r>
        <w:rPr>
          <w:rFonts w:hint="eastAsia" w:ascii="宋体" w:hAnsi="宋体" w:eastAsia="宋体" w:cs="宋体"/>
          <w:color w:val="auto"/>
          <w:sz w:val="24"/>
          <w:szCs w:val="24"/>
          <w:highlight w:val="none"/>
          <w:lang w:eastAsia="zh-CN"/>
        </w:rPr>
        <w:t>以</w:t>
      </w:r>
      <w:r>
        <w:rPr>
          <w:rFonts w:hint="eastAsia" w:ascii="宋体" w:hAnsi="宋体" w:eastAsia="宋体" w:cs="宋体"/>
          <w:color w:val="auto"/>
          <w:sz w:val="24"/>
          <w:szCs w:val="24"/>
          <w:highlight w:val="none"/>
        </w:rPr>
        <w:t>资格审查、符合性审查、澄清、评价、推荐成交候选人的工作程序进行评审。</w:t>
      </w:r>
    </w:p>
    <w:p w14:paraId="304331B5">
      <w:pP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2-5-1、资格审查</w:t>
      </w:r>
    </w:p>
    <w:p w14:paraId="14ACDC9A">
      <w:pPr>
        <w:spacing w:line="480" w:lineRule="exact"/>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由</w:t>
      </w:r>
      <w:r>
        <w:rPr>
          <w:rFonts w:hint="eastAsia" w:ascii="宋体" w:hAnsi="宋体" w:cs="宋体"/>
          <w:b/>
          <w:bCs/>
          <w:color w:val="auto"/>
          <w:sz w:val="24"/>
          <w:szCs w:val="24"/>
          <w:highlight w:val="none"/>
          <w:lang w:val="en-US" w:eastAsia="zh-CN"/>
        </w:rPr>
        <w:t>采购人</w:t>
      </w:r>
      <w:r>
        <w:rPr>
          <w:rFonts w:hint="eastAsia" w:ascii="宋体" w:hAnsi="宋体" w:eastAsia="宋体" w:cs="宋体"/>
          <w:b/>
          <w:bCs/>
          <w:color w:val="auto"/>
          <w:sz w:val="24"/>
          <w:szCs w:val="24"/>
          <w:highlight w:val="none"/>
          <w:lang w:val="en-US" w:eastAsia="zh-CN"/>
        </w:rPr>
        <w:t>依法对供应商的资格进行审查, 审查合格的供应商方可进入下一评审阶段。缺项或一项不符合要求即不合格，不合格的供应商其响应无效。</w:t>
      </w:r>
    </w:p>
    <w:p w14:paraId="60D271D4">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39F91A6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66CF5D9F">
      <w:pPr>
        <w:spacing w:line="4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合同包1(</w:t>
      </w:r>
      <w:r>
        <w:rPr>
          <w:rFonts w:hint="eastAsia" w:ascii="宋体" w:hAnsi="宋体" w:cs="宋体"/>
          <w:b w:val="0"/>
          <w:bCs w:val="0"/>
          <w:color w:val="auto"/>
          <w:sz w:val="24"/>
          <w:szCs w:val="24"/>
          <w:highlight w:val="none"/>
          <w:lang w:eastAsia="zh-CN"/>
        </w:rPr>
        <w:t>2025年神农镇太平庄村供水抗旱应急水源项目</w:t>
      </w:r>
      <w:r>
        <w:rPr>
          <w:rFonts w:hint="eastAsia" w:ascii="宋体" w:hAnsi="宋体" w:eastAsia="宋体" w:cs="宋体"/>
          <w:b w:val="0"/>
          <w:bCs w:val="0"/>
          <w:color w:val="auto"/>
          <w:sz w:val="24"/>
          <w:szCs w:val="24"/>
          <w:highlight w:val="none"/>
        </w:rPr>
        <w:t>)落实政府采购政策需满足的资格要求如下:</w:t>
      </w:r>
    </w:p>
    <w:p w14:paraId="197390FD">
      <w:pPr>
        <w:spacing w:line="4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i w:val="0"/>
          <w:iCs w:val="0"/>
          <w:caps w:val="0"/>
          <w:color w:val="auto"/>
          <w:spacing w:val="0"/>
          <w:sz w:val="24"/>
          <w:szCs w:val="24"/>
          <w:highlight w:val="none"/>
          <w:shd w:val="clear" w:fill="FFFFFF"/>
          <w:vertAlign w:val="baseline"/>
        </w:rPr>
        <w:t>本项目专门面向中小企业采购。</w:t>
      </w:r>
      <w:r>
        <w:rPr>
          <w:rFonts w:hint="eastAsia" w:ascii="宋体" w:hAnsi="宋体" w:eastAsia="宋体" w:cs="宋体"/>
          <w:i w:val="0"/>
          <w:iCs w:val="0"/>
          <w:caps w:val="0"/>
          <w:color w:val="auto"/>
          <w:spacing w:val="0"/>
          <w:sz w:val="24"/>
          <w:szCs w:val="24"/>
          <w:highlight w:val="none"/>
          <w:shd w:val="clear" w:fill="FFFFFF"/>
          <w:vertAlign w:val="baseline"/>
        </w:rPr>
        <w:t>（残疾人福利性单位、监狱企业视同小型、微型企业）；须符合《政府采购促进中小企业发展管理办法》（财库〔2020〕46号）规定的中小企业参加</w:t>
      </w:r>
      <w:r>
        <w:rPr>
          <w:rFonts w:hint="eastAsia" w:ascii="宋体" w:hAnsi="宋体" w:eastAsia="宋体" w:cs="宋体"/>
          <w:b/>
          <w:bCs/>
          <w:i w:val="0"/>
          <w:iCs w:val="0"/>
          <w:caps w:val="0"/>
          <w:color w:val="auto"/>
          <w:spacing w:val="0"/>
          <w:sz w:val="24"/>
          <w:szCs w:val="24"/>
          <w:highlight w:val="none"/>
          <w:shd w:val="clear" w:fill="FFFFFF"/>
          <w:vertAlign w:val="baseline"/>
          <w:lang w:val="en-US" w:eastAsia="zh-CN"/>
        </w:rPr>
        <w:t>（提供《中小企业声明函》，样式见竞争性磋商响应文件格式）</w:t>
      </w:r>
      <w:r>
        <w:rPr>
          <w:rFonts w:hint="eastAsia" w:cs="宋体"/>
          <w:b/>
          <w:bCs/>
          <w:i w:val="0"/>
          <w:iCs w:val="0"/>
          <w:caps w:val="0"/>
          <w:color w:val="auto"/>
          <w:spacing w:val="0"/>
          <w:sz w:val="24"/>
          <w:szCs w:val="24"/>
          <w:highlight w:val="none"/>
          <w:shd w:val="clear" w:fill="FFFFFF"/>
          <w:vertAlign w:val="baseline"/>
          <w:lang w:eastAsia="zh-CN"/>
        </w:rPr>
        <w:t>；</w:t>
      </w:r>
      <w:r>
        <w:rPr>
          <w:rFonts w:hint="eastAsia" w:ascii="宋体" w:hAnsi="宋体" w:eastAsia="宋体" w:cs="宋体"/>
          <w:color w:val="auto"/>
          <w:sz w:val="24"/>
          <w:szCs w:val="24"/>
          <w:highlight w:val="none"/>
        </w:rPr>
        <w:t>本项目采购标的所属行业为：</w:t>
      </w:r>
      <w:r>
        <w:rPr>
          <w:rFonts w:hint="eastAsia" w:ascii="宋体" w:hAnsi="宋体" w:eastAsia="宋体" w:cs="宋体"/>
          <w:color w:val="auto"/>
          <w:sz w:val="24"/>
          <w:szCs w:val="24"/>
          <w:highlight w:val="none"/>
          <w:lang w:eastAsia="zh-CN"/>
        </w:rPr>
        <w:t>建筑业</w:t>
      </w:r>
      <w:r>
        <w:rPr>
          <w:rFonts w:hint="eastAsia" w:ascii="宋体" w:hAnsi="宋体" w:eastAsia="宋体" w:cs="宋体"/>
          <w:color w:val="auto"/>
          <w:sz w:val="24"/>
          <w:szCs w:val="24"/>
          <w:highlight w:val="none"/>
        </w:rPr>
        <w:t>。</w:t>
      </w:r>
    </w:p>
    <w:p w14:paraId="4E1A7F49">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14:paraId="1B6D67D3">
      <w:pPr>
        <w:spacing w:line="4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合同包1(</w:t>
      </w:r>
      <w:r>
        <w:rPr>
          <w:rFonts w:hint="eastAsia" w:ascii="宋体" w:hAnsi="宋体" w:cs="宋体"/>
          <w:b w:val="0"/>
          <w:bCs w:val="0"/>
          <w:color w:val="auto"/>
          <w:sz w:val="24"/>
          <w:szCs w:val="24"/>
          <w:highlight w:val="none"/>
          <w:lang w:eastAsia="zh-CN"/>
        </w:rPr>
        <w:t>2025年神农镇太平庄村供水抗旱应急水源项目</w:t>
      </w:r>
      <w:r>
        <w:rPr>
          <w:rFonts w:hint="eastAsia" w:ascii="宋体" w:hAnsi="宋体" w:eastAsia="宋体" w:cs="宋体"/>
          <w:b w:val="0"/>
          <w:bCs w:val="0"/>
          <w:color w:val="auto"/>
          <w:sz w:val="24"/>
          <w:szCs w:val="24"/>
          <w:highlight w:val="none"/>
        </w:rPr>
        <w:t>)特定资格要求如下:</w:t>
      </w:r>
    </w:p>
    <w:p w14:paraId="7353E235">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（1）供应商须为合法注册的法人、其他组织或者自然人，并具有独立承担民事责任的能力；提供统一社会信用代码的营业执照（或事业法人证、自然人身份证）等证明文件；</w:t>
      </w:r>
    </w:p>
    <w:p w14:paraId="36CB9280">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（2）法定代表人参加采购活动须出示本人身份证（原件及复印件），被授权代表参加采购活动须出示本人身份证原件和法定代表人授权书；</w:t>
      </w:r>
    </w:p>
    <w:p w14:paraId="6B9C2CC2">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（3）</w:t>
      </w:r>
      <w:r>
        <w:rPr>
          <w:rFonts w:hint="default" w:cs="宋体"/>
          <w:i w:val="0"/>
          <w:iCs w:val="0"/>
          <w:caps w:val="0"/>
          <w:color w:val="auto"/>
          <w:spacing w:val="0"/>
          <w:sz w:val="24"/>
          <w:szCs w:val="24"/>
          <w:highlight w:val="none"/>
          <w:shd w:val="clear" w:fill="FFFFFF"/>
          <w:lang w:eastAsia="zh-CN"/>
        </w:rPr>
        <w:t>供应商应具备水利水电工程施工总承包三级及以上资质和有效的安全生产许可证；拟派本工程项目经理须具有水利水电工程专业二级及以上建造师资格证、注册证及有效的安全生产考核合格证，并无在建项目（以无在建承诺书为准）</w:t>
      </w:r>
      <w:r>
        <w:rPr>
          <w:rFonts w:hint="eastAsia" w:cs="宋体"/>
          <w:i w:val="0"/>
          <w:iCs w:val="0"/>
          <w:caps w:val="0"/>
          <w:color w:val="auto"/>
          <w:spacing w:val="0"/>
          <w:sz w:val="24"/>
          <w:szCs w:val="24"/>
          <w:highlight w:val="none"/>
          <w:shd w:val="clear" w:fill="FFFFFF"/>
          <w:lang w:eastAsia="zh-CN"/>
        </w:rPr>
        <w:t>；</w:t>
      </w:r>
    </w:p>
    <w:p w14:paraId="232C6A91">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4）财务状况报告：提供具有财务审计资质单位出具的2024年度财务审计报告，（成立时间至提交投标文件截止时间不足一年的可提供成立后任意时段的资产负债表），或开标时间前六个月内银行出具的资信证明；</w:t>
      </w:r>
    </w:p>
    <w:p w14:paraId="32222064">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（5）社会保障资金缴纳证明：</w:t>
      </w:r>
      <w:r>
        <w:rPr>
          <w:rFonts w:hint="default" w:cs="宋体"/>
          <w:i w:val="0"/>
          <w:iCs w:val="0"/>
          <w:caps w:val="0"/>
          <w:color w:val="auto"/>
          <w:spacing w:val="0"/>
          <w:sz w:val="24"/>
          <w:szCs w:val="24"/>
          <w:highlight w:val="none"/>
          <w:shd w:val="clear" w:fill="FFFFFF"/>
          <w:lang w:eastAsia="zh-CN"/>
        </w:rPr>
        <w:t>提供截止至采购时间前任意六个月的社保缴费凭据或社保机构开具的社会保险参保缴费情况证明（依法不需要缴纳社会保障资金的供应商应提供相关证明）</w:t>
      </w:r>
      <w:r>
        <w:rPr>
          <w:rFonts w:hint="eastAsia" w:cs="宋体"/>
          <w:i w:val="0"/>
          <w:iCs w:val="0"/>
          <w:caps w:val="0"/>
          <w:color w:val="auto"/>
          <w:spacing w:val="0"/>
          <w:sz w:val="24"/>
          <w:szCs w:val="24"/>
          <w:highlight w:val="none"/>
          <w:shd w:val="clear" w:fill="FFFFFF"/>
          <w:lang w:eastAsia="zh-CN"/>
        </w:rPr>
        <w:t>；</w:t>
      </w:r>
    </w:p>
    <w:p w14:paraId="66AACD36">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（6）完税证明：</w:t>
      </w:r>
      <w:r>
        <w:rPr>
          <w:rFonts w:hint="default" w:cs="宋体"/>
          <w:i w:val="0"/>
          <w:iCs w:val="0"/>
          <w:caps w:val="0"/>
          <w:color w:val="auto"/>
          <w:spacing w:val="0"/>
          <w:sz w:val="24"/>
          <w:szCs w:val="24"/>
          <w:highlight w:val="none"/>
          <w:shd w:val="clear" w:fill="FFFFFF"/>
          <w:lang w:eastAsia="zh-CN"/>
        </w:rPr>
        <w:t>提供截止至采购时间前任意六个月的纳税证明或完税证明，依法免税的单位应提供相关证明材料</w:t>
      </w:r>
      <w:r>
        <w:rPr>
          <w:rFonts w:hint="eastAsia" w:cs="宋体"/>
          <w:i w:val="0"/>
          <w:iCs w:val="0"/>
          <w:caps w:val="0"/>
          <w:color w:val="auto"/>
          <w:spacing w:val="0"/>
          <w:sz w:val="24"/>
          <w:szCs w:val="24"/>
          <w:highlight w:val="none"/>
          <w:shd w:val="clear" w:fill="FFFFFF"/>
          <w:lang w:eastAsia="zh-CN"/>
        </w:rPr>
        <w:t>；</w:t>
      </w:r>
    </w:p>
    <w:p w14:paraId="465319D0">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（7）参加政府采购活动前3年内在经营活动中没有重大违法记录的书面声明；</w:t>
      </w:r>
    </w:p>
    <w:p w14:paraId="3C1CD15D">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（8）提供具有履行本合同所必需的设备和专业技术能力的说明及承诺；</w:t>
      </w:r>
    </w:p>
    <w:p w14:paraId="2D92D271">
      <w:pPr>
        <w:pStyle w:val="45"/>
        <w:spacing w:line="480" w:lineRule="exact"/>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（9）单位负责人为同一人或者存在直接控股、管理关系的不同供应商，不得参加同一合同项下的政府采购活动；（提供书面承诺函）；</w:t>
      </w:r>
    </w:p>
    <w:p w14:paraId="4A912593">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10）供应商不得为“信用中国(www.creditchina.gov.cn)”中列入失信被执行人和重大税收违法失信主体及“中国裁判文书网”（http://wenshu.court.gov.cn/）有行贿犯罪记录。（查询主体供应商、法定代表人、项目负责人）；不得为“中国政府采购网(www.ccgp.gov.cn)”政府采购严重违法失信行为记录名单中被财政部门禁止参加政府采购活动的供应商；</w:t>
      </w:r>
    </w:p>
    <w:p w14:paraId="08DAE146">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（11）本项目不接受联合体投标；</w:t>
      </w:r>
    </w:p>
    <w:p w14:paraId="383D2163">
      <w:pPr>
        <w:pStyle w:val="45"/>
        <w:spacing w:line="480" w:lineRule="exact"/>
        <w:ind w:left="0" w:leftChars="0" w:firstLine="480" w:firstLineChars="200"/>
        <w:rPr>
          <w:rFonts w:hint="eastAsia" w:cs="宋体"/>
          <w:i w:val="0"/>
          <w:iCs w:val="0"/>
          <w:caps w:val="0"/>
          <w:color w:val="auto"/>
          <w:spacing w:val="0"/>
          <w:sz w:val="24"/>
          <w:szCs w:val="24"/>
          <w:highlight w:val="none"/>
          <w:shd w:val="clear" w:fill="FFFFFF"/>
          <w:lang w:eastAsia="zh-CN"/>
        </w:rPr>
      </w:pPr>
      <w:r>
        <w:rPr>
          <w:rFonts w:hint="eastAsia" w:cs="宋体"/>
          <w:i w:val="0"/>
          <w:iCs w:val="0"/>
          <w:caps w:val="0"/>
          <w:color w:val="auto"/>
          <w:spacing w:val="0"/>
          <w:sz w:val="24"/>
          <w:szCs w:val="24"/>
          <w:highlight w:val="none"/>
          <w:shd w:val="clear" w:fill="FFFFFF"/>
          <w:lang w:eastAsia="zh-CN"/>
        </w:rPr>
        <w:t>（12）本项目为专门面向中小企业，须提供中小企业声明函；</w:t>
      </w:r>
    </w:p>
    <w:p w14:paraId="5BF7BB55">
      <w:pPr>
        <w:pStyle w:val="45"/>
        <w:spacing w:line="480" w:lineRule="exact"/>
        <w:ind w:left="0" w:leftChars="0"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2-5-2、符合性审查</w:t>
      </w:r>
    </w:p>
    <w:p w14:paraId="48FAD25D">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依</w:t>
      </w:r>
      <w:r>
        <w:rPr>
          <w:rFonts w:hint="eastAsia" w:ascii="宋体" w:hAnsi="宋体" w:eastAsia="宋体" w:cs="宋体"/>
          <w:color w:val="auto"/>
          <w:sz w:val="24"/>
          <w:szCs w:val="24"/>
          <w:highlight w:val="none"/>
          <w:lang w:val="en-US" w:eastAsia="zh-CN"/>
        </w:rPr>
        <w:t>据磋商文件的规定，对资格审查合格者磋商响应文件的有效性，完整性和对磋商文件的响应程度进行审查，以确定是否对磋商文件的实质性内容做出响应，包含但不限于以下内容，未通过审查的按无效投标处理：</w:t>
      </w:r>
    </w:p>
    <w:p w14:paraId="16C6494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（1）供应商名称与</w:t>
      </w:r>
      <w:r>
        <w:rPr>
          <w:rFonts w:hint="eastAsia" w:ascii="宋体" w:hAnsi="宋体" w:cs="宋体"/>
          <w:color w:val="auto"/>
          <w:sz w:val="24"/>
          <w:szCs w:val="24"/>
          <w:highlight w:val="none"/>
          <w:lang w:eastAsia="zh-CN"/>
        </w:rPr>
        <w:t>获取</w:t>
      </w:r>
      <w:r>
        <w:rPr>
          <w:rFonts w:hint="eastAsia" w:ascii="宋体" w:hAnsi="宋体" w:eastAsia="宋体" w:cs="宋体"/>
          <w:color w:val="auto"/>
          <w:sz w:val="24"/>
          <w:szCs w:val="24"/>
          <w:highlight w:val="none"/>
        </w:rPr>
        <w:t>磋商文件的单位名称</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一致；</w:t>
      </w:r>
    </w:p>
    <w:p w14:paraId="5AEE2C5A">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）磋商响应文件</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按照磋商文件的要求盖章签字；</w:t>
      </w:r>
    </w:p>
    <w:p w14:paraId="4011AB5F">
      <w:pPr>
        <w:spacing w:line="480" w:lineRule="exact"/>
        <w:ind w:firstLine="480" w:firstLineChars="200"/>
        <w:rPr>
          <w:rFonts w:hint="eastAsia" w:ascii="宋体" w:hAnsi="宋体" w:eastAsia="宋体" w:cs="宋体"/>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磋商保证金是否按要求提供；</w:t>
      </w:r>
    </w:p>
    <w:p w14:paraId="23CC7DEA">
      <w:pPr>
        <w:spacing w:line="480" w:lineRule="exact"/>
        <w:ind w:firstLine="480" w:firstLineChars="200"/>
        <w:rPr>
          <w:rFonts w:hint="eastAsia" w:ascii="宋体" w:hAnsi="宋体" w:eastAsia="宋体" w:cs="宋体"/>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磋商响应</w:t>
      </w:r>
      <w:r>
        <w:rPr>
          <w:rFonts w:hint="eastAsia" w:ascii="宋体" w:hAnsi="宋体" w:eastAsia="宋体" w:cs="宋体"/>
          <w:color w:val="auto"/>
          <w:sz w:val="24"/>
          <w:szCs w:val="24"/>
          <w:highlight w:val="none"/>
        </w:rPr>
        <w:t>内容是否有重大缺漏项；</w:t>
      </w:r>
    </w:p>
    <w:p w14:paraId="2655DA86">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）磋商报价</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超过</w:t>
      </w:r>
      <w:r>
        <w:rPr>
          <w:rFonts w:hint="eastAsia" w:ascii="宋体" w:hAnsi="宋体" w:eastAsia="宋体" w:cs="宋体"/>
          <w:color w:val="auto"/>
          <w:sz w:val="24"/>
          <w:szCs w:val="24"/>
          <w:highlight w:val="none"/>
          <w:lang w:eastAsia="zh-CN"/>
        </w:rPr>
        <w:t>最高限价</w:t>
      </w:r>
      <w:r>
        <w:rPr>
          <w:rFonts w:hint="eastAsia" w:ascii="宋体" w:hAnsi="宋体" w:eastAsia="宋体" w:cs="宋体"/>
          <w:color w:val="auto"/>
          <w:sz w:val="24"/>
          <w:szCs w:val="24"/>
          <w:highlight w:val="none"/>
        </w:rPr>
        <w:t>；</w:t>
      </w:r>
    </w:p>
    <w:p w14:paraId="183EABCE">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）磋商有效期</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符合磋商文件的要求；</w:t>
      </w:r>
    </w:p>
    <w:p w14:paraId="5DBC6AC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）对磋商文件商务要求</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作出明确且实质性响应；</w:t>
      </w:r>
    </w:p>
    <w:p w14:paraId="0DBE6778">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）对磋商文件</w:t>
      </w:r>
      <w:r>
        <w:rPr>
          <w:rFonts w:hint="eastAsia" w:ascii="宋体" w:hAnsi="宋体" w:eastAsia="宋体" w:cs="宋体"/>
          <w:color w:val="auto"/>
          <w:sz w:val="24"/>
          <w:szCs w:val="24"/>
          <w:highlight w:val="none"/>
          <w:lang w:eastAsia="zh-CN"/>
        </w:rPr>
        <w:t>其他</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 xml:space="preserve">作出明确且实质性响应； </w:t>
      </w:r>
    </w:p>
    <w:p w14:paraId="25A2D37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）磋商响应文件</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含有采购人不能接受的附</w:t>
      </w:r>
      <w:r>
        <w:rPr>
          <w:rFonts w:hint="eastAsia" w:ascii="宋体" w:hAnsi="宋体" w:eastAsia="宋体" w:cs="宋体"/>
          <w:color w:val="auto"/>
          <w:sz w:val="24"/>
          <w:szCs w:val="24"/>
          <w:highlight w:val="none"/>
          <w:lang w:val="en-US" w:eastAsia="zh-CN"/>
        </w:rPr>
        <w:t>加</w:t>
      </w:r>
      <w:r>
        <w:rPr>
          <w:rFonts w:hint="eastAsia" w:ascii="宋体" w:hAnsi="宋体" w:eastAsia="宋体" w:cs="宋体"/>
          <w:color w:val="auto"/>
          <w:sz w:val="24"/>
          <w:szCs w:val="24"/>
          <w:highlight w:val="none"/>
        </w:rPr>
        <w:t>条件；</w:t>
      </w:r>
    </w:p>
    <w:p w14:paraId="51DDF91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是否含有</w:t>
      </w:r>
      <w:r>
        <w:rPr>
          <w:rFonts w:hint="eastAsia" w:ascii="宋体" w:hAnsi="宋体" w:eastAsia="宋体" w:cs="宋体"/>
          <w:color w:val="auto"/>
          <w:sz w:val="24"/>
          <w:szCs w:val="24"/>
          <w:highlight w:val="none"/>
        </w:rPr>
        <w:t>法律、法规和磋商文件规定的其他无效响应情形。</w:t>
      </w:r>
    </w:p>
    <w:p w14:paraId="343C73FD">
      <w:pP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2-5-3、竞争性磋商响应文件的澄清：</w:t>
      </w:r>
    </w:p>
    <w:p w14:paraId="45B8DC2D">
      <w:pPr>
        <w:overflowPunct w:val="0"/>
        <w:adjustRightInd w:val="0"/>
        <w:snapToGrid w:val="0"/>
        <w:spacing w:line="48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B60D21A">
      <w:pP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（2）书写错误的评审标准：</w:t>
      </w:r>
    </w:p>
    <w:p w14:paraId="2CA59174">
      <w:pP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磋商小组在评审过程中，发现竞争性磋商响应文件出现下列情况之一者，按以下原则修正：</w:t>
      </w:r>
    </w:p>
    <w:p w14:paraId="54A7A833">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a、磋商响应文件有关内容与“磋商报价一览表”不一致的，以“磋商报价一览表”为准；</w:t>
      </w:r>
    </w:p>
    <w:p w14:paraId="2ACA75AC">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b、大写金额与小写金额不一致的，以大写金额为准；</w:t>
      </w:r>
    </w:p>
    <w:p w14:paraId="57A380B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c、单价金额小数点或者百分比有明显错位的，以“磋商报价一览表”的总价为准，并修改单价；</w:t>
      </w:r>
    </w:p>
    <w:p w14:paraId="7FC07D1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d、总价金额与按单价汇总金额不一致的，以单价乘以数量的计算结果为准；</w:t>
      </w:r>
    </w:p>
    <w:p w14:paraId="4839DA43">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e、磋商响应文件图表与文字不符时，以文字为准；</w:t>
      </w:r>
    </w:p>
    <w:p w14:paraId="6B5D33C5">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f</w:t>
      </w:r>
      <w:r>
        <w:rPr>
          <w:rFonts w:hint="eastAsia" w:ascii="宋体" w:hAnsi="宋体" w:eastAsia="宋体" w:cs="宋体"/>
          <w:color w:val="auto"/>
          <w:sz w:val="24"/>
          <w:szCs w:val="24"/>
          <w:highlight w:val="none"/>
        </w:rPr>
        <w:t>、对不同文字文本磋商响应文件的解释发生异议的，以中文文本为准；</w:t>
      </w:r>
    </w:p>
    <w:p w14:paraId="3D170D49">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h、多处内容交叉不符时，以磋商小组评审结果为准。</w:t>
      </w:r>
    </w:p>
    <w:p w14:paraId="4801228B">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注：按上述方法修正的内容（其中，同时出现上述a至d两种以上不一致的，按上述规定的顺序修正），经供应商确认后产生约束力，供应商不确认的，其磋商响应无效。</w:t>
      </w:r>
    </w:p>
    <w:p w14:paraId="7DA22D4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小组认为供应商的报价明显低于其他通过符合性审查供应商的报价，有可能影响工程质量或者不能诚信履约的，应当要求其在评审现场合理的时间内提供书面说明，必要时提交相关证明材料；供应商不能证明其报价合理性的，磋商小组应当将其作为无效磋商响应处理。</w:t>
      </w:r>
    </w:p>
    <w:p w14:paraId="3892774C">
      <w:pPr>
        <w:spacing w:line="48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2-5-4、评议：</w:t>
      </w:r>
    </w:p>
    <w:p w14:paraId="37D2DE05">
      <w:pPr>
        <w:spacing w:line="48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（1）磋商小组评审竞争性磋商响应文件响应性及符合性只根据竞争性磋商响应文件本身的内容，而不寻求其他外部证据。</w:t>
      </w:r>
    </w:p>
    <w:p w14:paraId="747B91F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（2）磋商小组所有成员应当集中与单一</w:t>
      </w:r>
      <w:r>
        <w:rPr>
          <w:rFonts w:hint="eastAsia" w:ascii="宋体" w:hAnsi="宋体" w:eastAsia="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分别进行</w:t>
      </w:r>
      <w:r>
        <w:rPr>
          <w:rFonts w:hint="eastAsia" w:ascii="宋体" w:hAnsi="宋体" w:cs="宋体"/>
          <w:b w:val="0"/>
          <w:bCs w:val="0"/>
          <w:color w:val="auto"/>
          <w:sz w:val="24"/>
          <w:szCs w:val="24"/>
          <w:highlight w:val="none"/>
          <w:lang w:eastAsia="zh-CN"/>
        </w:rPr>
        <w:t>在线</w:t>
      </w:r>
      <w:r>
        <w:rPr>
          <w:rFonts w:hint="eastAsia" w:ascii="宋体" w:hAnsi="宋体" w:eastAsia="宋体" w:cs="宋体"/>
          <w:b w:val="0"/>
          <w:bCs w:val="0"/>
          <w:color w:val="auto"/>
          <w:sz w:val="24"/>
          <w:szCs w:val="24"/>
          <w:highlight w:val="none"/>
        </w:rPr>
        <w:t>磋商，并给予所有参加磋商的</w:t>
      </w:r>
      <w:r>
        <w:rPr>
          <w:rFonts w:hint="eastAsia" w:ascii="宋体" w:hAnsi="宋体" w:eastAsia="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平等的磋商机会</w:t>
      </w:r>
      <w:r>
        <w:rPr>
          <w:rFonts w:hint="eastAsia" w:ascii="宋体" w:hAnsi="宋体" w:eastAsia="宋体" w:cs="宋体"/>
          <w:color w:val="auto"/>
          <w:sz w:val="24"/>
          <w:szCs w:val="24"/>
          <w:highlight w:val="none"/>
        </w:rPr>
        <w:t>。</w:t>
      </w:r>
    </w:p>
    <w:p w14:paraId="557345AA">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（3）在磋商过程中，磋商小组可以根据磋商文件和磋商情况实质性变动采购需求中的技术、服务要求以及合同草案条款，但不得变动磋商文件中的其他内容。实质性变动的内容，须经采购人代表确认。</w:t>
      </w:r>
    </w:p>
    <w:p w14:paraId="2A9BB3CD">
      <w:pPr>
        <w:spacing w:line="440" w:lineRule="exact"/>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eastAsia="zh-CN"/>
        </w:rPr>
        <w:t>在线</w:t>
      </w:r>
      <w:r>
        <w:rPr>
          <w:rFonts w:hint="eastAsia" w:ascii="宋体" w:hAnsi="宋体" w:eastAsia="宋体" w:cs="宋体"/>
          <w:color w:val="auto"/>
          <w:sz w:val="24"/>
          <w:szCs w:val="24"/>
          <w:highlight w:val="none"/>
        </w:rPr>
        <w:t>磋商结束后，磋商小组应当要求所有实质性响应的</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szCs w:val="24"/>
          <w:highlight w:val="none"/>
        </w:rPr>
        <w:t>在规定时间内提交最后报价。</w:t>
      </w:r>
      <w:r>
        <w:rPr>
          <w:rFonts w:hint="eastAsia" w:ascii="宋体" w:hAnsi="宋体" w:eastAsia="宋体" w:cs="宋体"/>
          <w:b/>
          <w:bCs/>
          <w:color w:val="auto"/>
          <w:sz w:val="24"/>
          <w:szCs w:val="24"/>
          <w:highlight w:val="none"/>
          <w:lang w:val="en-US" w:eastAsia="zh-CN"/>
        </w:rPr>
        <w:t>供应商须用数字认证证书（CA锁）登陆系统</w:t>
      </w:r>
      <w:r>
        <w:rPr>
          <w:rFonts w:hint="eastAsia" w:ascii="宋体" w:hAnsi="宋体" w:cs="宋体"/>
          <w:b/>
          <w:bCs/>
          <w:color w:val="auto"/>
          <w:sz w:val="24"/>
          <w:szCs w:val="24"/>
          <w:highlight w:val="none"/>
          <w:lang w:val="en-US" w:eastAsia="zh-CN"/>
        </w:rPr>
        <w:t>在线</w:t>
      </w:r>
      <w:r>
        <w:rPr>
          <w:rFonts w:hint="eastAsia" w:ascii="宋体" w:hAnsi="宋体" w:eastAsia="宋体" w:cs="宋体"/>
          <w:b/>
          <w:bCs/>
          <w:color w:val="auto"/>
          <w:sz w:val="24"/>
          <w:szCs w:val="24"/>
          <w:highlight w:val="none"/>
          <w:lang w:val="en-US" w:eastAsia="zh-CN"/>
        </w:rPr>
        <w:t>进行最后报价，在线</w:t>
      </w:r>
      <w:r>
        <w:rPr>
          <w:rFonts w:hint="eastAsia" w:ascii="宋体" w:hAnsi="宋体" w:cs="宋体"/>
          <w:b/>
          <w:bCs/>
          <w:color w:val="auto"/>
          <w:sz w:val="24"/>
          <w:szCs w:val="24"/>
          <w:highlight w:val="none"/>
          <w:lang w:val="en-US" w:eastAsia="zh-CN"/>
        </w:rPr>
        <w:t>签章</w:t>
      </w:r>
      <w:r>
        <w:rPr>
          <w:rFonts w:hint="eastAsia" w:ascii="宋体" w:hAnsi="宋体" w:eastAsia="宋体" w:cs="宋体"/>
          <w:b/>
          <w:bCs/>
          <w:color w:val="auto"/>
          <w:sz w:val="24"/>
          <w:szCs w:val="24"/>
          <w:highlight w:val="none"/>
          <w:lang w:val="en-US" w:eastAsia="zh-CN"/>
        </w:rPr>
        <w:t>提交最终报价</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系统按照评标规则自动计分。</w:t>
      </w:r>
    </w:p>
    <w:p w14:paraId="1EAD70EB">
      <w:pPr>
        <w:spacing w:line="48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审采取逐项分步评审方式，每一步评审不符合者，按无效投标处理，不进入下一步评审。经磋商确定最终采购需求和提交最后报价后，由磋商小组采用综合评分法对提交最后报价的供应商的响应文件和最后报价进行综合评分。</w:t>
      </w:r>
    </w:p>
    <w:p w14:paraId="06A7EDFF">
      <w:pP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（6）其他需说明的情况：</w:t>
      </w:r>
    </w:p>
    <w:p w14:paraId="56772199">
      <w:pP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a、对于竞争性磋商响应文件中不构成实质性偏差的小的不正规、不一致或不规则，采购人可以接受，但这种接受不能损害或影响任何供应商的相对排序；</w:t>
      </w:r>
    </w:p>
    <w:p w14:paraId="029BC2A5">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b、最低报价不是成交的唯一条件；</w:t>
      </w:r>
    </w:p>
    <w:p w14:paraId="340E3137">
      <w:pPr>
        <w:overflowPunct w:val="0"/>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c、如果磋商响应实质上没有响应竞争性磋商文件的要求，其磋商响应将被拒绝，供应商不得通过修正或</w:t>
      </w:r>
      <w:r>
        <w:rPr>
          <w:rFonts w:hint="eastAsia" w:ascii="宋体" w:hAnsi="宋体" w:cs="宋体"/>
          <w:color w:val="auto"/>
          <w:sz w:val="24"/>
          <w:szCs w:val="24"/>
          <w:highlight w:val="none"/>
          <w:lang w:eastAsia="zh-CN"/>
        </w:rPr>
        <w:t>撤销</w:t>
      </w:r>
      <w:r>
        <w:rPr>
          <w:rFonts w:hint="eastAsia" w:ascii="宋体" w:hAnsi="宋体" w:eastAsia="宋体" w:cs="宋体"/>
          <w:color w:val="auto"/>
          <w:sz w:val="24"/>
          <w:szCs w:val="24"/>
          <w:highlight w:val="none"/>
        </w:rPr>
        <w:t>不合要求的偏离或保留从而使其磋商响应成为实质上响应的磋商响应。</w:t>
      </w:r>
    </w:p>
    <w:p w14:paraId="2830F665">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d、无论磋商的结果如何，磋商期间一切费用自理。</w:t>
      </w:r>
    </w:p>
    <w:p w14:paraId="6FFF5648">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2-6、评分标准</w:t>
      </w:r>
    </w:p>
    <w:tbl>
      <w:tblPr>
        <w:tblStyle w:val="26"/>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1"/>
        <w:gridCol w:w="1450"/>
        <w:gridCol w:w="733"/>
        <w:gridCol w:w="6272"/>
      </w:tblGrid>
      <w:tr w14:paraId="1522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5" w:hRule="atLeast"/>
          <w:jc w:val="center"/>
        </w:trPr>
        <w:tc>
          <w:tcPr>
            <w:tcW w:w="601" w:type="dxa"/>
            <w:shd w:val="clear" w:color="auto" w:fill="auto"/>
            <w:noWrap w:val="0"/>
            <w:vAlign w:val="center"/>
          </w:tcPr>
          <w:p w14:paraId="13A87B00">
            <w:pPr>
              <w:spacing w:line="480" w:lineRule="exact"/>
              <w:ind w:left="-157" w:leftChars="-56" w:right="-126" w:rightChars="-45"/>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序号</w:t>
            </w:r>
          </w:p>
        </w:tc>
        <w:tc>
          <w:tcPr>
            <w:tcW w:w="1450" w:type="dxa"/>
            <w:shd w:val="clear" w:color="auto" w:fill="auto"/>
            <w:noWrap w:val="0"/>
            <w:vAlign w:val="center"/>
          </w:tcPr>
          <w:p w14:paraId="69532AB2">
            <w:pPr>
              <w:spacing w:line="480" w:lineRule="exact"/>
              <w:ind w:left="-157" w:leftChars="-56" w:right="-126" w:rightChars="-45"/>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评审分项</w:t>
            </w:r>
          </w:p>
        </w:tc>
        <w:tc>
          <w:tcPr>
            <w:tcW w:w="733" w:type="dxa"/>
            <w:shd w:val="clear" w:color="auto" w:fill="auto"/>
            <w:noWrap w:val="0"/>
            <w:vAlign w:val="center"/>
          </w:tcPr>
          <w:p w14:paraId="7D36AC0A">
            <w:pPr>
              <w:spacing w:line="480" w:lineRule="exact"/>
              <w:ind w:left="-157" w:leftChars="-56" w:right="-126" w:rightChars="-45"/>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分值</w:t>
            </w:r>
          </w:p>
        </w:tc>
        <w:tc>
          <w:tcPr>
            <w:tcW w:w="6272" w:type="dxa"/>
            <w:shd w:val="clear" w:color="auto" w:fill="auto"/>
            <w:noWrap w:val="0"/>
            <w:vAlign w:val="center"/>
          </w:tcPr>
          <w:p w14:paraId="01F5B794">
            <w:pPr>
              <w:spacing w:line="42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评审</w:t>
            </w:r>
            <w:r>
              <w:rPr>
                <w:rFonts w:hint="eastAsia" w:ascii="宋体" w:hAnsi="宋体" w:cs="宋体"/>
                <w:color w:val="auto"/>
                <w:sz w:val="24"/>
                <w:highlight w:val="none"/>
                <w:lang w:eastAsia="zh-CN"/>
              </w:rPr>
              <w:t>标准</w:t>
            </w:r>
          </w:p>
        </w:tc>
      </w:tr>
      <w:tr w14:paraId="22A3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01" w:type="dxa"/>
            <w:shd w:val="clear" w:color="auto" w:fill="auto"/>
            <w:noWrap w:val="0"/>
            <w:vAlign w:val="center"/>
          </w:tcPr>
          <w:p w14:paraId="3772D626">
            <w:pPr>
              <w:widowControl/>
              <w:spacing w:line="480" w:lineRule="exact"/>
              <w:ind w:right="-34"/>
              <w:jc w:val="center"/>
              <w:textAlignment w:val="bottom"/>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50" w:type="dxa"/>
            <w:shd w:val="clear" w:color="auto" w:fill="auto"/>
            <w:noWrap w:val="0"/>
            <w:vAlign w:val="center"/>
          </w:tcPr>
          <w:p w14:paraId="27348AB7">
            <w:pPr>
              <w:widowControl/>
              <w:spacing w:line="480" w:lineRule="exact"/>
              <w:ind w:right="-34"/>
              <w:jc w:val="center"/>
              <w:textAlignment w:val="bottom"/>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磋商报价</w:t>
            </w:r>
          </w:p>
        </w:tc>
        <w:tc>
          <w:tcPr>
            <w:tcW w:w="733" w:type="dxa"/>
            <w:shd w:val="clear" w:color="auto" w:fill="auto"/>
            <w:noWrap w:val="0"/>
            <w:vAlign w:val="center"/>
          </w:tcPr>
          <w:p w14:paraId="5FC377EA">
            <w:pPr>
              <w:spacing w:line="480" w:lineRule="exact"/>
              <w:ind w:left="-157" w:leftChars="-56" w:right="-126" w:rightChars="-45"/>
              <w:jc w:val="center"/>
              <w:rPr>
                <w:rFonts w:hint="eastAsia" w:ascii="宋体" w:hAnsi="宋体" w:eastAsia="宋体" w:cs="宋体"/>
                <w:color w:val="auto"/>
                <w:sz w:val="24"/>
                <w:highlight w:val="none"/>
              </w:rPr>
            </w:pP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分</w:t>
            </w:r>
          </w:p>
        </w:tc>
        <w:tc>
          <w:tcPr>
            <w:tcW w:w="6272" w:type="dxa"/>
            <w:shd w:val="clear" w:color="auto" w:fill="auto"/>
            <w:noWrap w:val="0"/>
            <w:vAlign w:val="center"/>
          </w:tcPr>
          <w:p w14:paraId="28F4B325">
            <w:pPr>
              <w:overflowPunct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采用低价优先法计算，即满足</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要求且最终报价最低的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的报价为评标基准价，其价格得分为满分</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分。</w:t>
            </w:r>
          </w:p>
          <w:p w14:paraId="68387783">
            <w:pPr>
              <w:overflowPunct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的报价得分统一按照下列公式计算：</w:t>
            </w:r>
          </w:p>
          <w:p w14:paraId="543CB299">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报价得分=（评标基准价/</w:t>
            </w:r>
            <w:r>
              <w:rPr>
                <w:rFonts w:hint="eastAsia" w:ascii="宋体" w:hAnsi="宋体" w:cs="宋体"/>
                <w:color w:val="auto"/>
                <w:sz w:val="24"/>
                <w:szCs w:val="24"/>
                <w:highlight w:val="none"/>
                <w:lang w:eastAsia="zh-CN"/>
              </w:rPr>
              <w:t>最终</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报价）×</w:t>
            </w:r>
            <w:r>
              <w:rPr>
                <w:rFonts w:hint="eastAsia" w:ascii="宋体" w:hAnsi="宋体" w:eastAsia="宋体" w:cs="宋体"/>
                <w:color w:val="auto"/>
                <w:sz w:val="24"/>
                <w:szCs w:val="24"/>
                <w:highlight w:val="none"/>
                <w:lang w:eastAsia="zh-CN"/>
              </w:rPr>
              <w:t>价格权重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100；</w:t>
            </w:r>
          </w:p>
          <w:p w14:paraId="6B307757">
            <w:pPr>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eastAsia="zh-CN"/>
              </w:rPr>
              <w:t>注：</w:t>
            </w:r>
            <w:r>
              <w:rPr>
                <w:rFonts w:hint="eastAsia" w:ascii="宋体" w:hAnsi="宋体" w:cs="宋体"/>
                <w:b/>
                <w:bCs/>
                <w:sz w:val="24"/>
                <w:szCs w:val="20"/>
                <w:highlight w:val="none"/>
                <w:lang w:val="en-US" w:eastAsia="zh-CN"/>
              </w:rPr>
              <w:t>本项目为专门面向中小企业采购，不进行价格扣除优惠；</w:t>
            </w:r>
          </w:p>
        </w:tc>
      </w:tr>
      <w:tr w14:paraId="0058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601" w:type="dxa"/>
            <w:shd w:val="clear" w:color="auto" w:fill="auto"/>
            <w:noWrap w:val="0"/>
            <w:vAlign w:val="center"/>
          </w:tcPr>
          <w:p w14:paraId="14036E73">
            <w:pPr>
              <w:widowControl/>
              <w:spacing w:line="480" w:lineRule="exact"/>
              <w:ind w:right="-34" w:rightChars="0"/>
              <w:jc w:val="center"/>
              <w:textAlignment w:val="bottom"/>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450" w:type="dxa"/>
            <w:shd w:val="clear" w:color="auto" w:fill="auto"/>
            <w:noWrap w:val="0"/>
            <w:vAlign w:val="center"/>
          </w:tcPr>
          <w:p w14:paraId="41341D98">
            <w:pPr>
              <w:widowControl/>
              <w:spacing w:line="480" w:lineRule="exact"/>
              <w:ind w:right="-34" w:rightChars="0"/>
              <w:jc w:val="center"/>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项目部人员的配备</w:t>
            </w:r>
          </w:p>
        </w:tc>
        <w:tc>
          <w:tcPr>
            <w:tcW w:w="733" w:type="dxa"/>
            <w:shd w:val="clear" w:color="auto" w:fill="auto"/>
            <w:noWrap w:val="0"/>
            <w:vAlign w:val="center"/>
          </w:tcPr>
          <w:p w14:paraId="24F7612A">
            <w:pPr>
              <w:widowControl/>
              <w:spacing w:line="480" w:lineRule="exact"/>
              <w:ind w:right="-34" w:rightChars="0"/>
              <w:jc w:val="center"/>
              <w:textAlignment w:val="bottom"/>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6分</w:t>
            </w:r>
          </w:p>
        </w:tc>
        <w:tc>
          <w:tcPr>
            <w:tcW w:w="6272" w:type="dxa"/>
            <w:shd w:val="clear" w:color="auto" w:fill="auto"/>
            <w:noWrap w:val="0"/>
            <w:vAlign w:val="center"/>
          </w:tcPr>
          <w:p w14:paraId="607D7B71">
            <w:pPr>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项目部人员的配备合理齐全计3.0-6.0分，基本合理齐全计0.5-3.0分；缺项或只有标题无内容或内容有严重错误者，该项得0分。</w:t>
            </w:r>
          </w:p>
        </w:tc>
      </w:tr>
      <w:tr w14:paraId="5A90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shd w:val="clear" w:color="auto" w:fill="auto"/>
            <w:noWrap w:val="0"/>
            <w:vAlign w:val="center"/>
          </w:tcPr>
          <w:p w14:paraId="1DF87CA7">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450" w:type="dxa"/>
            <w:shd w:val="clear" w:color="auto" w:fill="auto"/>
            <w:noWrap w:val="0"/>
            <w:vAlign w:val="center"/>
          </w:tcPr>
          <w:p w14:paraId="2D7F2D63">
            <w:pPr>
              <w:widowControl/>
              <w:spacing w:line="480" w:lineRule="exact"/>
              <w:ind w:right="-34" w:rightChars="0"/>
              <w:jc w:val="center"/>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施工方案和方法</w:t>
            </w:r>
          </w:p>
        </w:tc>
        <w:tc>
          <w:tcPr>
            <w:tcW w:w="733" w:type="dxa"/>
            <w:shd w:val="clear" w:color="auto" w:fill="auto"/>
            <w:noWrap w:val="0"/>
            <w:vAlign w:val="center"/>
          </w:tcPr>
          <w:p w14:paraId="44827F04">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10分</w:t>
            </w:r>
          </w:p>
        </w:tc>
        <w:tc>
          <w:tcPr>
            <w:tcW w:w="6272" w:type="dxa"/>
            <w:shd w:val="clear" w:color="auto" w:fill="auto"/>
            <w:noWrap w:val="0"/>
            <w:vAlign w:val="center"/>
          </w:tcPr>
          <w:p w14:paraId="413F3A30">
            <w:pPr>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方案和方法全面、详细、科学合理，可实施性强，科学合理符合项目要求计7.0-10.0分，较全面、方案基本科学合理，有可实施性计3.0-7.0分，不合理、可行性欠缺计0.5-3.0分；缺项或只有标题无内容或内容有严重错误者，该项得0分。</w:t>
            </w:r>
          </w:p>
        </w:tc>
      </w:tr>
      <w:tr w14:paraId="6AEB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shd w:val="clear" w:color="auto" w:fill="auto"/>
            <w:noWrap w:val="0"/>
            <w:vAlign w:val="center"/>
          </w:tcPr>
          <w:p w14:paraId="2A455875">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450" w:type="dxa"/>
            <w:shd w:val="clear" w:color="auto" w:fill="auto"/>
            <w:noWrap w:val="0"/>
            <w:vAlign w:val="center"/>
          </w:tcPr>
          <w:p w14:paraId="0447ACC7">
            <w:pPr>
              <w:widowControl/>
              <w:spacing w:line="480" w:lineRule="exact"/>
              <w:ind w:right="-34" w:rightChars="0"/>
              <w:jc w:val="center"/>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工期和进度计划</w:t>
            </w:r>
          </w:p>
        </w:tc>
        <w:tc>
          <w:tcPr>
            <w:tcW w:w="733" w:type="dxa"/>
            <w:shd w:val="clear" w:color="auto" w:fill="auto"/>
            <w:noWrap w:val="0"/>
            <w:vAlign w:val="center"/>
          </w:tcPr>
          <w:p w14:paraId="2601FFED">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6分</w:t>
            </w:r>
          </w:p>
        </w:tc>
        <w:tc>
          <w:tcPr>
            <w:tcW w:w="6272" w:type="dxa"/>
            <w:shd w:val="clear" w:color="auto" w:fill="auto"/>
            <w:noWrap w:val="0"/>
            <w:vAlign w:val="center"/>
          </w:tcPr>
          <w:p w14:paraId="50858184">
            <w:pPr>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工期和进度计划科学合理计3.0-6.0分，不合理、可行性欠缺计0.5-3.0分；缺项或只有标题无内容或内容有严重错误者，该项得0分。</w:t>
            </w:r>
          </w:p>
        </w:tc>
      </w:tr>
      <w:tr w14:paraId="4950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shd w:val="clear" w:color="auto" w:fill="auto"/>
            <w:noWrap w:val="0"/>
            <w:vAlign w:val="center"/>
          </w:tcPr>
          <w:p w14:paraId="63AD27DF">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450" w:type="dxa"/>
            <w:shd w:val="clear" w:color="auto" w:fill="auto"/>
            <w:noWrap w:val="0"/>
            <w:vAlign w:val="center"/>
          </w:tcPr>
          <w:p w14:paraId="1ED94067">
            <w:pPr>
              <w:widowControl/>
              <w:spacing w:line="480" w:lineRule="exact"/>
              <w:ind w:right="-34" w:rightChars="0"/>
              <w:jc w:val="center"/>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质量保证体系与措施</w:t>
            </w:r>
          </w:p>
        </w:tc>
        <w:tc>
          <w:tcPr>
            <w:tcW w:w="733" w:type="dxa"/>
            <w:shd w:val="clear" w:color="auto" w:fill="auto"/>
            <w:noWrap w:val="0"/>
            <w:vAlign w:val="center"/>
          </w:tcPr>
          <w:p w14:paraId="3C02A094">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8分</w:t>
            </w:r>
          </w:p>
        </w:tc>
        <w:tc>
          <w:tcPr>
            <w:tcW w:w="6272" w:type="dxa"/>
            <w:shd w:val="clear" w:color="auto" w:fill="auto"/>
            <w:noWrap w:val="0"/>
            <w:vAlign w:val="center"/>
          </w:tcPr>
          <w:p w14:paraId="020E460E">
            <w:pPr>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质量管理体系全面、可操作性强，管理职责明确、分工清晰， 质量过程控制健全，质量管理措施完善计6.0-8.0分； 质量管理体系较全面、有可操作性，管理职责较明确、分工较清晰，质量过程控制基本健全，管理措施基本完善计3.0-6.0分； 质量管理体系不全面、可操作性差，管理职责不明确、分工不清晰，质量过程控制不健全，管理措施不完善计0.5-3.0分； 缺项或只有标题无内容或内容有严重错误者，该项得0分。</w:t>
            </w:r>
          </w:p>
        </w:tc>
      </w:tr>
      <w:tr w14:paraId="243A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shd w:val="clear" w:color="auto" w:fill="auto"/>
            <w:noWrap w:val="0"/>
            <w:vAlign w:val="center"/>
          </w:tcPr>
          <w:p w14:paraId="2DEAF316">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450" w:type="dxa"/>
            <w:shd w:val="clear" w:color="auto" w:fill="auto"/>
            <w:noWrap w:val="0"/>
            <w:vAlign w:val="center"/>
          </w:tcPr>
          <w:p w14:paraId="55B1009E">
            <w:pPr>
              <w:widowControl/>
              <w:spacing w:line="480" w:lineRule="exact"/>
              <w:ind w:right="-34" w:rightChars="0"/>
              <w:jc w:val="center"/>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安全管理体系与措施</w:t>
            </w:r>
          </w:p>
        </w:tc>
        <w:tc>
          <w:tcPr>
            <w:tcW w:w="733" w:type="dxa"/>
            <w:shd w:val="clear" w:color="auto" w:fill="auto"/>
            <w:noWrap w:val="0"/>
            <w:vAlign w:val="center"/>
          </w:tcPr>
          <w:p w14:paraId="46CC6CF2">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8分</w:t>
            </w:r>
          </w:p>
        </w:tc>
        <w:tc>
          <w:tcPr>
            <w:tcW w:w="6272" w:type="dxa"/>
            <w:shd w:val="clear" w:color="auto" w:fill="auto"/>
            <w:noWrap w:val="0"/>
            <w:vAlign w:val="center"/>
          </w:tcPr>
          <w:p w14:paraId="6577B319">
            <w:pPr>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安全管理体系健全，管理职责明确，安全管理措施可行性强，安全管理经费有保障计6.0-8.0 分；安全管理体系基本健全，管理职责基本明确，安全管理措施具有可行性，安全管理经费基本有保障计3.0-6.0分； 安全管理体系不健全，管理职责不明确，安全管理措施可行性差计0.5-3.0分；缺项或只有标题无内容或内容有严重错误者，该项得0分。</w:t>
            </w:r>
          </w:p>
        </w:tc>
      </w:tr>
      <w:tr w14:paraId="2D25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shd w:val="clear" w:color="auto" w:fill="auto"/>
            <w:noWrap w:val="0"/>
            <w:vAlign w:val="center"/>
          </w:tcPr>
          <w:p w14:paraId="17055708">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450" w:type="dxa"/>
            <w:shd w:val="clear" w:color="auto" w:fill="auto"/>
            <w:noWrap w:val="0"/>
            <w:vAlign w:val="center"/>
          </w:tcPr>
          <w:p w14:paraId="78A69E99">
            <w:pPr>
              <w:widowControl/>
              <w:spacing w:line="480" w:lineRule="exact"/>
              <w:ind w:right="-34" w:rightChars="0"/>
              <w:jc w:val="center"/>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主要机具、设备和劳动力的配置</w:t>
            </w:r>
          </w:p>
        </w:tc>
        <w:tc>
          <w:tcPr>
            <w:tcW w:w="733" w:type="dxa"/>
            <w:shd w:val="clear" w:color="auto" w:fill="auto"/>
            <w:noWrap w:val="0"/>
            <w:vAlign w:val="center"/>
          </w:tcPr>
          <w:p w14:paraId="24E1338C">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6分</w:t>
            </w:r>
          </w:p>
        </w:tc>
        <w:tc>
          <w:tcPr>
            <w:tcW w:w="6272" w:type="dxa"/>
            <w:shd w:val="clear" w:color="auto" w:fill="auto"/>
            <w:noWrap w:val="0"/>
            <w:vAlign w:val="center"/>
          </w:tcPr>
          <w:p w14:paraId="00318388">
            <w:pPr>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主要机具、设备和劳动力的配置合理齐全计3.0-6.0分，基本合理齐全计0.5-3.0分；缺项或只有标题无内容或内容有严重错误者，该项得0分。</w:t>
            </w:r>
          </w:p>
        </w:tc>
      </w:tr>
      <w:tr w14:paraId="3845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shd w:val="clear" w:color="auto" w:fill="auto"/>
            <w:noWrap w:val="0"/>
            <w:vAlign w:val="center"/>
          </w:tcPr>
          <w:p w14:paraId="6CAFFEE6">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450" w:type="dxa"/>
            <w:shd w:val="clear" w:color="auto" w:fill="auto"/>
            <w:noWrap w:val="0"/>
            <w:vAlign w:val="center"/>
          </w:tcPr>
          <w:p w14:paraId="557F4C4A">
            <w:pPr>
              <w:widowControl/>
              <w:spacing w:line="480" w:lineRule="exact"/>
              <w:ind w:right="-34" w:rightChars="0"/>
              <w:jc w:val="center"/>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文明施工管理体系与措施</w:t>
            </w:r>
          </w:p>
        </w:tc>
        <w:tc>
          <w:tcPr>
            <w:tcW w:w="733" w:type="dxa"/>
            <w:shd w:val="clear" w:color="auto" w:fill="auto"/>
            <w:noWrap w:val="0"/>
            <w:vAlign w:val="center"/>
          </w:tcPr>
          <w:p w14:paraId="05852379">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8分</w:t>
            </w:r>
          </w:p>
        </w:tc>
        <w:tc>
          <w:tcPr>
            <w:tcW w:w="6272" w:type="dxa"/>
            <w:shd w:val="clear" w:color="auto" w:fill="auto"/>
            <w:noWrap w:val="0"/>
            <w:vAlign w:val="center"/>
          </w:tcPr>
          <w:p w14:paraId="1EA084E9">
            <w:pPr>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文明施工管理体系健全，管理职责明确，保证措施功能完善计6.0-8.0分；管理体系基本健全，管理职责基本明确，保证措施基本可行计3.0-6.0分； 管理体系不健全，管理职责不明确，保证措施不合理计0.5-3.0分； 缺项或只有标题无内容或内容有严重错误者，该项得0分。</w:t>
            </w:r>
          </w:p>
        </w:tc>
      </w:tr>
      <w:tr w14:paraId="4DFA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shd w:val="clear" w:color="auto" w:fill="auto"/>
            <w:noWrap w:val="0"/>
            <w:vAlign w:val="center"/>
          </w:tcPr>
          <w:p w14:paraId="759A0D94">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450" w:type="dxa"/>
            <w:shd w:val="clear" w:color="auto" w:fill="auto"/>
            <w:noWrap w:val="0"/>
            <w:vAlign w:val="center"/>
          </w:tcPr>
          <w:p w14:paraId="2C8E864B">
            <w:pPr>
              <w:widowControl/>
              <w:spacing w:line="480" w:lineRule="exact"/>
              <w:ind w:right="-34" w:rightChars="0"/>
              <w:jc w:val="center"/>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工期保证措施</w:t>
            </w:r>
          </w:p>
        </w:tc>
        <w:tc>
          <w:tcPr>
            <w:tcW w:w="733" w:type="dxa"/>
            <w:shd w:val="clear" w:color="auto" w:fill="auto"/>
            <w:noWrap w:val="0"/>
            <w:vAlign w:val="center"/>
          </w:tcPr>
          <w:p w14:paraId="3A93A00E">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6分</w:t>
            </w:r>
          </w:p>
        </w:tc>
        <w:tc>
          <w:tcPr>
            <w:tcW w:w="6272" w:type="dxa"/>
            <w:shd w:val="clear" w:color="auto" w:fill="auto"/>
            <w:noWrap w:val="0"/>
            <w:vAlign w:val="center"/>
          </w:tcPr>
          <w:p w14:paraId="211030F5">
            <w:pPr>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工期保证措施合理可行计3.0-6.0分，实施困难、可行性欠缺计0.5-3.0分；缺项或只有标题无内容或内容有严重错误者，该项得0分。</w:t>
            </w:r>
          </w:p>
        </w:tc>
      </w:tr>
      <w:tr w14:paraId="2B87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shd w:val="clear" w:color="auto" w:fill="auto"/>
            <w:noWrap w:val="0"/>
            <w:vAlign w:val="center"/>
          </w:tcPr>
          <w:p w14:paraId="78429C5D">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450" w:type="dxa"/>
            <w:shd w:val="clear" w:color="auto" w:fill="auto"/>
            <w:noWrap w:val="0"/>
            <w:vAlign w:val="center"/>
          </w:tcPr>
          <w:p w14:paraId="497484E0">
            <w:pPr>
              <w:widowControl/>
              <w:spacing w:line="480" w:lineRule="exact"/>
              <w:ind w:right="-34" w:rightChars="0"/>
              <w:jc w:val="center"/>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施工部署和现场平面布置</w:t>
            </w:r>
          </w:p>
        </w:tc>
        <w:tc>
          <w:tcPr>
            <w:tcW w:w="733" w:type="dxa"/>
            <w:shd w:val="clear" w:color="auto" w:fill="auto"/>
            <w:noWrap w:val="0"/>
            <w:vAlign w:val="center"/>
          </w:tcPr>
          <w:p w14:paraId="7E1C92CF">
            <w:pPr>
              <w:widowControl/>
              <w:spacing w:line="480" w:lineRule="exact"/>
              <w:ind w:right="-34" w:rightChars="0"/>
              <w:jc w:val="center"/>
              <w:textAlignment w:val="bottom"/>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6分</w:t>
            </w:r>
          </w:p>
        </w:tc>
        <w:tc>
          <w:tcPr>
            <w:tcW w:w="6272" w:type="dxa"/>
            <w:shd w:val="clear" w:color="auto" w:fill="auto"/>
            <w:noWrap w:val="0"/>
            <w:vAlign w:val="center"/>
          </w:tcPr>
          <w:p w14:paraId="3641AC6C">
            <w:pPr>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施工部署和现场平面布置科学合理计3.0-6.0分，不合理、可行性欠缺计0.5-3.0分；缺项或只有标题无内容或内容有严重错误者，该项得0分。</w:t>
            </w:r>
          </w:p>
        </w:tc>
      </w:tr>
      <w:tr w14:paraId="5F78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shd w:val="clear" w:color="auto" w:fill="auto"/>
            <w:noWrap w:val="0"/>
            <w:vAlign w:val="center"/>
          </w:tcPr>
          <w:p w14:paraId="41142334">
            <w:pPr>
              <w:widowControl/>
              <w:spacing w:line="480" w:lineRule="exact"/>
              <w:ind w:right="-34" w:rightChars="0"/>
              <w:jc w:val="center"/>
              <w:textAlignment w:val="bottom"/>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450" w:type="dxa"/>
            <w:shd w:val="clear" w:color="auto" w:fill="auto"/>
            <w:noWrap w:val="0"/>
            <w:vAlign w:val="center"/>
          </w:tcPr>
          <w:p w14:paraId="434E87FA">
            <w:pPr>
              <w:widowControl/>
              <w:spacing w:line="480" w:lineRule="exact"/>
              <w:ind w:right="-34" w:rightChars="0"/>
              <w:jc w:val="center"/>
              <w:textAlignment w:val="bottom"/>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val="en-US" w:eastAsia="zh-CN"/>
              </w:rPr>
              <w:t>类似业绩</w:t>
            </w:r>
          </w:p>
        </w:tc>
        <w:tc>
          <w:tcPr>
            <w:tcW w:w="733" w:type="dxa"/>
            <w:shd w:val="clear" w:color="auto" w:fill="auto"/>
            <w:noWrap w:val="0"/>
            <w:vAlign w:val="center"/>
          </w:tcPr>
          <w:p w14:paraId="591E6565">
            <w:pPr>
              <w:widowControl/>
              <w:spacing w:line="480" w:lineRule="exact"/>
              <w:ind w:right="-34" w:rightChars="0"/>
              <w:jc w:val="center"/>
              <w:textAlignment w:val="bottom"/>
              <w:rPr>
                <w:rFonts w:hint="eastAsia" w:ascii="宋体" w:hAnsi="宋体" w:eastAsia="宋体" w:cs="宋体"/>
                <w:color w:val="FF0000"/>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6272" w:type="dxa"/>
            <w:shd w:val="clear" w:color="auto" w:fill="auto"/>
            <w:noWrap w:val="0"/>
            <w:vAlign w:val="center"/>
          </w:tcPr>
          <w:p w14:paraId="5EF1E136">
            <w:pPr>
              <w:spacing w:line="480" w:lineRule="exact"/>
              <w:rPr>
                <w:rFonts w:hint="eastAsia" w:ascii="宋体" w:hAnsi="宋体" w:eastAsia="宋体" w:cs="宋体"/>
                <w:sz w:val="18"/>
                <w:szCs w:val="18"/>
                <w:highlight w:val="none"/>
                <w:lang w:val="en-US" w:eastAsia="zh-CN"/>
              </w:rPr>
            </w:pPr>
            <w:r>
              <w:rPr>
                <w:rFonts w:hint="eastAsia" w:ascii="宋体" w:hAnsi="宋体" w:eastAsia="宋体" w:cs="宋体"/>
                <w:sz w:val="24"/>
                <w:szCs w:val="24"/>
                <w:highlight w:val="none"/>
                <w:lang w:val="en-US" w:eastAsia="zh-CN"/>
              </w:rPr>
              <w:t>提供</w:t>
            </w:r>
            <w:r>
              <w:rPr>
                <w:rFonts w:hint="eastAsia" w:ascii="宋体" w:hAnsi="宋体" w:cs="宋体"/>
                <w:sz w:val="24"/>
                <w:szCs w:val="24"/>
                <w:highlight w:val="none"/>
                <w:lang w:val="en-US" w:eastAsia="zh-CN"/>
              </w:rPr>
              <w:t>2023年01月至今类似项目业绩</w:t>
            </w:r>
            <w:r>
              <w:rPr>
                <w:rFonts w:hint="eastAsia" w:ascii="宋体" w:hAnsi="宋体" w:eastAsia="宋体" w:cs="宋体"/>
                <w:sz w:val="24"/>
                <w:szCs w:val="24"/>
                <w:highlight w:val="none"/>
                <w:lang w:val="en-US" w:eastAsia="zh-CN"/>
              </w:rPr>
              <w:t>，每份计2分，计满</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分为止。（</w:t>
            </w:r>
            <w:r>
              <w:rPr>
                <w:rFonts w:hint="eastAsia" w:ascii="宋体" w:hAnsi="宋体" w:cs="宋体"/>
                <w:sz w:val="24"/>
                <w:szCs w:val="24"/>
                <w:highlight w:val="none"/>
                <w:lang w:val="en-US" w:eastAsia="zh-CN"/>
              </w:rPr>
              <w:t>业绩资料</w:t>
            </w:r>
            <w:r>
              <w:rPr>
                <w:rFonts w:hint="eastAsia" w:ascii="宋体" w:hAnsi="宋体" w:eastAsia="宋体" w:cs="宋体"/>
                <w:sz w:val="24"/>
                <w:szCs w:val="24"/>
                <w:highlight w:val="none"/>
                <w:lang w:val="en-US" w:eastAsia="zh-CN"/>
              </w:rPr>
              <w:t>以成交或中标通知书及合同协议书为准</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w:t>
            </w:r>
          </w:p>
          <w:p w14:paraId="697511AF">
            <w:pPr>
              <w:spacing w:line="480" w:lineRule="exact"/>
              <w:rPr>
                <w:rFonts w:hint="eastAsia" w:ascii="宋体" w:hAnsi="宋体" w:eastAsia="宋体" w:cs="宋体"/>
                <w:sz w:val="28"/>
                <w:szCs w:val="20"/>
                <w:highlight w:val="none"/>
                <w:lang w:val="en-US"/>
              </w:rPr>
            </w:pPr>
            <w:r>
              <w:rPr>
                <w:rFonts w:hint="eastAsia" w:ascii="宋体" w:hAnsi="宋体" w:eastAsia="宋体" w:cs="宋体"/>
                <w:b/>
                <w:bCs/>
                <w:sz w:val="24"/>
                <w:szCs w:val="24"/>
                <w:highlight w:val="none"/>
                <w:lang w:val="en-US" w:eastAsia="zh-CN"/>
              </w:rPr>
              <w:t>注:以合同协议书签订时间为准。</w:t>
            </w:r>
          </w:p>
        </w:tc>
      </w:tr>
    </w:tbl>
    <w:p w14:paraId="23F404F6">
      <w:pPr>
        <w:widowControl/>
        <w:autoSpaceDE w:val="0"/>
        <w:autoSpaceDN w:val="0"/>
        <w:spacing w:line="480" w:lineRule="exac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注：1）评委打分超过得分界限或未按本方法赋分时，该评委的打分按废票处理。</w:t>
      </w:r>
    </w:p>
    <w:p w14:paraId="7D3026CA">
      <w:pPr>
        <w:widowControl/>
        <w:autoSpaceDE w:val="0"/>
        <w:autoSpaceDN w:val="0"/>
        <w:spacing w:line="480" w:lineRule="exact"/>
        <w:ind w:firstLine="480" w:firstLineChars="200"/>
        <w:textAlignment w:val="bottom"/>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2）各种计算数字均保留两位小数，第三位“四舍五入”。</w:t>
      </w:r>
    </w:p>
    <w:p w14:paraId="7FEE6FA4">
      <w:pP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3）特殊情况处理：</w:t>
      </w:r>
    </w:p>
    <w:p w14:paraId="568CF7A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若出现综合得分相同的，最后磋商报价得分高者为第一成交候选供应商，若综合评分和最后磋商报价的得分均相同的，技术得分高者为第一成交候选供应商，若上述两项得分相同，则由全体磋商小组成员无记名投票，得票高者为第一成交候选供应商。</w:t>
      </w:r>
    </w:p>
    <w:p w14:paraId="65E44EAA">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b、当供应商某评分项出现未报、漏报或零报价时，该分项得零分，并不参与磋商报价分的计算。</w:t>
      </w:r>
    </w:p>
    <w:p w14:paraId="535AD977">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c、评议过程中，若出现本评分方法以外的特殊情况时，将暂停评审，待磋商小组商榷后再进行复会。</w:t>
      </w:r>
    </w:p>
    <w:p w14:paraId="06C39382">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2-7、政府采购政策评</w:t>
      </w:r>
      <w:r>
        <w:rPr>
          <w:rFonts w:hint="eastAsia" w:ascii="宋体" w:hAnsi="宋体" w:cs="宋体"/>
          <w:b/>
          <w:color w:val="auto"/>
          <w:sz w:val="24"/>
          <w:szCs w:val="24"/>
          <w:highlight w:val="none"/>
          <w:lang w:eastAsia="zh-CN"/>
        </w:rPr>
        <w:t>审</w:t>
      </w:r>
      <w:r>
        <w:rPr>
          <w:rFonts w:hint="eastAsia" w:ascii="宋体" w:hAnsi="宋体" w:eastAsia="宋体" w:cs="宋体"/>
          <w:b/>
          <w:color w:val="auto"/>
          <w:sz w:val="24"/>
          <w:szCs w:val="24"/>
          <w:highlight w:val="none"/>
        </w:rPr>
        <w:t>标准</w:t>
      </w:r>
    </w:p>
    <w:p w14:paraId="40CC09CD">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2-7-1、小微企业的价格</w:t>
      </w:r>
      <w:r>
        <w:rPr>
          <w:rFonts w:hint="eastAsia" w:ascii="宋体" w:hAnsi="宋体" w:cs="宋体"/>
          <w:color w:val="auto"/>
          <w:sz w:val="24"/>
          <w:szCs w:val="24"/>
          <w:highlight w:val="none"/>
          <w:lang w:val="en-US" w:eastAsia="zh-CN"/>
        </w:rPr>
        <w:t>评审</w:t>
      </w:r>
      <w:r>
        <w:rPr>
          <w:rFonts w:hint="eastAsia" w:ascii="宋体" w:hAnsi="宋体" w:eastAsia="宋体" w:cs="宋体"/>
          <w:color w:val="auto"/>
          <w:sz w:val="24"/>
          <w:szCs w:val="24"/>
          <w:highlight w:val="none"/>
          <w:lang w:val="en-US" w:eastAsia="zh-CN"/>
        </w:rPr>
        <w:t>标准</w:t>
      </w:r>
    </w:p>
    <w:p w14:paraId="5A4E732E">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根据财政部《关于印发&lt;政府采购促进中小企业发展管理办法&gt;的通知》(财库〔2020〕46号的规定，符合条件的中小企业，享受政府采购扶持政策。</w:t>
      </w:r>
    </w:p>
    <w:p w14:paraId="46E5558C">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 中小企业：指在中华人民共和国境内依法设立，依据国务院批准的中小企业划分标准确定的中型企业、小型企业和微型企业，但与大企业的负责人为同一人，或者与大企业存在直接控股、管理关系的除外。</w:t>
      </w:r>
    </w:p>
    <w:p w14:paraId="1CCF27A8">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2享受政府采购扶持政策的供应商，应当符合以下条件：</w:t>
      </w:r>
    </w:p>
    <w:p w14:paraId="1EB3EEF6">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①在货物采购项目中，货物由中小企业制造，即货物由中小企业生产且使用该中小企业商号或者注册商标；供应商提供的货物既有中小企业制造货物，也有大型企业制造货物的，不享受中小企业扶持政策。 </w:t>
      </w:r>
    </w:p>
    <w:p w14:paraId="4B9D808D">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②在工程采购项目中，工程由中小企业承建，即工程施工单位为中小企业；</w:t>
      </w:r>
    </w:p>
    <w:p w14:paraId="6E2EAC6A">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③在服务采购项目中，服务由中小企业承接，即提供服务的人员为中小企业依照《中华人民共和国劳动合同法》订立劳动合同的从业人员； </w:t>
      </w:r>
    </w:p>
    <w:p w14:paraId="467CD2CA">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④提供中小企业的声明函，不提供或提供有瑕疵的，在评审时不享受政府采购优惠政策。</w:t>
      </w:r>
    </w:p>
    <w:p w14:paraId="2DC1ADC5">
      <w:pPr>
        <w:spacing w:line="480" w:lineRule="exact"/>
        <w:ind w:firstLine="597" w:firstLineChars="2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-7-</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、节能产品、环境标志产品政策</w:t>
      </w:r>
    </w:p>
    <w:p w14:paraId="5D611805">
      <w:pPr>
        <w:spacing w:line="500" w:lineRule="exact"/>
        <w:ind w:firstLine="480" w:firstLineChars="200"/>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val="en-US" w:eastAsia="en-US"/>
        </w:rPr>
        <w:t>（1）节能产品根据《财政部、国家发展和改革委员会关于印发&lt;节能产品政府采购实施意见&gt;的通知》（财库【2004】185号）、《国务院办公厅关于建立政府强制采购节能产品制度的通知》（国办发〔2007〕51号）的有关规定，以中国政府采购网（http://www.ccgp.gov.cn/）公布的最新一期节能产品政府采购清单为准。节能清单所列产品包括政府强制采购和优先采购的节能产品，标注“★”的品目为政府强制采购的节能产品，其他品目为政府优先采购的节能产品。</w:t>
      </w:r>
    </w:p>
    <w:p w14:paraId="5FDF6A0B">
      <w:pPr>
        <w:spacing w:line="500" w:lineRule="exact"/>
        <w:ind w:firstLine="480" w:firstLineChars="200"/>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val="en-US" w:eastAsia="en-US"/>
        </w:rPr>
        <w:t>（2）环境标志产品根据《财政部、国家环保总局联合印发&lt;关于环境标志产品政府采购实施的意见&gt;》（财库【2006】90号）的规定，以中国政府采购网（http://www.ccgp.gov.cn/）公布的最新一期环境标志产品政府采购清单为准。环保清单所列产品为政府优先采购产品。</w:t>
      </w:r>
    </w:p>
    <w:p w14:paraId="72347227">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2-8、</w:t>
      </w:r>
      <w:r>
        <w:rPr>
          <w:rFonts w:hint="eastAsia" w:ascii="宋体" w:hAnsi="宋体" w:eastAsia="宋体" w:cs="宋体"/>
          <w:b/>
          <w:color w:val="auto"/>
          <w:sz w:val="24"/>
          <w:szCs w:val="24"/>
          <w:highlight w:val="none"/>
        </w:rPr>
        <w:t>落实政府采购信用融资有关政策要求</w:t>
      </w:r>
    </w:p>
    <w:p w14:paraId="439E2C7B">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14:paraId="0986868E">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3、定标</w:t>
      </w:r>
    </w:p>
    <w:p w14:paraId="631E8EA7">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3-1、定标程序</w:t>
      </w:r>
    </w:p>
    <w:p w14:paraId="5F9B88E9">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依据磋商文件的要求，对供应商进行认真评审。经过评审、澄清、磋商、最后报价等程序后，从响应文件满足磋商文件全部实质性要求的供应商中，按照评审得分由高到低顺序推荐3名以上成交候选供应商，并编写评审报告。</w:t>
      </w:r>
    </w:p>
    <w:p w14:paraId="227C8DC0">
      <w:pPr>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w:t>
      </w:r>
      <w:bookmarkStart w:id="27" w:name="OLE_LINK12"/>
      <w:r>
        <w:rPr>
          <w:rFonts w:hint="eastAsia" w:ascii="宋体" w:hAnsi="宋体" w:eastAsia="宋体" w:cs="宋体"/>
          <w:color w:val="auto"/>
          <w:sz w:val="24"/>
          <w:szCs w:val="24"/>
          <w:highlight w:val="none"/>
        </w:rPr>
        <w:t>磋商小组成员应当在评审报告上签字，对自己的评审意见承担法律责任。磋商小组成员对评审报告有异议的，磋商小组按照少数服从多数的原则推荐成交候选人，采购程序继续进行。对评审报告有异议的磋商小组成员，应当在评审报告上签署不同意见并说明理由，否则视为同意评审报告。</w:t>
      </w:r>
    </w:p>
    <w:bookmarkEnd w:id="27"/>
    <w:p w14:paraId="7E37B03C">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应当自评审结束之日起2个工作日内将评审报告送交采购人。采购人在收到评审报告5个工作日内，根据磋商小组提交的评审报告和推荐的成交候选供应商，按照排序由高到低的原则确定成交供应商。确定结果后，采购人向采购代理机构出具《成交复函》。采购人逾期未确定成交供应商且不提出异议的，视为确定评审报告推荐的排名第一的供应商为成交供应商。</w:t>
      </w:r>
    </w:p>
    <w:p w14:paraId="49EBA605">
      <w:pPr>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代理机构接到</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人的《成交复函》后，在2个工作日内，将成交结果在陕西省政府采购网</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陕西省公共资源交易中心</w:t>
      </w:r>
      <w:r>
        <w:rPr>
          <w:rFonts w:hint="eastAsia" w:ascii="宋体" w:hAnsi="宋体" w:eastAsia="宋体" w:cs="宋体"/>
          <w:color w:val="auto"/>
          <w:sz w:val="24"/>
          <w:szCs w:val="24"/>
          <w:highlight w:val="none"/>
          <w:lang w:eastAsia="zh-CN"/>
        </w:rPr>
        <w:t>网</w:t>
      </w:r>
      <w:r>
        <w:rPr>
          <w:rFonts w:hint="eastAsia" w:ascii="宋体" w:hAnsi="宋体" w:eastAsia="宋体" w:cs="宋体"/>
          <w:color w:val="auto"/>
          <w:sz w:val="24"/>
          <w:szCs w:val="24"/>
          <w:highlight w:val="none"/>
        </w:rPr>
        <w:t>发布公告，</w:t>
      </w:r>
      <w:r>
        <w:rPr>
          <w:rFonts w:hint="eastAsia" w:ascii="宋体" w:hAnsi="宋体" w:eastAsia="宋体" w:cs="宋体"/>
          <w:color w:val="auto"/>
          <w:sz w:val="24"/>
          <w:szCs w:val="24"/>
          <w:highlight w:val="none"/>
          <w:lang w:eastAsia="zh-CN"/>
        </w:rPr>
        <w:t>结果</w:t>
      </w:r>
      <w:r>
        <w:rPr>
          <w:rFonts w:hint="eastAsia" w:ascii="宋体" w:hAnsi="宋体" w:eastAsia="宋体" w:cs="宋体"/>
          <w:color w:val="auto"/>
          <w:sz w:val="24"/>
          <w:szCs w:val="24"/>
          <w:highlight w:val="none"/>
        </w:rPr>
        <w:t>公告</w:t>
      </w:r>
      <w:r>
        <w:rPr>
          <w:rFonts w:hint="eastAsia" w:ascii="宋体" w:hAnsi="宋体" w:eastAsia="宋体" w:cs="宋体"/>
          <w:color w:val="auto"/>
          <w:sz w:val="24"/>
          <w:szCs w:val="24"/>
          <w:highlight w:val="none"/>
          <w:lang w:eastAsia="zh-CN"/>
        </w:rPr>
        <w:t>公示期</w:t>
      </w:r>
      <w:r>
        <w:rPr>
          <w:rFonts w:hint="eastAsia" w:ascii="宋体" w:hAnsi="宋体" w:eastAsia="宋体" w:cs="宋体"/>
          <w:color w:val="auto"/>
          <w:sz w:val="24"/>
          <w:szCs w:val="24"/>
          <w:highlight w:val="none"/>
        </w:rPr>
        <w:t>1个工作日。</w:t>
      </w:r>
    </w:p>
    <w:p w14:paraId="62F24ACE">
      <w:pPr>
        <w:tabs>
          <w:tab w:val="left" w:pos="2700"/>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3-2、成交人确定后，</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人和</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代理机构对未成交原因不作任何解释，</w:t>
      </w:r>
    </w:p>
    <w:p w14:paraId="4AC27E14">
      <w:pP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4、磋商无效的情形：</w:t>
      </w:r>
    </w:p>
    <w:p w14:paraId="70ECE499">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4-1、未按照磋商文件的规定提交磋商保证金的；</w:t>
      </w:r>
    </w:p>
    <w:p w14:paraId="5071720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4-2、磋商响应文件未按磋商文件要求签署、盖章的；</w:t>
      </w:r>
    </w:p>
    <w:p w14:paraId="72E0BEE6">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4-3、不具备磋商文件中规定的资格要求的；</w:t>
      </w:r>
    </w:p>
    <w:p w14:paraId="596BF787">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4-4、报价超过磋商文件中规定的</w:t>
      </w:r>
      <w:r>
        <w:rPr>
          <w:rFonts w:hint="eastAsia" w:ascii="宋体" w:hAnsi="宋体" w:cs="宋体"/>
          <w:color w:val="auto"/>
          <w:sz w:val="24"/>
          <w:szCs w:val="24"/>
          <w:highlight w:val="none"/>
          <w:lang w:eastAsia="zh-CN"/>
        </w:rPr>
        <w:t>最高限价</w:t>
      </w:r>
      <w:r>
        <w:rPr>
          <w:rFonts w:hint="eastAsia" w:ascii="宋体" w:hAnsi="宋体" w:eastAsia="宋体" w:cs="宋体"/>
          <w:color w:val="auto"/>
          <w:sz w:val="24"/>
          <w:szCs w:val="24"/>
          <w:highlight w:val="none"/>
        </w:rPr>
        <w:t>的；</w:t>
      </w:r>
    </w:p>
    <w:p w14:paraId="7176089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4-5、磋商响应文件含有采购人不能接受的附加条件的；</w:t>
      </w:r>
    </w:p>
    <w:p w14:paraId="642F9389">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4-6、提供虚假材料谋取成交的；</w:t>
      </w:r>
    </w:p>
    <w:p w14:paraId="1A97A96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4-7、采取不正当手段诋毁、排挤其他供应商的；</w:t>
      </w:r>
    </w:p>
    <w:p w14:paraId="28A86269">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4-8、法律、法规和磋商文件规定的其他无效情形。</w:t>
      </w:r>
    </w:p>
    <w:p w14:paraId="13C4396C">
      <w:pP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5、成交通知书</w:t>
      </w:r>
    </w:p>
    <w:p w14:paraId="4C32C868">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5-1、成交通知书由采购代理机构向成交人发出，成交供应商应在接到采购代理机构通知之日起七日内领取成交通知书。未在规定时间内领取成交通知书的，磋商保证金不予退还。</w:t>
      </w:r>
    </w:p>
    <w:p w14:paraId="35DBD6F6">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5-2、成交通知书发出后，采购人不得违法改变成交结果，成交人无正当理由不得</w:t>
      </w:r>
      <w:r>
        <w:rPr>
          <w:rFonts w:hint="eastAsia" w:ascii="宋体" w:hAnsi="宋体" w:eastAsia="宋体" w:cs="宋体"/>
          <w:color w:val="auto"/>
          <w:sz w:val="24"/>
          <w:szCs w:val="24"/>
          <w:highlight w:val="none"/>
          <w:lang w:eastAsia="zh-CN"/>
        </w:rPr>
        <w:t>放</w:t>
      </w:r>
      <w:r>
        <w:rPr>
          <w:rFonts w:hint="eastAsia" w:ascii="宋体" w:hAnsi="宋体" w:eastAsia="宋体" w:cs="宋体"/>
          <w:color w:val="auto"/>
          <w:sz w:val="24"/>
          <w:szCs w:val="24"/>
          <w:highlight w:val="none"/>
        </w:rPr>
        <w:t>弃成交。</w:t>
      </w:r>
    </w:p>
    <w:p w14:paraId="28ED0D3B">
      <w:pPr>
        <w:pStyle w:val="3"/>
        <w:spacing w:before="0" w:after="0" w:line="480" w:lineRule="exact"/>
        <w:rPr>
          <w:rFonts w:hint="eastAsia" w:ascii="宋体" w:hAnsi="宋体" w:eastAsia="宋体" w:cs="宋体"/>
          <w:color w:val="auto"/>
          <w:sz w:val="24"/>
          <w:szCs w:val="24"/>
          <w:highlight w:val="none"/>
        </w:rPr>
      </w:pPr>
      <w:bookmarkStart w:id="28" w:name="_Toc7453879"/>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、合同</w:t>
      </w:r>
      <w:bookmarkEnd w:id="28"/>
    </w:p>
    <w:p w14:paraId="0678F603">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1、成交供应商在收到成交通知书后</w:t>
      </w:r>
      <w:r>
        <w:rPr>
          <w:rFonts w:hint="eastAsia" w:ascii="宋体" w:hAnsi="宋体" w:cs="宋体"/>
          <w:color w:val="auto"/>
          <w:sz w:val="24"/>
          <w:szCs w:val="24"/>
          <w:highlight w:val="none"/>
          <w:lang w:eastAsia="zh-CN"/>
        </w:rPr>
        <w:t>二十五</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rPr>
        <w:t>）个日历日内，应按竞争性磋商文件的要求与采购人签订合同。成交供应商因自身原因不按规定与采购人签订合同，则采购人将废除授标，磋商保证金不予退还。给采购人造成损失超过磋商保证金额的，还应当对超过部分予以赔偿，并依法承担相应法律责任；</w:t>
      </w:r>
    </w:p>
    <w:p w14:paraId="17FAEC31">
      <w:pPr>
        <w:adjustRightInd w:val="0"/>
        <w:snapToGrid w:val="0"/>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交供应商因不可抗力或者自身原因不能履行政府采购合同的，采购人可以与排位在成交供应商之后第一位的成交候选供应商签订政府采购合同，以此类推，也可以重新开展采购活动。因自身原因拒绝签订采购合同的或者未按合同约定进行履约的，成交人不得参加对该项目重新开展的招标活动。</w:t>
      </w:r>
    </w:p>
    <w:p w14:paraId="5182B95A">
      <w:pPr>
        <w:adjustRightInd w:val="0"/>
        <w:snapToGrid w:val="0"/>
        <w:spacing w:line="48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3、成交通知书将是合同的重要组成部分。竞争性磋商文件、成交供应商的竞争性磋商响应文件及评议过程中有关的澄清文件均作为合同附件。</w:t>
      </w:r>
    </w:p>
    <w:p w14:paraId="7C14C1C4">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4、成交后，成交人应按照合同约定履行义务，完成</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项目的</w:t>
      </w:r>
      <w:r>
        <w:rPr>
          <w:rFonts w:hint="eastAsia" w:ascii="宋体" w:hAnsi="宋体" w:eastAsia="宋体" w:cs="宋体"/>
          <w:color w:val="auto"/>
          <w:sz w:val="24"/>
          <w:szCs w:val="24"/>
          <w:highlight w:val="none"/>
          <w:lang w:eastAsia="zh-CN"/>
        </w:rPr>
        <w:t>供货</w:t>
      </w:r>
      <w:r>
        <w:rPr>
          <w:rFonts w:hint="eastAsia" w:ascii="宋体" w:hAnsi="宋体" w:eastAsia="宋体" w:cs="宋体"/>
          <w:color w:val="auto"/>
          <w:sz w:val="24"/>
          <w:szCs w:val="24"/>
          <w:highlight w:val="none"/>
        </w:rPr>
        <w:t>。成交人不得向他人转让成交项目，也不得将成交项目肢解后分别向他人转让。成交人按照合同约定或者经采购人同意，成交人可以将成交项目的部分非主体、非关键性工作分包给他人完成。接受分包的供应商应当具备相应的资格条件，并不得再次分包。分包履行的，成交人就采购项目和分包项目向采购人负责，分包供应商就分包项目承担责任。中小企业根据《</w:t>
      </w:r>
      <w:r>
        <w:rPr>
          <w:rFonts w:hint="eastAsia" w:ascii="宋体" w:hAnsi="宋体" w:eastAsia="宋体" w:cs="宋体"/>
          <w:color w:val="auto"/>
          <w:sz w:val="24"/>
          <w:szCs w:val="24"/>
          <w:highlight w:val="none"/>
          <w:lang w:eastAsia="zh-CN"/>
        </w:rPr>
        <w:t>政府采购促进中小企业发展管理办法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财库(2020)46号</w:t>
      </w:r>
      <w:r>
        <w:rPr>
          <w:rFonts w:hint="eastAsia" w:ascii="宋体" w:hAnsi="宋体" w:eastAsia="宋体" w:cs="宋体"/>
          <w:color w:val="auto"/>
          <w:sz w:val="24"/>
          <w:szCs w:val="24"/>
          <w:highlight w:val="none"/>
        </w:rPr>
        <w:t>）规定的政策获取政府采购合同后，小型、微型企业不得分包或转包给大型、中型企业，中型企业不得分包或转包给大型企业。</w:t>
      </w:r>
    </w:p>
    <w:p w14:paraId="57726ED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5、所签订的合同不得对磋商文件确定的事项和成交人磋商响应文件作实质性修改。</w:t>
      </w:r>
    </w:p>
    <w:p w14:paraId="54D5E8A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6、采购人需追加与合同标的相同的</w:t>
      </w:r>
      <w:r>
        <w:rPr>
          <w:rFonts w:hint="eastAsia" w:ascii="宋体" w:hAnsi="宋体" w:eastAsia="宋体" w:cs="宋体"/>
          <w:color w:val="auto"/>
          <w:sz w:val="24"/>
          <w:szCs w:val="24"/>
          <w:highlight w:val="none"/>
          <w:lang w:eastAsia="zh-CN"/>
        </w:rPr>
        <w:t>货物</w:t>
      </w:r>
      <w:r>
        <w:rPr>
          <w:rFonts w:hint="eastAsia" w:ascii="宋体" w:hAnsi="宋体" w:cs="宋体"/>
          <w:color w:val="auto"/>
          <w:sz w:val="24"/>
          <w:szCs w:val="24"/>
          <w:highlight w:val="none"/>
          <w:lang w:eastAsia="zh-CN"/>
        </w:rPr>
        <w:t>、工程或服务的</w:t>
      </w:r>
      <w:r>
        <w:rPr>
          <w:rFonts w:hint="eastAsia" w:ascii="宋体" w:hAnsi="宋体" w:eastAsia="宋体" w:cs="宋体"/>
          <w:color w:val="auto"/>
          <w:sz w:val="24"/>
          <w:szCs w:val="24"/>
          <w:highlight w:val="none"/>
        </w:rPr>
        <w:t>，在不改变合同其他条款的前提下，可以与供应商协商签订补充合同，但所有补充合同的采购金额不得超过原合同采购金额的百分之十。</w:t>
      </w:r>
    </w:p>
    <w:p w14:paraId="0F5ED05E">
      <w:pPr>
        <w:pStyle w:val="3"/>
        <w:spacing w:before="0" w:after="0" w:line="480" w:lineRule="exact"/>
        <w:rPr>
          <w:rFonts w:hint="eastAsia" w:ascii="宋体" w:hAnsi="宋体" w:eastAsia="宋体" w:cs="宋体"/>
          <w:color w:val="auto"/>
          <w:kern w:val="0"/>
          <w:sz w:val="24"/>
          <w:szCs w:val="24"/>
          <w:highlight w:val="none"/>
        </w:rPr>
      </w:pPr>
      <w:bookmarkStart w:id="29" w:name="_Toc493247321"/>
      <w:bookmarkStart w:id="30" w:name="_Toc493074178"/>
      <w:bookmarkStart w:id="31" w:name="_Toc7453880"/>
      <w:r>
        <w:rPr>
          <w:rFonts w:hint="eastAsia" w:ascii="宋体" w:hAnsi="宋体" w:eastAsia="宋体" w:cs="宋体"/>
          <w:color w:val="auto"/>
          <w:kern w:val="0"/>
          <w:sz w:val="24"/>
          <w:szCs w:val="24"/>
          <w:highlight w:val="none"/>
          <w:lang w:eastAsia="zh-CN"/>
        </w:rPr>
        <w:t>九</w:t>
      </w:r>
      <w:r>
        <w:rPr>
          <w:rFonts w:hint="eastAsia" w:ascii="宋体" w:hAnsi="宋体" w:eastAsia="宋体" w:cs="宋体"/>
          <w:color w:val="auto"/>
          <w:kern w:val="0"/>
          <w:sz w:val="24"/>
          <w:szCs w:val="24"/>
          <w:highlight w:val="none"/>
        </w:rPr>
        <w:t>、合同的履约</w:t>
      </w:r>
      <w:bookmarkEnd w:id="29"/>
      <w:bookmarkEnd w:id="30"/>
      <w:bookmarkEnd w:id="31"/>
    </w:p>
    <w:p w14:paraId="75571D6D">
      <w:pPr>
        <w:spacing w:line="48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、确定成交单位后，成交供应商因自身原因未按程序签订合同，采购人将取消其成交资格，同时报请监督机构备案，没收其保证金。在此情况下，采购人可按评审结果顺序将合同授予下一成交候选人或重新采购。</w:t>
      </w:r>
    </w:p>
    <w:p w14:paraId="545E7A90">
      <w:pPr>
        <w:spacing w:line="48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、成交供应商签订合同后，持合同到采购代理机构办理保证金退付手续。</w:t>
      </w:r>
    </w:p>
    <w:p w14:paraId="2D22B41F">
      <w:pPr>
        <w:spacing w:line="480" w:lineRule="exact"/>
        <w:rPr>
          <w:rFonts w:hint="eastAsia" w:ascii="宋体" w:hAnsi="宋体" w:eastAsia="宋体" w:cs="宋体"/>
          <w:b/>
          <w:bCs/>
          <w:color w:val="auto"/>
          <w:sz w:val="24"/>
          <w:szCs w:val="24"/>
          <w:highlight w:val="none"/>
        </w:rPr>
      </w:pPr>
      <w:bookmarkStart w:id="32" w:name="_Toc7453881"/>
      <w:r>
        <w:rPr>
          <w:rFonts w:hint="eastAsia" w:ascii="宋体" w:hAnsi="宋体" w:eastAsia="宋体" w:cs="宋体"/>
          <w:b/>
          <w:bCs/>
          <w:color w:val="auto"/>
          <w:sz w:val="24"/>
          <w:szCs w:val="24"/>
          <w:highlight w:val="none"/>
        </w:rPr>
        <w:t>十、招标服务费</w:t>
      </w:r>
      <w:bookmarkEnd w:id="32"/>
    </w:p>
    <w:p w14:paraId="4B43E11D">
      <w:pPr>
        <w:spacing w:line="480" w:lineRule="exact"/>
        <w:ind w:firstLine="480" w:firstLineChars="200"/>
        <w:rPr>
          <w:rFonts w:hint="eastAsia" w:ascii="宋体" w:hAnsi="宋体" w:eastAsia="宋体" w:cs="宋体"/>
          <w:color w:val="auto"/>
          <w:sz w:val="24"/>
          <w:szCs w:val="24"/>
          <w:highlight w:val="none"/>
          <w:lang w:val="en-US" w:eastAsia="zh-CN"/>
        </w:rPr>
      </w:pPr>
      <w:bookmarkStart w:id="33" w:name="_Toc458848826"/>
      <w:bookmarkStart w:id="34" w:name="_Toc458848741"/>
      <w:bookmarkStart w:id="35" w:name="_Toc494556652"/>
      <w:bookmarkStart w:id="36" w:name="_Toc7453882"/>
      <w:bookmarkStart w:id="37" w:name="_Toc458848827"/>
      <w:bookmarkStart w:id="38" w:name="_Toc458848742"/>
      <w:bookmarkStart w:id="39" w:name="_Toc493247324"/>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本项目代理服务费</w:t>
      </w:r>
      <w:r>
        <w:rPr>
          <w:rFonts w:hint="eastAsia" w:ascii="宋体" w:hAnsi="宋体" w:cs="宋体"/>
          <w:color w:val="000000" w:themeColor="text1"/>
          <w:sz w:val="24"/>
          <w:szCs w:val="24"/>
          <w:highlight w:val="none"/>
          <w:lang w:val="en-US" w:eastAsia="zh-CN"/>
          <w14:textFill>
            <w14:solidFill>
              <w14:schemeClr w14:val="tx1"/>
            </w14:solidFill>
          </w14:textFill>
        </w:rPr>
        <w:t>7800.00元（柒仟捌佰元整),</w:t>
      </w:r>
      <w:r>
        <w:rPr>
          <w:rFonts w:hint="eastAsia" w:ascii="宋体" w:hAnsi="宋体" w:eastAsia="宋体" w:cs="宋体"/>
          <w:color w:val="auto"/>
          <w:sz w:val="24"/>
          <w:szCs w:val="24"/>
          <w:highlight w:val="none"/>
          <w:lang w:val="en-US" w:eastAsia="zh-CN"/>
        </w:rPr>
        <w:t>在本采购项目</w:t>
      </w:r>
      <w:r>
        <w:rPr>
          <w:rFonts w:hint="eastAsia" w:ascii="宋体" w:hAnsi="宋体" w:cs="宋体"/>
          <w:color w:val="auto"/>
          <w:sz w:val="24"/>
          <w:szCs w:val="24"/>
          <w:highlight w:val="none"/>
          <w:lang w:val="en-US" w:eastAsia="zh-CN"/>
        </w:rPr>
        <w:t>成交</w:t>
      </w:r>
      <w:r>
        <w:rPr>
          <w:rFonts w:hint="eastAsia" w:ascii="宋体" w:hAnsi="宋体" w:eastAsia="宋体" w:cs="宋体"/>
          <w:color w:val="auto"/>
          <w:sz w:val="24"/>
          <w:szCs w:val="24"/>
          <w:highlight w:val="none"/>
          <w:lang w:val="en-US" w:eastAsia="zh-CN"/>
        </w:rPr>
        <w:t>结果公示之日起五日内，由采购代理</w:t>
      </w:r>
      <w:r>
        <w:rPr>
          <w:rFonts w:hint="eastAsia" w:ascii="宋体" w:hAnsi="宋体" w:cs="宋体"/>
          <w:color w:val="auto"/>
          <w:sz w:val="24"/>
          <w:szCs w:val="24"/>
          <w:highlight w:val="none"/>
          <w:lang w:val="en-US" w:eastAsia="zh-CN"/>
        </w:rPr>
        <w:t>机构</w:t>
      </w:r>
      <w:r>
        <w:rPr>
          <w:rFonts w:hint="eastAsia" w:ascii="宋体" w:hAnsi="宋体" w:eastAsia="宋体" w:cs="宋体"/>
          <w:color w:val="auto"/>
          <w:sz w:val="24"/>
          <w:szCs w:val="24"/>
          <w:highlight w:val="none"/>
          <w:lang w:val="en-US" w:eastAsia="zh-CN"/>
        </w:rPr>
        <w:t>开具发票后</w:t>
      </w:r>
      <w:r>
        <w:rPr>
          <w:rFonts w:hint="eastAsia" w:ascii="宋体" w:hAnsi="宋体" w:cs="宋体"/>
          <w:color w:val="auto"/>
          <w:sz w:val="24"/>
          <w:szCs w:val="24"/>
          <w:highlight w:val="none"/>
          <w:lang w:val="en-US" w:eastAsia="zh-CN"/>
        </w:rPr>
        <w:t>成交人</w:t>
      </w:r>
      <w:r>
        <w:rPr>
          <w:rFonts w:hint="eastAsia" w:ascii="宋体" w:hAnsi="宋体" w:eastAsia="宋体" w:cs="宋体"/>
          <w:color w:val="auto"/>
          <w:sz w:val="24"/>
          <w:szCs w:val="24"/>
          <w:highlight w:val="none"/>
          <w:lang w:val="en-US" w:eastAsia="zh-CN"/>
        </w:rPr>
        <w:t>按合同约定一次性向采购代理机构缴纳服务费。</w:t>
      </w:r>
    </w:p>
    <w:p w14:paraId="19B616A7">
      <w:pPr>
        <w:pStyle w:val="3"/>
        <w:spacing w:before="0" w:after="0"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w:t>
      </w:r>
      <w:bookmarkEnd w:id="33"/>
      <w:bookmarkEnd w:id="34"/>
      <w:bookmarkEnd w:id="35"/>
      <w:r>
        <w:rPr>
          <w:rFonts w:hint="eastAsia" w:ascii="宋体" w:hAnsi="宋体" w:eastAsia="宋体" w:cs="宋体"/>
          <w:color w:val="auto"/>
          <w:sz w:val="24"/>
          <w:szCs w:val="24"/>
          <w:highlight w:val="none"/>
        </w:rPr>
        <w:t>重新开展采购活动</w:t>
      </w:r>
      <w:bookmarkEnd w:id="36"/>
    </w:p>
    <w:p w14:paraId="77BD4DC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如果发生下列情况之一的，采购人或采购代理机构将按《政府采购竞争性磋商采购方式管理暂行办法》等有关规定终止竞争性磋商采购活动，发布项目终止公告并说明原因，重新开展采购活动：</w:t>
      </w:r>
    </w:p>
    <w:p w14:paraId="1DD06A72">
      <w:pPr>
        <w:spacing w:line="48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（1）因情况变化，不再符合规定的竞争性磋商采购方式适用情形的；</w:t>
      </w:r>
    </w:p>
    <w:p w14:paraId="13287C76">
      <w:pPr>
        <w:spacing w:line="48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14:paraId="782F2951">
      <w:pPr>
        <w:spacing w:line="48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（3）磋商小组三分之二以上的专家认定所有磋商报价存在价格不实的现象；</w:t>
      </w:r>
    </w:p>
    <w:p w14:paraId="6F5DA7A9">
      <w:pPr>
        <w:spacing w:line="48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除《政府采购竞争性磋商采购方式管理暂行办法》（财库〔2014〕214号）除本办法第二十一条第三款规定及《财政部关于政府采购竞争性磋商采购方式管理暂行办法有关问题的补充通知》（财库〔2015〕124号）规定的情形外，在采购过程中符合要求的供应商或者报价未超过采购预算的供应商不足3家的。</w:t>
      </w:r>
    </w:p>
    <w:p w14:paraId="30B6ADF1">
      <w:pPr>
        <w:pStyle w:val="3"/>
        <w:spacing w:before="0" w:after="0" w:line="480" w:lineRule="exact"/>
        <w:rPr>
          <w:rFonts w:hint="eastAsia" w:ascii="宋体" w:hAnsi="宋体" w:eastAsia="宋体" w:cs="宋体"/>
          <w:color w:val="auto"/>
          <w:sz w:val="24"/>
          <w:szCs w:val="24"/>
          <w:highlight w:val="none"/>
        </w:rPr>
      </w:pPr>
      <w:bookmarkStart w:id="40" w:name="_Toc7453883"/>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、询问、质疑与投诉</w:t>
      </w:r>
      <w:bookmarkEnd w:id="37"/>
      <w:bookmarkEnd w:id="38"/>
      <w:bookmarkEnd w:id="39"/>
      <w:bookmarkEnd w:id="40"/>
    </w:p>
    <w:p w14:paraId="7A2DC50E">
      <w:pPr>
        <w:spacing w:line="520" w:lineRule="exact"/>
        <w:ind w:firstLine="480" w:firstLineChars="200"/>
        <w:rPr>
          <w:rFonts w:hint="eastAsia" w:ascii="宋体" w:hAnsi="宋体" w:eastAsia="宋体" w:cs="宋体"/>
          <w:color w:val="auto"/>
          <w:sz w:val="24"/>
          <w:szCs w:val="24"/>
          <w:highlight w:val="none"/>
        </w:rPr>
      </w:pPr>
      <w:bookmarkStart w:id="41" w:name="_Toc458848828"/>
      <w:bookmarkStart w:id="42" w:name="_Toc458848743"/>
      <w:bookmarkStart w:id="43" w:name="_Toc7453884"/>
      <w:bookmarkStart w:id="44" w:name="_Toc493247325"/>
      <w:r>
        <w:rPr>
          <w:rFonts w:hint="eastAsia" w:ascii="宋体" w:hAnsi="宋体" w:eastAsia="宋体" w:cs="宋体"/>
          <w:color w:val="auto"/>
          <w:sz w:val="24"/>
          <w:szCs w:val="24"/>
          <w:highlight w:val="none"/>
        </w:rPr>
        <w:t>1.询问</w:t>
      </w:r>
    </w:p>
    <w:p w14:paraId="124D38AD">
      <w:pPr>
        <w:spacing w:line="520" w:lineRule="exact"/>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供应商对政府采购活动事项有疑问的，可以向采购代理机构或采购人提出询问。采购代理机构或采购人将在3个工作日内对投标供应商依法提出的询问作出答复。</w:t>
      </w:r>
    </w:p>
    <w:p w14:paraId="53752897">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2"/>
          <w:highlight w:val="none"/>
        </w:rPr>
        <w:t>供应商</w:t>
      </w:r>
      <w:r>
        <w:rPr>
          <w:rFonts w:hint="eastAsia" w:ascii="宋体" w:hAnsi="宋体" w:eastAsia="宋体" w:cs="宋体"/>
          <w:color w:val="auto"/>
          <w:sz w:val="24"/>
          <w:szCs w:val="24"/>
          <w:highlight w:val="none"/>
        </w:rPr>
        <w:t>提出的询问超出采购人对采购代理机构委托授权范围的，采购代理机构将告知</w:t>
      </w:r>
      <w:r>
        <w:rPr>
          <w:rFonts w:hint="eastAsia" w:ascii="宋体" w:hAnsi="宋体" w:eastAsia="宋体" w:cs="宋体"/>
          <w:color w:val="auto"/>
          <w:sz w:val="24"/>
          <w:szCs w:val="22"/>
          <w:highlight w:val="none"/>
        </w:rPr>
        <w:t>投标供应商</w:t>
      </w:r>
      <w:r>
        <w:rPr>
          <w:rFonts w:hint="eastAsia" w:ascii="宋体" w:hAnsi="宋体" w:eastAsia="宋体" w:cs="宋体"/>
          <w:color w:val="auto"/>
          <w:sz w:val="24"/>
          <w:szCs w:val="24"/>
          <w:highlight w:val="none"/>
        </w:rPr>
        <w:t>向采购人提出。</w:t>
      </w:r>
    </w:p>
    <w:p w14:paraId="1A9204DD">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2.质疑和投诉</w:t>
      </w:r>
    </w:p>
    <w:p w14:paraId="1C6CFC04">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2"/>
          <w:highlight w:val="none"/>
        </w:rPr>
        <w:t>供应商</w:t>
      </w:r>
      <w:r>
        <w:rPr>
          <w:rFonts w:hint="eastAsia" w:ascii="宋体" w:hAnsi="宋体" w:eastAsia="宋体" w:cs="宋体"/>
          <w:color w:val="auto"/>
          <w:sz w:val="24"/>
          <w:szCs w:val="24"/>
          <w:highlight w:val="none"/>
        </w:rPr>
        <w:t>认为磋商文件、磋商过程使自身的合法权益受到损害，可以在知道或者应当知道其自身权益</w:t>
      </w:r>
      <w:r>
        <w:rPr>
          <w:rFonts w:hint="eastAsia" w:ascii="宋体" w:hAnsi="宋体" w:cs="宋体"/>
          <w:color w:val="auto"/>
          <w:sz w:val="24"/>
          <w:szCs w:val="24"/>
          <w:highlight w:val="none"/>
          <w:lang w:eastAsia="zh-CN"/>
        </w:rPr>
        <w:t>受到</w:t>
      </w:r>
      <w:r>
        <w:rPr>
          <w:rFonts w:hint="eastAsia" w:ascii="宋体" w:hAnsi="宋体" w:eastAsia="宋体" w:cs="宋体"/>
          <w:color w:val="auto"/>
          <w:sz w:val="24"/>
          <w:szCs w:val="24"/>
          <w:highlight w:val="none"/>
        </w:rPr>
        <w:t>损害之日起七个工作日，以书面形式（纸质版加盖公章）向采购代理机构或采购人提出质疑。</w:t>
      </w:r>
      <w:r>
        <w:rPr>
          <w:rFonts w:hint="eastAsia" w:ascii="宋体" w:hAnsi="宋体" w:eastAsia="宋体" w:cs="宋体"/>
          <w:color w:val="auto"/>
          <w:sz w:val="24"/>
          <w:szCs w:val="22"/>
          <w:highlight w:val="none"/>
        </w:rPr>
        <w:t>供应商</w:t>
      </w:r>
      <w:r>
        <w:rPr>
          <w:rFonts w:hint="eastAsia" w:ascii="宋体" w:hAnsi="宋体" w:eastAsia="宋体" w:cs="宋体"/>
          <w:color w:val="auto"/>
          <w:sz w:val="24"/>
          <w:szCs w:val="24"/>
          <w:highlight w:val="none"/>
        </w:rPr>
        <w:t>认为磋商结果使自身的合法权益受到损害，可以在磋商结束后7日内前，以书面形式（纸质版加盖公章）向采购代理机构或采购人提出质疑。</w:t>
      </w:r>
    </w:p>
    <w:p w14:paraId="3FD1D849">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2.1、质疑书应当包括以下主要内容：被质疑项目名称、项目编号、标段、竞争性磋商公告/中标公告发布时间、质疑事项、证据材料、法律依据（具体条款）、质疑人有效联系方式等。</w:t>
      </w:r>
    </w:p>
    <w:p w14:paraId="01F73991">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2.2、质疑书应当由法定代表人签字并加盖公章，公章不得以合同章或其他印章代替。质疑人可以委托代理人办理质疑事项，代理人办理质疑事项时，除提交质疑书外，还应当提交质疑人的授权委托书及代理人的有效身份证明，授权委托书应当载明委托代理的具体权限和事项。</w:t>
      </w:r>
    </w:p>
    <w:p w14:paraId="42AE59A3">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2.3.有下列情形之一的，属于无效质疑，采购代理机构和采购人不予受理：</w:t>
      </w:r>
    </w:p>
    <w:p w14:paraId="6F707142">
      <w:pPr>
        <w:spacing w:line="5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（1）质疑人不是参与本次政府采购项目的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/或潜在</w:t>
      </w:r>
      <w:r>
        <w:rPr>
          <w:rFonts w:hint="eastAsia" w:ascii="宋体" w:hAnsi="宋体" w:eastAsia="宋体" w:cs="宋体"/>
          <w:color w:val="auto"/>
          <w:sz w:val="24"/>
          <w:szCs w:val="24"/>
          <w:highlight w:val="none"/>
          <w:lang w:eastAsia="zh-CN"/>
        </w:rPr>
        <w:t>供应商；</w:t>
      </w:r>
    </w:p>
    <w:p w14:paraId="4228FCEC">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（2）质疑人与质疑事项不存在利害关系的；</w:t>
      </w:r>
    </w:p>
    <w:p w14:paraId="59487413">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（3）未在法定期限内提出质疑的；</w:t>
      </w:r>
    </w:p>
    <w:p w14:paraId="07B25F93">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（4）质疑未以书面形式提出，或质疑书主要内容构成不完整的；</w:t>
      </w:r>
    </w:p>
    <w:p w14:paraId="3C35BD56">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（5）质疑书没有合法有效的签字、盖章或授权的；</w:t>
      </w:r>
    </w:p>
    <w:p w14:paraId="1E2F183E">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（6）以非法手段取得证据、材料的；</w:t>
      </w:r>
    </w:p>
    <w:p w14:paraId="7ABAFBF6">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（7）质疑答复后，同一质疑人就同一事项再次提出质疑的；</w:t>
      </w:r>
    </w:p>
    <w:p w14:paraId="516A61C9">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（8）不符合法律、法规、规章和监管机构规定的其他条件的。</w:t>
      </w:r>
    </w:p>
    <w:p w14:paraId="60CFE813">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2.4、采购代理机构或采购人将在收到书面质疑后7个工作日内做出答复，并以书面形式通知质疑人和其他有关投标单位。</w:t>
      </w:r>
    </w:p>
    <w:p w14:paraId="0ECBBA53">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质疑人对采购代理机构或采购人的答复不满意，以及采购代理机构或采购人未在规定时间内做出答复的，可以在答复期满后15个工作日内按照《政府采购质疑和投诉办法》（财政部94号令）相关规定向政府采购监管机构提出投诉。投标供应商投诉的事项不得超出已质疑事项的范围。</w:t>
      </w:r>
    </w:p>
    <w:p w14:paraId="02C7C8A5">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2.6、对捏造事实、提供虚假材料进行质疑、投诉的行为予以严肃处理：</w:t>
      </w:r>
    </w:p>
    <w:p w14:paraId="6F0DCCC4">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政府采购质疑和投诉办法》（财政部94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498BB9D9">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2.7、对捏造事实诬告陷害他人、诽谤他人的法律适用：</w:t>
      </w:r>
    </w:p>
    <w:p w14:paraId="32E0D2F4">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bookmarkEnd w:id="41"/>
    <w:bookmarkEnd w:id="42"/>
    <w:bookmarkEnd w:id="43"/>
    <w:bookmarkEnd w:id="44"/>
    <w:p w14:paraId="6840D8BF">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《中华人民共和国刑法》第246条【侮辱罪、诽谤罪】以暴力或者其他方法公然侮辱他人或者捏造事实诽谤他人，情节严重的，处三年以下有期徒刑、拘役、管制或者</w:t>
      </w:r>
      <w:r>
        <w:rPr>
          <w:rFonts w:hint="eastAsia" w:ascii="宋体" w:hAnsi="宋体" w:eastAsia="宋体" w:cs="宋体"/>
          <w:color w:val="auto"/>
          <w:sz w:val="24"/>
          <w:szCs w:val="24"/>
          <w:highlight w:val="none"/>
          <w:lang w:eastAsia="zh-CN"/>
        </w:rPr>
        <w:t>剥</w:t>
      </w:r>
      <w:r>
        <w:rPr>
          <w:rFonts w:hint="eastAsia" w:ascii="宋体" w:hAnsi="宋体" w:eastAsia="宋体" w:cs="宋体"/>
          <w:color w:val="auto"/>
          <w:sz w:val="24"/>
          <w:szCs w:val="24"/>
          <w:highlight w:val="none"/>
        </w:rPr>
        <w:t>夺政治权利。</w:t>
      </w:r>
    </w:p>
    <w:p w14:paraId="7392D4C0">
      <w:pPr>
        <w:pStyle w:val="3"/>
        <w:spacing w:before="0" w:after="0"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、拒绝商业贿赂</w:t>
      </w:r>
    </w:p>
    <w:p w14:paraId="111A113E">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1、遵照陕西省财政厅的规定，采购人、采购代理机构、供应商和评审专家在磋商活动中，都要签订相应的《拒绝政府采购领域商业贿赂承诺书》，并对违反承诺的行为承担全部责任。</w:t>
      </w:r>
    </w:p>
    <w:p w14:paraId="255C18E3">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2、供应商必须填写一份《拒绝政府采购领域商业贿赂承诺书》（附件）并附在磋商响应文</w:t>
      </w:r>
      <w:r>
        <w:rPr>
          <w:rFonts w:hint="eastAsia" w:ascii="宋体" w:hAnsi="宋体" w:eastAsia="宋体" w:cs="宋体"/>
          <w:color w:val="auto"/>
          <w:sz w:val="24"/>
          <w:highlight w:val="none"/>
        </w:rPr>
        <w:t>件中。</w:t>
      </w:r>
    </w:p>
    <w:p w14:paraId="75876ED0">
      <w:pP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0C0E1F98">
      <w:pPr>
        <w:pStyle w:val="2"/>
        <w:numPr>
          <w:ilvl w:val="0"/>
          <w:numId w:val="5"/>
        </w:numPr>
        <w:shd w:val="clear"/>
        <w:spacing w:before="0" w:after="0"/>
        <w:jc w:val="center"/>
        <w:outlineLvl w:val="0"/>
        <w:rPr>
          <w:rFonts w:hint="eastAsia" w:ascii="宋体" w:hAnsi="宋体" w:eastAsia="宋体" w:cs="宋体"/>
          <w:b/>
          <w:bCs/>
          <w:color w:val="auto"/>
          <w:kern w:val="2"/>
          <w:sz w:val="44"/>
          <w:szCs w:val="44"/>
          <w:highlight w:val="none"/>
          <w:lang w:eastAsia="zh-CN"/>
        </w:rPr>
      </w:pPr>
      <w:r>
        <w:rPr>
          <w:rFonts w:hint="eastAsia" w:ascii="宋体" w:hAnsi="宋体" w:eastAsia="宋体" w:cs="宋体"/>
          <w:b/>
          <w:bCs/>
          <w:color w:val="auto"/>
          <w:kern w:val="2"/>
          <w:sz w:val="44"/>
          <w:szCs w:val="44"/>
          <w:highlight w:val="none"/>
          <w:lang w:val="en-US" w:eastAsia="zh-CN"/>
        </w:rPr>
        <w:t xml:space="preserve"> </w:t>
      </w:r>
      <w:bookmarkStart w:id="45" w:name="_Toc13014"/>
      <w:r>
        <w:rPr>
          <w:rFonts w:hint="eastAsia" w:ascii="宋体" w:hAnsi="宋体" w:eastAsia="宋体" w:cs="宋体"/>
          <w:b/>
          <w:bCs/>
          <w:color w:val="auto"/>
          <w:kern w:val="2"/>
          <w:sz w:val="44"/>
          <w:szCs w:val="44"/>
          <w:highlight w:val="none"/>
          <w:lang w:eastAsia="zh-CN"/>
        </w:rPr>
        <w:t>工程量清单</w:t>
      </w:r>
      <w:bookmarkEnd w:id="45"/>
      <w:bookmarkStart w:id="46" w:name="_Toc7453886"/>
    </w:p>
    <w:p w14:paraId="394E886F">
      <w:pPr>
        <w:keepNext w:val="0"/>
        <w:keepLines w:val="0"/>
        <w:pageBreakBefore w:val="0"/>
        <w:widowControl w:val="0"/>
        <w:kinsoku/>
        <w:wordWrap/>
        <w:overflowPunct/>
        <w:topLinePunct w:val="0"/>
        <w:autoSpaceDE/>
        <w:autoSpaceDN/>
        <w:bidi w:val="0"/>
        <w:adjustRightInd/>
        <w:snapToGrid/>
        <w:spacing w:after="160" w:line="0" w:lineRule="atLeast"/>
        <w:jc w:val="center"/>
        <w:textAlignment w:val="auto"/>
        <w:rPr>
          <w:rFonts w:hint="eastAsia" w:ascii="仿宋" w:hAnsi="仿宋" w:eastAsia="仿宋" w:cs="仿宋"/>
          <w:b/>
          <w:bCs w:val="0"/>
          <w:sz w:val="36"/>
          <w:szCs w:val="36"/>
          <w:highlight w:val="none"/>
          <w:lang w:eastAsia="zh-CN"/>
        </w:rPr>
      </w:pPr>
      <w:r>
        <w:rPr>
          <w:rFonts w:hint="eastAsia" w:ascii="仿宋" w:hAnsi="仿宋" w:eastAsia="仿宋" w:cs="仿宋"/>
          <w:b/>
          <w:bCs w:val="0"/>
          <w:sz w:val="36"/>
          <w:szCs w:val="36"/>
          <w:highlight w:val="none"/>
          <w:lang w:eastAsia="zh-CN"/>
        </w:rPr>
        <w:drawing>
          <wp:inline distT="0" distB="0" distL="114300" distR="114300">
            <wp:extent cx="5231765" cy="7399020"/>
            <wp:effectExtent l="0" t="0" r="6985" b="11430"/>
            <wp:docPr id="10" name="图片 10" descr="1.29清单 2025年神农镇太平庄村供水抗旱应急水源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9清单 2025年神农镇太平庄村供水抗旱应急水源项目_01"/>
                    <pic:cNvPicPr>
                      <a:picLocks noChangeAspect="1"/>
                    </pic:cNvPicPr>
                  </pic:nvPicPr>
                  <pic:blipFill>
                    <a:blip r:embed="rId15"/>
                    <a:stretch>
                      <a:fillRect/>
                    </a:stretch>
                  </pic:blipFill>
                  <pic:spPr>
                    <a:xfrm>
                      <a:off x="0" y="0"/>
                      <a:ext cx="5231765" cy="7399020"/>
                    </a:xfrm>
                    <a:prstGeom prst="rect">
                      <a:avLst/>
                    </a:prstGeom>
                  </pic:spPr>
                </pic:pic>
              </a:graphicData>
            </a:graphic>
          </wp:inline>
        </w:drawing>
      </w:r>
      <w:r>
        <w:rPr>
          <w:rFonts w:hint="eastAsia" w:ascii="仿宋" w:hAnsi="仿宋" w:eastAsia="仿宋" w:cs="仿宋"/>
          <w:b/>
          <w:bCs w:val="0"/>
          <w:sz w:val="36"/>
          <w:szCs w:val="36"/>
          <w:highlight w:val="none"/>
          <w:lang w:eastAsia="zh-CN"/>
        </w:rPr>
        <w:drawing>
          <wp:inline distT="0" distB="0" distL="114300" distR="114300">
            <wp:extent cx="5231765" cy="7399020"/>
            <wp:effectExtent l="0" t="0" r="6985" b="11430"/>
            <wp:docPr id="9" name="图片 9" descr="1.29清单 2025年神农镇太平庄村供水抗旱应急水源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9清单 2025年神农镇太平庄村供水抗旱应急水源项目_02"/>
                    <pic:cNvPicPr>
                      <a:picLocks noChangeAspect="1"/>
                    </pic:cNvPicPr>
                  </pic:nvPicPr>
                  <pic:blipFill>
                    <a:blip r:embed="rId16"/>
                    <a:stretch>
                      <a:fillRect/>
                    </a:stretch>
                  </pic:blipFill>
                  <pic:spPr>
                    <a:xfrm>
                      <a:off x="0" y="0"/>
                      <a:ext cx="5231765" cy="7399020"/>
                    </a:xfrm>
                    <a:prstGeom prst="rect">
                      <a:avLst/>
                    </a:prstGeom>
                  </pic:spPr>
                </pic:pic>
              </a:graphicData>
            </a:graphic>
          </wp:inline>
        </w:drawing>
      </w:r>
      <w:r>
        <w:rPr>
          <w:rFonts w:hint="eastAsia" w:ascii="仿宋" w:hAnsi="仿宋" w:eastAsia="仿宋" w:cs="仿宋"/>
          <w:b/>
          <w:bCs w:val="0"/>
          <w:sz w:val="36"/>
          <w:szCs w:val="36"/>
          <w:highlight w:val="none"/>
          <w:lang w:eastAsia="zh-CN"/>
        </w:rPr>
        <w:drawing>
          <wp:inline distT="0" distB="0" distL="114300" distR="114300">
            <wp:extent cx="5231765" cy="7399020"/>
            <wp:effectExtent l="0" t="0" r="6985" b="11430"/>
            <wp:docPr id="7" name="图片 7" descr="1.29清单 2025年神农镇太平庄村供水抗旱应急水源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9清单 2025年神农镇太平庄村供水抗旱应急水源项目_03"/>
                    <pic:cNvPicPr>
                      <a:picLocks noChangeAspect="1"/>
                    </pic:cNvPicPr>
                  </pic:nvPicPr>
                  <pic:blipFill>
                    <a:blip r:embed="rId17"/>
                    <a:stretch>
                      <a:fillRect/>
                    </a:stretch>
                  </pic:blipFill>
                  <pic:spPr>
                    <a:xfrm>
                      <a:off x="0" y="0"/>
                      <a:ext cx="5231765" cy="7399020"/>
                    </a:xfrm>
                    <a:prstGeom prst="rect">
                      <a:avLst/>
                    </a:prstGeom>
                  </pic:spPr>
                </pic:pic>
              </a:graphicData>
            </a:graphic>
          </wp:inline>
        </w:drawing>
      </w:r>
      <w:r>
        <w:rPr>
          <w:rFonts w:hint="eastAsia" w:ascii="仿宋" w:hAnsi="仿宋" w:eastAsia="仿宋" w:cs="仿宋"/>
          <w:b/>
          <w:bCs w:val="0"/>
          <w:sz w:val="36"/>
          <w:szCs w:val="36"/>
          <w:highlight w:val="none"/>
          <w:lang w:eastAsia="zh-CN"/>
        </w:rPr>
        <w:drawing>
          <wp:inline distT="0" distB="0" distL="114300" distR="114300">
            <wp:extent cx="5231765" cy="7399020"/>
            <wp:effectExtent l="0" t="0" r="6985" b="11430"/>
            <wp:docPr id="6" name="图片 6" descr="1.29清单 2025年神农镇太平庄村供水抗旱应急水源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9清单 2025年神农镇太平庄村供水抗旱应急水源项目_04"/>
                    <pic:cNvPicPr>
                      <a:picLocks noChangeAspect="1"/>
                    </pic:cNvPicPr>
                  </pic:nvPicPr>
                  <pic:blipFill>
                    <a:blip r:embed="rId18"/>
                    <a:stretch>
                      <a:fillRect/>
                    </a:stretch>
                  </pic:blipFill>
                  <pic:spPr>
                    <a:xfrm>
                      <a:off x="0" y="0"/>
                      <a:ext cx="5231765" cy="7399020"/>
                    </a:xfrm>
                    <a:prstGeom prst="rect">
                      <a:avLst/>
                    </a:prstGeom>
                  </pic:spPr>
                </pic:pic>
              </a:graphicData>
            </a:graphic>
          </wp:inline>
        </w:drawing>
      </w:r>
      <w:r>
        <w:rPr>
          <w:rFonts w:hint="eastAsia" w:ascii="仿宋" w:hAnsi="仿宋" w:eastAsia="仿宋" w:cs="仿宋"/>
          <w:b/>
          <w:bCs w:val="0"/>
          <w:sz w:val="36"/>
          <w:szCs w:val="36"/>
          <w:highlight w:val="none"/>
          <w:lang w:eastAsia="zh-CN"/>
        </w:rPr>
        <w:drawing>
          <wp:inline distT="0" distB="0" distL="114300" distR="114300">
            <wp:extent cx="5231765" cy="7399020"/>
            <wp:effectExtent l="0" t="0" r="6985" b="11430"/>
            <wp:docPr id="5" name="图片 5" descr="1.29清单 2025年神农镇太平庄村供水抗旱应急水源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9清单 2025年神农镇太平庄村供水抗旱应急水源项目_05"/>
                    <pic:cNvPicPr>
                      <a:picLocks noChangeAspect="1"/>
                    </pic:cNvPicPr>
                  </pic:nvPicPr>
                  <pic:blipFill>
                    <a:blip r:embed="rId19"/>
                    <a:stretch>
                      <a:fillRect/>
                    </a:stretch>
                  </pic:blipFill>
                  <pic:spPr>
                    <a:xfrm>
                      <a:off x="0" y="0"/>
                      <a:ext cx="5231765" cy="7399020"/>
                    </a:xfrm>
                    <a:prstGeom prst="rect">
                      <a:avLst/>
                    </a:prstGeom>
                  </pic:spPr>
                </pic:pic>
              </a:graphicData>
            </a:graphic>
          </wp:inline>
        </w:drawing>
      </w:r>
      <w:r>
        <w:rPr>
          <w:rFonts w:hint="eastAsia" w:ascii="仿宋" w:hAnsi="仿宋" w:eastAsia="仿宋" w:cs="仿宋"/>
          <w:b/>
          <w:bCs w:val="0"/>
          <w:sz w:val="36"/>
          <w:szCs w:val="36"/>
          <w:highlight w:val="none"/>
          <w:lang w:eastAsia="zh-CN"/>
        </w:rPr>
        <w:drawing>
          <wp:inline distT="0" distB="0" distL="114300" distR="114300">
            <wp:extent cx="5231765" cy="7399020"/>
            <wp:effectExtent l="0" t="0" r="6985" b="11430"/>
            <wp:docPr id="3" name="图片 3" descr="1.29清单 2025年神农镇太平庄村供水抗旱应急水源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9清单 2025年神农镇太平庄村供水抗旱应急水源项目_06"/>
                    <pic:cNvPicPr>
                      <a:picLocks noChangeAspect="1"/>
                    </pic:cNvPicPr>
                  </pic:nvPicPr>
                  <pic:blipFill>
                    <a:blip r:embed="rId20"/>
                    <a:stretch>
                      <a:fillRect/>
                    </a:stretch>
                  </pic:blipFill>
                  <pic:spPr>
                    <a:xfrm>
                      <a:off x="0" y="0"/>
                      <a:ext cx="5231765" cy="7399020"/>
                    </a:xfrm>
                    <a:prstGeom prst="rect">
                      <a:avLst/>
                    </a:prstGeom>
                  </pic:spPr>
                </pic:pic>
              </a:graphicData>
            </a:graphic>
          </wp:inline>
        </w:drawing>
      </w:r>
      <w:r>
        <w:rPr>
          <w:rFonts w:hint="eastAsia" w:ascii="仿宋" w:hAnsi="仿宋" w:eastAsia="仿宋" w:cs="仿宋"/>
          <w:b/>
          <w:bCs w:val="0"/>
          <w:sz w:val="36"/>
          <w:szCs w:val="36"/>
          <w:highlight w:val="none"/>
          <w:lang w:eastAsia="zh-CN"/>
        </w:rPr>
        <w:drawing>
          <wp:inline distT="0" distB="0" distL="114300" distR="114300">
            <wp:extent cx="5217795" cy="3689350"/>
            <wp:effectExtent l="0" t="0" r="1905" b="6350"/>
            <wp:docPr id="2" name="图片 2" descr="1.29清单 2025年神农镇太平庄村供水抗旱应急水源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9清单 2025年神农镇太平庄村供水抗旱应急水源项目_07"/>
                    <pic:cNvPicPr>
                      <a:picLocks noChangeAspect="1"/>
                    </pic:cNvPicPr>
                  </pic:nvPicPr>
                  <pic:blipFill>
                    <a:blip r:embed="rId21"/>
                    <a:stretch>
                      <a:fillRect/>
                    </a:stretch>
                  </pic:blipFill>
                  <pic:spPr>
                    <a:xfrm>
                      <a:off x="0" y="0"/>
                      <a:ext cx="5217795" cy="3689350"/>
                    </a:xfrm>
                    <a:prstGeom prst="rect">
                      <a:avLst/>
                    </a:prstGeom>
                  </pic:spPr>
                </pic:pic>
              </a:graphicData>
            </a:graphic>
          </wp:inline>
        </w:drawing>
      </w:r>
      <w:r>
        <w:rPr>
          <w:rFonts w:hint="eastAsia" w:ascii="仿宋" w:hAnsi="仿宋" w:eastAsia="仿宋" w:cs="仿宋"/>
          <w:b/>
          <w:bCs w:val="0"/>
          <w:sz w:val="36"/>
          <w:szCs w:val="36"/>
          <w:highlight w:val="none"/>
          <w:lang w:eastAsia="zh-CN"/>
        </w:rPr>
        <w:drawing>
          <wp:inline distT="0" distB="0" distL="114300" distR="114300">
            <wp:extent cx="5231765" cy="7399020"/>
            <wp:effectExtent l="0" t="0" r="6985" b="11430"/>
            <wp:docPr id="1" name="图片 1" descr="1.29清单 2025年神农镇太平庄村供水抗旱应急水源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9清单 2025年神农镇太平庄村供水抗旱应急水源项目_08"/>
                    <pic:cNvPicPr>
                      <a:picLocks noChangeAspect="1"/>
                    </pic:cNvPicPr>
                  </pic:nvPicPr>
                  <pic:blipFill>
                    <a:blip r:embed="rId22"/>
                    <a:stretch>
                      <a:fillRect/>
                    </a:stretch>
                  </pic:blipFill>
                  <pic:spPr>
                    <a:xfrm>
                      <a:off x="0" y="0"/>
                      <a:ext cx="5231765" cy="7399020"/>
                    </a:xfrm>
                    <a:prstGeom prst="rect">
                      <a:avLst/>
                    </a:prstGeom>
                  </pic:spPr>
                </pic:pic>
              </a:graphicData>
            </a:graphic>
          </wp:inline>
        </w:drawing>
      </w:r>
    </w:p>
    <w:p w14:paraId="7E7168B4">
      <w:pPr>
        <w:rPr>
          <w:rFonts w:hint="eastAsia" w:ascii="仿宋" w:hAnsi="仿宋" w:eastAsia="仿宋" w:cs="仿宋"/>
          <w:b/>
          <w:bCs w:val="0"/>
          <w:sz w:val="36"/>
          <w:szCs w:val="36"/>
          <w:highlight w:val="none"/>
          <w:lang w:eastAsia="zh-CN"/>
        </w:rPr>
      </w:pPr>
      <w:r>
        <w:rPr>
          <w:rFonts w:hint="eastAsia" w:ascii="仿宋" w:hAnsi="仿宋" w:eastAsia="仿宋" w:cs="仿宋"/>
          <w:b/>
          <w:bCs w:val="0"/>
          <w:sz w:val="36"/>
          <w:szCs w:val="36"/>
          <w:highlight w:val="none"/>
          <w:lang w:eastAsia="zh-CN"/>
        </w:rPr>
        <w:br w:type="page"/>
      </w:r>
    </w:p>
    <w:p w14:paraId="151F9C95">
      <w:pPr>
        <w:pStyle w:val="2"/>
        <w:numPr>
          <w:ilvl w:val="0"/>
          <w:numId w:val="6"/>
        </w:numPr>
        <w:spacing w:before="0" w:after="0"/>
        <w:jc w:val="center"/>
        <w:rPr>
          <w:rFonts w:hint="eastAsia" w:ascii="宋体" w:hAnsi="宋体" w:eastAsia="宋体" w:cs="宋体"/>
          <w:b/>
          <w:bCs/>
          <w:color w:val="auto"/>
          <w:kern w:val="2"/>
          <w:sz w:val="44"/>
          <w:szCs w:val="44"/>
          <w:highlight w:val="none"/>
        </w:rPr>
      </w:pPr>
      <w:bookmarkStart w:id="47" w:name="_Toc26588"/>
      <w:r>
        <w:rPr>
          <w:rFonts w:hint="eastAsia" w:ascii="宋体" w:hAnsi="宋体" w:eastAsia="宋体" w:cs="宋体"/>
          <w:b/>
          <w:bCs/>
          <w:color w:val="auto"/>
          <w:kern w:val="2"/>
          <w:sz w:val="44"/>
          <w:szCs w:val="44"/>
          <w:highlight w:val="none"/>
        </w:rPr>
        <w:t>商务要求</w:t>
      </w:r>
      <w:bookmarkEnd w:id="46"/>
      <w:bookmarkEnd w:id="47"/>
    </w:p>
    <w:p w14:paraId="21B38224">
      <w:pPr>
        <w:numPr>
          <w:ilvl w:val="0"/>
          <w:numId w:val="7"/>
        </w:numPr>
        <w:shd w:val="clear"/>
        <w:spacing w:before="0" w:after="0" w:line="360" w:lineRule="auto"/>
        <w:jc w:val="both"/>
        <w:outlineLvl w:val="9"/>
        <w:rPr>
          <w:rFonts w:hint="eastAsia" w:ascii="宋体" w:hAnsi="宋体" w:eastAsia="宋体" w:cs="宋体"/>
          <w:color w:val="auto"/>
          <w:sz w:val="24"/>
          <w:highlight w:val="none"/>
        </w:rPr>
      </w:pPr>
      <w:bookmarkStart w:id="48" w:name="_Toc459142238"/>
      <w:bookmarkStart w:id="49" w:name="_Toc7453887"/>
      <w:bookmarkStart w:id="50" w:name="_Toc459049903"/>
      <w:bookmarkStart w:id="51" w:name="_Toc459049734"/>
      <w:bookmarkStart w:id="52" w:name="_Toc459125993"/>
      <w:r>
        <w:rPr>
          <w:rFonts w:hint="eastAsia" w:ascii="宋体" w:hAnsi="宋体" w:eastAsia="宋体" w:cs="宋体"/>
          <w:color w:val="auto"/>
          <w:sz w:val="24"/>
          <w:highlight w:val="none"/>
          <w:lang w:eastAsia="zh-CN"/>
        </w:rPr>
        <w:t>最高限价、</w:t>
      </w:r>
      <w:r>
        <w:rPr>
          <w:rFonts w:hint="eastAsia" w:ascii="宋体" w:hAnsi="宋体" w:eastAsia="宋体" w:cs="宋体"/>
          <w:color w:val="auto"/>
          <w:sz w:val="24"/>
          <w:highlight w:val="none"/>
        </w:rPr>
        <w:t>工期</w:t>
      </w:r>
      <w:r>
        <w:rPr>
          <w:rFonts w:hint="eastAsia" w:ascii="宋体" w:hAnsi="宋体" w:cs="宋体"/>
          <w:color w:val="auto"/>
          <w:sz w:val="24"/>
          <w:highlight w:val="none"/>
          <w:lang w:eastAsia="zh-CN"/>
        </w:rPr>
        <w:t>、质量</w:t>
      </w:r>
      <w:r>
        <w:rPr>
          <w:rFonts w:hint="eastAsia" w:ascii="宋体" w:hAnsi="宋体" w:eastAsia="宋体" w:cs="宋体"/>
          <w:color w:val="auto"/>
          <w:sz w:val="24"/>
          <w:highlight w:val="none"/>
        </w:rPr>
        <w:t>：</w:t>
      </w:r>
    </w:p>
    <w:p w14:paraId="79400053">
      <w:pPr>
        <w:keepNext w:val="0"/>
        <w:keepLines w:val="0"/>
        <w:widowControl/>
        <w:numPr>
          <w:ilvl w:val="0"/>
          <w:numId w:val="8"/>
        </w:numPr>
        <w:suppressLineNumbers w:val="0"/>
        <w:shd w:val="clear"/>
        <w:spacing w:line="360" w:lineRule="auto"/>
        <w:ind w:firstLine="440" w:firstLineChars="200"/>
        <w:jc w:val="left"/>
        <w:rPr>
          <w:rFonts w:hint="eastAsia" w:ascii="宋体" w:hAnsi="宋体" w:cs="宋体"/>
          <w:color w:val="auto"/>
          <w:sz w:val="22"/>
          <w:szCs w:val="18"/>
          <w:highlight w:val="none"/>
          <w:lang w:val="en-US" w:eastAsia="zh-CN"/>
        </w:rPr>
      </w:pPr>
      <w:r>
        <w:rPr>
          <w:rFonts w:hint="eastAsia" w:ascii="宋体" w:hAnsi="宋体" w:cs="宋体"/>
          <w:color w:val="auto"/>
          <w:sz w:val="22"/>
          <w:szCs w:val="18"/>
          <w:highlight w:val="none"/>
          <w:lang w:val="en-US" w:eastAsia="zh-CN"/>
        </w:rPr>
        <w:t>本项目最高限价：732,566.04元（超出该价为无效报价）。</w:t>
      </w:r>
    </w:p>
    <w:p w14:paraId="48B0E02E">
      <w:pPr>
        <w:keepNext w:val="0"/>
        <w:keepLines w:val="0"/>
        <w:widowControl/>
        <w:numPr>
          <w:ilvl w:val="0"/>
          <w:numId w:val="0"/>
        </w:numPr>
        <w:suppressLineNumbers w:val="0"/>
        <w:shd w:val="clear"/>
        <w:spacing w:line="360" w:lineRule="auto"/>
        <w:ind w:firstLine="44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2"/>
          <w:szCs w:val="18"/>
          <w:highlight w:val="none"/>
          <w:lang w:val="en-US" w:eastAsia="zh-CN"/>
        </w:rPr>
        <w:t>2、工 期：</w:t>
      </w:r>
      <w:r>
        <w:rPr>
          <w:rFonts w:hint="eastAsia" w:ascii="宋体" w:hAnsi="宋体" w:cs="宋体"/>
          <w:i w:val="0"/>
          <w:iCs w:val="0"/>
          <w:caps w:val="0"/>
          <w:color w:val="auto"/>
          <w:spacing w:val="0"/>
          <w:kern w:val="0"/>
          <w:sz w:val="22"/>
          <w:szCs w:val="22"/>
          <w:highlight w:val="none"/>
          <w:shd w:val="clear" w:fill="FFFFFF"/>
          <w:lang w:val="en-US" w:eastAsia="zh-CN" w:bidi="ar-SA"/>
        </w:rPr>
        <w:t>90日历天</w:t>
      </w:r>
      <w:r>
        <w:rPr>
          <w:rFonts w:hint="eastAsia" w:ascii="宋体" w:hAnsi="宋体" w:eastAsia="宋体" w:cs="宋体"/>
          <w:color w:val="auto"/>
          <w:sz w:val="24"/>
          <w:highlight w:val="none"/>
          <w:lang w:val="en-US" w:eastAsia="zh-CN"/>
        </w:rPr>
        <w:t>。</w:t>
      </w:r>
    </w:p>
    <w:p w14:paraId="333F3013">
      <w:pPr>
        <w:keepNext w:val="0"/>
        <w:keepLines w:val="0"/>
        <w:widowControl/>
        <w:suppressLineNumbers w:val="0"/>
        <w:shd w:val="clear"/>
        <w:spacing w:line="360" w:lineRule="auto"/>
        <w:ind w:firstLine="480" w:firstLineChars="200"/>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3、质量：合格。</w:t>
      </w:r>
    </w:p>
    <w:p w14:paraId="3CC35A37">
      <w:pPr>
        <w:snapToGrid w:val="0"/>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二、运输、施工：</w:t>
      </w:r>
    </w:p>
    <w:p w14:paraId="05C38C7D">
      <w:pPr>
        <w:snapToGrid w:val="0"/>
        <w:spacing w:line="480" w:lineRule="exact"/>
        <w:ind w:firstLine="480" w:firstLineChars="200"/>
        <w:rPr>
          <w:rFonts w:hint="eastAsia" w:ascii="宋体" w:hAnsi="宋体" w:eastAsia="宋体" w:cs="宋体"/>
          <w:color w:val="auto"/>
          <w:sz w:val="24"/>
          <w:highlight w:val="none"/>
        </w:rPr>
      </w:pPr>
      <w:bookmarkStart w:id="53" w:name="_Toc167715236"/>
      <w:bookmarkStart w:id="54" w:name="_Toc167712841"/>
      <w:bookmarkStart w:id="55" w:name="_Toc167714039"/>
      <w:r>
        <w:rPr>
          <w:rFonts w:hint="eastAsia" w:ascii="宋体" w:hAnsi="宋体" w:eastAsia="宋体" w:cs="宋体"/>
          <w:color w:val="auto"/>
          <w:sz w:val="24"/>
          <w:highlight w:val="none"/>
        </w:rPr>
        <w:t>成交人负责</w:t>
      </w:r>
      <w:r>
        <w:rPr>
          <w:rFonts w:hint="eastAsia" w:ascii="宋体" w:hAnsi="宋体" w:eastAsia="宋体" w:cs="宋体"/>
          <w:color w:val="auto"/>
          <w:sz w:val="24"/>
          <w:highlight w:val="none"/>
          <w:lang w:eastAsia="zh-CN"/>
        </w:rPr>
        <w:t>材料</w:t>
      </w:r>
      <w:r>
        <w:rPr>
          <w:rFonts w:hint="eastAsia" w:ascii="宋体" w:hAnsi="宋体" w:eastAsia="宋体" w:cs="宋体"/>
          <w:color w:val="auto"/>
          <w:sz w:val="24"/>
          <w:highlight w:val="none"/>
        </w:rPr>
        <w:t>的运输、</w:t>
      </w:r>
      <w:r>
        <w:rPr>
          <w:rFonts w:hint="eastAsia" w:ascii="宋体" w:hAnsi="宋体" w:eastAsia="宋体" w:cs="宋体"/>
          <w:color w:val="auto"/>
          <w:sz w:val="24"/>
          <w:highlight w:val="none"/>
          <w:lang w:eastAsia="zh-CN"/>
        </w:rPr>
        <w:t>施工</w:t>
      </w:r>
      <w:r>
        <w:rPr>
          <w:rFonts w:hint="eastAsia" w:ascii="宋体" w:hAnsi="宋体" w:eastAsia="宋体" w:cs="宋体"/>
          <w:color w:val="auto"/>
          <w:sz w:val="24"/>
          <w:highlight w:val="none"/>
        </w:rPr>
        <w:t>及其他伴随服务。</w:t>
      </w:r>
      <w:bookmarkEnd w:id="53"/>
      <w:bookmarkEnd w:id="54"/>
      <w:bookmarkEnd w:id="55"/>
    </w:p>
    <w:p w14:paraId="30A9A2C5">
      <w:pPr>
        <w:snapToGrid w:val="0"/>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三、</w:t>
      </w:r>
      <w:r>
        <w:rPr>
          <w:rFonts w:hint="eastAsia" w:ascii="宋体" w:hAnsi="宋体" w:eastAsia="宋体" w:cs="宋体"/>
          <w:color w:val="auto"/>
          <w:sz w:val="24"/>
          <w:highlight w:val="none"/>
        </w:rPr>
        <w:t>付款方式：</w:t>
      </w:r>
    </w:p>
    <w:p w14:paraId="70C5DBFA">
      <w:pPr>
        <w:snapToGrid w:val="0"/>
        <w:spacing w:line="48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双方协商约定。</w:t>
      </w:r>
    </w:p>
    <w:p w14:paraId="39333CA1">
      <w:pPr>
        <w:shd w:val="clear"/>
        <w:snapToGrid w:val="0"/>
        <w:spacing w:line="4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四、施工要求：</w:t>
      </w:r>
    </w:p>
    <w:p w14:paraId="1D539ED7">
      <w:pPr>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1、成交人在施工期间应严格遵守国家、省、市有关防火、爆破和施工安全以及文明施工、深夜施工、环卫和城管等规定，建立规章制度和防护措施, 应按安全施工的要求，采取严格科学的安全措施，确保施工安全和第三者的安全，确保工程质量和生产安全。否则，由此造成的经济和法律责任均由成交人负责。</w:t>
      </w:r>
    </w:p>
    <w:p w14:paraId="30182BAD">
      <w:pPr>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2、成交人应配合项目建设进度,向采购人提供施工组织计划、进度计划和施工作业计划，并签订施工安全责任书。</w:t>
      </w:r>
    </w:p>
    <w:p w14:paraId="120E22AF">
      <w:pPr>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3、采购人只提供电源、水源。成交人在施工期间不得破坏原有建筑。</w:t>
      </w:r>
    </w:p>
    <w:p w14:paraId="51C2B161">
      <w:pPr>
        <w:snapToGrid w:val="0"/>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五</w:t>
      </w:r>
      <w:r>
        <w:rPr>
          <w:rFonts w:hint="eastAsia" w:ascii="宋体" w:hAnsi="宋体" w:eastAsia="宋体" w:cs="宋体"/>
          <w:color w:val="auto"/>
          <w:sz w:val="24"/>
          <w:highlight w:val="none"/>
        </w:rPr>
        <w:t>、验收：</w:t>
      </w:r>
    </w:p>
    <w:p w14:paraId="2C279E3E">
      <w:pPr>
        <w:pStyle w:val="21"/>
        <w:shd w:val="clear" w:color="auto"/>
        <w:spacing w:line="48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1、验收流程</w:t>
      </w:r>
    </w:p>
    <w:p w14:paraId="3AEB34AD">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（1）项目在竣工后，成交人应向采购人提交工程竣工报告，申请工程竣工验收，并将施工过程中相关资料提交采购人。</w:t>
      </w:r>
    </w:p>
    <w:p w14:paraId="528B7F36">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（2）采购人收到工程竣工报告后，对符合竣工验收要求的工程，组织相关单位和其他有关方面的专家组成验收组共同验收，签署工程竣工验收意见。</w:t>
      </w:r>
    </w:p>
    <w:p w14:paraId="55529A9F">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（3）验收合格后，采购人出具《工程竣工验收报告》，并在</w:t>
      </w:r>
      <w:r>
        <w:rPr>
          <w:rFonts w:hint="eastAsia" w:ascii="宋体" w:hAnsi="宋体" w:eastAsia="宋体" w:cs="宋体"/>
          <w:color w:val="auto"/>
          <w:sz w:val="24"/>
          <w:highlight w:val="none"/>
          <w:lang w:eastAsia="zh-CN"/>
        </w:rPr>
        <w:t>相关</w:t>
      </w:r>
      <w:r>
        <w:rPr>
          <w:rFonts w:hint="eastAsia" w:ascii="宋体" w:hAnsi="宋体" w:eastAsia="宋体" w:cs="宋体"/>
          <w:color w:val="auto"/>
          <w:sz w:val="24"/>
          <w:highlight w:val="none"/>
        </w:rPr>
        <w:t>行政主管部门备案。</w:t>
      </w:r>
    </w:p>
    <w:p w14:paraId="40D8633F">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（4）验收不合格的成交单位，必须在接到通知后7个日历日内确保工程通过验收。如接到通知后7个日历日内验收仍不合格，采购人可提出索赔或取消其施工合同。</w:t>
      </w:r>
    </w:p>
    <w:p w14:paraId="727BCACF">
      <w:pPr>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2、验收标准按照国家、行业有关规范和要求执行。</w:t>
      </w:r>
    </w:p>
    <w:p w14:paraId="440B1D6A">
      <w:pPr>
        <w:snapToGrid w:val="0"/>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3、成交人承诺完全达到国家有关部门验收标准，并全部通过验收为交付使用的基本条件，验收过程中的一切费用由成交供应商承担。</w:t>
      </w:r>
    </w:p>
    <w:p w14:paraId="79D695DC">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4、验收依据</w:t>
      </w:r>
    </w:p>
    <w:p w14:paraId="5E2044AF">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（1）合同文本及合同补充文件（条款）。 </w:t>
      </w:r>
    </w:p>
    <w:p w14:paraId="6F919AE1">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（2）磋商文件。</w:t>
      </w:r>
    </w:p>
    <w:p w14:paraId="6A9FA1D7">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（3）磋商响应文件。</w:t>
      </w:r>
    </w:p>
    <w:p w14:paraId="3F8D0A99">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（4）工程量清单。</w:t>
      </w:r>
    </w:p>
    <w:p w14:paraId="2B4ED807">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（5）工程施工质量验收统一标准。</w:t>
      </w:r>
    </w:p>
    <w:p w14:paraId="0B5DC9CE">
      <w:pPr>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六</w:t>
      </w:r>
      <w:r>
        <w:rPr>
          <w:rFonts w:hint="eastAsia" w:ascii="宋体" w:hAnsi="宋体" w:eastAsia="宋体" w:cs="宋体"/>
          <w:color w:val="auto"/>
          <w:sz w:val="24"/>
          <w:highlight w:val="none"/>
        </w:rPr>
        <w:t>、违约责任</w:t>
      </w:r>
    </w:p>
    <w:p w14:paraId="591116C1">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1、按《</w:t>
      </w:r>
      <w:r>
        <w:rPr>
          <w:rFonts w:hint="eastAsia" w:ascii="宋体" w:hAnsi="宋体" w:eastAsia="宋体" w:cs="宋体"/>
          <w:color w:val="auto"/>
          <w:sz w:val="24"/>
          <w:highlight w:val="none"/>
          <w:lang w:eastAsia="zh-CN"/>
        </w:rPr>
        <w:t>中华人民共和国民法典</w:t>
      </w:r>
      <w:r>
        <w:rPr>
          <w:rFonts w:hint="eastAsia" w:ascii="宋体" w:hAnsi="宋体" w:eastAsia="宋体" w:cs="宋体"/>
          <w:color w:val="auto"/>
          <w:sz w:val="24"/>
          <w:highlight w:val="none"/>
        </w:rPr>
        <w:t>》中的相关条款执行。</w:t>
      </w:r>
    </w:p>
    <w:p w14:paraId="53E4683F">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2、未按合同要求提供工程质量或工程质量不能满足技术要求，采购人有权终止合同，并对供方违约行为进行追究，同时按《</w:t>
      </w:r>
      <w:r>
        <w:rPr>
          <w:rFonts w:hint="eastAsia" w:ascii="宋体" w:hAnsi="宋体" w:cs="宋体"/>
          <w:color w:val="auto"/>
          <w:sz w:val="24"/>
          <w:highlight w:val="none"/>
          <w:lang w:eastAsia="zh-CN"/>
        </w:rPr>
        <w:t>中华人民共和国</w:t>
      </w:r>
      <w:r>
        <w:rPr>
          <w:rFonts w:hint="eastAsia" w:ascii="宋体" w:hAnsi="宋体" w:eastAsia="宋体" w:cs="宋体"/>
          <w:color w:val="auto"/>
          <w:sz w:val="24"/>
          <w:highlight w:val="none"/>
        </w:rPr>
        <w:t>政府采购法》的有关规定进行处罚。</w:t>
      </w:r>
    </w:p>
    <w:p w14:paraId="67C8F8BC">
      <w:pPr>
        <w:spacing w:line="480" w:lineRule="exact"/>
        <w:rPr>
          <w:rFonts w:hint="eastAsia" w:ascii="宋体" w:hAnsi="宋体" w:eastAsia="宋体" w:cs="宋体"/>
          <w:b/>
          <w:color w:val="auto"/>
          <w:sz w:val="24"/>
          <w:highlight w:val="none"/>
        </w:rPr>
      </w:pPr>
    </w:p>
    <w:p w14:paraId="7DAE79FD">
      <w:pPr>
        <w:spacing w:line="480" w:lineRule="exact"/>
        <w:rPr>
          <w:rFonts w:hint="eastAsia" w:ascii="宋体" w:hAnsi="宋体" w:eastAsia="宋体" w:cs="宋体"/>
          <w:b/>
          <w:color w:val="auto"/>
          <w:sz w:val="24"/>
          <w:highlight w:val="none"/>
        </w:rPr>
      </w:pPr>
    </w:p>
    <w:p w14:paraId="66DC21C0">
      <w:pPr>
        <w:spacing w:line="480" w:lineRule="exact"/>
        <w:rPr>
          <w:rFonts w:hint="eastAsia" w:ascii="宋体" w:hAnsi="宋体" w:eastAsia="宋体" w:cs="宋体"/>
          <w:color w:val="auto"/>
          <w:sz w:val="28"/>
          <w:szCs w:val="28"/>
          <w:highlight w:val="none"/>
        </w:rPr>
      </w:pPr>
      <w:r>
        <w:rPr>
          <w:rFonts w:hint="eastAsia" w:ascii="宋体" w:hAnsi="宋体" w:eastAsia="宋体" w:cs="宋体"/>
          <w:b/>
          <w:color w:val="auto"/>
          <w:sz w:val="24"/>
          <w:highlight w:val="none"/>
        </w:rPr>
        <w:t>注：商务要求为实质性要求，不得负偏离。</w:t>
      </w:r>
    </w:p>
    <w:p w14:paraId="44713C06">
      <w:pPr>
        <w:pStyle w:val="45"/>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highlight w:val="none"/>
          <w:lang w:val="en-US" w:eastAsia="zh-CN"/>
        </w:rPr>
      </w:pPr>
    </w:p>
    <w:p w14:paraId="57F5B274">
      <w:pPr>
        <w:adjustRightInd w:val="0"/>
        <w:spacing w:line="360" w:lineRule="auto"/>
        <w:ind w:firstLine="560" w:firstLineChars="200"/>
        <w:rPr>
          <w:rFonts w:hint="eastAsia" w:ascii="宋体" w:hAnsi="宋体" w:eastAsia="宋体" w:cs="宋体"/>
          <w:b w:val="0"/>
          <w:bCs w:val="0"/>
          <w:color w:val="auto"/>
          <w:szCs w:val="24"/>
          <w:highlight w:val="none"/>
          <w:lang w:val="en-US" w:eastAsia="zh-CN"/>
        </w:rPr>
      </w:pPr>
    </w:p>
    <w:p w14:paraId="0C3C8BE9">
      <w:pPr>
        <w:pStyle w:val="2"/>
        <w:spacing w:before="0" w:after="0" w:line="360" w:lineRule="auto"/>
        <w:jc w:val="center"/>
        <w:rPr>
          <w:rFonts w:hint="eastAsia" w:ascii="宋体" w:hAnsi="宋体" w:eastAsia="宋体" w:cs="宋体"/>
          <w:b/>
          <w:bCs/>
          <w:color w:val="auto"/>
          <w:sz w:val="36"/>
          <w:szCs w:val="36"/>
          <w:highlight w:val="none"/>
        </w:rPr>
      </w:pPr>
      <w:r>
        <w:rPr>
          <w:rFonts w:hint="eastAsia" w:ascii="宋体" w:hAnsi="宋体" w:eastAsia="宋体" w:cs="宋体"/>
          <w:color w:val="auto"/>
          <w:highlight w:val="none"/>
        </w:rPr>
        <w:br w:type="page"/>
      </w:r>
      <w:bookmarkEnd w:id="48"/>
      <w:bookmarkEnd w:id="49"/>
      <w:bookmarkEnd w:id="50"/>
      <w:bookmarkEnd w:id="51"/>
      <w:bookmarkEnd w:id="52"/>
      <w:bookmarkStart w:id="56" w:name="_Toc5336"/>
      <w:bookmarkStart w:id="57" w:name="_Toc7453889"/>
      <w:r>
        <w:rPr>
          <w:rFonts w:hint="eastAsia" w:ascii="宋体" w:hAnsi="宋体" w:eastAsia="宋体" w:cs="宋体"/>
          <w:color w:val="auto"/>
          <w:highlight w:val="none"/>
        </w:rPr>
        <w:t>第五章 合同条款</w:t>
      </w:r>
      <w:r>
        <w:rPr>
          <w:rFonts w:hint="eastAsia" w:ascii="宋体" w:hAnsi="宋体" w:eastAsia="宋体" w:cs="宋体"/>
          <w:b/>
          <w:bCs/>
          <w:color w:val="auto"/>
          <w:sz w:val="32"/>
          <w:szCs w:val="28"/>
          <w:highlight w:val="none"/>
        </w:rPr>
        <w:t>（参考）</w:t>
      </w:r>
      <w:bookmarkEnd w:id="56"/>
    </w:p>
    <w:p w14:paraId="5F5B9429">
      <w:pPr>
        <w:bidi w:val="0"/>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2"/>
          <w:szCs w:val="28"/>
          <w:highlight w:val="none"/>
        </w:rPr>
        <w:t>（参考格式）</w:t>
      </w:r>
    </w:p>
    <w:p w14:paraId="1ADF90DB">
      <w:pPr>
        <w:widowControl/>
        <w:spacing w:line="5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第一部分  协议书   </w:t>
      </w:r>
    </w:p>
    <w:p w14:paraId="63349A74">
      <w:pPr>
        <w:widowControl/>
        <w:spacing w:line="560" w:lineRule="exact"/>
        <w:ind w:left="55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使用《陕西省建设工程施工合同》（示范文本）格式 </w:t>
      </w:r>
    </w:p>
    <w:p w14:paraId="50066C8C">
      <w:pPr>
        <w:widowControl/>
        <w:spacing w:line="5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第二部分  通用条款  </w:t>
      </w:r>
    </w:p>
    <w:p w14:paraId="091EB67E">
      <w:pPr>
        <w:widowControl/>
        <w:spacing w:line="560" w:lineRule="exact"/>
        <w:ind w:left="54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使用《陕西省建设工程施工合同》（示范文本） </w:t>
      </w:r>
    </w:p>
    <w:p w14:paraId="7D2D0F1B">
      <w:pPr>
        <w:widowControl/>
        <w:spacing w:line="5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第三部分  专用条款  </w:t>
      </w:r>
    </w:p>
    <w:p w14:paraId="5F7FBC52">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使用《陕西省建设工程施工合同》（示范文本）格式。内容结合工程特点和建设单位实际自行拟定。</w:t>
      </w:r>
    </w:p>
    <w:p w14:paraId="45433300">
      <w:pPr>
        <w:widowControl/>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DFC3686">
      <w:pPr>
        <w:widowControl/>
        <w:jc w:val="center"/>
        <w:rPr>
          <w:rFonts w:hint="eastAsia" w:ascii="宋体" w:hAnsi="宋体" w:eastAsia="宋体" w:cs="宋体"/>
          <w:color w:val="auto"/>
          <w:sz w:val="24"/>
          <w:szCs w:val="24"/>
          <w:highlight w:val="none"/>
        </w:rPr>
      </w:pPr>
    </w:p>
    <w:p w14:paraId="74A8A0F7">
      <w:pPr>
        <w:widowControl/>
        <w:jc w:val="center"/>
        <w:rPr>
          <w:rFonts w:hint="eastAsia" w:ascii="宋体" w:hAnsi="宋体" w:eastAsia="宋体" w:cs="宋体"/>
          <w:bCs/>
          <w:color w:val="auto"/>
          <w:sz w:val="52"/>
          <w:szCs w:val="52"/>
          <w:highlight w:val="none"/>
        </w:rPr>
      </w:pPr>
      <w:r>
        <w:rPr>
          <w:rFonts w:hint="eastAsia" w:ascii="宋体" w:hAnsi="宋体" w:eastAsia="宋体" w:cs="宋体"/>
          <w:bCs/>
          <w:color w:val="auto"/>
          <w:sz w:val="52"/>
          <w:szCs w:val="52"/>
          <w:highlight w:val="none"/>
        </w:rPr>
        <w:t>陕西省建设工程施工合同</w:t>
      </w:r>
    </w:p>
    <w:p w14:paraId="33549817">
      <w:pPr>
        <w:widowControl/>
        <w:jc w:val="center"/>
        <w:rPr>
          <w:rFonts w:hint="eastAsia" w:ascii="宋体" w:hAnsi="宋体" w:eastAsia="宋体" w:cs="宋体"/>
          <w:b/>
          <w:bCs/>
          <w:color w:val="auto"/>
          <w:sz w:val="36"/>
          <w:szCs w:val="36"/>
          <w:highlight w:val="none"/>
        </w:rPr>
      </w:pPr>
    </w:p>
    <w:p w14:paraId="6B57C509">
      <w:pPr>
        <w:widowControl/>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（示范文本）</w:t>
      </w:r>
    </w:p>
    <w:p w14:paraId="5E437A42">
      <w:pPr>
        <w:widowControl/>
        <w:ind w:firstLine="200"/>
        <w:jc w:val="center"/>
        <w:rPr>
          <w:rFonts w:hint="eastAsia" w:ascii="宋体" w:hAnsi="宋体" w:eastAsia="宋体" w:cs="宋体"/>
          <w:b/>
          <w:bCs/>
          <w:color w:val="auto"/>
          <w:sz w:val="32"/>
          <w:szCs w:val="32"/>
          <w:highlight w:val="none"/>
        </w:rPr>
      </w:pPr>
    </w:p>
    <w:p w14:paraId="6071170A">
      <w:pPr>
        <w:widowControl/>
        <w:ind w:firstLine="200"/>
        <w:jc w:val="center"/>
        <w:rPr>
          <w:rFonts w:hint="eastAsia" w:ascii="宋体" w:hAnsi="宋体" w:eastAsia="宋体" w:cs="宋体"/>
          <w:b/>
          <w:bCs/>
          <w:color w:val="auto"/>
          <w:sz w:val="32"/>
          <w:szCs w:val="32"/>
          <w:highlight w:val="none"/>
        </w:rPr>
      </w:pPr>
    </w:p>
    <w:p w14:paraId="622155FA">
      <w:pPr>
        <w:widowControl/>
        <w:ind w:firstLine="200"/>
        <w:jc w:val="center"/>
        <w:rPr>
          <w:rFonts w:hint="eastAsia" w:ascii="宋体" w:hAnsi="宋体" w:eastAsia="宋体" w:cs="宋体"/>
          <w:b/>
          <w:bCs/>
          <w:color w:val="auto"/>
          <w:sz w:val="32"/>
          <w:szCs w:val="32"/>
          <w:highlight w:val="none"/>
        </w:rPr>
      </w:pPr>
    </w:p>
    <w:p w14:paraId="02E7DC28">
      <w:pPr>
        <w:widowControl/>
        <w:ind w:firstLine="200"/>
        <w:jc w:val="center"/>
        <w:rPr>
          <w:rFonts w:hint="eastAsia" w:ascii="宋体" w:hAnsi="宋体" w:eastAsia="宋体" w:cs="宋体"/>
          <w:b/>
          <w:bCs/>
          <w:color w:val="auto"/>
          <w:sz w:val="32"/>
          <w:szCs w:val="32"/>
          <w:highlight w:val="none"/>
        </w:rPr>
      </w:pPr>
    </w:p>
    <w:p w14:paraId="483F0EBB">
      <w:pPr>
        <w:widowControl/>
        <w:ind w:firstLine="200"/>
        <w:jc w:val="center"/>
        <w:rPr>
          <w:rFonts w:hint="eastAsia" w:ascii="宋体" w:hAnsi="宋体" w:eastAsia="宋体" w:cs="宋体"/>
          <w:b/>
          <w:bCs/>
          <w:color w:val="auto"/>
          <w:sz w:val="32"/>
          <w:szCs w:val="32"/>
          <w:highlight w:val="none"/>
        </w:rPr>
      </w:pPr>
    </w:p>
    <w:p w14:paraId="17EC55C0">
      <w:pPr>
        <w:widowControl/>
        <w:ind w:firstLine="200"/>
        <w:jc w:val="center"/>
        <w:rPr>
          <w:rFonts w:hint="eastAsia" w:ascii="宋体" w:hAnsi="宋体" w:eastAsia="宋体" w:cs="宋体"/>
          <w:b/>
          <w:bCs/>
          <w:color w:val="auto"/>
          <w:sz w:val="32"/>
          <w:szCs w:val="32"/>
          <w:highlight w:val="none"/>
        </w:rPr>
      </w:pPr>
    </w:p>
    <w:p w14:paraId="33FBC9D9">
      <w:pPr>
        <w:widowControl/>
        <w:ind w:firstLine="200"/>
        <w:jc w:val="center"/>
        <w:rPr>
          <w:rFonts w:hint="eastAsia" w:ascii="宋体" w:hAnsi="宋体" w:eastAsia="宋体" w:cs="宋体"/>
          <w:b/>
          <w:bCs/>
          <w:color w:val="auto"/>
          <w:sz w:val="32"/>
          <w:szCs w:val="32"/>
          <w:highlight w:val="none"/>
        </w:rPr>
      </w:pPr>
    </w:p>
    <w:p w14:paraId="1771B821">
      <w:pPr>
        <w:widowControl/>
        <w:ind w:firstLine="200"/>
        <w:jc w:val="center"/>
        <w:rPr>
          <w:rFonts w:hint="eastAsia" w:ascii="宋体" w:hAnsi="宋体" w:eastAsia="宋体" w:cs="宋体"/>
          <w:b/>
          <w:bCs/>
          <w:color w:val="auto"/>
          <w:sz w:val="32"/>
          <w:szCs w:val="32"/>
          <w:highlight w:val="none"/>
        </w:rPr>
      </w:pPr>
    </w:p>
    <w:p w14:paraId="78D08C76">
      <w:pPr>
        <w:widowControl/>
        <w:ind w:firstLine="200"/>
        <w:jc w:val="center"/>
        <w:rPr>
          <w:rFonts w:hint="eastAsia" w:ascii="宋体" w:hAnsi="宋体" w:eastAsia="宋体" w:cs="宋体"/>
          <w:b/>
          <w:bCs/>
          <w:color w:val="auto"/>
          <w:sz w:val="32"/>
          <w:szCs w:val="32"/>
          <w:highlight w:val="none"/>
        </w:rPr>
      </w:pPr>
    </w:p>
    <w:p w14:paraId="753D8A4D">
      <w:pPr>
        <w:widowControl/>
        <w:ind w:firstLine="200"/>
        <w:jc w:val="center"/>
        <w:rPr>
          <w:rFonts w:hint="eastAsia" w:ascii="宋体" w:hAnsi="宋体" w:eastAsia="宋体" w:cs="宋体"/>
          <w:b/>
          <w:bCs/>
          <w:color w:val="auto"/>
          <w:sz w:val="32"/>
          <w:szCs w:val="32"/>
          <w:highlight w:val="none"/>
        </w:rPr>
      </w:pPr>
    </w:p>
    <w:p w14:paraId="7E5D6A4D">
      <w:pPr>
        <w:widowControl/>
        <w:ind w:firstLine="200"/>
        <w:jc w:val="center"/>
        <w:rPr>
          <w:rFonts w:hint="eastAsia" w:ascii="宋体" w:hAnsi="宋体" w:eastAsia="宋体" w:cs="宋体"/>
          <w:b/>
          <w:bCs/>
          <w:color w:val="auto"/>
          <w:sz w:val="32"/>
          <w:szCs w:val="32"/>
          <w:highlight w:val="none"/>
        </w:rPr>
      </w:pPr>
    </w:p>
    <w:p w14:paraId="54D1289E">
      <w:pPr>
        <w:widowControl/>
        <w:ind w:firstLine="200"/>
        <w:jc w:val="center"/>
        <w:rPr>
          <w:rFonts w:hint="eastAsia" w:ascii="宋体" w:hAnsi="宋体" w:eastAsia="宋体" w:cs="宋体"/>
          <w:b/>
          <w:bCs/>
          <w:color w:val="auto"/>
          <w:sz w:val="32"/>
          <w:szCs w:val="32"/>
          <w:highlight w:val="none"/>
        </w:rPr>
      </w:pPr>
    </w:p>
    <w:p w14:paraId="07B4CD83">
      <w:pPr>
        <w:widowControl/>
        <w:ind w:firstLine="200"/>
        <w:jc w:val="center"/>
        <w:rPr>
          <w:rFonts w:hint="eastAsia" w:ascii="宋体" w:hAnsi="宋体" w:eastAsia="宋体" w:cs="宋体"/>
          <w:b/>
          <w:bCs/>
          <w:color w:val="auto"/>
          <w:sz w:val="32"/>
          <w:szCs w:val="32"/>
          <w:highlight w:val="none"/>
        </w:rPr>
      </w:pPr>
    </w:p>
    <w:p w14:paraId="3B0AFD51">
      <w:pPr>
        <w:widowControl/>
        <w:ind w:firstLine="200"/>
        <w:jc w:val="center"/>
        <w:rPr>
          <w:rFonts w:hint="eastAsia" w:ascii="宋体" w:hAnsi="宋体" w:eastAsia="宋体" w:cs="宋体"/>
          <w:b/>
          <w:bCs/>
          <w:color w:val="auto"/>
          <w:sz w:val="32"/>
          <w:szCs w:val="32"/>
          <w:highlight w:val="none"/>
        </w:rPr>
      </w:pPr>
    </w:p>
    <w:p w14:paraId="7F490380">
      <w:pPr>
        <w:pStyle w:val="10"/>
        <w:rPr>
          <w:rFonts w:hint="eastAsia" w:ascii="宋体" w:hAnsi="宋体" w:eastAsia="宋体" w:cs="宋体"/>
          <w:color w:val="auto"/>
          <w:highlight w:val="none"/>
        </w:rPr>
      </w:pPr>
    </w:p>
    <w:p w14:paraId="6451828E">
      <w:pPr>
        <w:widowControl/>
        <w:ind w:firstLine="200"/>
        <w:jc w:val="center"/>
        <w:rPr>
          <w:rFonts w:hint="eastAsia" w:ascii="宋体" w:hAnsi="宋体" w:eastAsia="宋体" w:cs="宋体"/>
          <w:b/>
          <w:bCs/>
          <w:color w:val="auto"/>
          <w:sz w:val="32"/>
          <w:szCs w:val="32"/>
          <w:highlight w:val="none"/>
        </w:rPr>
      </w:pPr>
    </w:p>
    <w:p w14:paraId="743D711D">
      <w:pPr>
        <w:widowControl/>
        <w:ind w:firstLine="200"/>
        <w:jc w:val="center"/>
        <w:rPr>
          <w:rFonts w:hint="eastAsia" w:ascii="宋体" w:hAnsi="宋体" w:eastAsia="宋体" w:cs="宋体"/>
          <w:b/>
          <w:bCs/>
          <w:color w:val="auto"/>
          <w:sz w:val="32"/>
          <w:szCs w:val="32"/>
          <w:highlight w:val="none"/>
        </w:rPr>
      </w:pPr>
    </w:p>
    <w:p w14:paraId="08AAF7EF">
      <w:pPr>
        <w:widowControl/>
        <w:ind w:firstLine="200"/>
        <w:jc w:val="center"/>
        <w:rPr>
          <w:rFonts w:hint="eastAsia" w:ascii="宋体" w:hAnsi="宋体" w:eastAsia="宋体" w:cs="宋体"/>
          <w:b/>
          <w:bCs/>
          <w:color w:val="auto"/>
          <w:sz w:val="32"/>
          <w:szCs w:val="32"/>
          <w:highlight w:val="none"/>
        </w:rPr>
      </w:pPr>
    </w:p>
    <w:p w14:paraId="08E73A34">
      <w:pPr>
        <w:widowControl/>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zh-CN"/>
        </w:rPr>
        <mc:AlternateContent>
          <mc:Choice Requires="wps">
            <w:drawing>
              <wp:anchor distT="0" distB="0" distL="114300" distR="114300" simplePos="0" relativeHeight="251663360" behindDoc="0" locked="0" layoutInCell="1" allowOverlap="1">
                <wp:simplePos x="0" y="0"/>
                <wp:positionH relativeFrom="column">
                  <wp:posOffset>4371975</wp:posOffset>
                </wp:positionH>
                <wp:positionV relativeFrom="paragraph">
                  <wp:posOffset>81280</wp:posOffset>
                </wp:positionV>
                <wp:extent cx="685800" cy="594360"/>
                <wp:effectExtent l="4445" t="4445" r="14605" b="10795"/>
                <wp:wrapNone/>
                <wp:docPr id="8" name="矩形 8"/>
                <wp:cNvGraphicFramePr/>
                <a:graphic xmlns:a="http://schemas.openxmlformats.org/drawingml/2006/main">
                  <a:graphicData uri="http://schemas.microsoft.com/office/word/2010/wordprocessingShape">
                    <wps:wsp>
                      <wps:cNvSpPr/>
                      <wps:spPr>
                        <a:xfrm>
                          <a:off x="0" y="0"/>
                          <a:ext cx="685800" cy="594360"/>
                        </a:xfrm>
                        <a:prstGeom prst="rect">
                          <a:avLst/>
                        </a:prstGeom>
                        <a:noFill/>
                        <a:ln w="9525" cap="flat" cmpd="sng">
                          <a:solidFill>
                            <a:srgbClr val="FFFFFF"/>
                          </a:solidFill>
                          <a:prstDash val="solid"/>
                          <a:miter/>
                          <a:headEnd type="none" w="med" len="med"/>
                          <a:tailEnd type="none" w="med" len="med"/>
                        </a:ln>
                      </wps:spPr>
                      <wps:txbx>
                        <w:txbxContent>
                          <w:p w14:paraId="54E55FBB">
                            <w:pPr>
                              <w:rPr>
                                <w:rFonts w:hint="eastAsia" w:hAnsi="宋体"/>
                                <w:b/>
                                <w:sz w:val="44"/>
                                <w:szCs w:val="44"/>
                              </w:rPr>
                            </w:pPr>
                            <w:r>
                              <w:rPr>
                                <w:rFonts w:hint="eastAsia" w:hAnsi="宋体"/>
                                <w:b/>
                                <w:sz w:val="44"/>
                                <w:szCs w:val="44"/>
                              </w:rPr>
                              <w:t>制</w:t>
                            </w:r>
                          </w:p>
                        </w:txbxContent>
                      </wps:txbx>
                      <wps:bodyPr upright="1"/>
                    </wps:wsp>
                  </a:graphicData>
                </a:graphic>
              </wp:anchor>
            </w:drawing>
          </mc:Choice>
          <mc:Fallback>
            <w:pict>
              <v:rect id="_x0000_s1026" o:spid="_x0000_s1026" o:spt="1" style="position:absolute;left:0pt;margin-left:344.25pt;margin-top:6.4pt;height:46.8pt;width:54pt;z-index:251663360;mso-width-relative:page;mso-height-relative:page;" filled="f" stroked="t" coordsize="21600,21600" o:gfxdata="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Jv4rNkAAAAKAQAADwAAAAAAAAABACAAAAAiAAAAZHJzL2Rvd25y&#10;ZXYueG1sUEsBAhQAFAAAAAgAh07iQBiRW4r9AQAA/wMAAA4AAAAAAAAAAQAgAAAAKAEAAGRycy9l&#10;Mm9Eb2MueG1sUEsFBgAAAAAGAAYAWQEAAJcFAAAAAA==&#10;">
                <v:fill on="f" focussize="0,0"/>
                <v:stroke color="#FFFFFF" joinstyle="miter"/>
                <v:imagedata o:title=""/>
                <o:lock v:ext="edit" aspectratio="f"/>
                <v:textbox>
                  <w:txbxContent>
                    <w:p w14:paraId="54E55FBB">
                      <w:pPr>
                        <w:rPr>
                          <w:rFonts w:hint="eastAsia" w:hAnsi="宋体"/>
                          <w:b/>
                          <w:sz w:val="44"/>
                          <w:szCs w:val="44"/>
                        </w:rPr>
                      </w:pPr>
                      <w:r>
                        <w:rPr>
                          <w:rFonts w:hint="eastAsia" w:hAnsi="宋体"/>
                          <w:b/>
                          <w:sz w:val="44"/>
                          <w:szCs w:val="44"/>
                        </w:rPr>
                        <w:t>制</w:t>
                      </w:r>
                    </w:p>
                  </w:txbxContent>
                </v:textbox>
              </v:rect>
            </w:pict>
          </mc:Fallback>
        </mc:AlternateContent>
      </w:r>
      <w:r>
        <w:rPr>
          <w:rFonts w:hint="eastAsia" w:ascii="宋体" w:hAnsi="宋体" w:eastAsia="宋体" w:cs="宋体"/>
          <w:b/>
          <w:bCs/>
          <w:color w:val="auto"/>
          <w:spacing w:val="143"/>
          <w:sz w:val="36"/>
          <w:szCs w:val="36"/>
          <w:highlight w:val="none"/>
        </w:rPr>
        <w:t>陕西省建设</w:t>
      </w:r>
      <w:r>
        <w:rPr>
          <w:rFonts w:hint="eastAsia" w:ascii="宋体" w:hAnsi="宋体" w:eastAsia="宋体" w:cs="宋体"/>
          <w:b/>
          <w:bCs/>
          <w:color w:val="auto"/>
          <w:spacing w:val="1"/>
          <w:sz w:val="36"/>
          <w:szCs w:val="36"/>
          <w:highlight w:val="none"/>
        </w:rPr>
        <w:t>厅</w:t>
      </w:r>
    </w:p>
    <w:p w14:paraId="53F4E966">
      <w:pPr>
        <w:widowControl/>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pacing w:val="7"/>
          <w:w w:val="96"/>
          <w:sz w:val="36"/>
          <w:szCs w:val="36"/>
          <w:highlight w:val="none"/>
        </w:rPr>
        <w:t>陕西省工商行政管理</w:t>
      </w:r>
      <w:r>
        <w:rPr>
          <w:rFonts w:hint="eastAsia" w:ascii="宋体" w:hAnsi="宋体" w:eastAsia="宋体" w:cs="宋体"/>
          <w:b/>
          <w:bCs/>
          <w:color w:val="auto"/>
          <w:w w:val="96"/>
          <w:sz w:val="36"/>
          <w:szCs w:val="36"/>
          <w:highlight w:val="none"/>
        </w:rPr>
        <w:t>局</w:t>
      </w:r>
    </w:p>
    <w:p w14:paraId="37EC283B">
      <w:pPr>
        <w:widowControl/>
        <w:jc w:val="center"/>
        <w:rPr>
          <w:rFonts w:hint="eastAsia" w:ascii="宋体" w:hAnsi="宋体" w:eastAsia="宋体" w:cs="宋体"/>
          <w:bCs/>
          <w:color w:val="auto"/>
          <w:sz w:val="36"/>
          <w:szCs w:val="36"/>
          <w:highlight w:val="none"/>
        </w:rPr>
      </w:pPr>
      <w:r>
        <w:rPr>
          <w:rFonts w:hint="eastAsia" w:ascii="宋体" w:hAnsi="宋体" w:eastAsia="宋体" w:cs="宋体"/>
          <w:bCs/>
          <w:color w:val="auto"/>
          <w:sz w:val="36"/>
          <w:szCs w:val="36"/>
          <w:highlight w:val="none"/>
        </w:rPr>
        <w:t xml:space="preserve">  年   月   日</w:t>
      </w:r>
    </w:p>
    <w:p w14:paraId="7BA70282">
      <w:pPr>
        <w:widowControl/>
        <w:jc w:val="center"/>
        <w:rPr>
          <w:rFonts w:hint="eastAsia" w:ascii="宋体" w:hAnsi="宋体" w:eastAsia="宋体" w:cs="宋体"/>
          <w:bCs/>
          <w:color w:val="auto"/>
          <w:sz w:val="36"/>
          <w:szCs w:val="36"/>
          <w:highlight w:val="none"/>
        </w:rPr>
      </w:pPr>
    </w:p>
    <w:p w14:paraId="2789BCA2">
      <w:pPr>
        <w:widowControl/>
        <w:jc w:val="center"/>
        <w:rPr>
          <w:rFonts w:hint="eastAsia" w:ascii="宋体" w:hAnsi="宋体" w:eastAsia="宋体" w:cs="宋体"/>
          <w:bCs/>
          <w:color w:val="auto"/>
          <w:sz w:val="36"/>
          <w:szCs w:val="36"/>
          <w:highlight w:val="none"/>
        </w:rPr>
      </w:pPr>
    </w:p>
    <w:p w14:paraId="7E7104B5">
      <w:pPr>
        <w:pStyle w:val="10"/>
        <w:rPr>
          <w:rFonts w:hint="eastAsia" w:ascii="宋体" w:hAnsi="宋体" w:eastAsia="宋体" w:cs="宋体"/>
          <w:bCs/>
          <w:color w:val="auto"/>
          <w:sz w:val="36"/>
          <w:szCs w:val="36"/>
          <w:highlight w:val="none"/>
        </w:rPr>
      </w:pPr>
    </w:p>
    <w:p w14:paraId="500B4B89">
      <w:pPr>
        <w:rPr>
          <w:rFonts w:hint="eastAsia" w:ascii="宋体" w:hAnsi="宋体" w:eastAsia="宋体" w:cs="宋体"/>
          <w:color w:val="auto"/>
          <w:highlight w:val="none"/>
        </w:rPr>
      </w:pPr>
    </w:p>
    <w:p w14:paraId="0F196F87">
      <w:pPr>
        <w:jc w:val="center"/>
        <w:rPr>
          <w:rFonts w:hint="eastAsia" w:ascii="宋体" w:hAnsi="宋体" w:eastAsia="宋体" w:cs="宋体"/>
          <w:bCs/>
          <w:color w:val="auto"/>
          <w:sz w:val="36"/>
          <w:szCs w:val="36"/>
          <w:highlight w:val="none"/>
        </w:rPr>
      </w:pPr>
      <w:r>
        <w:rPr>
          <w:rFonts w:hint="eastAsia" w:ascii="宋体" w:hAnsi="宋体" w:eastAsia="宋体" w:cs="宋体"/>
          <w:bCs/>
          <w:color w:val="auto"/>
          <w:sz w:val="36"/>
          <w:szCs w:val="36"/>
          <w:highlight w:val="none"/>
        </w:rPr>
        <w:br w:type="page"/>
      </w:r>
      <w:r>
        <w:rPr>
          <w:rFonts w:hint="eastAsia" w:ascii="宋体" w:hAnsi="宋体" w:eastAsia="宋体" w:cs="宋体"/>
          <w:bCs/>
          <w:color w:val="auto"/>
          <w:sz w:val="36"/>
          <w:szCs w:val="36"/>
          <w:highlight w:val="none"/>
        </w:rPr>
        <w:t>第一部分  协议书</w:t>
      </w:r>
    </w:p>
    <w:p w14:paraId="4A5D5823">
      <w:pPr>
        <w:widowControl/>
        <w:spacing w:line="360" w:lineRule="auto"/>
        <w:ind w:firstLine="480" w:firstLineChars="200"/>
        <w:jc w:val="left"/>
        <w:rPr>
          <w:rFonts w:hint="eastAsia" w:ascii="宋体" w:hAnsi="宋体" w:eastAsia="宋体" w:cs="宋体"/>
          <w:color w:val="auto"/>
          <w:sz w:val="24"/>
          <w:highlight w:val="none"/>
        </w:rPr>
      </w:pPr>
    </w:p>
    <w:p w14:paraId="7E379842">
      <w:pPr>
        <w:widowControl/>
        <w:spacing w:line="360" w:lineRule="auto"/>
        <w:ind w:firstLine="480" w:firstLineChars="200"/>
        <w:jc w:val="left"/>
        <w:rPr>
          <w:rFonts w:hint="eastAsia" w:ascii="宋体" w:hAnsi="宋体" w:eastAsia="宋体" w:cs="宋体"/>
          <w:color w:val="auto"/>
          <w:sz w:val="24"/>
          <w:szCs w:val="22"/>
          <w:highlight w:val="none"/>
          <w:u w:val="single"/>
          <w:lang w:val="en-US" w:eastAsia="zh-CN"/>
        </w:rPr>
      </w:pPr>
      <w:r>
        <w:rPr>
          <w:rFonts w:hint="eastAsia" w:ascii="宋体" w:hAnsi="宋体" w:eastAsia="宋体" w:cs="宋体"/>
          <w:color w:val="auto"/>
          <w:sz w:val="24"/>
          <w:highlight w:val="none"/>
        </w:rPr>
        <w:t>发包人（全称）：</w:t>
      </w:r>
      <w:r>
        <w:rPr>
          <w:rFonts w:hint="eastAsia" w:ascii="宋体" w:hAnsi="宋体" w:eastAsia="宋体" w:cs="宋体"/>
          <w:color w:val="auto"/>
          <w:sz w:val="24"/>
          <w:highlight w:val="none"/>
          <w:u w:val="single"/>
          <w:lang w:val="en-US" w:eastAsia="zh-CN"/>
        </w:rPr>
        <w:t xml:space="preserve">                                        </w:t>
      </w:r>
    </w:p>
    <w:p w14:paraId="13197AE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承包人（全称）：________________________________________</w:t>
      </w:r>
    </w:p>
    <w:p w14:paraId="61F83A3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依照《</w:t>
      </w:r>
      <w:r>
        <w:rPr>
          <w:rFonts w:hint="eastAsia" w:ascii="宋体" w:hAnsi="宋体" w:eastAsia="宋体" w:cs="宋体"/>
          <w:color w:val="auto"/>
          <w:sz w:val="24"/>
          <w:highlight w:val="none"/>
          <w:lang w:eastAsia="zh-CN"/>
        </w:rPr>
        <w:t>中华人民共和国民法典</w:t>
      </w:r>
      <w:r>
        <w:rPr>
          <w:rFonts w:hint="eastAsia" w:ascii="宋体" w:hAnsi="宋体" w:eastAsia="宋体" w:cs="宋体"/>
          <w:color w:val="auto"/>
          <w:sz w:val="24"/>
          <w:highlight w:val="none"/>
        </w:rPr>
        <w:t>》、《中华人民共和国建筑法》及其他有关法律、行政法规，遵循平等、自愿、公平和诚实信用的原则，双方就本建设工程施工协商一致，订立本合同。</w:t>
      </w:r>
    </w:p>
    <w:p w14:paraId="3A8E669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一、工程概况</w:t>
      </w:r>
    </w:p>
    <w:p w14:paraId="6D457F86">
      <w:pPr>
        <w:widowControl/>
        <w:spacing w:line="360" w:lineRule="auto"/>
        <w:ind w:firstLine="480" w:firstLineChars="200"/>
        <w:jc w:val="left"/>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工程名称：</w:t>
      </w:r>
      <w:r>
        <w:rPr>
          <w:rFonts w:hint="eastAsia" w:ascii="宋体" w:hAnsi="宋体" w:eastAsia="宋体" w:cs="宋体"/>
          <w:color w:val="auto"/>
          <w:sz w:val="24"/>
          <w:highlight w:val="none"/>
          <w:u w:val="single"/>
          <w:lang w:val="en-US" w:eastAsia="zh-CN"/>
        </w:rPr>
        <w:t xml:space="preserve">                                  </w:t>
      </w:r>
    </w:p>
    <w:p w14:paraId="2FE1AD43">
      <w:pPr>
        <w:widowControl/>
        <w:spacing w:line="360" w:lineRule="auto"/>
        <w:ind w:firstLine="480" w:firstLineChars="200"/>
        <w:jc w:val="left"/>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工程地点：</w:t>
      </w:r>
      <w:r>
        <w:rPr>
          <w:rFonts w:hint="eastAsia" w:ascii="宋体" w:hAnsi="宋体" w:eastAsia="宋体" w:cs="宋体"/>
          <w:color w:val="auto"/>
          <w:sz w:val="24"/>
          <w:highlight w:val="none"/>
          <w:u w:val="single"/>
          <w:lang w:val="en-US" w:eastAsia="zh-CN"/>
        </w:rPr>
        <w:t xml:space="preserve">                                  </w:t>
      </w:r>
    </w:p>
    <w:p w14:paraId="23AD2FD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群体工程应附承包人承揽工程项目一览表（附件1）</w:t>
      </w:r>
    </w:p>
    <w:p w14:paraId="73F407F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工程立项文号：_______________________</w:t>
      </w:r>
    </w:p>
    <w:p w14:paraId="211CD08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资金来源：_______________________________________</w:t>
      </w:r>
    </w:p>
    <w:p w14:paraId="5EFE25C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二、工程承包范围</w:t>
      </w:r>
    </w:p>
    <w:p w14:paraId="6038CCC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承包范围：</w:t>
      </w:r>
    </w:p>
    <w:p w14:paraId="0BC7B953">
      <w:pPr>
        <w:widowControl/>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____________________________________________________________________</w:t>
      </w:r>
    </w:p>
    <w:p w14:paraId="13DC3D5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不包括的工程范围：_______________________________________________</w:t>
      </w:r>
    </w:p>
    <w:p w14:paraId="366B3D9F">
      <w:pPr>
        <w:widowControl/>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____________________________________________________________________</w:t>
      </w:r>
    </w:p>
    <w:p w14:paraId="6F258B8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三、合同工期：</w:t>
      </w:r>
    </w:p>
    <w:p w14:paraId="44D45723">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总日历天数_________________天</w:t>
      </w:r>
    </w:p>
    <w:p w14:paraId="0C65B00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开工日期：____________________________________</w:t>
      </w:r>
    </w:p>
    <w:p w14:paraId="55B889E3">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竣工日期：____________________________________</w:t>
      </w:r>
    </w:p>
    <w:p w14:paraId="6B4019D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四、质量标准</w:t>
      </w:r>
    </w:p>
    <w:p w14:paraId="4566A3FF">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工程质量标准：</w:t>
      </w:r>
      <w:r>
        <w:rPr>
          <w:rFonts w:hint="eastAsia" w:ascii="宋体" w:hAnsi="宋体" w:eastAsia="宋体" w:cs="宋体"/>
          <w:color w:val="auto"/>
          <w:sz w:val="24"/>
          <w:highlight w:val="none"/>
          <w:lang w:eastAsia="zh-CN"/>
        </w:rPr>
        <w:t>合格</w:t>
      </w:r>
    </w:p>
    <w:p w14:paraId="6961EED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五、合同价款</w:t>
      </w:r>
    </w:p>
    <w:p w14:paraId="7884F1F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1、合同总价（大写）：_______________________________________（人民币）元</w:t>
      </w:r>
    </w:p>
    <w:p w14:paraId="6C4F94E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（小写）￥：_____________________________________元</w:t>
      </w:r>
    </w:p>
    <w:p w14:paraId="0A9C458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（其中：工程预留金__________________元，零星工作费__________________元，安全防护、文明施工措施费________________________元，工程分包和材料购置费______________元，总承包服务费__________________元。)</w:t>
      </w:r>
    </w:p>
    <w:p w14:paraId="7452883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2、综合单价：详见承包人的报价书。</w:t>
      </w:r>
    </w:p>
    <w:p w14:paraId="64CD498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六、组成合同的文件</w:t>
      </w:r>
    </w:p>
    <w:p w14:paraId="7CE41B4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组成本合同的文件包括：</w:t>
      </w:r>
    </w:p>
    <w:p w14:paraId="0784078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1、本合同协议书</w:t>
      </w:r>
    </w:p>
    <w:p w14:paraId="6008442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2、本合同专用条款</w:t>
      </w:r>
    </w:p>
    <w:p w14:paraId="6B60CB4C">
      <w:pPr>
        <w:widowControl/>
        <w:spacing w:line="360" w:lineRule="auto"/>
        <w:ind w:firstLine="480" w:firstLineChars="200"/>
        <w:jc w:val="lef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3、本合同通用条款</w:t>
      </w:r>
    </w:p>
    <w:p w14:paraId="5F0DBA8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4、中标通知书</w:t>
      </w:r>
    </w:p>
    <w:p w14:paraId="5CDA5DF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5、投标书、工程报价单或预算书及其附件</w:t>
      </w:r>
    </w:p>
    <w:p w14:paraId="13AE78B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6、招标文件、答疑纪要及工程量清单</w:t>
      </w:r>
    </w:p>
    <w:p w14:paraId="583C932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7、图纸</w:t>
      </w:r>
    </w:p>
    <w:p w14:paraId="39BD083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8、标准、规范及有关技术文件</w:t>
      </w:r>
    </w:p>
    <w:p w14:paraId="26F5260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双方为履行本合同的有关洽商、变更等书面协议、文件，视为本合同的组成部分。</w:t>
      </w:r>
    </w:p>
    <w:p w14:paraId="4A7A8FD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七、本协议书中有关词语含义与本合同第二部分《通用条款》中赋予的定义相同。</w:t>
      </w:r>
    </w:p>
    <w:p w14:paraId="66CA152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八、承包人按照合同约定进行施工、竣工并在质量保修期内承担工程质量保修责任。</w:t>
      </w:r>
    </w:p>
    <w:p w14:paraId="172A930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九、发包人按照合同约定的期限和方式支付合同价款及其他应当支付的款项。</w:t>
      </w:r>
    </w:p>
    <w:p w14:paraId="0670D6D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十、合同生效</w:t>
      </w:r>
    </w:p>
    <w:p w14:paraId="770DA93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合同订立时间：________年__________月__________日</w:t>
      </w:r>
    </w:p>
    <w:p w14:paraId="7AFF094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合同订立地点：________________________________</w:t>
      </w:r>
    </w:p>
    <w:p w14:paraId="4476EEC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本合同双方约定________________________________后生效。</w:t>
      </w:r>
    </w:p>
    <w:p w14:paraId="1434C409">
      <w:pPr>
        <w:widowControl/>
        <w:spacing w:line="360" w:lineRule="auto"/>
        <w:ind w:firstLine="480" w:firstLineChars="200"/>
        <w:jc w:val="left"/>
        <w:rPr>
          <w:rFonts w:hint="eastAsia" w:ascii="宋体" w:hAnsi="宋体" w:eastAsia="宋体" w:cs="宋体"/>
          <w:color w:val="auto"/>
          <w:sz w:val="24"/>
          <w:highlight w:val="none"/>
        </w:rPr>
      </w:pPr>
    </w:p>
    <w:p w14:paraId="72CE588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发包人：（公章）_________        承包人：（公章）______________</w:t>
      </w:r>
    </w:p>
    <w:p w14:paraId="1B23A433">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地址：_________________          地址：______________________</w:t>
      </w:r>
    </w:p>
    <w:p w14:paraId="532BE02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邮政编码：_____________          邮政编码：___________________</w:t>
      </w:r>
    </w:p>
    <w:p w14:paraId="2E73C29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法定代表人：___________          法定代表人：_____________</w:t>
      </w:r>
    </w:p>
    <w:p w14:paraId="5EC9B47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委托代理人：___________          委托代理人：_________________</w:t>
      </w:r>
    </w:p>
    <w:p w14:paraId="19C1389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电话：________________           电话：__________________</w:t>
      </w:r>
    </w:p>
    <w:p w14:paraId="63B4829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传真：_________________          传真：________________</w:t>
      </w:r>
    </w:p>
    <w:p w14:paraId="616BF5E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开户银行：______________         开户银行：_____________</w:t>
      </w:r>
    </w:p>
    <w:p w14:paraId="7A733B3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帐号：_______________            帐号：_____________________</w:t>
      </w:r>
    </w:p>
    <w:p w14:paraId="18EC5EE3">
      <w:pPr>
        <w:widowControl/>
        <w:ind w:firstLine="560" w:firstLineChars="200"/>
        <w:jc w:val="left"/>
        <w:rPr>
          <w:rFonts w:hint="eastAsia" w:ascii="宋体" w:hAnsi="宋体" w:eastAsia="宋体" w:cs="宋体"/>
          <w:color w:val="auto"/>
          <w:sz w:val="28"/>
          <w:highlight w:val="none"/>
        </w:rPr>
      </w:pPr>
    </w:p>
    <w:tbl>
      <w:tblPr>
        <w:tblStyle w:val="26"/>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8"/>
      </w:tblGrid>
      <w:tr w14:paraId="414A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0" w:hRule="atLeast"/>
        </w:trPr>
        <w:tc>
          <w:tcPr>
            <w:tcW w:w="8568" w:type="dxa"/>
            <w:tcBorders>
              <w:top w:val="single" w:color="auto" w:sz="4" w:space="0"/>
              <w:left w:val="single" w:color="auto" w:sz="4" w:space="0"/>
              <w:bottom w:val="single" w:color="auto" w:sz="4" w:space="0"/>
              <w:right w:val="single" w:color="auto" w:sz="4" w:space="0"/>
            </w:tcBorders>
            <w:noWrap w:val="0"/>
            <w:vAlign w:val="top"/>
          </w:tcPr>
          <w:p w14:paraId="6141A56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建设行政管理部门备案意见：</w:t>
            </w:r>
          </w:p>
          <w:p w14:paraId="4515887A">
            <w:pPr>
              <w:widowControl/>
              <w:ind w:firstLine="560" w:firstLineChars="200"/>
              <w:jc w:val="left"/>
              <w:rPr>
                <w:rFonts w:hint="eastAsia" w:ascii="宋体" w:hAnsi="宋体" w:eastAsia="宋体" w:cs="宋体"/>
                <w:bCs/>
                <w:color w:val="auto"/>
                <w:sz w:val="28"/>
                <w:highlight w:val="none"/>
              </w:rPr>
            </w:pPr>
          </w:p>
          <w:p w14:paraId="205AC4C0">
            <w:pPr>
              <w:widowControl/>
              <w:ind w:firstLine="560" w:firstLineChars="200"/>
              <w:jc w:val="left"/>
              <w:rPr>
                <w:rFonts w:hint="eastAsia" w:ascii="宋体" w:hAnsi="宋体" w:eastAsia="宋体" w:cs="宋体"/>
                <w:bCs/>
                <w:color w:val="auto"/>
                <w:sz w:val="28"/>
                <w:highlight w:val="none"/>
              </w:rPr>
            </w:pPr>
          </w:p>
          <w:p w14:paraId="62CC8CC4">
            <w:pPr>
              <w:widowControl/>
              <w:ind w:firstLine="560" w:firstLineChars="200"/>
              <w:jc w:val="left"/>
              <w:rPr>
                <w:rFonts w:hint="eastAsia" w:ascii="宋体" w:hAnsi="宋体" w:eastAsia="宋体" w:cs="宋体"/>
                <w:bCs/>
                <w:color w:val="auto"/>
                <w:sz w:val="28"/>
                <w:highlight w:val="none"/>
              </w:rPr>
            </w:pPr>
          </w:p>
          <w:p w14:paraId="680B8079">
            <w:pPr>
              <w:widowControl/>
              <w:ind w:firstLine="560" w:firstLineChars="200"/>
              <w:jc w:val="left"/>
              <w:rPr>
                <w:rFonts w:hint="eastAsia" w:ascii="宋体" w:hAnsi="宋体" w:eastAsia="宋体" w:cs="宋体"/>
                <w:bCs/>
                <w:color w:val="auto"/>
                <w:sz w:val="28"/>
                <w:highlight w:val="none"/>
              </w:rPr>
            </w:pPr>
          </w:p>
        </w:tc>
      </w:tr>
    </w:tbl>
    <w:p w14:paraId="15A840E1">
      <w:pPr>
        <w:widowControl/>
        <w:ind w:firstLine="602" w:firstLineChars="200"/>
        <w:jc w:val="center"/>
        <w:rPr>
          <w:rFonts w:hint="eastAsia" w:ascii="宋体" w:hAnsi="宋体" w:eastAsia="宋体" w:cs="宋体"/>
          <w:b/>
          <w:bCs/>
          <w:color w:val="auto"/>
          <w:sz w:val="30"/>
          <w:highlight w:val="none"/>
        </w:rPr>
      </w:pPr>
    </w:p>
    <w:p w14:paraId="1B7AA34D">
      <w:pPr>
        <w:rPr>
          <w:rFonts w:hint="eastAsia" w:ascii="宋体" w:hAnsi="宋体" w:eastAsia="宋体" w:cs="宋体"/>
          <w:bCs/>
          <w:color w:val="auto"/>
          <w:sz w:val="36"/>
          <w:szCs w:val="36"/>
          <w:highlight w:val="none"/>
        </w:rPr>
      </w:pPr>
    </w:p>
    <w:p w14:paraId="2435DDB7">
      <w:pPr>
        <w:rPr>
          <w:rFonts w:hint="eastAsia" w:ascii="宋体" w:hAnsi="宋体" w:eastAsia="宋体" w:cs="宋体"/>
          <w:bCs/>
          <w:color w:val="auto"/>
          <w:sz w:val="36"/>
          <w:szCs w:val="36"/>
          <w:highlight w:val="none"/>
        </w:rPr>
      </w:pPr>
    </w:p>
    <w:p w14:paraId="2E58DA2E">
      <w:pPr>
        <w:rPr>
          <w:rFonts w:hint="eastAsia" w:ascii="宋体" w:hAnsi="宋体" w:eastAsia="宋体" w:cs="宋体"/>
          <w:bCs/>
          <w:color w:val="auto"/>
          <w:sz w:val="36"/>
          <w:szCs w:val="36"/>
          <w:highlight w:val="none"/>
        </w:rPr>
      </w:pPr>
    </w:p>
    <w:p w14:paraId="27049C11">
      <w:pPr>
        <w:rPr>
          <w:rFonts w:hint="eastAsia" w:ascii="宋体" w:hAnsi="宋体" w:eastAsia="宋体" w:cs="宋体"/>
          <w:bCs/>
          <w:color w:val="auto"/>
          <w:sz w:val="36"/>
          <w:szCs w:val="36"/>
          <w:highlight w:val="none"/>
        </w:rPr>
      </w:pPr>
    </w:p>
    <w:p w14:paraId="3293715A">
      <w:pPr>
        <w:rPr>
          <w:rFonts w:hint="eastAsia" w:ascii="宋体" w:hAnsi="宋体" w:eastAsia="宋体" w:cs="宋体"/>
          <w:bCs/>
          <w:color w:val="auto"/>
          <w:sz w:val="36"/>
          <w:szCs w:val="36"/>
          <w:highlight w:val="none"/>
        </w:rPr>
      </w:pPr>
    </w:p>
    <w:p w14:paraId="79CD1564">
      <w:pPr>
        <w:rPr>
          <w:rFonts w:hint="eastAsia" w:ascii="宋体" w:hAnsi="宋体" w:eastAsia="宋体" w:cs="宋体"/>
          <w:bCs/>
          <w:color w:val="auto"/>
          <w:sz w:val="36"/>
          <w:szCs w:val="36"/>
          <w:highlight w:val="none"/>
        </w:rPr>
      </w:pPr>
    </w:p>
    <w:p w14:paraId="1BC565F9">
      <w:pPr>
        <w:rPr>
          <w:rFonts w:hint="eastAsia" w:ascii="宋体" w:hAnsi="宋体" w:eastAsia="宋体" w:cs="宋体"/>
          <w:color w:val="auto"/>
          <w:sz w:val="36"/>
          <w:highlight w:val="none"/>
        </w:rPr>
      </w:pPr>
      <w:r>
        <w:rPr>
          <w:rFonts w:hint="eastAsia" w:ascii="宋体" w:hAnsi="宋体" w:eastAsia="宋体" w:cs="宋体"/>
          <w:color w:val="auto"/>
          <w:sz w:val="36"/>
          <w:highlight w:val="none"/>
        </w:rPr>
        <w:br w:type="page"/>
      </w:r>
    </w:p>
    <w:p w14:paraId="12FD4100">
      <w:pPr>
        <w:widowControl/>
        <w:spacing w:line="360" w:lineRule="auto"/>
        <w:jc w:val="center"/>
        <w:rPr>
          <w:rFonts w:hint="eastAsia" w:ascii="宋体" w:hAnsi="宋体" w:eastAsia="宋体" w:cs="宋体"/>
          <w:color w:val="auto"/>
          <w:sz w:val="36"/>
          <w:highlight w:val="none"/>
        </w:rPr>
      </w:pPr>
      <w:r>
        <w:rPr>
          <w:rFonts w:hint="eastAsia" w:ascii="宋体" w:hAnsi="宋体" w:eastAsia="宋体" w:cs="宋体"/>
          <w:color w:val="auto"/>
          <w:sz w:val="36"/>
          <w:highlight w:val="none"/>
        </w:rPr>
        <w:t>第二部分   通用条款</w:t>
      </w:r>
    </w:p>
    <w:p w14:paraId="5828164C">
      <w:pPr>
        <w:widowControl/>
        <w:spacing w:line="360" w:lineRule="auto"/>
        <w:jc w:val="center"/>
        <w:rPr>
          <w:rFonts w:hint="eastAsia" w:ascii="宋体" w:hAnsi="宋体" w:eastAsia="宋体" w:cs="宋体"/>
          <w:color w:val="auto"/>
          <w:sz w:val="36"/>
          <w:highlight w:val="none"/>
        </w:rPr>
      </w:pPr>
      <w:r>
        <w:rPr>
          <w:rFonts w:hint="eastAsia" w:ascii="宋体" w:hAnsi="宋体" w:eastAsia="宋体" w:cs="宋体"/>
          <w:color w:val="auto"/>
          <w:sz w:val="36"/>
          <w:highlight w:val="none"/>
        </w:rPr>
        <w:t>（省略）</w:t>
      </w:r>
    </w:p>
    <w:p w14:paraId="58CA0DD1">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36"/>
          <w:highlight w:val="none"/>
        </w:rPr>
        <w:t>第三部分  专用条款</w:t>
      </w:r>
    </w:p>
    <w:p w14:paraId="75DF95AF">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一、词语定义及合同文件</w:t>
      </w:r>
    </w:p>
    <w:p w14:paraId="66141B6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2、合同文件及解释顺序</w:t>
      </w:r>
    </w:p>
    <w:p w14:paraId="077EE0DF">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合同文件组成及解释顺序：</w:t>
      </w:r>
      <w:r>
        <w:rPr>
          <w:rFonts w:hint="eastAsia" w:ascii="宋体" w:hAnsi="宋体" w:eastAsia="宋体" w:cs="宋体"/>
          <w:color w:val="auto"/>
          <w:sz w:val="24"/>
          <w:highlight w:val="none"/>
          <w:u w:val="single"/>
        </w:rPr>
        <w:t>本合同协议书；本合同专用条款；本合同通用条款；中标通知书、招标文件及其附件；投标文件及其附件；图纸及答疑纪要；工程建设标准；规范及有关技术文件；工程量清单；工程量清单报价表。</w:t>
      </w:r>
    </w:p>
    <w:p w14:paraId="2146EF5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3、语言文字和适用法律、标准及规范</w:t>
      </w:r>
    </w:p>
    <w:p w14:paraId="1D2D7EA5">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3.1本合同除使用汉语外，还使用</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语言文字。</w:t>
      </w:r>
    </w:p>
    <w:p w14:paraId="3E56D5D7">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3.2适用法律和法规</w:t>
      </w:r>
    </w:p>
    <w:p w14:paraId="1A8484D4">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需要明示的法律、行政法规：</w:t>
      </w:r>
      <w:r>
        <w:rPr>
          <w:rFonts w:hint="eastAsia" w:ascii="宋体" w:hAnsi="宋体" w:eastAsia="宋体" w:cs="宋体"/>
          <w:color w:val="auto"/>
          <w:sz w:val="24"/>
          <w:highlight w:val="none"/>
          <w:u w:val="single"/>
        </w:rPr>
        <w:t>《中华人民共和国建筑法》；《</w:t>
      </w:r>
      <w:r>
        <w:rPr>
          <w:rFonts w:hint="eastAsia" w:ascii="宋体" w:hAnsi="宋体" w:eastAsia="宋体" w:cs="宋体"/>
          <w:color w:val="auto"/>
          <w:sz w:val="24"/>
          <w:highlight w:val="none"/>
          <w:u w:val="single"/>
          <w:lang w:eastAsia="zh-CN"/>
        </w:rPr>
        <w:t>中华人民共和国民法典</w:t>
      </w:r>
      <w:r>
        <w:rPr>
          <w:rFonts w:hint="eastAsia" w:ascii="宋体" w:hAnsi="宋体" w:eastAsia="宋体" w:cs="宋体"/>
          <w:color w:val="auto"/>
          <w:sz w:val="24"/>
          <w:highlight w:val="none"/>
          <w:u w:val="single"/>
        </w:rPr>
        <w:t>》；《中华人民共和国招标投标法》。</w:t>
      </w:r>
    </w:p>
    <w:p w14:paraId="79FB2BA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3.3适用标准、规范</w:t>
      </w:r>
    </w:p>
    <w:p w14:paraId="62A6F95F">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发包人提供标准、规范的时间：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36C072A7">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国内没有相应标准、规范时的约定：</w:t>
      </w:r>
      <w:r>
        <w:rPr>
          <w:rFonts w:hint="eastAsia" w:ascii="宋体" w:hAnsi="宋体" w:eastAsia="宋体" w:cs="宋体"/>
          <w:color w:val="auto"/>
          <w:sz w:val="24"/>
          <w:highlight w:val="none"/>
          <w:u w:val="single"/>
        </w:rPr>
        <w:t xml:space="preserve"> 执行通用条款及相关规定。</w:t>
      </w:r>
    </w:p>
    <w:p w14:paraId="6DA6FCE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4、图纸</w:t>
      </w:r>
    </w:p>
    <w:p w14:paraId="3FBD8B6A">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4.1发包人向承包人提供图纸日期和套数：</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 施工图   套。</w:t>
      </w:r>
    </w:p>
    <w:p w14:paraId="1A108A5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发包人对图纸的保密要求：</w:t>
      </w:r>
      <w:r>
        <w:rPr>
          <w:rFonts w:hint="eastAsia" w:ascii="宋体" w:hAnsi="宋体" w:eastAsia="宋体" w:cs="宋体"/>
          <w:color w:val="auto"/>
          <w:sz w:val="24"/>
          <w:highlight w:val="none"/>
          <w:u w:val="single"/>
        </w:rPr>
        <w:t xml:space="preserve">   无。  </w:t>
      </w:r>
    </w:p>
    <w:p w14:paraId="7E28DF94">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使用国外图纸的要求及费用承担：</w:t>
      </w:r>
      <w:r>
        <w:rPr>
          <w:rFonts w:hint="eastAsia" w:ascii="宋体" w:hAnsi="宋体" w:eastAsia="宋体" w:cs="宋体"/>
          <w:color w:val="auto"/>
          <w:sz w:val="24"/>
          <w:highlight w:val="none"/>
          <w:u w:val="single"/>
        </w:rPr>
        <w:t xml:space="preserve">   无。 </w:t>
      </w:r>
    </w:p>
    <w:p w14:paraId="2CC04A40">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二、双方一般权利和义务</w:t>
      </w:r>
    </w:p>
    <w:p w14:paraId="1E39C9B9">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5、工程师</w:t>
      </w:r>
    </w:p>
    <w:p w14:paraId="11735554">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5.2监理单位委派的工程师</w:t>
      </w:r>
    </w:p>
    <w:p w14:paraId="444E820E">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姓名：____________________职务：_________________________</w:t>
      </w:r>
    </w:p>
    <w:p w14:paraId="34B1340B">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发包人委托的职权：</w:t>
      </w:r>
      <w:r>
        <w:rPr>
          <w:rFonts w:hint="eastAsia" w:ascii="宋体" w:hAnsi="宋体" w:eastAsia="宋体" w:cs="宋体"/>
          <w:color w:val="auto"/>
          <w:sz w:val="24"/>
          <w:highlight w:val="none"/>
          <w:u w:val="single"/>
        </w:rPr>
        <w:t>工程质量、进度、造价三控制。</w:t>
      </w:r>
    </w:p>
    <w:p w14:paraId="353A6AEC">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需要取得发包人批准才能行使的职权：______________________________</w:t>
      </w:r>
    </w:p>
    <w:p w14:paraId="4C4C933F">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5.4发包人派驻的工程师</w:t>
      </w:r>
    </w:p>
    <w:p w14:paraId="5583B90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姓名:_________职务：___________职权：___________________</w:t>
      </w:r>
    </w:p>
    <w:p w14:paraId="71B3D479">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5.6不实行监理的，工程师的职权：________________________</w:t>
      </w:r>
    </w:p>
    <w:p w14:paraId="49B7D589">
      <w:pPr>
        <w:widowControl/>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7、</w:t>
      </w:r>
      <w:r>
        <w:rPr>
          <w:rFonts w:hint="eastAsia" w:ascii="宋体" w:hAnsi="宋体" w:eastAsia="宋体" w:cs="宋体"/>
          <w:color w:val="auto"/>
          <w:sz w:val="24"/>
          <w:highlight w:val="none"/>
          <w:lang w:eastAsia="zh-CN"/>
        </w:rPr>
        <w:t>项目负责人</w:t>
      </w:r>
    </w:p>
    <w:p w14:paraId="44F0DA6B">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姓名：_________________职务：___________________________</w:t>
      </w:r>
    </w:p>
    <w:p w14:paraId="60557DF5">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8、发包人工作</w:t>
      </w:r>
    </w:p>
    <w:p w14:paraId="3C96EF26">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8.1发包人应按约定的时间和要求完成以下工作：</w:t>
      </w:r>
    </w:p>
    <w:p w14:paraId="73730896">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（1）施工场地具备施工条件的要求及完成的时间：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w:t>
      </w:r>
    </w:p>
    <w:p w14:paraId="3D8FAB8F">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（2）将施工所需的水、电、电讯线路接至施工场地的时间、地点和供应要求：</w:t>
      </w:r>
    </w:p>
    <w:p w14:paraId="342BADA9">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w:t>
      </w:r>
      <w:r>
        <w:rPr>
          <w:rFonts w:hint="eastAsia" w:ascii="宋体" w:hAnsi="宋体" w:eastAsia="宋体" w:cs="宋体"/>
          <w:color w:val="auto"/>
          <w:sz w:val="24"/>
          <w:highlight w:val="none"/>
        </w:rPr>
        <w:t>；其计量和计价方法为：</w:t>
      </w:r>
      <w:r>
        <w:rPr>
          <w:rFonts w:hint="eastAsia" w:ascii="宋体" w:hAnsi="宋体" w:eastAsia="宋体" w:cs="宋体"/>
          <w:color w:val="auto"/>
          <w:sz w:val="24"/>
          <w:highlight w:val="none"/>
          <w:u w:val="single"/>
        </w:rPr>
        <w:t xml:space="preserve">  双方协商。</w:t>
      </w:r>
    </w:p>
    <w:p w14:paraId="28DA7BCA">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（3）施工场地与公共道路的通道开通时间和要求：</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日前。</w:t>
      </w:r>
    </w:p>
    <w:p w14:paraId="0ED79275">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（4）工程地质和地下管线资料的提供时间：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日前</w:t>
      </w:r>
    </w:p>
    <w:p w14:paraId="5AF3107A">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（5）由发包人办理的施工所需证件、批件的名称和完成时间：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w:t>
      </w:r>
    </w:p>
    <w:p w14:paraId="1C9F02A5">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（6）水准点与座标控制点交验要求：</w:t>
      </w:r>
      <w:r>
        <w:rPr>
          <w:rFonts w:hint="eastAsia" w:ascii="宋体" w:hAnsi="宋体" w:eastAsia="宋体" w:cs="宋体"/>
          <w:color w:val="auto"/>
          <w:sz w:val="24"/>
          <w:highlight w:val="none"/>
          <w:u w:val="single"/>
        </w:rPr>
        <w:t>符合施工条件，方便施工。</w:t>
      </w:r>
    </w:p>
    <w:p w14:paraId="3C8E8E04">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（7）图纸会审和设计交底时间：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日前。</w:t>
      </w:r>
    </w:p>
    <w:p w14:paraId="153873AA">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（8）协调处理施工场地周围地下管线和邻近建筑物、构筑物（含文物保护建筑）、古树名木的保护工作：</w:t>
      </w:r>
      <w:r>
        <w:rPr>
          <w:rFonts w:hint="eastAsia" w:ascii="宋体" w:hAnsi="宋体" w:eastAsia="宋体" w:cs="宋体"/>
          <w:color w:val="auto"/>
          <w:sz w:val="24"/>
          <w:highlight w:val="none"/>
          <w:u w:val="single"/>
        </w:rPr>
        <w:t>发包人提供相关资料，由承包人实施保护，费用发包人承担；由承包人人为原因造成的损失由承包人负责费用。</w:t>
      </w:r>
    </w:p>
    <w:p w14:paraId="20FB7B59">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（9）双方约定发包人应做的其他工作：</w:t>
      </w:r>
      <w:r>
        <w:rPr>
          <w:rFonts w:hint="eastAsia" w:ascii="宋体" w:hAnsi="宋体" w:eastAsia="宋体" w:cs="宋体"/>
          <w:color w:val="auto"/>
          <w:sz w:val="24"/>
          <w:highlight w:val="none"/>
          <w:u w:val="single"/>
        </w:rPr>
        <w:t xml:space="preserve">  无  </w:t>
      </w:r>
    </w:p>
    <w:p w14:paraId="44B974B7">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8.2发包人委托承包人办理的工作：</w:t>
      </w:r>
      <w:r>
        <w:rPr>
          <w:rFonts w:hint="eastAsia" w:ascii="宋体" w:hAnsi="宋体" w:eastAsia="宋体" w:cs="宋体"/>
          <w:color w:val="auto"/>
          <w:sz w:val="24"/>
          <w:highlight w:val="none"/>
          <w:u w:val="single"/>
        </w:rPr>
        <w:t xml:space="preserve"> 双方协商 </w:t>
      </w:r>
    </w:p>
    <w:p w14:paraId="584023F1">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9、承包人工作</w:t>
      </w:r>
    </w:p>
    <w:p w14:paraId="0186532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9.1承包人应按约定时间和要求，完成以下工作：</w:t>
      </w:r>
    </w:p>
    <w:p w14:paraId="2FEE8F1E">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施工组织设计的实施，工程进度计划，材料供应计划等。</w:t>
      </w:r>
    </w:p>
    <w:p w14:paraId="32FA3FE4">
      <w:pPr>
        <w:widowControl/>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（1）需由设计资质等级和业务范围允许的承包人完成的设计文件提交时间：</w:t>
      </w:r>
      <w:r>
        <w:rPr>
          <w:rFonts w:hint="eastAsia" w:ascii="宋体" w:hAnsi="宋体" w:eastAsia="宋体" w:cs="宋体"/>
          <w:color w:val="auto"/>
          <w:sz w:val="24"/>
          <w:highlight w:val="none"/>
          <w:u w:val="single"/>
        </w:rPr>
        <w:t xml:space="preserve">  无  </w:t>
      </w:r>
    </w:p>
    <w:p w14:paraId="2420EB75">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（2）应提供计划、报表的名称及完成时间</w:t>
      </w:r>
      <w:r>
        <w:rPr>
          <w:rFonts w:hint="eastAsia" w:ascii="宋体" w:hAnsi="宋体" w:eastAsia="宋体" w:cs="宋体"/>
          <w:color w:val="auto"/>
          <w:sz w:val="24"/>
          <w:highlight w:val="none"/>
          <w:u w:val="single"/>
        </w:rPr>
        <w:t>：每月25日前提交下月工程进度计划，材料供应计划。</w:t>
      </w:r>
    </w:p>
    <w:p w14:paraId="4E50D2EC">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（3）承担施工安全保卫工作及非夜间施工照明的责任和要求：执行通用条款及相关规定符合文明施工条件。</w:t>
      </w:r>
    </w:p>
    <w:p w14:paraId="7AC34525">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（4）向发包人提供的办公和生活房屋及设施的要求：</w:t>
      </w:r>
      <w:r>
        <w:rPr>
          <w:rFonts w:hint="eastAsia" w:ascii="宋体" w:hAnsi="宋体" w:eastAsia="宋体" w:cs="宋体"/>
          <w:color w:val="auto"/>
          <w:sz w:val="24"/>
          <w:highlight w:val="none"/>
          <w:u w:val="single"/>
        </w:rPr>
        <w:t>向发包人和监理单位提供现场办公和生活用房屋及设施2间（不低于30平方米）。</w:t>
      </w:r>
    </w:p>
    <w:p w14:paraId="6F1AAE56">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（5）需承包人办理的有关施工场地交通、环卫和施工噪音管理等手续：</w:t>
      </w:r>
      <w:r>
        <w:rPr>
          <w:rFonts w:hint="eastAsia" w:ascii="宋体" w:hAnsi="宋体" w:eastAsia="宋体" w:cs="宋体"/>
          <w:color w:val="auto"/>
          <w:sz w:val="24"/>
          <w:highlight w:val="none"/>
          <w:u w:val="single"/>
        </w:rPr>
        <w:t>执行通用条款规定，符合城管、环卫、环保部门规定，并办理相关手续。</w:t>
      </w:r>
    </w:p>
    <w:p w14:paraId="2E7AC056">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（6）已完工程成品保护的特殊要求及费用承担：</w:t>
      </w:r>
      <w:r>
        <w:rPr>
          <w:rFonts w:hint="eastAsia" w:ascii="宋体" w:hAnsi="宋体" w:eastAsia="宋体" w:cs="宋体"/>
          <w:color w:val="auto"/>
          <w:sz w:val="24"/>
          <w:highlight w:val="none"/>
          <w:u w:val="single"/>
        </w:rPr>
        <w:t>工程竣工验收前由承包人保护，工程竣工验收后由发包人保护，费用各自承担。</w:t>
      </w:r>
    </w:p>
    <w:p w14:paraId="7E2C72E8">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（7）施工场地周围地下管线和邻近建筑物、构筑物（含文物保护建筑）、古树名木的保护要求及费用承担：</w:t>
      </w:r>
      <w:r>
        <w:rPr>
          <w:rFonts w:hint="eastAsia" w:ascii="宋体" w:hAnsi="宋体" w:eastAsia="宋体" w:cs="宋体"/>
          <w:color w:val="auto"/>
          <w:sz w:val="24"/>
          <w:highlight w:val="none"/>
          <w:u w:val="single"/>
        </w:rPr>
        <w:t>发包人同相关自老，由承包人实施保护，费用发包人承担；由承包人人为原因造成的损失由承包人负担费用。</w:t>
      </w:r>
    </w:p>
    <w:p w14:paraId="6B3EDA13">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（8）施工场地清洁卫生的要求：</w:t>
      </w:r>
      <w:r>
        <w:rPr>
          <w:rFonts w:hint="eastAsia" w:ascii="宋体" w:hAnsi="宋体" w:eastAsia="宋体" w:cs="宋体"/>
          <w:color w:val="auto"/>
          <w:sz w:val="24"/>
          <w:highlight w:val="none"/>
          <w:u w:val="single"/>
        </w:rPr>
        <w:t>执行《通用条款》规定，符合环卫部门规定，文明施工。</w:t>
      </w:r>
    </w:p>
    <w:p w14:paraId="51C20117">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（9）双方约定承包人应做的其他工作：</w:t>
      </w:r>
      <w:r>
        <w:rPr>
          <w:rFonts w:hint="eastAsia" w:ascii="宋体" w:hAnsi="宋体" w:eastAsia="宋体" w:cs="宋体"/>
          <w:color w:val="auto"/>
          <w:sz w:val="24"/>
          <w:highlight w:val="none"/>
          <w:u w:val="single"/>
        </w:rPr>
        <w:t>协调并处理好施工现场周边及邻里关系。</w:t>
      </w:r>
    </w:p>
    <w:p w14:paraId="4997A8AB">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三、施工组织设计和工期</w:t>
      </w:r>
    </w:p>
    <w:p w14:paraId="36A652E5">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10、进度计划</w:t>
      </w:r>
    </w:p>
    <w:p w14:paraId="0E05E82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10.1承包人提供施工组织设计（施工方案）和进度计划的时间：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日前。</w:t>
      </w:r>
      <w:r>
        <w:rPr>
          <w:rFonts w:hint="eastAsia" w:ascii="宋体" w:hAnsi="宋体" w:eastAsia="宋体" w:cs="宋体"/>
          <w:color w:val="auto"/>
          <w:sz w:val="24"/>
          <w:highlight w:val="none"/>
        </w:rPr>
        <w:t xml:space="preserve">  </w:t>
      </w:r>
    </w:p>
    <w:p w14:paraId="15B4F347">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监理工程师确认的时间：</w:t>
      </w:r>
      <w:r>
        <w:rPr>
          <w:rFonts w:hint="eastAsia" w:ascii="宋体" w:hAnsi="宋体" w:eastAsia="宋体" w:cs="宋体"/>
          <w:color w:val="auto"/>
          <w:sz w:val="24"/>
          <w:highlight w:val="none"/>
          <w:u w:val="single"/>
          <w:lang w:eastAsia="zh-CN"/>
        </w:rPr>
        <w:t>202</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lang w:eastAsia="zh-CN"/>
        </w:rPr>
        <w:t>年</w:t>
      </w:r>
      <w:r>
        <w:rPr>
          <w:rFonts w:hint="eastAsia" w:ascii="宋体" w:hAnsi="宋体" w:eastAsia="宋体" w:cs="宋体"/>
          <w:color w:val="auto"/>
          <w:sz w:val="24"/>
          <w:highlight w:val="none"/>
          <w:u w:val="single"/>
        </w:rPr>
        <w:t xml:space="preserve"> 月 日前</w:t>
      </w:r>
    </w:p>
    <w:p w14:paraId="0FA5B69F">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10.2群体工程中有关进度计划的要求：</w:t>
      </w:r>
      <w:r>
        <w:rPr>
          <w:rFonts w:hint="eastAsia" w:ascii="宋体" w:hAnsi="宋体" w:eastAsia="宋体" w:cs="宋体"/>
          <w:color w:val="auto"/>
          <w:sz w:val="24"/>
          <w:highlight w:val="none"/>
          <w:u w:val="single"/>
        </w:rPr>
        <w:t>符合审定的施工组织设计规定</w:t>
      </w:r>
      <w:r>
        <w:rPr>
          <w:rFonts w:hint="eastAsia" w:ascii="宋体" w:hAnsi="宋体" w:eastAsia="宋体" w:cs="宋体"/>
          <w:color w:val="auto"/>
          <w:sz w:val="24"/>
          <w:highlight w:val="none"/>
        </w:rPr>
        <w:t>。</w:t>
      </w:r>
    </w:p>
    <w:p w14:paraId="18C8EBA8">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13、工期延误</w:t>
      </w:r>
    </w:p>
    <w:p w14:paraId="2D3360E5">
      <w:pPr>
        <w:widowControl/>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13.1双方约定工期顺延的其他情况：</w:t>
      </w:r>
      <w:r>
        <w:rPr>
          <w:rFonts w:hint="eastAsia" w:ascii="宋体" w:hAnsi="宋体" w:eastAsia="宋体" w:cs="宋体"/>
          <w:color w:val="auto"/>
          <w:sz w:val="24"/>
          <w:highlight w:val="none"/>
          <w:u w:val="single"/>
        </w:rPr>
        <w:t>因发包人或自然灾害原因致使工期延迟，工期按实际天数顺延；因承包人原因致使工期延误，按实际延误天数每天罚款200元人民币。最高不超过工程总造价的百分之五（5%）。</w:t>
      </w:r>
    </w:p>
    <w:p w14:paraId="31E11C0B">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四、质量与检验</w:t>
      </w:r>
    </w:p>
    <w:p w14:paraId="1B4F041B">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17、隐蔽工程和中间验收</w:t>
      </w:r>
    </w:p>
    <w:p w14:paraId="0DA948B1">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17.1双方约定中间验收部位：</w:t>
      </w:r>
      <w:r>
        <w:rPr>
          <w:rFonts w:hint="eastAsia" w:ascii="宋体" w:hAnsi="宋体" w:eastAsia="宋体" w:cs="宋体"/>
          <w:color w:val="auto"/>
          <w:sz w:val="24"/>
          <w:highlight w:val="none"/>
          <w:u w:val="single"/>
        </w:rPr>
        <w:t xml:space="preserve">                        </w:t>
      </w:r>
    </w:p>
    <w:p w14:paraId="3B339E47">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19、工程试车</w:t>
      </w:r>
    </w:p>
    <w:p w14:paraId="16B580BA">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19.5试车费用的承担：</w:t>
      </w:r>
      <w:r>
        <w:rPr>
          <w:rFonts w:hint="eastAsia" w:ascii="宋体" w:hAnsi="宋体" w:eastAsia="宋体" w:cs="宋体"/>
          <w:color w:val="auto"/>
          <w:sz w:val="24"/>
          <w:highlight w:val="none"/>
          <w:u w:val="single"/>
        </w:rPr>
        <w:t xml:space="preserve">   无   </w:t>
      </w:r>
    </w:p>
    <w:p w14:paraId="3CBFF4C5">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五、安全防护、文明施工</w:t>
      </w:r>
    </w:p>
    <w:p w14:paraId="50D48C1B">
      <w:pPr>
        <w:widowControl/>
        <w:spacing w:line="360" w:lineRule="auto"/>
        <w:ind w:firstLine="597" w:firstLineChars="249"/>
        <w:rPr>
          <w:rFonts w:hint="eastAsia" w:ascii="宋体" w:hAnsi="宋体" w:eastAsia="宋体" w:cs="宋体"/>
          <w:color w:val="auto"/>
          <w:sz w:val="24"/>
          <w:highlight w:val="none"/>
        </w:rPr>
      </w:pPr>
      <w:r>
        <w:rPr>
          <w:rFonts w:hint="eastAsia" w:ascii="宋体" w:hAnsi="宋体" w:eastAsia="宋体" w:cs="宋体"/>
          <w:color w:val="auto"/>
          <w:sz w:val="24"/>
          <w:highlight w:val="none"/>
        </w:rPr>
        <w:t>执行《通用条款》全部条款和国家及省、市关于文明施工的相关规定。</w:t>
      </w:r>
    </w:p>
    <w:p w14:paraId="3564BEC1">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六、合同价款</w:t>
      </w:r>
    </w:p>
    <w:p w14:paraId="0141C3AC">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26、合同价款约定</w:t>
      </w:r>
    </w:p>
    <w:p w14:paraId="31C8671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26.2本合同价款采用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方式确定。</w:t>
      </w:r>
    </w:p>
    <w:p w14:paraId="798D4B39">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（1）采用固定总价合同：</w:t>
      </w:r>
    </w:p>
    <w:p w14:paraId="0235904D">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（2）采用固定综合单价合同，综合单价中包括的风险范围：</w:t>
      </w:r>
    </w:p>
    <w:p w14:paraId="5255E855">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____________________________________________________________________</w:t>
      </w:r>
    </w:p>
    <w:p w14:paraId="30F43B8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风险范围以外综合单价调整方法：_______________________________</w:t>
      </w:r>
    </w:p>
    <w:p w14:paraId="4CB2637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（3）采用可调价格合同，合同价款调整方法：____________________</w:t>
      </w:r>
    </w:p>
    <w:p w14:paraId="28BB407E">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27、合同价款调整</w:t>
      </w:r>
    </w:p>
    <w:p w14:paraId="4BB973F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27.1双方约定合同价款的其他调整因素：_________________________</w:t>
      </w:r>
    </w:p>
    <w:p w14:paraId="148C221D">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28、工程预付款</w:t>
      </w:r>
    </w:p>
    <w:p w14:paraId="4E8990F5">
      <w:pPr>
        <w:widowControl/>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发包人向承包人预付工程款的时间和金额或占合同价款总额的比例： _______________________________________________________________</w:t>
      </w:r>
    </w:p>
    <w:p w14:paraId="79132216">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扣回工程款的时间、比例：_____________________________________</w:t>
      </w:r>
    </w:p>
    <w:p w14:paraId="4F676C0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全防护、文明施工措施费用的比例和时间：__________________________</w:t>
      </w:r>
    </w:p>
    <w:p w14:paraId="3B0B4D2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29、工程量确认</w:t>
      </w:r>
    </w:p>
    <w:p w14:paraId="6D1478D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29.1承包人向工程师提交已完工程量报告的时间：____________________</w:t>
      </w:r>
    </w:p>
    <w:p w14:paraId="76ADAFE4">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30、工程进度款结算与支付</w:t>
      </w:r>
    </w:p>
    <w:p w14:paraId="43660D4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双方约定的工程进度款支付的方式、时间和比例是：___________________</w:t>
      </w:r>
    </w:p>
    <w:p w14:paraId="0872D54E">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七、材料设备供应</w:t>
      </w:r>
    </w:p>
    <w:p w14:paraId="1C777AF7">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31、发包人供应材料设备</w:t>
      </w:r>
    </w:p>
    <w:p w14:paraId="3FF1630D">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31.4发包人供应的材料设备与一览表不符时，双方约定发包人承担责任如下：</w:t>
      </w:r>
    </w:p>
    <w:p w14:paraId="55834B5A">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（1）材料设备单价与一览表不符：</w:t>
      </w:r>
      <w:r>
        <w:rPr>
          <w:rFonts w:hint="eastAsia" w:ascii="宋体" w:hAnsi="宋体" w:eastAsia="宋体" w:cs="宋体"/>
          <w:color w:val="auto"/>
          <w:sz w:val="24"/>
          <w:highlight w:val="none"/>
          <w:u w:val="single"/>
        </w:rPr>
        <w:t xml:space="preserve">  双方协商解决  </w:t>
      </w:r>
    </w:p>
    <w:p w14:paraId="5D938552">
      <w:pPr>
        <w:widowControl/>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（2）材料设备的品种、规格、型号、质量等级与一览表不符：</w:t>
      </w:r>
      <w:r>
        <w:rPr>
          <w:rFonts w:hint="eastAsia" w:ascii="宋体" w:hAnsi="宋体" w:eastAsia="宋体" w:cs="宋体"/>
          <w:color w:val="auto"/>
          <w:sz w:val="24"/>
          <w:highlight w:val="none"/>
          <w:u w:val="single"/>
        </w:rPr>
        <w:t>执行合同条款规定。</w:t>
      </w:r>
    </w:p>
    <w:p w14:paraId="273DC0E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（3）承包人可代为调剂串换的材料：</w:t>
      </w:r>
      <w:r>
        <w:rPr>
          <w:rFonts w:hint="eastAsia" w:ascii="宋体" w:hAnsi="宋体" w:eastAsia="宋体" w:cs="宋体"/>
          <w:color w:val="auto"/>
          <w:sz w:val="24"/>
          <w:highlight w:val="none"/>
          <w:u w:val="single"/>
        </w:rPr>
        <w:t xml:space="preserve">  执行合同条款规定 。</w:t>
      </w:r>
    </w:p>
    <w:p w14:paraId="49A218D6">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（4）到货地点与一览表不符：</w:t>
      </w:r>
      <w:r>
        <w:rPr>
          <w:rFonts w:hint="eastAsia" w:ascii="宋体" w:hAnsi="宋体" w:eastAsia="宋体" w:cs="宋体"/>
          <w:color w:val="auto"/>
          <w:sz w:val="24"/>
          <w:highlight w:val="none"/>
          <w:u w:val="single"/>
        </w:rPr>
        <w:t xml:space="preserve">  执行合同条款规定。</w:t>
      </w:r>
    </w:p>
    <w:p w14:paraId="63A31692">
      <w:pPr>
        <w:widowControl/>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（5）供应数量与一览表不符：</w:t>
      </w:r>
      <w:r>
        <w:rPr>
          <w:rFonts w:hint="eastAsia" w:ascii="宋体" w:hAnsi="宋体" w:eastAsia="宋体" w:cs="宋体"/>
          <w:color w:val="auto"/>
          <w:sz w:val="24"/>
          <w:highlight w:val="none"/>
          <w:u w:val="single"/>
        </w:rPr>
        <w:t xml:space="preserve">  执行合同条款规定。</w:t>
      </w:r>
    </w:p>
    <w:p w14:paraId="47987547">
      <w:pPr>
        <w:widowControl/>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（6）到货时间与一览表不符：</w:t>
      </w:r>
      <w:r>
        <w:rPr>
          <w:rFonts w:hint="eastAsia" w:ascii="宋体" w:hAnsi="宋体" w:eastAsia="宋体" w:cs="宋体"/>
          <w:color w:val="auto"/>
          <w:sz w:val="24"/>
          <w:highlight w:val="none"/>
          <w:u w:val="single"/>
        </w:rPr>
        <w:t xml:space="preserve">  执行合同条款规定</w:t>
      </w:r>
    </w:p>
    <w:p w14:paraId="67DE4E76">
      <w:pPr>
        <w:widowControl/>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31.6发包人供应材料设备的结算方法：</w:t>
      </w:r>
      <w:r>
        <w:rPr>
          <w:rFonts w:hint="eastAsia" w:ascii="宋体" w:hAnsi="宋体" w:eastAsia="宋体" w:cs="宋体"/>
          <w:color w:val="auto"/>
          <w:sz w:val="24"/>
          <w:highlight w:val="none"/>
          <w:u w:val="single"/>
        </w:rPr>
        <w:t>按招标文件规定价格从当月进度款中扣除。</w:t>
      </w:r>
    </w:p>
    <w:p w14:paraId="4BDA28C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32、承包人采购材料设备</w:t>
      </w:r>
    </w:p>
    <w:p w14:paraId="05522F34">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32.1承包人采购材料设备的约定：</w:t>
      </w:r>
    </w:p>
    <w:p w14:paraId="49D6555E">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_承包人采购材料材料设备在采购前10日内向发包人提供材料设备样品。质量指标，各种相关技术参数，由发包人认质认价后批量采购。</w:t>
      </w:r>
    </w:p>
    <w:p w14:paraId="58F41F0C">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八、工程变更</w:t>
      </w:r>
    </w:p>
    <w:p w14:paraId="1DC84569">
      <w:pPr>
        <w:widowControl/>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r>
        <w:rPr>
          <w:rFonts w:hint="eastAsia" w:ascii="宋体" w:hAnsi="宋体" w:eastAsia="宋体" w:cs="宋体"/>
          <w:color w:val="auto"/>
          <w:sz w:val="24"/>
          <w:highlight w:val="none"/>
        </w:rPr>
        <w:t xml:space="preserve">  工程设计变更以设计院出具书面报告由发包人认可认准。</w:t>
      </w:r>
    </w:p>
    <w:p w14:paraId="738804C4">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九、竣工验收与结算</w:t>
      </w:r>
    </w:p>
    <w:p w14:paraId="11AFF357">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36、竣工验收</w:t>
      </w:r>
    </w:p>
    <w:p w14:paraId="078D8475">
      <w:pPr>
        <w:widowControl/>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36.1承包人提供竣工图的约定：</w:t>
      </w:r>
      <w:r>
        <w:rPr>
          <w:rFonts w:hint="eastAsia" w:ascii="宋体" w:hAnsi="宋体" w:eastAsia="宋体" w:cs="宋体"/>
          <w:color w:val="auto"/>
          <w:sz w:val="24"/>
          <w:highlight w:val="none"/>
          <w:u w:val="single"/>
        </w:rPr>
        <w:t>提供竣工图纸及竣工资料文件三套。</w:t>
      </w:r>
    </w:p>
    <w:p w14:paraId="3FEEE7AC">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36.6中间交工工程的范围和竣工时间：</w:t>
      </w:r>
      <w:r>
        <w:rPr>
          <w:rFonts w:hint="eastAsia" w:ascii="宋体" w:hAnsi="宋体" w:eastAsia="宋体" w:cs="宋体"/>
          <w:color w:val="auto"/>
          <w:sz w:val="24"/>
          <w:highlight w:val="none"/>
          <w:u w:val="single"/>
        </w:rPr>
        <w:t xml:space="preserve">  执行合同条款规定。</w:t>
      </w:r>
    </w:p>
    <w:p w14:paraId="2EDF39CD">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37、竣工结算</w:t>
      </w:r>
    </w:p>
    <w:p w14:paraId="18701327">
      <w:pPr>
        <w:widowControl/>
        <w:spacing w:line="360" w:lineRule="auto"/>
        <w:ind w:firstLine="600" w:firstLineChars="25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结算审查期限：</w:t>
      </w:r>
      <w:r>
        <w:rPr>
          <w:rFonts w:hint="eastAsia" w:ascii="宋体" w:hAnsi="宋体" w:eastAsia="宋体" w:cs="宋体"/>
          <w:color w:val="auto"/>
          <w:sz w:val="24"/>
          <w:highlight w:val="none"/>
          <w:u w:val="single"/>
        </w:rPr>
        <w:t xml:space="preserve"> 全部资料提交后6个月内完成审计。</w:t>
      </w:r>
    </w:p>
    <w:p w14:paraId="0A9A6A28">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十、违约、索赔和争议</w:t>
      </w:r>
    </w:p>
    <w:p w14:paraId="7714C404">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39、违约</w:t>
      </w:r>
    </w:p>
    <w:p w14:paraId="4F0AD11B">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39.1本合同中关于发包人违约的具体责任如下：</w:t>
      </w:r>
    </w:p>
    <w:p w14:paraId="3C917504">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本合同通用条款第28.1条约定发包人违约应承担的违约责任：</w:t>
      </w:r>
      <w:r>
        <w:rPr>
          <w:rFonts w:hint="eastAsia" w:ascii="宋体" w:hAnsi="宋体" w:eastAsia="宋体" w:cs="宋体"/>
          <w:color w:val="auto"/>
          <w:sz w:val="24"/>
          <w:highlight w:val="none"/>
          <w:u w:val="single"/>
        </w:rPr>
        <w:t>执行合同通用条款。</w:t>
      </w:r>
    </w:p>
    <w:p w14:paraId="2959AE33">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本合同通用条款第30.5款约定发包人违约应承担的违约责任：</w:t>
      </w:r>
      <w:r>
        <w:rPr>
          <w:rFonts w:hint="eastAsia" w:ascii="宋体" w:hAnsi="宋体" w:eastAsia="宋体" w:cs="宋体"/>
          <w:color w:val="auto"/>
          <w:sz w:val="24"/>
          <w:highlight w:val="none"/>
          <w:u w:val="single"/>
        </w:rPr>
        <w:t>执行合同通用条款。</w:t>
      </w:r>
    </w:p>
    <w:p w14:paraId="76780A7E">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本合同通用条款第37.6款约定发包人违约应承担的违约责任：</w:t>
      </w:r>
      <w:r>
        <w:rPr>
          <w:rFonts w:hint="eastAsia" w:ascii="宋体" w:hAnsi="宋体" w:eastAsia="宋体" w:cs="宋体"/>
          <w:color w:val="auto"/>
          <w:sz w:val="24"/>
          <w:highlight w:val="none"/>
          <w:u w:val="single"/>
        </w:rPr>
        <w:t>执行合同通用条款。</w:t>
      </w:r>
    </w:p>
    <w:p w14:paraId="703FA78E">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双方约定的发包人其他违约责任：</w:t>
      </w:r>
      <w:r>
        <w:rPr>
          <w:rFonts w:hint="eastAsia" w:ascii="宋体" w:hAnsi="宋体" w:eastAsia="宋体" w:cs="宋体"/>
          <w:color w:val="auto"/>
          <w:sz w:val="24"/>
          <w:highlight w:val="none"/>
          <w:u w:val="single"/>
        </w:rPr>
        <w:t>执行合同通用条款。</w:t>
      </w:r>
    </w:p>
    <w:p w14:paraId="4BDD9E3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39.2本合同中关于承包人违约的具体责任如下：</w:t>
      </w:r>
    </w:p>
    <w:p w14:paraId="053642CB">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本合同通用条款第14.2款约定承包人违约承担的违约责任</w:t>
      </w:r>
      <w:r>
        <w:rPr>
          <w:rFonts w:hint="eastAsia" w:ascii="宋体" w:hAnsi="宋体" w:eastAsia="宋体" w:cs="宋体"/>
          <w:color w:val="auto"/>
          <w:sz w:val="24"/>
          <w:highlight w:val="none"/>
          <w:u w:val="single"/>
        </w:rPr>
        <w:t>：因承包人原因致使工期延误，按实际延误天数每天罚款200元人民币，最高不超过工程总造价的百分之五（5%）。</w:t>
      </w:r>
    </w:p>
    <w:p w14:paraId="7F60D059">
      <w:pPr>
        <w:widowControl/>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本合同通用条款第15.1款约定承包人违约应承担的违约责任：</w:t>
      </w:r>
      <w:r>
        <w:rPr>
          <w:rFonts w:hint="eastAsia" w:ascii="宋体" w:hAnsi="宋体" w:eastAsia="宋体" w:cs="宋体"/>
          <w:color w:val="auto"/>
          <w:sz w:val="24"/>
          <w:highlight w:val="none"/>
          <w:u w:val="single"/>
        </w:rPr>
        <w:t>竣工工程质量达不到“合格”标准时，由承包人返还发包人已支付的全部工程费用，并处工程合同造价30%的罚金作为补偿。</w:t>
      </w:r>
    </w:p>
    <w:p w14:paraId="7BBC826E">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双方约定的承包人其他违约责任：</w:t>
      </w:r>
      <w:r>
        <w:rPr>
          <w:rFonts w:hint="eastAsia" w:ascii="宋体" w:hAnsi="宋体" w:eastAsia="宋体" w:cs="宋体"/>
          <w:color w:val="auto"/>
          <w:sz w:val="24"/>
          <w:highlight w:val="none"/>
          <w:u w:val="single"/>
        </w:rPr>
        <w:t xml:space="preserve">  执行合同通用条款。</w:t>
      </w:r>
    </w:p>
    <w:p w14:paraId="38A9D70E">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41、争议</w:t>
      </w:r>
    </w:p>
    <w:p w14:paraId="309806E5">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41.1双方当事人约定，在履行合同过程中产生争议时：</w:t>
      </w:r>
    </w:p>
    <w:p w14:paraId="1E8A264C">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（1）请</w:t>
      </w:r>
      <w:r>
        <w:rPr>
          <w:rFonts w:hint="eastAsia" w:ascii="宋体" w:hAnsi="宋体" w:eastAsia="宋体" w:cs="宋体"/>
          <w:color w:val="auto"/>
          <w:sz w:val="24"/>
          <w:highlight w:val="none"/>
          <w:u w:val="single"/>
        </w:rPr>
        <w:t>_建设管理部门_</w:t>
      </w:r>
      <w:r>
        <w:rPr>
          <w:rFonts w:hint="eastAsia" w:ascii="宋体" w:hAnsi="宋体" w:eastAsia="宋体" w:cs="宋体"/>
          <w:color w:val="auto"/>
          <w:sz w:val="24"/>
          <w:highlight w:val="none"/>
        </w:rPr>
        <w:t>调解；</w:t>
      </w:r>
    </w:p>
    <w:p w14:paraId="53A240D7">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（2）合同争议调解不成的，按下列第</w:t>
      </w:r>
      <w:r>
        <w:rPr>
          <w:rFonts w:hint="eastAsia" w:ascii="宋体" w:hAnsi="宋体" w:eastAsia="宋体" w:cs="宋体"/>
          <w:color w:val="auto"/>
          <w:sz w:val="24"/>
          <w:highlight w:val="none"/>
          <w:u w:val="single"/>
        </w:rPr>
        <w:t>（1）</w:t>
      </w:r>
      <w:r>
        <w:rPr>
          <w:rFonts w:hint="eastAsia" w:ascii="宋体" w:hAnsi="宋体" w:eastAsia="宋体" w:cs="宋体"/>
          <w:color w:val="auto"/>
          <w:sz w:val="24"/>
          <w:highlight w:val="none"/>
        </w:rPr>
        <w:t>种方式解决：</w:t>
      </w:r>
    </w:p>
    <w:p w14:paraId="0EFD8A3B">
      <w:pPr>
        <w:widowControl/>
        <w:spacing w:line="360"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1）提交 </w:t>
      </w:r>
      <w:r>
        <w:rPr>
          <w:rFonts w:hint="eastAsia" w:ascii="宋体" w:hAnsi="宋体" w:eastAsia="宋体" w:cs="宋体"/>
          <w:color w:val="auto"/>
          <w:sz w:val="24"/>
          <w:highlight w:val="none"/>
          <w:u w:val="single"/>
        </w:rPr>
        <w:t>宝鸡市</w:t>
      </w:r>
      <w:r>
        <w:rPr>
          <w:rFonts w:hint="eastAsia" w:ascii="宋体" w:hAnsi="宋体" w:eastAsia="宋体" w:cs="宋体"/>
          <w:color w:val="auto"/>
          <w:sz w:val="24"/>
          <w:highlight w:val="none"/>
        </w:rPr>
        <w:t>仲裁委员会申请仲裁；</w:t>
      </w:r>
    </w:p>
    <w:p w14:paraId="1315523D">
      <w:pPr>
        <w:widowControl/>
        <w:spacing w:line="360"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2）依法向____________人民法院提起诉讼。</w:t>
      </w:r>
    </w:p>
    <w:p w14:paraId="7973ED61">
      <w:pPr>
        <w:widowControl/>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十一、其他</w:t>
      </w:r>
    </w:p>
    <w:p w14:paraId="799C86C4">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42、工程分包</w:t>
      </w:r>
    </w:p>
    <w:p w14:paraId="550214AF">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42.1本工程发包人同意承包人分包的专业工程：</w:t>
      </w:r>
      <w:r>
        <w:rPr>
          <w:rFonts w:hint="eastAsia" w:ascii="宋体" w:hAnsi="宋体" w:eastAsia="宋体" w:cs="宋体"/>
          <w:color w:val="auto"/>
          <w:sz w:val="24"/>
          <w:highlight w:val="none"/>
          <w:u w:val="single"/>
        </w:rPr>
        <w:t xml:space="preserve">  无  </w:t>
      </w:r>
    </w:p>
    <w:p w14:paraId="3FAD5EC6">
      <w:pPr>
        <w:widowControl/>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分包施工单位为：</w:t>
      </w:r>
      <w:r>
        <w:rPr>
          <w:rFonts w:hint="eastAsia" w:ascii="宋体" w:hAnsi="宋体" w:eastAsia="宋体" w:cs="宋体"/>
          <w:color w:val="auto"/>
          <w:sz w:val="24"/>
          <w:highlight w:val="none"/>
          <w:u w:val="single"/>
        </w:rPr>
        <w:t xml:space="preserve">  无  </w:t>
      </w:r>
    </w:p>
    <w:p w14:paraId="50E1108A">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43、不可抗力</w:t>
      </w:r>
    </w:p>
    <w:p w14:paraId="45B6F647">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43.1双方关于不可抗力的约定：</w:t>
      </w:r>
      <w:r>
        <w:rPr>
          <w:rFonts w:hint="eastAsia" w:ascii="宋体" w:hAnsi="宋体" w:eastAsia="宋体" w:cs="宋体"/>
          <w:color w:val="auto"/>
          <w:sz w:val="24"/>
          <w:highlight w:val="none"/>
          <w:u w:val="single"/>
        </w:rPr>
        <w:t xml:space="preserve">  按国家相关规定执行。</w:t>
      </w:r>
    </w:p>
    <w:p w14:paraId="2E75B4FE">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44、保险</w:t>
      </w:r>
    </w:p>
    <w:p w14:paraId="7ED7C916">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本工程双方约定投保内容如下：</w:t>
      </w:r>
    </w:p>
    <w:p w14:paraId="1CC532CA">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（1）发包人投保内容：</w:t>
      </w:r>
      <w:r>
        <w:rPr>
          <w:rFonts w:hint="eastAsia" w:ascii="宋体" w:hAnsi="宋体" w:eastAsia="宋体" w:cs="宋体"/>
          <w:color w:val="auto"/>
          <w:sz w:val="24"/>
          <w:highlight w:val="none"/>
          <w:u w:val="single"/>
        </w:rPr>
        <w:t xml:space="preserve">  现场工程师意外伤害险。</w:t>
      </w:r>
    </w:p>
    <w:p w14:paraId="25BB55EF">
      <w:pPr>
        <w:widowControl/>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发包人委托承包人办理的保险事项：</w:t>
      </w:r>
      <w:r>
        <w:rPr>
          <w:rFonts w:hint="eastAsia" w:ascii="宋体" w:hAnsi="宋体" w:eastAsia="宋体" w:cs="宋体"/>
          <w:color w:val="auto"/>
          <w:sz w:val="24"/>
          <w:highlight w:val="none"/>
          <w:u w:val="single"/>
        </w:rPr>
        <w:t xml:space="preserve">  无  </w:t>
      </w:r>
    </w:p>
    <w:p w14:paraId="002DF417">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（2）承包人投保内容：</w:t>
      </w:r>
      <w:r>
        <w:rPr>
          <w:rFonts w:hint="eastAsia" w:ascii="宋体" w:hAnsi="宋体" w:eastAsia="宋体" w:cs="宋体"/>
          <w:color w:val="auto"/>
          <w:sz w:val="24"/>
          <w:highlight w:val="none"/>
          <w:u w:val="single"/>
        </w:rPr>
        <w:t xml:space="preserve"> 施工现场一切险种 </w:t>
      </w:r>
      <w:r>
        <w:rPr>
          <w:rFonts w:hint="eastAsia" w:ascii="宋体" w:hAnsi="宋体" w:eastAsia="宋体" w:cs="宋体"/>
          <w:color w:val="auto"/>
          <w:sz w:val="24"/>
          <w:highlight w:val="none"/>
        </w:rPr>
        <w:t>。</w:t>
      </w:r>
    </w:p>
    <w:p w14:paraId="462BDA6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45、担保</w:t>
      </w:r>
    </w:p>
    <w:p w14:paraId="4D8CB41B">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本工程双方约定担保事项如下：</w:t>
      </w:r>
    </w:p>
    <w:p w14:paraId="5ABB2B61">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（1）发包人向承包人提供支付担保，担保方式为：____________________，担保金额：______________________，担保有效期：________________________。</w:t>
      </w:r>
    </w:p>
    <w:p w14:paraId="06408A7C">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（2）承包人向发包人提供履约担保，担保方式为：___________________，担保金额：____________________，担保有效期：______________________。</w:t>
      </w:r>
    </w:p>
    <w:p w14:paraId="71AF6C54">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（3）双方约定的其他担保事项：</w:t>
      </w:r>
      <w:r>
        <w:rPr>
          <w:rFonts w:hint="eastAsia" w:ascii="宋体" w:hAnsi="宋体" w:eastAsia="宋体" w:cs="宋体"/>
          <w:color w:val="auto"/>
          <w:sz w:val="24"/>
          <w:highlight w:val="none"/>
          <w:u w:val="single"/>
        </w:rPr>
        <w:t xml:space="preserve">  无  。</w:t>
      </w:r>
    </w:p>
    <w:p w14:paraId="405FE21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50、合同份数</w:t>
      </w:r>
    </w:p>
    <w:p w14:paraId="799BAA9A">
      <w:pPr>
        <w:widowControl/>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50.</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双方约定合同副本份数：</w:t>
      </w:r>
      <w:r>
        <w:rPr>
          <w:rFonts w:hint="eastAsia" w:ascii="宋体" w:hAnsi="宋体" w:eastAsia="宋体" w:cs="宋体"/>
          <w:color w:val="auto"/>
          <w:sz w:val="24"/>
          <w:highlight w:val="none"/>
          <w:u w:val="single"/>
        </w:rPr>
        <w:t xml:space="preserve">  正本贰份，副本  份  </w:t>
      </w:r>
    </w:p>
    <w:p w14:paraId="7D82BCAB">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51、补充条款</w:t>
      </w:r>
    </w:p>
    <w:p w14:paraId="415D75E7">
      <w:pPr>
        <w:pStyle w:val="22"/>
        <w:spacing w:before="0" w:beforeAutospacing="0" w:after="0" w:afterAutospacing="0" w:line="400" w:lineRule="auto"/>
        <w:ind w:firstLine="480" w:firstLineChars="200"/>
        <w:jc w:val="both"/>
        <w:rPr>
          <w:rFonts w:hint="eastAsia" w:ascii="宋体" w:hAnsi="宋体" w:eastAsia="宋体" w:cs="宋体"/>
          <w:color w:val="auto"/>
          <w:highlight w:val="none"/>
        </w:rPr>
        <w:sectPr>
          <w:footerReference r:id="rId5" w:type="default"/>
          <w:pgSz w:w="11849" w:h="16781"/>
          <w:pgMar w:top="1440" w:right="1800" w:bottom="1440" w:left="1800" w:header="720" w:footer="720" w:gutter="0"/>
          <w:pgNumType w:fmt="decimal" w:start="1"/>
          <w:cols w:space="0" w:num="1"/>
          <w:rtlGutter w:val="0"/>
          <w:docGrid w:linePitch="0" w:charSpace="0"/>
        </w:sectPr>
      </w:pPr>
      <w:r>
        <w:rPr>
          <w:rFonts w:hint="eastAsia" w:ascii="宋体" w:hAnsi="宋体" w:eastAsia="宋体" w:cs="宋体"/>
          <w:color w:val="auto"/>
          <w:highlight w:val="none"/>
        </w:rPr>
        <w:t>附件3：工程质量保修书</w:t>
      </w:r>
    </w:p>
    <w:p w14:paraId="30C1059A">
      <w:pPr>
        <w:pStyle w:val="22"/>
        <w:spacing w:before="0" w:beforeAutospacing="0" w:after="0" w:afterAutospacing="0" w:line="300" w:lineRule="auto"/>
        <w:jc w:val="both"/>
        <w:rPr>
          <w:rFonts w:hint="eastAsia" w:ascii="宋体" w:hAnsi="宋体" w:eastAsia="宋体" w:cs="宋体"/>
          <w:color w:val="auto"/>
          <w:sz w:val="21"/>
          <w:szCs w:val="18"/>
          <w:highlight w:val="none"/>
        </w:rPr>
      </w:pPr>
    </w:p>
    <w:p w14:paraId="58C82ABC">
      <w:pPr>
        <w:pStyle w:val="22"/>
        <w:spacing w:before="0" w:beforeAutospacing="0" w:after="0" w:afterAutospacing="0" w:line="300" w:lineRule="auto"/>
        <w:jc w:val="both"/>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附件1：</w:t>
      </w:r>
    </w:p>
    <w:p w14:paraId="4F8E331E">
      <w:pPr>
        <w:pStyle w:val="22"/>
        <w:spacing w:before="0" w:beforeAutospacing="0" w:after="0" w:afterAutospacing="0" w:line="300" w:lineRule="auto"/>
        <w:jc w:val="center"/>
        <w:rPr>
          <w:rFonts w:hint="eastAsia" w:ascii="宋体" w:hAnsi="宋体" w:eastAsia="宋体" w:cs="宋体"/>
          <w:b/>
          <w:bCs/>
          <w:color w:val="auto"/>
          <w:sz w:val="36"/>
          <w:szCs w:val="18"/>
          <w:highlight w:val="none"/>
        </w:rPr>
      </w:pPr>
      <w:r>
        <w:rPr>
          <w:rFonts w:hint="eastAsia" w:ascii="宋体" w:hAnsi="宋体" w:eastAsia="宋体" w:cs="宋体"/>
          <w:b/>
          <w:bCs/>
          <w:color w:val="auto"/>
          <w:sz w:val="36"/>
          <w:szCs w:val="18"/>
          <w:highlight w:val="none"/>
        </w:rPr>
        <w:t>承包人承揽工程项目一览表</w:t>
      </w:r>
    </w:p>
    <w:tbl>
      <w:tblPr>
        <w:tblStyle w:val="26"/>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639"/>
        <w:gridCol w:w="640"/>
        <w:gridCol w:w="644"/>
        <w:gridCol w:w="470"/>
        <w:gridCol w:w="898"/>
        <w:gridCol w:w="1312"/>
        <w:gridCol w:w="1048"/>
        <w:gridCol w:w="769"/>
        <w:gridCol w:w="749"/>
      </w:tblGrid>
      <w:tr w14:paraId="039A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06D8E7FE">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单位工程名称</w:t>
            </w:r>
          </w:p>
        </w:tc>
        <w:tc>
          <w:tcPr>
            <w:tcW w:w="378" w:type="pct"/>
            <w:noWrap w:val="0"/>
            <w:vAlign w:val="center"/>
          </w:tcPr>
          <w:p w14:paraId="69C7326C">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建设</w:t>
            </w:r>
          </w:p>
          <w:p w14:paraId="4AE530C0">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规模</w:t>
            </w:r>
          </w:p>
        </w:tc>
        <w:tc>
          <w:tcPr>
            <w:tcW w:w="379" w:type="pct"/>
            <w:noWrap w:val="0"/>
            <w:vAlign w:val="center"/>
          </w:tcPr>
          <w:p w14:paraId="761FBDD3">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建筑</w:t>
            </w:r>
          </w:p>
          <w:p w14:paraId="33F49094">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面积</w:t>
            </w:r>
          </w:p>
        </w:tc>
        <w:tc>
          <w:tcPr>
            <w:tcW w:w="381" w:type="pct"/>
            <w:noWrap w:val="0"/>
            <w:vAlign w:val="center"/>
          </w:tcPr>
          <w:p w14:paraId="7CA0CF9B">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结构</w:t>
            </w:r>
          </w:p>
        </w:tc>
        <w:tc>
          <w:tcPr>
            <w:tcW w:w="278" w:type="pct"/>
            <w:noWrap w:val="0"/>
            <w:vAlign w:val="center"/>
          </w:tcPr>
          <w:p w14:paraId="6DFD60CC">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层数</w:t>
            </w:r>
          </w:p>
        </w:tc>
        <w:tc>
          <w:tcPr>
            <w:tcW w:w="531" w:type="pct"/>
            <w:noWrap w:val="0"/>
            <w:vAlign w:val="center"/>
          </w:tcPr>
          <w:p w14:paraId="084DDBD1">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跨度</w:t>
            </w:r>
          </w:p>
          <w:p w14:paraId="263477B6">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（米）</w:t>
            </w:r>
          </w:p>
        </w:tc>
        <w:tc>
          <w:tcPr>
            <w:tcW w:w="776" w:type="pct"/>
            <w:noWrap w:val="0"/>
            <w:vAlign w:val="center"/>
          </w:tcPr>
          <w:p w14:paraId="6262F9F4">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设备安装内容</w:t>
            </w:r>
          </w:p>
        </w:tc>
        <w:tc>
          <w:tcPr>
            <w:tcW w:w="620" w:type="pct"/>
            <w:noWrap w:val="0"/>
            <w:vAlign w:val="center"/>
          </w:tcPr>
          <w:p w14:paraId="79F899E6">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工程造价（元）</w:t>
            </w:r>
          </w:p>
        </w:tc>
        <w:tc>
          <w:tcPr>
            <w:tcW w:w="455" w:type="pct"/>
            <w:noWrap w:val="0"/>
            <w:vAlign w:val="center"/>
          </w:tcPr>
          <w:p w14:paraId="27905AC9">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开工</w:t>
            </w:r>
          </w:p>
          <w:p w14:paraId="0A0B02B9">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日期</w:t>
            </w:r>
          </w:p>
        </w:tc>
        <w:tc>
          <w:tcPr>
            <w:tcW w:w="443" w:type="pct"/>
            <w:noWrap w:val="0"/>
            <w:vAlign w:val="center"/>
          </w:tcPr>
          <w:p w14:paraId="255134E8">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竣工</w:t>
            </w:r>
          </w:p>
          <w:p w14:paraId="552535F1">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日期</w:t>
            </w:r>
          </w:p>
        </w:tc>
      </w:tr>
      <w:tr w14:paraId="2295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59676557">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6506B5BB">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403DF24D">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5A552429">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387DC9C9">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35380B3A">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0606D94A">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1C0D4A78">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2F481CEF">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33A5694F">
            <w:pPr>
              <w:pStyle w:val="22"/>
              <w:spacing w:before="0" w:beforeAutospacing="0" w:after="0" w:afterAutospacing="0"/>
              <w:jc w:val="center"/>
              <w:rPr>
                <w:rFonts w:hint="eastAsia" w:ascii="宋体" w:hAnsi="宋体" w:eastAsia="宋体" w:cs="宋体"/>
                <w:color w:val="auto"/>
                <w:sz w:val="21"/>
                <w:szCs w:val="18"/>
                <w:highlight w:val="none"/>
              </w:rPr>
            </w:pPr>
          </w:p>
        </w:tc>
      </w:tr>
      <w:tr w14:paraId="2A94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0AAE3FE0">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01E04E18">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442FAC64">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60604FD2">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38DF46DE">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5D4FCD4E">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7A79F561">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49619204">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384F8833">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1C63D6EE">
            <w:pPr>
              <w:pStyle w:val="22"/>
              <w:spacing w:before="0" w:beforeAutospacing="0" w:after="0" w:afterAutospacing="0"/>
              <w:jc w:val="center"/>
              <w:rPr>
                <w:rFonts w:hint="eastAsia" w:ascii="宋体" w:hAnsi="宋体" w:eastAsia="宋体" w:cs="宋体"/>
                <w:color w:val="auto"/>
                <w:sz w:val="21"/>
                <w:szCs w:val="18"/>
                <w:highlight w:val="none"/>
              </w:rPr>
            </w:pPr>
          </w:p>
        </w:tc>
      </w:tr>
      <w:tr w14:paraId="4957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7F431E4B">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6288FA7B">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6B0191AD">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28B3B8DE">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2125F79B">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759E1250">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067EC1D2">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19224C7E">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5DB9D069">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21801A05">
            <w:pPr>
              <w:pStyle w:val="22"/>
              <w:spacing w:before="0" w:beforeAutospacing="0" w:after="0" w:afterAutospacing="0"/>
              <w:jc w:val="center"/>
              <w:rPr>
                <w:rFonts w:hint="eastAsia" w:ascii="宋体" w:hAnsi="宋体" w:eastAsia="宋体" w:cs="宋体"/>
                <w:color w:val="auto"/>
                <w:sz w:val="21"/>
                <w:szCs w:val="18"/>
                <w:highlight w:val="none"/>
              </w:rPr>
            </w:pPr>
          </w:p>
        </w:tc>
      </w:tr>
      <w:tr w14:paraId="6435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327AA9BF">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07BC7719">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5AFFBD30">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5019DC07">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74624A69">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2F829321">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45922C29">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10086B2F">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1C0707EC">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2A81CEC1">
            <w:pPr>
              <w:pStyle w:val="22"/>
              <w:spacing w:before="0" w:beforeAutospacing="0" w:after="0" w:afterAutospacing="0"/>
              <w:jc w:val="center"/>
              <w:rPr>
                <w:rFonts w:hint="eastAsia" w:ascii="宋体" w:hAnsi="宋体" w:eastAsia="宋体" w:cs="宋体"/>
                <w:color w:val="auto"/>
                <w:sz w:val="21"/>
                <w:szCs w:val="18"/>
                <w:highlight w:val="none"/>
              </w:rPr>
            </w:pPr>
          </w:p>
        </w:tc>
      </w:tr>
      <w:tr w14:paraId="136D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6B768374">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4F7141B0">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39BF8F81">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7C9C94A1">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5954480D">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7940A741">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57D2167F">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6E3BE35E">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51D96E78">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0608EB6A">
            <w:pPr>
              <w:pStyle w:val="22"/>
              <w:spacing w:before="0" w:beforeAutospacing="0" w:after="0" w:afterAutospacing="0"/>
              <w:jc w:val="center"/>
              <w:rPr>
                <w:rFonts w:hint="eastAsia" w:ascii="宋体" w:hAnsi="宋体" w:eastAsia="宋体" w:cs="宋体"/>
                <w:color w:val="auto"/>
                <w:sz w:val="21"/>
                <w:szCs w:val="18"/>
                <w:highlight w:val="none"/>
              </w:rPr>
            </w:pPr>
          </w:p>
        </w:tc>
      </w:tr>
      <w:tr w14:paraId="2C94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4587DA0F">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59E84B78">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6A46EDE3">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0D4EFF78">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59F8F838">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02C48E68">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423AC844">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13C39850">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5606C657">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77A83976">
            <w:pPr>
              <w:pStyle w:val="22"/>
              <w:spacing w:before="0" w:beforeAutospacing="0" w:after="0" w:afterAutospacing="0"/>
              <w:jc w:val="center"/>
              <w:rPr>
                <w:rFonts w:hint="eastAsia" w:ascii="宋体" w:hAnsi="宋体" w:eastAsia="宋体" w:cs="宋体"/>
                <w:color w:val="auto"/>
                <w:sz w:val="21"/>
                <w:szCs w:val="18"/>
                <w:highlight w:val="none"/>
              </w:rPr>
            </w:pPr>
          </w:p>
        </w:tc>
      </w:tr>
      <w:tr w14:paraId="5F56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47D3005C">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3106521E">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42FDDE1D">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5FC581F2">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68025112">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3A8BDDCF">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5CCC8889">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7829E4B8">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1A8B52B5">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05FCCDD0">
            <w:pPr>
              <w:pStyle w:val="22"/>
              <w:spacing w:before="0" w:beforeAutospacing="0" w:after="0" w:afterAutospacing="0"/>
              <w:jc w:val="center"/>
              <w:rPr>
                <w:rFonts w:hint="eastAsia" w:ascii="宋体" w:hAnsi="宋体" w:eastAsia="宋体" w:cs="宋体"/>
                <w:color w:val="auto"/>
                <w:sz w:val="21"/>
                <w:szCs w:val="18"/>
                <w:highlight w:val="none"/>
              </w:rPr>
            </w:pPr>
          </w:p>
        </w:tc>
      </w:tr>
      <w:tr w14:paraId="65E8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1E8C43D9">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798EC9E5">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0E76820E">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4E2DE35B">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0EBAF83B">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6A471081">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349ECA65">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23D68200">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6AB86FDE">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30ADFD1A">
            <w:pPr>
              <w:pStyle w:val="22"/>
              <w:spacing w:before="0" w:beforeAutospacing="0" w:after="0" w:afterAutospacing="0"/>
              <w:jc w:val="center"/>
              <w:rPr>
                <w:rFonts w:hint="eastAsia" w:ascii="宋体" w:hAnsi="宋体" w:eastAsia="宋体" w:cs="宋体"/>
                <w:color w:val="auto"/>
                <w:sz w:val="21"/>
                <w:szCs w:val="18"/>
                <w:highlight w:val="none"/>
              </w:rPr>
            </w:pPr>
          </w:p>
        </w:tc>
      </w:tr>
      <w:tr w14:paraId="05B6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17269D0D">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05882443">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3E94CE3E">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205C3DCD">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5784CB73">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1EBDCC15">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4848180A">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3E003331">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5D79F5DD">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167E9F54">
            <w:pPr>
              <w:pStyle w:val="22"/>
              <w:spacing w:before="0" w:beforeAutospacing="0" w:after="0" w:afterAutospacing="0"/>
              <w:jc w:val="center"/>
              <w:rPr>
                <w:rFonts w:hint="eastAsia" w:ascii="宋体" w:hAnsi="宋体" w:eastAsia="宋体" w:cs="宋体"/>
                <w:color w:val="auto"/>
                <w:sz w:val="21"/>
                <w:szCs w:val="18"/>
                <w:highlight w:val="none"/>
              </w:rPr>
            </w:pPr>
          </w:p>
        </w:tc>
      </w:tr>
      <w:tr w14:paraId="0C67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14:paraId="3C117669">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5037E4B3">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13C7C9D4">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5E1F58D9">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6E248590">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683F3BFD">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796AD106">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20186B56">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7EE834B8">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265BA510">
            <w:pPr>
              <w:pStyle w:val="22"/>
              <w:spacing w:before="0" w:beforeAutospacing="0" w:after="0" w:afterAutospacing="0"/>
              <w:jc w:val="center"/>
              <w:rPr>
                <w:rFonts w:hint="eastAsia" w:ascii="宋体" w:hAnsi="宋体" w:eastAsia="宋体" w:cs="宋体"/>
                <w:color w:val="auto"/>
                <w:sz w:val="21"/>
                <w:szCs w:val="18"/>
                <w:highlight w:val="none"/>
              </w:rPr>
            </w:pPr>
          </w:p>
        </w:tc>
      </w:tr>
      <w:tr w14:paraId="529F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55" w:type="pct"/>
            <w:noWrap w:val="0"/>
            <w:vAlign w:val="center"/>
          </w:tcPr>
          <w:p w14:paraId="3FACB90F">
            <w:pPr>
              <w:pStyle w:val="22"/>
              <w:spacing w:before="0" w:beforeAutospacing="0" w:after="0" w:afterAutospacing="0"/>
              <w:jc w:val="center"/>
              <w:rPr>
                <w:rFonts w:hint="eastAsia" w:ascii="宋体" w:hAnsi="宋体" w:eastAsia="宋体" w:cs="宋体"/>
                <w:color w:val="auto"/>
                <w:sz w:val="21"/>
                <w:szCs w:val="18"/>
                <w:highlight w:val="none"/>
              </w:rPr>
            </w:pPr>
          </w:p>
        </w:tc>
        <w:tc>
          <w:tcPr>
            <w:tcW w:w="378" w:type="pct"/>
            <w:noWrap w:val="0"/>
            <w:vAlign w:val="center"/>
          </w:tcPr>
          <w:p w14:paraId="1FE4818E">
            <w:pPr>
              <w:pStyle w:val="22"/>
              <w:spacing w:before="0" w:beforeAutospacing="0" w:after="0" w:afterAutospacing="0"/>
              <w:jc w:val="center"/>
              <w:rPr>
                <w:rFonts w:hint="eastAsia" w:ascii="宋体" w:hAnsi="宋体" w:eastAsia="宋体" w:cs="宋体"/>
                <w:color w:val="auto"/>
                <w:sz w:val="21"/>
                <w:szCs w:val="18"/>
                <w:highlight w:val="none"/>
              </w:rPr>
            </w:pPr>
          </w:p>
        </w:tc>
        <w:tc>
          <w:tcPr>
            <w:tcW w:w="379" w:type="pct"/>
            <w:noWrap w:val="0"/>
            <w:vAlign w:val="center"/>
          </w:tcPr>
          <w:p w14:paraId="20846804">
            <w:pPr>
              <w:pStyle w:val="22"/>
              <w:spacing w:before="0" w:beforeAutospacing="0" w:after="0" w:afterAutospacing="0"/>
              <w:jc w:val="center"/>
              <w:rPr>
                <w:rFonts w:hint="eastAsia" w:ascii="宋体" w:hAnsi="宋体" w:eastAsia="宋体" w:cs="宋体"/>
                <w:color w:val="auto"/>
                <w:sz w:val="21"/>
                <w:szCs w:val="18"/>
                <w:highlight w:val="none"/>
              </w:rPr>
            </w:pPr>
          </w:p>
        </w:tc>
        <w:tc>
          <w:tcPr>
            <w:tcW w:w="381" w:type="pct"/>
            <w:noWrap w:val="0"/>
            <w:vAlign w:val="center"/>
          </w:tcPr>
          <w:p w14:paraId="209C7BF3">
            <w:pPr>
              <w:pStyle w:val="22"/>
              <w:spacing w:before="0" w:beforeAutospacing="0" w:after="0" w:afterAutospacing="0"/>
              <w:jc w:val="center"/>
              <w:rPr>
                <w:rFonts w:hint="eastAsia" w:ascii="宋体" w:hAnsi="宋体" w:eastAsia="宋体" w:cs="宋体"/>
                <w:color w:val="auto"/>
                <w:sz w:val="21"/>
                <w:szCs w:val="18"/>
                <w:highlight w:val="none"/>
              </w:rPr>
            </w:pPr>
          </w:p>
        </w:tc>
        <w:tc>
          <w:tcPr>
            <w:tcW w:w="278" w:type="pct"/>
            <w:noWrap w:val="0"/>
            <w:vAlign w:val="center"/>
          </w:tcPr>
          <w:p w14:paraId="0A66BB6A">
            <w:pPr>
              <w:pStyle w:val="22"/>
              <w:spacing w:before="0" w:beforeAutospacing="0" w:after="0" w:afterAutospacing="0"/>
              <w:jc w:val="center"/>
              <w:rPr>
                <w:rFonts w:hint="eastAsia" w:ascii="宋体" w:hAnsi="宋体" w:eastAsia="宋体" w:cs="宋体"/>
                <w:color w:val="auto"/>
                <w:sz w:val="21"/>
                <w:szCs w:val="18"/>
                <w:highlight w:val="none"/>
              </w:rPr>
            </w:pPr>
          </w:p>
        </w:tc>
        <w:tc>
          <w:tcPr>
            <w:tcW w:w="531" w:type="pct"/>
            <w:noWrap w:val="0"/>
            <w:vAlign w:val="center"/>
          </w:tcPr>
          <w:p w14:paraId="6CEB8EA8">
            <w:pPr>
              <w:pStyle w:val="22"/>
              <w:spacing w:before="0" w:beforeAutospacing="0" w:after="0" w:afterAutospacing="0"/>
              <w:jc w:val="center"/>
              <w:rPr>
                <w:rFonts w:hint="eastAsia" w:ascii="宋体" w:hAnsi="宋体" w:eastAsia="宋体" w:cs="宋体"/>
                <w:color w:val="auto"/>
                <w:sz w:val="21"/>
                <w:szCs w:val="18"/>
                <w:highlight w:val="none"/>
              </w:rPr>
            </w:pPr>
          </w:p>
        </w:tc>
        <w:tc>
          <w:tcPr>
            <w:tcW w:w="776" w:type="pct"/>
            <w:noWrap w:val="0"/>
            <w:vAlign w:val="center"/>
          </w:tcPr>
          <w:p w14:paraId="13DE8228">
            <w:pPr>
              <w:pStyle w:val="22"/>
              <w:spacing w:before="0" w:beforeAutospacing="0" w:after="0" w:afterAutospacing="0"/>
              <w:jc w:val="center"/>
              <w:rPr>
                <w:rFonts w:hint="eastAsia" w:ascii="宋体" w:hAnsi="宋体" w:eastAsia="宋体" w:cs="宋体"/>
                <w:color w:val="auto"/>
                <w:sz w:val="21"/>
                <w:szCs w:val="18"/>
                <w:highlight w:val="none"/>
              </w:rPr>
            </w:pPr>
          </w:p>
        </w:tc>
        <w:tc>
          <w:tcPr>
            <w:tcW w:w="620" w:type="pct"/>
            <w:noWrap w:val="0"/>
            <w:vAlign w:val="center"/>
          </w:tcPr>
          <w:p w14:paraId="6B0514EF">
            <w:pPr>
              <w:pStyle w:val="22"/>
              <w:spacing w:before="0" w:beforeAutospacing="0" w:after="0" w:afterAutospacing="0"/>
              <w:jc w:val="center"/>
              <w:rPr>
                <w:rFonts w:hint="eastAsia" w:ascii="宋体" w:hAnsi="宋体" w:eastAsia="宋体" w:cs="宋体"/>
                <w:color w:val="auto"/>
                <w:sz w:val="21"/>
                <w:szCs w:val="18"/>
                <w:highlight w:val="none"/>
              </w:rPr>
            </w:pPr>
          </w:p>
        </w:tc>
        <w:tc>
          <w:tcPr>
            <w:tcW w:w="455" w:type="pct"/>
            <w:noWrap w:val="0"/>
            <w:vAlign w:val="center"/>
          </w:tcPr>
          <w:p w14:paraId="2C82A39D">
            <w:pPr>
              <w:pStyle w:val="22"/>
              <w:spacing w:before="0" w:beforeAutospacing="0" w:after="0" w:afterAutospacing="0"/>
              <w:jc w:val="center"/>
              <w:rPr>
                <w:rFonts w:hint="eastAsia" w:ascii="宋体" w:hAnsi="宋体" w:eastAsia="宋体" w:cs="宋体"/>
                <w:color w:val="auto"/>
                <w:sz w:val="21"/>
                <w:szCs w:val="18"/>
                <w:highlight w:val="none"/>
              </w:rPr>
            </w:pPr>
          </w:p>
        </w:tc>
        <w:tc>
          <w:tcPr>
            <w:tcW w:w="443" w:type="pct"/>
            <w:noWrap w:val="0"/>
            <w:vAlign w:val="center"/>
          </w:tcPr>
          <w:p w14:paraId="75523B0B">
            <w:pPr>
              <w:pStyle w:val="22"/>
              <w:spacing w:before="0" w:beforeAutospacing="0" w:after="0" w:afterAutospacing="0"/>
              <w:jc w:val="center"/>
              <w:rPr>
                <w:rFonts w:hint="eastAsia" w:ascii="宋体" w:hAnsi="宋体" w:eastAsia="宋体" w:cs="宋体"/>
                <w:color w:val="auto"/>
                <w:sz w:val="21"/>
                <w:szCs w:val="18"/>
                <w:highlight w:val="none"/>
              </w:rPr>
            </w:pPr>
          </w:p>
        </w:tc>
      </w:tr>
    </w:tbl>
    <w:p w14:paraId="74FFA8C1">
      <w:pPr>
        <w:pStyle w:val="22"/>
        <w:spacing w:before="0" w:beforeAutospacing="0" w:after="0" w:afterAutospacing="0" w:line="300" w:lineRule="auto"/>
        <w:jc w:val="both"/>
        <w:rPr>
          <w:rFonts w:hint="eastAsia" w:ascii="宋体" w:hAnsi="宋体" w:eastAsia="宋体" w:cs="宋体"/>
          <w:color w:val="auto"/>
          <w:sz w:val="21"/>
          <w:szCs w:val="18"/>
          <w:highlight w:val="none"/>
        </w:rPr>
        <w:sectPr>
          <w:headerReference r:id="rId6" w:type="first"/>
          <w:pgSz w:w="11849" w:h="16781"/>
          <w:pgMar w:top="1440" w:right="1800" w:bottom="1440" w:left="1800" w:header="720" w:footer="720" w:gutter="0"/>
          <w:pgNumType w:fmt="decimal"/>
          <w:cols w:space="0" w:num="1"/>
          <w:rtlGutter w:val="0"/>
          <w:docGrid w:linePitch="0" w:charSpace="0"/>
        </w:sectPr>
      </w:pPr>
    </w:p>
    <w:p w14:paraId="6F4F61F4">
      <w:pPr>
        <w:pStyle w:val="22"/>
        <w:spacing w:before="0" w:beforeAutospacing="0" w:after="0" w:afterAutospacing="0" w:line="300" w:lineRule="auto"/>
        <w:jc w:val="both"/>
        <w:rPr>
          <w:rFonts w:hint="eastAsia" w:ascii="宋体" w:hAnsi="宋体" w:eastAsia="宋体" w:cs="宋体"/>
          <w:color w:val="auto"/>
          <w:sz w:val="21"/>
          <w:szCs w:val="18"/>
          <w:highlight w:val="none"/>
        </w:rPr>
      </w:pPr>
    </w:p>
    <w:p w14:paraId="68D0E318">
      <w:pPr>
        <w:pStyle w:val="22"/>
        <w:spacing w:before="0" w:beforeAutospacing="0" w:after="0" w:afterAutospacing="0" w:line="300" w:lineRule="auto"/>
        <w:jc w:val="both"/>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附件2：</w:t>
      </w:r>
    </w:p>
    <w:p w14:paraId="5C9F18E9">
      <w:pPr>
        <w:pStyle w:val="22"/>
        <w:spacing w:before="0" w:beforeAutospacing="0" w:after="0" w:afterAutospacing="0" w:line="300" w:lineRule="auto"/>
        <w:jc w:val="center"/>
        <w:rPr>
          <w:rFonts w:hint="eastAsia" w:ascii="宋体" w:hAnsi="宋体" w:eastAsia="宋体" w:cs="宋体"/>
          <w:bCs/>
          <w:color w:val="auto"/>
          <w:sz w:val="36"/>
          <w:szCs w:val="18"/>
          <w:highlight w:val="none"/>
        </w:rPr>
      </w:pPr>
      <w:r>
        <w:rPr>
          <w:rFonts w:hint="eastAsia" w:ascii="宋体" w:hAnsi="宋体" w:eastAsia="宋体" w:cs="宋体"/>
          <w:bCs/>
          <w:color w:val="auto"/>
          <w:sz w:val="36"/>
          <w:szCs w:val="18"/>
          <w:highlight w:val="none"/>
        </w:rPr>
        <w:t>发包供应材料设备一览表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2406"/>
        <w:gridCol w:w="712"/>
        <w:gridCol w:w="426"/>
        <w:gridCol w:w="619"/>
        <w:gridCol w:w="632"/>
        <w:gridCol w:w="886"/>
        <w:gridCol w:w="886"/>
        <w:gridCol w:w="886"/>
        <w:gridCol w:w="886"/>
      </w:tblGrid>
      <w:tr w14:paraId="009C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5B675807">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序号</w:t>
            </w:r>
          </w:p>
        </w:tc>
        <w:tc>
          <w:tcPr>
            <w:tcW w:w="2406" w:type="dxa"/>
            <w:noWrap w:val="0"/>
            <w:vAlign w:val="center"/>
          </w:tcPr>
          <w:p w14:paraId="4D2AABBB">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材料设备品种</w:t>
            </w:r>
          </w:p>
        </w:tc>
        <w:tc>
          <w:tcPr>
            <w:tcW w:w="712" w:type="dxa"/>
            <w:noWrap w:val="0"/>
            <w:vAlign w:val="center"/>
          </w:tcPr>
          <w:p w14:paraId="7F8E7C03">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规格</w:t>
            </w:r>
          </w:p>
          <w:p w14:paraId="1AEAB71A">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型号</w:t>
            </w:r>
          </w:p>
        </w:tc>
        <w:tc>
          <w:tcPr>
            <w:tcW w:w="426" w:type="dxa"/>
            <w:noWrap w:val="0"/>
            <w:vAlign w:val="center"/>
          </w:tcPr>
          <w:p w14:paraId="7280A7AF">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单位</w:t>
            </w:r>
          </w:p>
        </w:tc>
        <w:tc>
          <w:tcPr>
            <w:tcW w:w="619" w:type="dxa"/>
            <w:noWrap w:val="0"/>
            <w:vAlign w:val="center"/>
          </w:tcPr>
          <w:p w14:paraId="56D5220E">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数量</w:t>
            </w:r>
          </w:p>
        </w:tc>
        <w:tc>
          <w:tcPr>
            <w:tcW w:w="632" w:type="dxa"/>
            <w:noWrap w:val="0"/>
            <w:vAlign w:val="center"/>
          </w:tcPr>
          <w:p w14:paraId="5406F8F9">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单价</w:t>
            </w:r>
          </w:p>
        </w:tc>
        <w:tc>
          <w:tcPr>
            <w:tcW w:w="886" w:type="dxa"/>
            <w:noWrap w:val="0"/>
            <w:vAlign w:val="center"/>
          </w:tcPr>
          <w:p w14:paraId="3E03F51D">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质量</w:t>
            </w:r>
          </w:p>
          <w:p w14:paraId="25261188">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等级</w:t>
            </w:r>
          </w:p>
        </w:tc>
        <w:tc>
          <w:tcPr>
            <w:tcW w:w="886" w:type="dxa"/>
            <w:noWrap w:val="0"/>
            <w:vAlign w:val="center"/>
          </w:tcPr>
          <w:p w14:paraId="446F943D">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供应</w:t>
            </w:r>
          </w:p>
          <w:p w14:paraId="369BDD2D">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时间</w:t>
            </w:r>
          </w:p>
        </w:tc>
        <w:tc>
          <w:tcPr>
            <w:tcW w:w="886" w:type="dxa"/>
            <w:noWrap w:val="0"/>
            <w:vAlign w:val="center"/>
          </w:tcPr>
          <w:p w14:paraId="7A44F7FB">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送达</w:t>
            </w:r>
          </w:p>
          <w:p w14:paraId="7F77A3C1">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地点</w:t>
            </w:r>
          </w:p>
        </w:tc>
        <w:tc>
          <w:tcPr>
            <w:tcW w:w="886" w:type="dxa"/>
            <w:noWrap w:val="0"/>
            <w:vAlign w:val="center"/>
          </w:tcPr>
          <w:p w14:paraId="02C11F2D">
            <w:pPr>
              <w:pStyle w:val="22"/>
              <w:spacing w:before="0" w:beforeAutospacing="0" w:after="0" w:afterAutospacing="0"/>
              <w:jc w:val="center"/>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备注</w:t>
            </w:r>
          </w:p>
        </w:tc>
      </w:tr>
      <w:tr w14:paraId="4971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51573F5A">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61A279D7">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5E6F660E">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66806D6F">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477A234E">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34EBE8BF">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F1628DD">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D1190D9">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397178F">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E7543B6">
            <w:pPr>
              <w:pStyle w:val="22"/>
              <w:spacing w:before="0" w:beforeAutospacing="0" w:after="0" w:afterAutospacing="0"/>
              <w:jc w:val="center"/>
              <w:rPr>
                <w:rFonts w:hint="eastAsia" w:ascii="宋体" w:hAnsi="宋体" w:eastAsia="宋体" w:cs="宋体"/>
                <w:color w:val="auto"/>
                <w:sz w:val="21"/>
                <w:szCs w:val="18"/>
                <w:highlight w:val="none"/>
              </w:rPr>
            </w:pPr>
          </w:p>
        </w:tc>
      </w:tr>
      <w:tr w14:paraId="584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1F329FBC">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19732017">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33186A3E">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68D93C9E">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7399A1FD">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10D1EE0D">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066FDA5">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1A2CF59">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DC41B91">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FD0D6F8">
            <w:pPr>
              <w:pStyle w:val="22"/>
              <w:spacing w:before="0" w:beforeAutospacing="0" w:after="0" w:afterAutospacing="0"/>
              <w:jc w:val="center"/>
              <w:rPr>
                <w:rFonts w:hint="eastAsia" w:ascii="宋体" w:hAnsi="宋体" w:eastAsia="宋体" w:cs="宋体"/>
                <w:color w:val="auto"/>
                <w:sz w:val="21"/>
                <w:szCs w:val="18"/>
                <w:highlight w:val="none"/>
              </w:rPr>
            </w:pPr>
          </w:p>
        </w:tc>
      </w:tr>
      <w:tr w14:paraId="358B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25493813">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667A1A9E">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2083DD21">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27734CC4">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2F11C744">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03723A8B">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71A8162">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F4B6DF5">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C4C2C62">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2FBB4A1">
            <w:pPr>
              <w:pStyle w:val="22"/>
              <w:spacing w:before="0" w:beforeAutospacing="0" w:after="0" w:afterAutospacing="0"/>
              <w:jc w:val="center"/>
              <w:rPr>
                <w:rFonts w:hint="eastAsia" w:ascii="宋体" w:hAnsi="宋体" w:eastAsia="宋体" w:cs="宋体"/>
                <w:color w:val="auto"/>
                <w:sz w:val="21"/>
                <w:szCs w:val="18"/>
                <w:highlight w:val="none"/>
              </w:rPr>
            </w:pPr>
          </w:p>
        </w:tc>
      </w:tr>
      <w:tr w14:paraId="3B97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66E7B23A">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31D7C95B">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00782034">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0E25D15E">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7D7CC24B">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70A68D1C">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60A5469">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EAF51C4">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405F6AB">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353A31F">
            <w:pPr>
              <w:pStyle w:val="22"/>
              <w:spacing w:before="0" w:beforeAutospacing="0" w:after="0" w:afterAutospacing="0"/>
              <w:jc w:val="center"/>
              <w:rPr>
                <w:rFonts w:hint="eastAsia" w:ascii="宋体" w:hAnsi="宋体" w:eastAsia="宋体" w:cs="宋体"/>
                <w:color w:val="auto"/>
                <w:sz w:val="21"/>
                <w:szCs w:val="18"/>
                <w:highlight w:val="none"/>
              </w:rPr>
            </w:pPr>
          </w:p>
        </w:tc>
      </w:tr>
      <w:tr w14:paraId="7DF3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2BEC8F7A">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0465D0F0">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4EF6B904">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27E23488">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43959707">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00A4B706">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764278A">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D40860E">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0099FD8">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EFEE6DF">
            <w:pPr>
              <w:pStyle w:val="22"/>
              <w:spacing w:before="0" w:beforeAutospacing="0" w:after="0" w:afterAutospacing="0"/>
              <w:jc w:val="center"/>
              <w:rPr>
                <w:rFonts w:hint="eastAsia" w:ascii="宋体" w:hAnsi="宋体" w:eastAsia="宋体" w:cs="宋体"/>
                <w:color w:val="auto"/>
                <w:sz w:val="21"/>
                <w:szCs w:val="18"/>
                <w:highlight w:val="none"/>
              </w:rPr>
            </w:pPr>
          </w:p>
        </w:tc>
      </w:tr>
      <w:tr w14:paraId="0F74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2C6E6EDF">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7CA6F5D5">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7B7DA3AC">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4A338355">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61906A37">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14A3608C">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C2D2071">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88AC95D">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0FC8D13">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4C2ADC4">
            <w:pPr>
              <w:pStyle w:val="22"/>
              <w:spacing w:before="0" w:beforeAutospacing="0" w:after="0" w:afterAutospacing="0"/>
              <w:jc w:val="center"/>
              <w:rPr>
                <w:rFonts w:hint="eastAsia" w:ascii="宋体" w:hAnsi="宋体" w:eastAsia="宋体" w:cs="宋体"/>
                <w:color w:val="auto"/>
                <w:sz w:val="21"/>
                <w:szCs w:val="18"/>
                <w:highlight w:val="none"/>
              </w:rPr>
            </w:pPr>
          </w:p>
        </w:tc>
      </w:tr>
      <w:tr w14:paraId="55F5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3A22F36C">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4C71314F">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535791C3">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22ADA318">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4FA6A25E">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24803022">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87D5343">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D47BC2B">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21E83E4">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44837D6">
            <w:pPr>
              <w:pStyle w:val="22"/>
              <w:spacing w:before="0" w:beforeAutospacing="0" w:after="0" w:afterAutospacing="0"/>
              <w:jc w:val="center"/>
              <w:rPr>
                <w:rFonts w:hint="eastAsia" w:ascii="宋体" w:hAnsi="宋体" w:eastAsia="宋体" w:cs="宋体"/>
                <w:color w:val="auto"/>
                <w:sz w:val="21"/>
                <w:szCs w:val="18"/>
                <w:highlight w:val="none"/>
              </w:rPr>
            </w:pPr>
          </w:p>
        </w:tc>
      </w:tr>
      <w:tr w14:paraId="4027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3D696ABA">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393F5B53">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3E6407FE">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7337E7EB">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43B851E2">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5B218E10">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66B8ADD">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60EA17B4">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CDAC989">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FE1CF2A">
            <w:pPr>
              <w:pStyle w:val="22"/>
              <w:spacing w:before="0" w:beforeAutospacing="0" w:after="0" w:afterAutospacing="0"/>
              <w:jc w:val="center"/>
              <w:rPr>
                <w:rFonts w:hint="eastAsia" w:ascii="宋体" w:hAnsi="宋体" w:eastAsia="宋体" w:cs="宋体"/>
                <w:color w:val="auto"/>
                <w:sz w:val="21"/>
                <w:szCs w:val="18"/>
                <w:highlight w:val="none"/>
              </w:rPr>
            </w:pPr>
          </w:p>
        </w:tc>
      </w:tr>
      <w:tr w14:paraId="266F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16750BA3">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1CF5C081">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6044606B">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76A44AD5">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18513FBB">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4276E277">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F484742">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A64ADC2">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589B7A2">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513519E">
            <w:pPr>
              <w:pStyle w:val="22"/>
              <w:spacing w:before="0" w:beforeAutospacing="0" w:after="0" w:afterAutospacing="0"/>
              <w:jc w:val="center"/>
              <w:rPr>
                <w:rFonts w:hint="eastAsia" w:ascii="宋体" w:hAnsi="宋体" w:eastAsia="宋体" w:cs="宋体"/>
                <w:color w:val="auto"/>
                <w:sz w:val="21"/>
                <w:szCs w:val="18"/>
                <w:highlight w:val="none"/>
              </w:rPr>
            </w:pPr>
          </w:p>
        </w:tc>
      </w:tr>
      <w:tr w14:paraId="3E50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6ECEC0FF">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6516E23A">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417620EB">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70D3D019">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1B6362C4">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58174F69">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84355AA">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2860E87">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933505A">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F767491">
            <w:pPr>
              <w:pStyle w:val="22"/>
              <w:spacing w:before="0" w:beforeAutospacing="0" w:after="0" w:afterAutospacing="0"/>
              <w:jc w:val="center"/>
              <w:rPr>
                <w:rFonts w:hint="eastAsia" w:ascii="宋体" w:hAnsi="宋体" w:eastAsia="宋体" w:cs="宋体"/>
                <w:color w:val="auto"/>
                <w:sz w:val="21"/>
                <w:szCs w:val="18"/>
                <w:highlight w:val="none"/>
              </w:rPr>
            </w:pPr>
          </w:p>
        </w:tc>
      </w:tr>
      <w:tr w14:paraId="4E4F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272FA18F">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0267CB64">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6CDC7298">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74134E8E">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17ACCCCA">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514CBA45">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6719B65">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F9DD08D">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1701EB5">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F5E7BAD">
            <w:pPr>
              <w:pStyle w:val="22"/>
              <w:spacing w:before="0" w:beforeAutospacing="0" w:after="0" w:afterAutospacing="0"/>
              <w:jc w:val="center"/>
              <w:rPr>
                <w:rFonts w:hint="eastAsia" w:ascii="宋体" w:hAnsi="宋体" w:eastAsia="宋体" w:cs="宋体"/>
                <w:color w:val="auto"/>
                <w:sz w:val="21"/>
                <w:szCs w:val="18"/>
                <w:highlight w:val="none"/>
              </w:rPr>
            </w:pPr>
          </w:p>
        </w:tc>
      </w:tr>
      <w:tr w14:paraId="669F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7F09CF90">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09B534A3">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0E257793">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6532D193">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01786519">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4B0FBED8">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4A0EA6A">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E713437">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2D1E9B0">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EA70565">
            <w:pPr>
              <w:pStyle w:val="22"/>
              <w:spacing w:before="0" w:beforeAutospacing="0" w:after="0" w:afterAutospacing="0"/>
              <w:jc w:val="center"/>
              <w:rPr>
                <w:rFonts w:hint="eastAsia" w:ascii="宋体" w:hAnsi="宋体" w:eastAsia="宋体" w:cs="宋体"/>
                <w:color w:val="auto"/>
                <w:sz w:val="21"/>
                <w:szCs w:val="18"/>
                <w:highlight w:val="none"/>
              </w:rPr>
            </w:pPr>
          </w:p>
        </w:tc>
      </w:tr>
      <w:tr w14:paraId="48F8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648D93AC">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4D53DFC0">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43AA6FF2">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0A294DE6">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06F50C3E">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78D89720">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79C8A75A">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3BF74C5A">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7F35E50">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47DC7AC3">
            <w:pPr>
              <w:pStyle w:val="22"/>
              <w:spacing w:before="0" w:beforeAutospacing="0" w:after="0" w:afterAutospacing="0"/>
              <w:jc w:val="center"/>
              <w:rPr>
                <w:rFonts w:hint="eastAsia" w:ascii="宋体" w:hAnsi="宋体" w:eastAsia="宋体" w:cs="宋体"/>
                <w:color w:val="auto"/>
                <w:sz w:val="21"/>
                <w:szCs w:val="18"/>
                <w:highlight w:val="none"/>
              </w:rPr>
            </w:pPr>
          </w:p>
        </w:tc>
      </w:tr>
      <w:tr w14:paraId="34CE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14:paraId="2A8F4973">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noWrap w:val="0"/>
            <w:vAlign w:val="center"/>
          </w:tcPr>
          <w:p w14:paraId="46EE7732">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noWrap w:val="0"/>
            <w:vAlign w:val="center"/>
          </w:tcPr>
          <w:p w14:paraId="38A8EEF5">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noWrap w:val="0"/>
            <w:vAlign w:val="center"/>
          </w:tcPr>
          <w:p w14:paraId="76589395">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noWrap w:val="0"/>
            <w:vAlign w:val="center"/>
          </w:tcPr>
          <w:p w14:paraId="0E0D5145">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noWrap w:val="0"/>
            <w:vAlign w:val="center"/>
          </w:tcPr>
          <w:p w14:paraId="08976535">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244D6E6A">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1F5277A4">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08E604DC">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noWrap w:val="0"/>
            <w:vAlign w:val="center"/>
          </w:tcPr>
          <w:p w14:paraId="591CD3E9">
            <w:pPr>
              <w:pStyle w:val="22"/>
              <w:spacing w:before="0" w:beforeAutospacing="0" w:after="0" w:afterAutospacing="0"/>
              <w:jc w:val="center"/>
              <w:rPr>
                <w:rFonts w:hint="eastAsia" w:ascii="宋体" w:hAnsi="宋体" w:eastAsia="宋体" w:cs="宋体"/>
                <w:color w:val="auto"/>
                <w:sz w:val="21"/>
                <w:szCs w:val="18"/>
                <w:highlight w:val="none"/>
              </w:rPr>
            </w:pPr>
          </w:p>
        </w:tc>
      </w:tr>
      <w:tr w14:paraId="50AA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14:paraId="27AF19F3">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74D04D77">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20EB6BCD">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470DE91A">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14:paraId="2B19B323">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2AECC2B5">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5A53FF5D">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80E22D3">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F67AAB4">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745FF543">
            <w:pPr>
              <w:pStyle w:val="22"/>
              <w:spacing w:before="0" w:beforeAutospacing="0" w:after="0" w:afterAutospacing="0"/>
              <w:jc w:val="center"/>
              <w:rPr>
                <w:rFonts w:hint="eastAsia" w:ascii="宋体" w:hAnsi="宋体" w:eastAsia="宋体" w:cs="宋体"/>
                <w:color w:val="auto"/>
                <w:sz w:val="21"/>
                <w:szCs w:val="18"/>
                <w:highlight w:val="none"/>
              </w:rPr>
            </w:pPr>
          </w:p>
        </w:tc>
      </w:tr>
      <w:tr w14:paraId="3106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14:paraId="23D06999">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550D2F3A">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7FEA3494">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778CC14F">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14:paraId="11B24EF3">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20CF5C45">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1513EA6A">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56F9ED16">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CADBEA1">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6D872A3F">
            <w:pPr>
              <w:pStyle w:val="22"/>
              <w:spacing w:before="0" w:beforeAutospacing="0" w:after="0" w:afterAutospacing="0"/>
              <w:jc w:val="center"/>
              <w:rPr>
                <w:rFonts w:hint="eastAsia" w:ascii="宋体" w:hAnsi="宋体" w:eastAsia="宋体" w:cs="宋体"/>
                <w:color w:val="auto"/>
                <w:sz w:val="21"/>
                <w:szCs w:val="18"/>
                <w:highlight w:val="none"/>
              </w:rPr>
            </w:pPr>
          </w:p>
        </w:tc>
      </w:tr>
      <w:tr w14:paraId="7297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14:paraId="2308A636">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53B1E35">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279AAF5B">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339A8EBE">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14:paraId="043AAA56">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411BED1D">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7E314F40">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31A4BA94">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22A5CD7F">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764E100B">
            <w:pPr>
              <w:pStyle w:val="22"/>
              <w:spacing w:before="0" w:beforeAutospacing="0" w:after="0" w:afterAutospacing="0"/>
              <w:jc w:val="center"/>
              <w:rPr>
                <w:rFonts w:hint="eastAsia" w:ascii="宋体" w:hAnsi="宋体" w:eastAsia="宋体" w:cs="宋体"/>
                <w:color w:val="auto"/>
                <w:sz w:val="21"/>
                <w:szCs w:val="18"/>
                <w:highlight w:val="none"/>
              </w:rPr>
            </w:pPr>
          </w:p>
        </w:tc>
      </w:tr>
      <w:tr w14:paraId="293E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14:paraId="73F1D048">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2749F62F">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26906512">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3E09B3AF">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14:paraId="184394CA">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27DC6CCE">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8DF736C">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278F9AA">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39615DE3">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5CEF653A">
            <w:pPr>
              <w:pStyle w:val="22"/>
              <w:spacing w:before="0" w:beforeAutospacing="0" w:after="0" w:afterAutospacing="0"/>
              <w:jc w:val="center"/>
              <w:rPr>
                <w:rFonts w:hint="eastAsia" w:ascii="宋体" w:hAnsi="宋体" w:eastAsia="宋体" w:cs="宋体"/>
                <w:color w:val="auto"/>
                <w:sz w:val="21"/>
                <w:szCs w:val="18"/>
                <w:highlight w:val="none"/>
              </w:rPr>
            </w:pPr>
          </w:p>
        </w:tc>
      </w:tr>
      <w:tr w14:paraId="5375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14:paraId="49C089C6">
            <w:pPr>
              <w:pStyle w:val="22"/>
              <w:spacing w:before="0" w:beforeAutospacing="0" w:after="0" w:afterAutospacing="0"/>
              <w:jc w:val="right"/>
              <w:rPr>
                <w:rFonts w:hint="eastAsia" w:ascii="宋体" w:hAnsi="宋体" w:eastAsia="宋体" w:cs="宋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75128A46">
            <w:pPr>
              <w:pStyle w:val="22"/>
              <w:spacing w:before="0" w:beforeAutospacing="0" w:after="0" w:afterAutospacing="0"/>
              <w:jc w:val="center"/>
              <w:rPr>
                <w:rFonts w:hint="eastAsia" w:ascii="宋体" w:hAnsi="宋体" w:eastAsia="宋体" w:cs="宋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14:paraId="18249A88">
            <w:pPr>
              <w:pStyle w:val="22"/>
              <w:spacing w:before="0" w:beforeAutospacing="0" w:after="0" w:afterAutospacing="0"/>
              <w:jc w:val="center"/>
              <w:rPr>
                <w:rFonts w:hint="eastAsia" w:ascii="宋体" w:hAnsi="宋体" w:eastAsia="宋体" w:cs="宋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14:paraId="519B5F77">
            <w:pPr>
              <w:pStyle w:val="22"/>
              <w:spacing w:before="0" w:beforeAutospacing="0" w:after="0" w:afterAutospacing="0"/>
              <w:jc w:val="center"/>
              <w:rPr>
                <w:rFonts w:hint="eastAsia" w:ascii="宋体" w:hAnsi="宋体" w:eastAsia="宋体" w:cs="宋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14:paraId="584703C9">
            <w:pPr>
              <w:pStyle w:val="22"/>
              <w:spacing w:before="0" w:beforeAutospacing="0" w:after="0" w:afterAutospacing="0"/>
              <w:jc w:val="center"/>
              <w:rPr>
                <w:rFonts w:hint="eastAsia" w:ascii="宋体" w:hAnsi="宋体" w:eastAsia="宋体" w:cs="宋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6CA23913">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463536C5">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458B7BC">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109CECED">
            <w:pPr>
              <w:pStyle w:val="22"/>
              <w:spacing w:before="0" w:beforeAutospacing="0" w:after="0" w:afterAutospacing="0"/>
              <w:jc w:val="center"/>
              <w:rPr>
                <w:rFonts w:hint="eastAsia" w:ascii="宋体" w:hAnsi="宋体" w:eastAsia="宋体" w:cs="宋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0C704EE6">
            <w:pPr>
              <w:pStyle w:val="22"/>
              <w:spacing w:before="0" w:beforeAutospacing="0" w:after="0" w:afterAutospacing="0"/>
              <w:jc w:val="center"/>
              <w:rPr>
                <w:rFonts w:hint="eastAsia" w:ascii="宋体" w:hAnsi="宋体" w:eastAsia="宋体" w:cs="宋体"/>
                <w:color w:val="auto"/>
                <w:sz w:val="21"/>
                <w:szCs w:val="18"/>
                <w:highlight w:val="none"/>
              </w:rPr>
            </w:pPr>
          </w:p>
        </w:tc>
      </w:tr>
    </w:tbl>
    <w:p w14:paraId="66FB23E8">
      <w:pPr>
        <w:pStyle w:val="22"/>
        <w:spacing w:before="0" w:beforeAutospacing="0" w:after="0" w:afterAutospacing="0" w:line="300" w:lineRule="auto"/>
        <w:jc w:val="both"/>
        <w:rPr>
          <w:rFonts w:hint="eastAsia" w:ascii="宋体" w:hAnsi="宋体" w:eastAsia="宋体" w:cs="宋体"/>
          <w:color w:val="auto"/>
          <w:szCs w:val="18"/>
          <w:highlight w:val="none"/>
        </w:rPr>
      </w:pPr>
      <w:r>
        <w:rPr>
          <w:rFonts w:hint="eastAsia" w:ascii="宋体" w:hAnsi="宋体" w:eastAsia="宋体" w:cs="宋体"/>
          <w:color w:val="auto"/>
          <w:szCs w:val="18"/>
          <w:highlight w:val="none"/>
        </w:rPr>
        <w:br w:type="page"/>
      </w:r>
      <w:r>
        <w:rPr>
          <w:rFonts w:hint="eastAsia" w:ascii="宋体" w:hAnsi="宋体" w:eastAsia="宋体" w:cs="宋体"/>
          <w:color w:val="auto"/>
          <w:szCs w:val="18"/>
          <w:highlight w:val="none"/>
        </w:rPr>
        <w:t>附件3：</w:t>
      </w:r>
    </w:p>
    <w:p w14:paraId="1BAFF080">
      <w:pPr>
        <w:widowControl/>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工程质量保修书</w:t>
      </w:r>
    </w:p>
    <w:p w14:paraId="0DD722D4">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发包人(全称)： ________________________________</w:t>
      </w:r>
    </w:p>
    <w:p w14:paraId="08CFEE98">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承包人(全称)： ________________________________</w:t>
      </w:r>
    </w:p>
    <w:p w14:paraId="39628183">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为保证________________________________________（工程名称）在合理使用期限内正常使用，发包人、承包人协商一致签订工程质量保修书。承包人在质量保修期内按照有关管理规定及双方约定承担工程质量保修责任。</w:t>
      </w:r>
    </w:p>
    <w:p w14:paraId="1502C184">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一、工程质量保修范围和内容 </w:t>
      </w:r>
    </w:p>
    <w:p w14:paraId="42DD4491">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质量保修范围：具体质量保修内容双方约定如下： </w:t>
      </w:r>
    </w:p>
    <w:p w14:paraId="544ED0E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本工程合同规定工程范围内由承包人的所有工程内容为工程质量保修范围的内容。</w:t>
      </w:r>
    </w:p>
    <w:p w14:paraId="0079D50B">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二、质量保修期 </w:t>
      </w:r>
    </w:p>
    <w:p w14:paraId="6DAF6967">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双方根据《建设工程质量管理条例》及有关规定，约定本工程的质量保修期如下：</w:t>
      </w:r>
    </w:p>
    <w:p w14:paraId="4C0023B0">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1.地基基础工程和主体结构工程为设计文件规定的该工程合理使用年限； </w:t>
      </w:r>
    </w:p>
    <w:p w14:paraId="49E6A586">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2.屋面防水工程、有防水要求的卫生间、房间和外墙面的防渗漏</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年；</w:t>
      </w:r>
    </w:p>
    <w:p w14:paraId="0DD30385">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3.装修工程为</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年； </w:t>
      </w:r>
    </w:p>
    <w:p w14:paraId="7E6C8786">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4.电气管线、给排水管道、设备安装工程为 </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年；</w:t>
      </w:r>
    </w:p>
    <w:p w14:paraId="19D52FBC">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5.供热与供冷系统为</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个采暖期、供冷期；</w:t>
      </w:r>
    </w:p>
    <w:p w14:paraId="1324184E">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6.小区内的给排水设施、道路等配套工程为</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年； </w:t>
      </w:r>
    </w:p>
    <w:p w14:paraId="2361DA83">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7.其他工程保修期限约定如下：</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rPr>
        <w:t>                            </w:t>
      </w:r>
    </w:p>
    <w:p w14:paraId="42D73A9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质量保修期自工程竣工验收合格之日起计算。</w:t>
      </w:r>
    </w:p>
    <w:p w14:paraId="21A76338">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三、质量保修责任 </w:t>
      </w:r>
    </w:p>
    <w:p w14:paraId="169A08E4">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1、属于保修范围和内容的项目，承包人应在接到修理通知之日后7天内派人修理。承包人不在约定期限内派人修理，发包人可委托其他人员修理，保修费用从质量保修金内扣除。 </w:t>
      </w:r>
    </w:p>
    <w:p w14:paraId="198DE5C7">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2、发生须紧急抢修事故（如上水跑水、暖气漏水漏气、燃气漏气等），承包人接到事故通知后，应立即到达事故现场抢修。非承包人施工质量引起的事故，抢修费用由发包人承担。 </w:t>
      </w:r>
    </w:p>
    <w:p w14:paraId="13CAF4B1">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3、在国家规定的工程合理使用期限内，承包人确保地基基础工程和主体结构的质量。因承包人原因致使工程在合理使用期限内造成人身和财产损害的，承包人应承担损害赔偿责任。 </w:t>
      </w:r>
    </w:p>
    <w:p w14:paraId="30110B86">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四、质量保修金的支付 </w:t>
      </w:r>
    </w:p>
    <w:p w14:paraId="66B46D4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本工程约定的工程质量保修金为施工合同价款的__________%。 </w:t>
      </w:r>
    </w:p>
    <w:p w14:paraId="7D6777DA">
      <w:pPr>
        <w:widowControl/>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本工程双方约定承包人向发包人支付工程质量保修金金额为________（大写）。质量保修金银行利率为</w:t>
      </w:r>
      <w:r>
        <w:rPr>
          <w:rFonts w:hint="eastAsia" w:ascii="宋体" w:hAnsi="宋体" w:eastAsia="宋体" w:cs="宋体"/>
          <w:color w:val="auto"/>
          <w:sz w:val="24"/>
          <w:highlight w:val="none"/>
          <w:u w:val="single"/>
        </w:rPr>
        <w:t>_无_</w:t>
      </w:r>
      <w:r>
        <w:rPr>
          <w:rFonts w:hint="eastAsia" w:ascii="宋体" w:hAnsi="宋体" w:eastAsia="宋体" w:cs="宋体"/>
          <w:color w:val="auto"/>
          <w:sz w:val="24"/>
          <w:highlight w:val="none"/>
        </w:rPr>
        <w:t xml:space="preserve">。 </w:t>
      </w:r>
    </w:p>
    <w:p w14:paraId="61B4755F">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五、质量保修金的返还 </w:t>
      </w:r>
    </w:p>
    <w:p w14:paraId="1A49F8F3">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发包人在质量保修期满后14天内，将剩余保修金和利息返还承包人。 </w:t>
      </w:r>
    </w:p>
    <w:p w14:paraId="7793A51C">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六、其他 </w:t>
      </w:r>
    </w:p>
    <w:p w14:paraId="75C94A4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双方约定的其他工程质量保修事项：</w:t>
      </w:r>
      <w:r>
        <w:rPr>
          <w:rFonts w:hint="eastAsia" w:ascii="宋体" w:hAnsi="宋体" w:eastAsia="宋体" w:cs="宋体"/>
          <w:color w:val="auto"/>
          <w:sz w:val="24"/>
          <w:highlight w:val="none"/>
          <w:u w:val="single"/>
        </w:rPr>
        <w:t xml:space="preserve">  无  。</w:t>
      </w:r>
    </w:p>
    <w:p w14:paraId="48B89F05">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本工程质量保修作书为施工合同的附件，由施工合同发包人、承包人双方共同签订。</w:t>
      </w:r>
    </w:p>
    <w:p w14:paraId="31B1DEAA">
      <w:pPr>
        <w:widowControl/>
        <w:spacing w:line="360" w:lineRule="auto"/>
        <w:ind w:firstLine="480" w:firstLineChars="200"/>
        <w:rPr>
          <w:rFonts w:hint="eastAsia" w:ascii="宋体" w:hAnsi="宋体" w:eastAsia="宋体" w:cs="宋体"/>
          <w:color w:val="auto"/>
          <w:sz w:val="24"/>
          <w:highlight w:val="none"/>
        </w:rPr>
      </w:pPr>
    </w:p>
    <w:p w14:paraId="3EF82EE2">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E24FA2E">
      <w:pPr>
        <w:widowControl/>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发 包 人（公章）：_______________  承 包 人（公章）：________________</w:t>
      </w:r>
    </w:p>
    <w:p w14:paraId="451BBF0E">
      <w:pPr>
        <w:widowControl/>
        <w:spacing w:line="360" w:lineRule="auto"/>
        <w:ind w:firstLine="480" w:firstLineChars="200"/>
        <w:outlineLvl w:val="9"/>
        <w:rPr>
          <w:rFonts w:hint="eastAsia" w:ascii="宋体" w:hAnsi="宋体" w:eastAsia="宋体" w:cs="宋体"/>
          <w:color w:val="auto"/>
          <w:sz w:val="24"/>
          <w:highlight w:val="none"/>
        </w:rPr>
      </w:pPr>
    </w:p>
    <w:p w14:paraId="710719FB">
      <w:pPr>
        <w:widowControl/>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法定代表人（签字）：_____________  法定代表人（签字）：______________</w:t>
      </w:r>
    </w:p>
    <w:p w14:paraId="3FCD19F5">
      <w:pPr>
        <w:widowControl/>
        <w:spacing w:line="360" w:lineRule="auto"/>
        <w:ind w:firstLine="480" w:firstLineChars="200"/>
        <w:outlineLvl w:val="9"/>
        <w:rPr>
          <w:rFonts w:hint="eastAsia" w:ascii="宋体" w:hAnsi="宋体" w:eastAsia="宋体" w:cs="宋体"/>
          <w:color w:val="auto"/>
          <w:sz w:val="24"/>
          <w:highlight w:val="none"/>
        </w:rPr>
      </w:pPr>
    </w:p>
    <w:p w14:paraId="4A162FCB">
      <w:pPr>
        <w:spacing w:before="0" w:after="0" w:line="480" w:lineRule="auto"/>
        <w:jc w:val="center"/>
        <w:outlineLvl w:val="9"/>
        <w:rPr>
          <w:rFonts w:hint="eastAsia" w:ascii="宋体" w:hAnsi="宋体" w:eastAsia="宋体" w:cs="宋体"/>
          <w:color w:val="auto"/>
          <w:sz w:val="24"/>
          <w:highlight w:val="none"/>
        </w:rPr>
      </w:pPr>
      <w:bookmarkStart w:id="58" w:name="_Toc18015"/>
      <w:r>
        <w:rPr>
          <w:rFonts w:hint="eastAsia" w:ascii="宋体" w:hAnsi="宋体" w:eastAsia="宋体" w:cs="宋体"/>
          <w:color w:val="auto"/>
          <w:sz w:val="24"/>
          <w:highlight w:val="none"/>
        </w:rPr>
        <w:t>_____年_____月_____日                 _____ 年_____月_____日</w:t>
      </w:r>
      <w:bookmarkEnd w:id="58"/>
    </w:p>
    <w:p w14:paraId="5464A706">
      <w:pPr>
        <w:spacing w:line="360" w:lineRule="auto"/>
        <w:ind w:firstLine="4400" w:firstLineChars="2000"/>
        <w:rPr>
          <w:sz w:val="22"/>
          <w:szCs w:val="22"/>
          <w:highlight w:val="none"/>
        </w:rPr>
      </w:pPr>
    </w:p>
    <w:p w14:paraId="2242F6B8">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0BC1E765">
      <w:pPr>
        <w:pStyle w:val="2"/>
        <w:spacing w:before="0" w:after="0" w:line="480" w:lineRule="auto"/>
        <w:jc w:val="center"/>
        <w:rPr>
          <w:rFonts w:hint="eastAsia" w:ascii="宋体" w:hAnsi="宋体" w:eastAsia="宋体" w:cs="宋体"/>
          <w:color w:val="auto"/>
          <w:highlight w:val="none"/>
          <w:lang w:val="en-US" w:eastAsia="zh-CN"/>
        </w:rPr>
      </w:pPr>
      <w:bookmarkStart w:id="59" w:name="_Toc23018"/>
      <w:r>
        <w:rPr>
          <w:rFonts w:hint="eastAsia" w:ascii="宋体" w:hAnsi="宋体" w:eastAsia="宋体" w:cs="宋体"/>
          <w:color w:val="auto"/>
          <w:highlight w:val="none"/>
        </w:rPr>
        <w:t xml:space="preserve">第六章 </w:t>
      </w:r>
      <w:bookmarkEnd w:id="57"/>
      <w:r>
        <w:rPr>
          <w:rFonts w:hint="eastAsia" w:ascii="宋体" w:hAnsi="宋体" w:eastAsia="宋体" w:cs="宋体"/>
          <w:color w:val="auto"/>
          <w:highlight w:val="none"/>
          <w:lang w:val="en-US" w:eastAsia="zh-CN"/>
        </w:rPr>
        <w:t>磋商响应文件组成部分</w:t>
      </w:r>
      <w:bookmarkEnd w:id="59"/>
    </w:p>
    <w:p w14:paraId="62FF7412">
      <w:pPr>
        <w:spacing w:line="480" w:lineRule="auto"/>
        <w:jc w:val="both"/>
        <w:rPr>
          <w:rFonts w:hint="eastAsia" w:ascii="宋体" w:hAnsi="宋体" w:eastAsia="宋体" w:cs="宋体"/>
          <w:b/>
          <w:bCs/>
          <w:sz w:val="22"/>
          <w:szCs w:val="22"/>
          <w:highlight w:val="none"/>
          <w:lang w:eastAsia="zh-CN"/>
        </w:rPr>
      </w:pPr>
      <w:r>
        <w:rPr>
          <w:rFonts w:hint="eastAsia" w:ascii="宋体" w:hAnsi="宋体" w:eastAsia="宋体" w:cs="宋体"/>
          <w:b/>
          <w:bCs/>
          <w:sz w:val="22"/>
          <w:szCs w:val="22"/>
          <w:highlight w:val="none"/>
          <w:lang w:eastAsia="zh-CN"/>
        </w:rPr>
        <w:t>一、</w:t>
      </w:r>
      <w:r>
        <w:rPr>
          <w:rFonts w:hint="eastAsia" w:ascii="宋体" w:hAnsi="宋体" w:eastAsia="宋体" w:cs="宋体"/>
          <w:b/>
          <w:bCs/>
          <w:sz w:val="22"/>
          <w:szCs w:val="22"/>
          <w:highlight w:val="none"/>
          <w:lang w:val="en-US" w:eastAsia="zh-CN"/>
        </w:rPr>
        <w:t>响应</w:t>
      </w:r>
      <w:r>
        <w:rPr>
          <w:rFonts w:hint="eastAsia" w:ascii="宋体" w:hAnsi="宋体" w:eastAsia="宋体" w:cs="宋体"/>
          <w:b/>
          <w:bCs/>
          <w:sz w:val="22"/>
          <w:szCs w:val="22"/>
          <w:highlight w:val="none"/>
          <w:lang w:eastAsia="zh-CN"/>
        </w:rPr>
        <w:t>文件格式</w:t>
      </w:r>
    </w:p>
    <w:p w14:paraId="0B0216A0">
      <w:pPr>
        <w:spacing w:line="480" w:lineRule="auto"/>
        <w:jc w:val="both"/>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二、资质证明文件</w:t>
      </w:r>
    </w:p>
    <w:p w14:paraId="4AAA1583">
      <w:pPr>
        <w:spacing w:line="480" w:lineRule="auto"/>
        <w:jc w:val="both"/>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三、符合性证明文件</w:t>
      </w:r>
    </w:p>
    <w:p w14:paraId="1BCCDC4D">
      <w:pPr>
        <w:spacing w:line="480" w:lineRule="auto"/>
        <w:jc w:val="both"/>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四、响应方案</w:t>
      </w:r>
    </w:p>
    <w:p w14:paraId="5D94A936">
      <w:pPr>
        <w:spacing w:line="360" w:lineRule="auto"/>
        <w:ind w:firstLine="4003" w:firstLineChars="1246"/>
        <w:rPr>
          <w:rFonts w:hint="eastAsia" w:ascii="宋体" w:hAnsi="宋体" w:eastAsia="宋体" w:cs="宋体"/>
          <w:b/>
          <w:color w:val="auto"/>
          <w:sz w:val="32"/>
          <w:szCs w:val="32"/>
          <w:highlight w:val="none"/>
        </w:rPr>
      </w:pPr>
    </w:p>
    <w:p w14:paraId="4AED6F52">
      <w:pPr>
        <w:spacing w:line="360" w:lineRule="auto"/>
        <w:ind w:firstLine="4003" w:firstLineChars="1246"/>
        <w:rPr>
          <w:rFonts w:hint="eastAsia" w:ascii="宋体" w:hAnsi="宋体" w:eastAsia="宋体" w:cs="宋体"/>
          <w:b/>
          <w:color w:val="auto"/>
          <w:sz w:val="32"/>
          <w:szCs w:val="32"/>
          <w:highlight w:val="none"/>
        </w:rPr>
      </w:pPr>
    </w:p>
    <w:p w14:paraId="059CB0A8">
      <w:pPr>
        <w:spacing w:line="360" w:lineRule="auto"/>
        <w:ind w:firstLine="4003" w:firstLineChars="1246"/>
        <w:rPr>
          <w:rFonts w:hint="eastAsia" w:ascii="宋体" w:hAnsi="宋体" w:eastAsia="宋体" w:cs="宋体"/>
          <w:b/>
          <w:color w:val="auto"/>
          <w:sz w:val="32"/>
          <w:szCs w:val="32"/>
          <w:highlight w:val="none"/>
        </w:rPr>
      </w:pPr>
    </w:p>
    <w:p w14:paraId="7B68621C">
      <w:pPr>
        <w:pStyle w:val="44"/>
        <w:rPr>
          <w:rFonts w:hint="eastAsia" w:ascii="宋体" w:hAnsi="宋体" w:eastAsia="宋体" w:cs="宋体"/>
          <w:b/>
          <w:color w:val="auto"/>
          <w:sz w:val="32"/>
          <w:szCs w:val="32"/>
          <w:highlight w:val="none"/>
        </w:rPr>
      </w:pPr>
    </w:p>
    <w:p w14:paraId="23327C07">
      <w:pPr>
        <w:pStyle w:val="44"/>
        <w:rPr>
          <w:rFonts w:hint="eastAsia" w:ascii="宋体" w:hAnsi="宋体" w:eastAsia="宋体" w:cs="宋体"/>
          <w:b/>
          <w:color w:val="auto"/>
          <w:sz w:val="32"/>
          <w:szCs w:val="32"/>
          <w:highlight w:val="none"/>
        </w:rPr>
      </w:pPr>
    </w:p>
    <w:p w14:paraId="4C7AFDAD">
      <w:pPr>
        <w:pStyle w:val="44"/>
        <w:rPr>
          <w:rFonts w:hint="eastAsia" w:ascii="宋体" w:hAnsi="宋体" w:eastAsia="宋体" w:cs="宋体"/>
          <w:b/>
          <w:color w:val="auto"/>
          <w:sz w:val="32"/>
          <w:szCs w:val="32"/>
          <w:highlight w:val="none"/>
        </w:rPr>
      </w:pPr>
    </w:p>
    <w:p w14:paraId="10F9D25B">
      <w:pPr>
        <w:pStyle w:val="44"/>
        <w:ind w:left="0" w:leftChars="0" w:firstLine="0" w:firstLineChars="0"/>
        <w:rPr>
          <w:rFonts w:hint="eastAsia" w:ascii="宋体" w:hAnsi="宋体" w:eastAsia="宋体" w:cs="宋体"/>
          <w:b/>
          <w:color w:val="auto"/>
          <w:sz w:val="32"/>
          <w:szCs w:val="32"/>
          <w:highlight w:val="none"/>
        </w:rPr>
      </w:pPr>
    </w:p>
    <w:p w14:paraId="0C33B913">
      <w:pPr>
        <w:pStyle w:val="44"/>
        <w:rPr>
          <w:rFonts w:hint="eastAsia" w:ascii="宋体" w:hAnsi="宋体" w:eastAsia="宋体" w:cs="宋体"/>
          <w:b/>
          <w:color w:val="auto"/>
          <w:sz w:val="32"/>
          <w:szCs w:val="32"/>
          <w:highlight w:val="none"/>
        </w:rPr>
      </w:pPr>
    </w:p>
    <w:p w14:paraId="41FF87B1">
      <w:pPr>
        <w:pStyle w:val="44"/>
        <w:rPr>
          <w:rFonts w:hint="eastAsia" w:ascii="宋体" w:hAnsi="宋体" w:eastAsia="宋体" w:cs="宋体"/>
          <w:b/>
          <w:color w:val="auto"/>
          <w:sz w:val="32"/>
          <w:szCs w:val="32"/>
          <w:highlight w:val="none"/>
        </w:rPr>
      </w:pPr>
    </w:p>
    <w:p w14:paraId="1178B468">
      <w:pPr>
        <w:spacing w:line="360" w:lineRule="auto"/>
        <w:ind w:firstLine="4003" w:firstLineChars="1246"/>
        <w:rPr>
          <w:rFonts w:hint="eastAsia" w:ascii="宋体" w:hAnsi="宋体" w:eastAsia="宋体" w:cs="宋体"/>
          <w:b/>
          <w:color w:val="auto"/>
          <w:sz w:val="32"/>
          <w:szCs w:val="32"/>
          <w:highlight w:val="none"/>
        </w:rPr>
      </w:pPr>
    </w:p>
    <w:p w14:paraId="1A77920A">
      <w:pPr>
        <w:spacing w:line="360" w:lineRule="auto"/>
        <w:jc w:val="both"/>
        <w:rPr>
          <w:rFonts w:hint="eastAsia" w:ascii="宋体" w:hAnsi="宋体" w:eastAsia="宋体" w:cs="宋体"/>
          <w:b/>
          <w:bCs/>
          <w:color w:val="auto"/>
          <w:szCs w:val="24"/>
          <w:highlight w:val="none"/>
        </w:rPr>
      </w:pPr>
      <w:r>
        <w:rPr>
          <w:rFonts w:hint="eastAsia" w:ascii="宋体" w:hAnsi="宋体" w:eastAsia="宋体" w:cs="宋体"/>
          <w:b/>
          <w:bCs/>
          <w:highlight w:val="none"/>
          <w:lang w:val="en-US" w:eastAsia="zh-CN"/>
        </w:rPr>
        <w:t>注：</w:t>
      </w:r>
      <w:r>
        <w:rPr>
          <w:rFonts w:hint="eastAsia" w:ascii="宋体" w:hAnsi="宋体" w:eastAsia="宋体" w:cs="宋体"/>
          <w:b/>
          <w:bCs/>
          <w:color w:val="auto"/>
          <w:szCs w:val="24"/>
          <w:highlight w:val="none"/>
          <w:lang w:val="en-US" w:eastAsia="zh-CN"/>
        </w:rPr>
        <w:t>响应</w:t>
      </w:r>
      <w:r>
        <w:rPr>
          <w:rFonts w:hint="eastAsia" w:ascii="宋体" w:hAnsi="宋体" w:eastAsia="宋体" w:cs="宋体"/>
          <w:b/>
          <w:bCs/>
          <w:color w:val="auto"/>
          <w:szCs w:val="24"/>
          <w:highlight w:val="none"/>
        </w:rPr>
        <w:t>文件编制说明</w:t>
      </w:r>
    </w:p>
    <w:p w14:paraId="48DEA477">
      <w:pPr>
        <w:spacing w:line="360" w:lineRule="auto"/>
        <w:ind w:left="280" w:leftChars="100" w:firstLine="422" w:firstLineChars="15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lang w:val="en-US" w:eastAsia="zh-CN"/>
        </w:rPr>
        <w:t>1</w:t>
      </w:r>
      <w:r>
        <w:rPr>
          <w:rFonts w:hint="eastAsia" w:ascii="宋体" w:hAnsi="宋体" w:eastAsia="宋体" w:cs="宋体"/>
          <w:b/>
          <w:bCs/>
          <w:color w:val="auto"/>
          <w:szCs w:val="24"/>
          <w:highlight w:val="none"/>
        </w:rPr>
        <w:t>、</w:t>
      </w:r>
      <w:r>
        <w:rPr>
          <w:rFonts w:hint="eastAsia" w:ascii="宋体" w:hAnsi="宋体" w:eastAsia="宋体" w:cs="宋体"/>
          <w:b/>
          <w:bCs/>
          <w:color w:val="auto"/>
          <w:szCs w:val="24"/>
          <w:highlight w:val="none"/>
          <w:lang w:val="en-US" w:eastAsia="zh-CN"/>
        </w:rPr>
        <w:t>响应</w:t>
      </w:r>
      <w:r>
        <w:rPr>
          <w:rFonts w:hint="eastAsia" w:ascii="宋体" w:hAnsi="宋体" w:eastAsia="宋体" w:cs="宋体"/>
          <w:b/>
          <w:bCs/>
          <w:color w:val="auto"/>
          <w:szCs w:val="24"/>
          <w:highlight w:val="none"/>
        </w:rPr>
        <w:t>文件的编制应按照样本格式提供的内容，做出逐一明确的答复；</w:t>
      </w:r>
      <w:r>
        <w:rPr>
          <w:rFonts w:hint="eastAsia" w:ascii="宋体" w:hAnsi="宋体" w:eastAsia="宋体" w:cs="宋体"/>
          <w:b/>
          <w:bCs/>
          <w:color w:val="auto"/>
          <w:szCs w:val="24"/>
          <w:highlight w:val="none"/>
          <w:lang w:val="en-US" w:eastAsia="zh-CN"/>
        </w:rPr>
        <w:t>供应商</w:t>
      </w:r>
      <w:r>
        <w:rPr>
          <w:rFonts w:hint="eastAsia" w:ascii="宋体" w:hAnsi="宋体" w:eastAsia="宋体" w:cs="宋体"/>
          <w:b/>
          <w:bCs/>
          <w:color w:val="auto"/>
          <w:szCs w:val="24"/>
          <w:highlight w:val="none"/>
        </w:rPr>
        <w:t>认为有必要，还可以做其它补充说明。</w:t>
      </w:r>
      <w:r>
        <w:rPr>
          <w:rFonts w:hint="eastAsia" w:ascii="宋体" w:hAnsi="宋体" w:eastAsia="宋体" w:cs="宋体"/>
          <w:b/>
          <w:bCs/>
          <w:color w:val="auto"/>
          <w:szCs w:val="24"/>
          <w:highlight w:val="none"/>
        </w:rPr>
        <w:cr/>
      </w:r>
      <w:r>
        <w:rPr>
          <w:rFonts w:hint="eastAsia" w:ascii="宋体" w:hAnsi="宋体" w:eastAsia="宋体" w:cs="宋体"/>
          <w:b/>
          <w:bCs/>
          <w:color w:val="auto"/>
          <w:szCs w:val="24"/>
          <w:highlight w:val="none"/>
        </w:rPr>
        <w:t xml:space="preserve">   </w:t>
      </w:r>
      <w:r>
        <w:rPr>
          <w:rFonts w:hint="eastAsia" w:ascii="宋体" w:hAnsi="宋体" w:eastAsia="宋体" w:cs="宋体"/>
          <w:b/>
          <w:bCs/>
          <w:color w:val="auto"/>
          <w:szCs w:val="24"/>
          <w:highlight w:val="none"/>
          <w:lang w:val="en-US" w:eastAsia="zh-CN"/>
        </w:rPr>
        <w:t>2</w:t>
      </w:r>
      <w:r>
        <w:rPr>
          <w:rFonts w:hint="eastAsia" w:ascii="宋体" w:hAnsi="宋体" w:eastAsia="宋体" w:cs="宋体"/>
          <w:b/>
          <w:bCs/>
          <w:color w:val="auto"/>
          <w:szCs w:val="24"/>
          <w:highlight w:val="none"/>
        </w:rPr>
        <w:t>、</w:t>
      </w:r>
      <w:r>
        <w:rPr>
          <w:rFonts w:hint="eastAsia" w:ascii="宋体" w:hAnsi="宋体" w:eastAsia="宋体" w:cs="宋体"/>
          <w:b/>
          <w:bCs/>
          <w:color w:val="auto"/>
          <w:szCs w:val="24"/>
          <w:highlight w:val="none"/>
          <w:lang w:val="en-US" w:eastAsia="zh-CN"/>
        </w:rPr>
        <w:t>供应商</w:t>
      </w:r>
      <w:r>
        <w:rPr>
          <w:rFonts w:hint="eastAsia" w:ascii="宋体" w:hAnsi="宋体" w:eastAsia="宋体" w:cs="宋体"/>
          <w:b/>
          <w:bCs/>
          <w:color w:val="auto"/>
          <w:szCs w:val="24"/>
          <w:highlight w:val="none"/>
        </w:rPr>
        <w:t>必须按照</w:t>
      </w:r>
      <w:r>
        <w:rPr>
          <w:rFonts w:hint="eastAsia" w:ascii="宋体" w:hAnsi="宋体" w:eastAsia="宋体" w:cs="宋体"/>
          <w:b/>
          <w:bCs/>
          <w:color w:val="auto"/>
          <w:szCs w:val="24"/>
          <w:highlight w:val="none"/>
          <w:lang w:val="en-US" w:eastAsia="zh-CN"/>
        </w:rPr>
        <w:t>磋商</w:t>
      </w:r>
      <w:r>
        <w:rPr>
          <w:rFonts w:hint="eastAsia" w:ascii="宋体" w:hAnsi="宋体" w:eastAsia="宋体" w:cs="宋体"/>
          <w:b/>
          <w:bCs/>
          <w:color w:val="auto"/>
          <w:szCs w:val="24"/>
          <w:highlight w:val="none"/>
        </w:rPr>
        <w:t>文件的规定和要求由法定代表人或被授权人签字（或盖章），并加盖</w:t>
      </w:r>
      <w:r>
        <w:rPr>
          <w:rFonts w:hint="eastAsia" w:ascii="宋体" w:hAnsi="宋体" w:eastAsia="宋体" w:cs="宋体"/>
          <w:b/>
          <w:bCs/>
          <w:color w:val="auto"/>
          <w:szCs w:val="24"/>
          <w:highlight w:val="none"/>
          <w:lang w:val="en-US" w:eastAsia="zh-CN"/>
        </w:rPr>
        <w:t>供应商</w:t>
      </w:r>
      <w:r>
        <w:rPr>
          <w:rFonts w:hint="eastAsia" w:ascii="宋体" w:hAnsi="宋体" w:eastAsia="宋体" w:cs="宋体"/>
          <w:b/>
          <w:bCs/>
          <w:color w:val="auto"/>
          <w:szCs w:val="24"/>
          <w:highlight w:val="none"/>
        </w:rPr>
        <w:t>公章。</w:t>
      </w:r>
    </w:p>
    <w:p w14:paraId="5A8D9BFF">
      <w:pPr>
        <w:pStyle w:val="10"/>
        <w:rPr>
          <w:rFonts w:hint="eastAsia" w:ascii="宋体" w:hAnsi="宋体" w:eastAsia="宋体" w:cs="宋体"/>
          <w:color w:val="auto"/>
          <w:sz w:val="24"/>
          <w:highlight w:val="none"/>
        </w:rPr>
      </w:pPr>
    </w:p>
    <w:p w14:paraId="5C920D64">
      <w:pPr>
        <w:pStyle w:val="10"/>
        <w:rPr>
          <w:rFonts w:hint="eastAsia" w:ascii="宋体" w:hAnsi="宋体" w:eastAsia="宋体" w:cs="宋体"/>
          <w:color w:val="auto"/>
          <w:sz w:val="24"/>
          <w:highlight w:val="none"/>
        </w:rPr>
      </w:pPr>
    </w:p>
    <w:p w14:paraId="20379F4F">
      <w:pPr>
        <w:pStyle w:val="10"/>
        <w:rPr>
          <w:rFonts w:hint="eastAsia" w:ascii="宋体" w:hAnsi="宋体" w:eastAsia="宋体" w:cs="宋体"/>
          <w:color w:val="auto"/>
          <w:sz w:val="24"/>
          <w:highlight w:val="none"/>
        </w:rPr>
      </w:pPr>
    </w:p>
    <w:p w14:paraId="573B6728">
      <w:pPr>
        <w:pStyle w:val="10"/>
        <w:rPr>
          <w:rFonts w:hint="eastAsia" w:ascii="宋体" w:hAnsi="宋体" w:eastAsia="宋体" w:cs="宋体"/>
          <w:color w:val="auto"/>
          <w:sz w:val="24"/>
          <w:highlight w:val="none"/>
        </w:rPr>
      </w:pPr>
    </w:p>
    <w:p w14:paraId="7A437AAC">
      <w:pPr>
        <w:pStyle w:val="3"/>
        <w:spacing w:before="0" w:after="0" w:line="240" w:lineRule="auto"/>
        <w:rPr>
          <w:rFonts w:hint="eastAsia" w:ascii="宋体" w:hAnsi="宋体" w:eastAsia="宋体" w:cs="宋体"/>
          <w:sz w:val="28"/>
          <w:szCs w:val="28"/>
          <w:highlight w:val="none"/>
          <w:lang w:val="en-US" w:eastAsia="zh-CN"/>
        </w:rPr>
      </w:pPr>
      <w:bookmarkStart w:id="60" w:name="_Toc30377"/>
      <w:r>
        <w:rPr>
          <w:rFonts w:hint="eastAsia" w:ascii="宋体" w:hAnsi="宋体" w:eastAsia="宋体" w:cs="宋体"/>
          <w:highlight w:val="none"/>
          <w:lang w:val="en-US" w:eastAsia="zh-CN"/>
        </w:rPr>
        <w:t>一、磋商响应文件格式</w:t>
      </w:r>
      <w:bookmarkEnd w:id="60"/>
    </w:p>
    <w:p w14:paraId="134F8106">
      <w:pPr>
        <w:outlineLvl w:val="9"/>
        <w:rPr>
          <w:rFonts w:hint="eastAsia" w:ascii="宋体" w:hAnsi="宋体" w:eastAsia="宋体" w:cs="宋体"/>
          <w:b/>
          <w:bCs/>
          <w:sz w:val="28"/>
          <w:szCs w:val="28"/>
          <w:highlight w:val="none"/>
          <w:lang w:val="en-US" w:eastAsia="zh-CN"/>
        </w:rPr>
      </w:pPr>
    </w:p>
    <w:p w14:paraId="15FF657B">
      <w:pPr>
        <w:outlineLvl w:val="9"/>
        <w:rPr>
          <w:rFonts w:hint="eastAsia" w:ascii="宋体" w:hAnsi="宋体" w:eastAsia="宋体" w:cs="宋体"/>
          <w:b/>
          <w:bCs/>
          <w:sz w:val="28"/>
          <w:szCs w:val="28"/>
          <w:highlight w:val="none"/>
          <w:lang w:val="en-US" w:eastAsia="zh-CN"/>
        </w:rPr>
      </w:pPr>
    </w:p>
    <w:p w14:paraId="5D870D4F">
      <w:pPr>
        <w:jc w:val="right"/>
        <w:rPr>
          <w:rFonts w:hint="eastAsia" w:ascii="宋体" w:hAnsi="宋体" w:eastAsia="宋体" w:cs="宋体"/>
          <w:b/>
          <w:color w:val="auto"/>
          <w:sz w:val="36"/>
          <w:szCs w:val="36"/>
          <w:highlight w:val="none"/>
          <w:bdr w:val="single" w:color="auto" w:sz="4" w:space="0"/>
          <w:shd w:val="pct10" w:color="auto" w:fill="FFFFFF"/>
        </w:rPr>
      </w:pPr>
      <w:r>
        <w:rPr>
          <w:rFonts w:hint="eastAsia" w:ascii="宋体" w:hAnsi="宋体" w:eastAsia="宋体" w:cs="宋体"/>
          <w:b/>
          <w:color w:val="auto"/>
          <w:sz w:val="36"/>
          <w:szCs w:val="36"/>
          <w:highlight w:val="none"/>
        </w:rPr>
        <w:t xml:space="preserve">       </w:t>
      </w:r>
      <w:r>
        <w:rPr>
          <w:rFonts w:hint="eastAsia" w:ascii="宋体" w:hAnsi="宋体" w:eastAsia="宋体" w:cs="宋体"/>
          <w:b/>
          <w:color w:val="auto"/>
          <w:sz w:val="36"/>
          <w:szCs w:val="36"/>
          <w:highlight w:val="none"/>
          <w:bdr w:val="single" w:color="auto" w:sz="4" w:space="0"/>
          <w:shd w:val="pct10" w:color="auto" w:fill="FFFFFF"/>
        </w:rPr>
        <w:t>政府采购项目</w:t>
      </w:r>
    </w:p>
    <w:p w14:paraId="7FD156A1">
      <w:pP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 </w:t>
      </w:r>
    </w:p>
    <w:p w14:paraId="4506C32A">
      <w:pPr>
        <w:rPr>
          <w:rFonts w:hint="eastAsia"/>
          <w:sz w:val="36"/>
          <w:szCs w:val="22"/>
          <w:lang w:eastAsia="zh-CN"/>
        </w:rPr>
      </w:pPr>
      <w:r>
        <w:rPr>
          <w:rFonts w:hint="eastAsia"/>
          <w:sz w:val="36"/>
          <w:szCs w:val="22"/>
        </w:rPr>
        <w:t>文件编号:</w:t>
      </w:r>
      <w:r>
        <w:rPr>
          <w:rFonts w:hint="eastAsia"/>
          <w:sz w:val="36"/>
          <w:szCs w:val="22"/>
          <w:lang w:eastAsia="zh-CN"/>
        </w:rPr>
        <w:t>XYR-2026-004(GC)</w:t>
      </w:r>
    </w:p>
    <w:p w14:paraId="33622078">
      <w:pPr>
        <w:rPr>
          <w:rFonts w:hint="eastAsia"/>
          <w:sz w:val="36"/>
          <w:szCs w:val="22"/>
          <w:lang w:eastAsia="zh-CN"/>
        </w:rPr>
      </w:pPr>
    </w:p>
    <w:p w14:paraId="7D23BF12">
      <w:pPr>
        <w:jc w:val="center"/>
        <w:rPr>
          <w:rFonts w:hint="eastAsia"/>
          <w:sz w:val="36"/>
          <w:szCs w:val="22"/>
          <w:lang w:eastAsia="zh-CN"/>
        </w:rPr>
      </w:pPr>
      <w:r>
        <w:rPr>
          <w:rFonts w:hint="eastAsia"/>
          <w:sz w:val="60"/>
          <w:szCs w:val="44"/>
          <w:lang w:eastAsia="zh-CN"/>
        </w:rPr>
        <w:t>2025年神农镇太平庄村供水抗旱应急水源项目</w:t>
      </w:r>
    </w:p>
    <w:p w14:paraId="4BEF0C8B">
      <w:pPr>
        <w:spacing w:before="120" w:beforeLines="50" w:line="800" w:lineRule="exact"/>
        <w:ind w:right="-1165" w:rightChars="-416"/>
        <w:jc w:val="both"/>
        <w:rPr>
          <w:rFonts w:hint="eastAsia" w:cs="宋体"/>
          <w:color w:val="auto"/>
          <w:highlight w:val="none"/>
          <w:lang w:eastAsia="zh-CN"/>
        </w:rPr>
      </w:pPr>
    </w:p>
    <w:p w14:paraId="1067F839">
      <w:pPr>
        <w:spacing w:before="120" w:beforeLines="50" w:line="800" w:lineRule="exact"/>
        <w:ind w:right="-1165" w:rightChars="-416" w:firstLine="2288" w:firstLineChars="300"/>
        <w:jc w:val="both"/>
        <w:rPr>
          <w:rFonts w:hint="eastAsia" w:ascii="宋体" w:hAnsi="宋体" w:eastAsia="宋体" w:cs="宋体"/>
          <w:b/>
          <w:bCs/>
          <w:color w:val="auto"/>
          <w:spacing w:val="20"/>
          <w:kern w:val="0"/>
          <w:sz w:val="72"/>
          <w:szCs w:val="72"/>
          <w:highlight w:val="none"/>
        </w:rPr>
      </w:pPr>
      <w:r>
        <w:rPr>
          <w:rFonts w:hint="eastAsia" w:ascii="宋体" w:hAnsi="宋体" w:eastAsia="宋体" w:cs="宋体"/>
          <w:b/>
          <w:bCs/>
          <w:color w:val="auto"/>
          <w:spacing w:val="20"/>
          <w:kern w:val="0"/>
          <w:sz w:val="72"/>
          <w:szCs w:val="72"/>
          <w:highlight w:val="none"/>
        </w:rPr>
        <w:t>磋商响应文件</w:t>
      </w:r>
    </w:p>
    <w:p w14:paraId="6C504F29">
      <w:pPr>
        <w:rPr>
          <w:rFonts w:hint="eastAsia" w:ascii="宋体" w:hAnsi="宋体" w:eastAsia="宋体" w:cs="宋体"/>
          <w:color w:val="auto"/>
          <w:sz w:val="32"/>
          <w:highlight w:val="none"/>
        </w:rPr>
      </w:pPr>
    </w:p>
    <w:p w14:paraId="507F089C">
      <w:pPr>
        <w:rPr>
          <w:rFonts w:hint="eastAsia" w:ascii="宋体" w:hAnsi="宋体" w:eastAsia="宋体" w:cs="宋体"/>
          <w:color w:val="auto"/>
          <w:sz w:val="32"/>
          <w:highlight w:val="none"/>
        </w:rPr>
      </w:pPr>
    </w:p>
    <w:p w14:paraId="4789D3FB">
      <w:pPr>
        <w:spacing w:before="168" w:beforeLines="70"/>
        <w:rPr>
          <w:rFonts w:hint="eastAsia" w:ascii="宋体" w:hAnsi="宋体" w:eastAsia="宋体" w:cs="宋体"/>
          <w:b/>
          <w:color w:val="auto"/>
          <w:spacing w:val="8"/>
          <w:szCs w:val="28"/>
          <w:highlight w:val="none"/>
        </w:rPr>
      </w:pPr>
    </w:p>
    <w:p w14:paraId="7AFF2861">
      <w:pPr>
        <w:spacing w:before="168" w:beforeLines="70"/>
        <w:rPr>
          <w:rFonts w:hint="eastAsia" w:ascii="宋体" w:hAnsi="宋体" w:eastAsia="宋体" w:cs="宋体"/>
          <w:b/>
          <w:color w:val="auto"/>
          <w:spacing w:val="8"/>
          <w:szCs w:val="28"/>
          <w:highlight w:val="none"/>
        </w:rPr>
      </w:pPr>
    </w:p>
    <w:p w14:paraId="608CBF21">
      <w:pPr>
        <w:spacing w:before="168" w:beforeLines="70"/>
        <w:rPr>
          <w:rFonts w:hint="eastAsia" w:ascii="宋体" w:hAnsi="宋体" w:eastAsia="宋体" w:cs="宋体"/>
          <w:b/>
          <w:color w:val="auto"/>
          <w:spacing w:val="8"/>
          <w:szCs w:val="28"/>
          <w:highlight w:val="none"/>
        </w:rPr>
      </w:pPr>
    </w:p>
    <w:p w14:paraId="1761E465">
      <w:pPr>
        <w:spacing w:before="168" w:beforeLines="70"/>
        <w:ind w:firstLine="2080" w:firstLineChars="700"/>
        <w:jc w:val="center"/>
        <w:rPr>
          <w:rFonts w:hint="eastAsia" w:ascii="宋体" w:hAnsi="宋体" w:eastAsia="宋体" w:cs="宋体"/>
          <w:b/>
          <w:color w:val="auto"/>
          <w:spacing w:val="8"/>
          <w:szCs w:val="28"/>
          <w:highlight w:val="none"/>
        </w:rPr>
      </w:pPr>
    </w:p>
    <w:p w14:paraId="22D771EC">
      <w:pPr>
        <w:spacing w:beforeLines="70" w:line="360" w:lineRule="auto"/>
        <w:ind w:firstLine="1188" w:firstLineChars="400"/>
        <w:jc w:val="center"/>
        <w:rPr>
          <w:rFonts w:hint="eastAsia" w:ascii="宋体" w:hAnsi="宋体" w:eastAsia="宋体" w:cs="宋体"/>
          <w:b/>
          <w:bCs/>
          <w:color w:val="auto"/>
          <w:spacing w:val="8"/>
          <w:sz w:val="28"/>
          <w:szCs w:val="28"/>
          <w:highlight w:val="none"/>
          <w:u w:val="single"/>
          <w:lang w:val="en-US" w:eastAsia="zh-CN"/>
        </w:rPr>
      </w:pPr>
      <w:r>
        <w:rPr>
          <w:rFonts w:hint="eastAsia" w:ascii="宋体" w:hAnsi="宋体" w:eastAsia="宋体" w:cs="宋体"/>
          <w:b/>
          <w:color w:val="auto"/>
          <w:spacing w:val="8"/>
          <w:sz w:val="28"/>
          <w:szCs w:val="28"/>
          <w:highlight w:val="none"/>
          <w:lang w:eastAsia="zh-CN"/>
        </w:rPr>
        <w:t>投标供应商</w:t>
      </w:r>
      <w:r>
        <w:rPr>
          <w:rFonts w:hint="eastAsia" w:ascii="宋体" w:hAnsi="宋体" w:eastAsia="宋体" w:cs="宋体"/>
          <w:b/>
          <w:color w:val="auto"/>
          <w:spacing w:val="8"/>
          <w:sz w:val="28"/>
          <w:szCs w:val="28"/>
          <w:highlight w:val="none"/>
        </w:rPr>
        <w:t>：</w:t>
      </w:r>
      <w:r>
        <w:rPr>
          <w:rFonts w:hint="eastAsia" w:ascii="宋体" w:hAnsi="宋体" w:eastAsia="宋体" w:cs="宋体"/>
          <w:b/>
          <w:color w:val="auto"/>
          <w:spacing w:val="8"/>
          <w:sz w:val="28"/>
          <w:szCs w:val="28"/>
          <w:highlight w:val="none"/>
          <w:u w:val="single"/>
          <w:lang w:val="en-US" w:eastAsia="zh-CN"/>
        </w:rPr>
        <w:t xml:space="preserve">               </w:t>
      </w:r>
      <w:r>
        <w:rPr>
          <w:rFonts w:hint="eastAsia" w:ascii="宋体" w:hAnsi="宋体" w:eastAsia="宋体" w:cs="宋体"/>
          <w:b/>
          <w:color w:val="auto"/>
          <w:spacing w:val="8"/>
          <w:sz w:val="28"/>
          <w:szCs w:val="28"/>
          <w:highlight w:val="none"/>
          <w:u w:val="none"/>
          <w:lang w:val="en-US" w:eastAsia="zh-CN"/>
        </w:rPr>
        <w:t>（盖单位章）</w:t>
      </w:r>
    </w:p>
    <w:p w14:paraId="2E99D019">
      <w:pPr>
        <w:spacing w:line="360" w:lineRule="auto"/>
        <w:ind w:firstLine="1661" w:firstLineChars="591"/>
        <w:jc w:val="center"/>
        <w:rPr>
          <w:rFonts w:hint="eastAsia" w:ascii="宋体" w:hAnsi="宋体" w:eastAsia="宋体" w:cs="宋体"/>
          <w:b/>
          <w:color w:val="auto"/>
          <w:sz w:val="28"/>
          <w:szCs w:val="28"/>
          <w:highlight w:val="none"/>
        </w:rPr>
      </w:pPr>
    </w:p>
    <w:p w14:paraId="27B6929B">
      <w:pPr>
        <w:spacing w:line="360" w:lineRule="auto"/>
        <w:ind w:firstLine="1968" w:firstLineChars="700"/>
        <w:jc w:val="both"/>
        <w:rPr>
          <w:rFonts w:hint="eastAsia" w:ascii="宋体" w:hAnsi="宋体" w:eastAsia="宋体" w:cs="宋体"/>
          <w:b/>
          <w:color w:val="auto"/>
          <w:sz w:val="32"/>
          <w:szCs w:val="32"/>
          <w:highlight w:val="none"/>
          <w:u w:val="single"/>
        </w:rPr>
      </w:pPr>
      <w:r>
        <w:rPr>
          <w:rFonts w:hint="eastAsia" w:ascii="宋体" w:hAnsi="宋体" w:eastAsia="宋体" w:cs="宋体"/>
          <w:b/>
          <w:color w:val="auto"/>
          <w:sz w:val="28"/>
          <w:szCs w:val="28"/>
          <w:highlight w:val="none"/>
        </w:rPr>
        <w:t xml:space="preserve">时     </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间：</w:t>
      </w:r>
      <w:bookmarkStart w:id="61" w:name="_Toc154482479"/>
      <w:bookmarkStart w:id="62" w:name="_Toc169838532"/>
      <w:bookmarkStart w:id="63" w:name="_Toc175032437"/>
      <w:bookmarkStart w:id="64" w:name="_Toc167591330"/>
      <w:bookmarkStart w:id="65" w:name="_Toc188808833"/>
      <w:bookmarkStart w:id="66" w:name="_Toc193187097"/>
      <w:bookmarkStart w:id="67" w:name="_Toc194663918"/>
      <w:bookmarkStart w:id="68" w:name="_Toc167591492"/>
      <w:bookmarkStart w:id="69" w:name="_Toc170980552"/>
      <w:bookmarkStart w:id="70" w:name="_Toc173549978"/>
      <w:bookmarkStart w:id="71" w:name="_Toc169846776"/>
      <w:bookmarkStart w:id="72" w:name="_Toc169846873"/>
      <w:bookmarkStart w:id="73" w:name="_Toc167591043"/>
      <w:bookmarkStart w:id="74" w:name="_Toc167590775"/>
      <w:bookmarkStart w:id="75" w:name="_Toc175033592"/>
      <w:bookmarkStart w:id="76" w:name="_Toc193126881"/>
      <w:bookmarkStart w:id="77" w:name="_Toc167849360"/>
      <w:bookmarkStart w:id="78" w:name="_Toc170980453"/>
      <w:bookmarkStart w:id="79" w:name="_Toc167591144"/>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pacing w:val="8"/>
          <w:sz w:val="28"/>
          <w:szCs w:val="28"/>
          <w:highlight w:val="none"/>
          <w:u w:val="single"/>
          <w:lang w:val="en-US" w:eastAsia="zh-CN"/>
        </w:rPr>
        <w:t xml:space="preserve">               </w:t>
      </w:r>
    </w:p>
    <w:p w14:paraId="726E8AFB">
      <w:pPr>
        <w:rPr>
          <w:rFonts w:hint="eastAsia" w:ascii="宋体" w:hAnsi="宋体" w:eastAsia="宋体" w:cs="宋体"/>
          <w:highlight w:val="none"/>
          <w:lang w:val="en-US" w:eastAsia="zh-CN"/>
        </w:rPr>
      </w:pPr>
      <w:bookmarkStart w:id="80" w:name="_Toc19175"/>
      <w:r>
        <w:rPr>
          <w:rFonts w:hint="eastAsia" w:ascii="宋体" w:hAnsi="宋体" w:eastAsia="宋体" w:cs="宋体"/>
          <w:highlight w:val="none"/>
          <w:lang w:val="en-US" w:eastAsia="zh-CN"/>
        </w:rPr>
        <w:br w:type="page"/>
      </w:r>
    </w:p>
    <w:p w14:paraId="44FDF6AB">
      <w:pPr>
        <w:pStyle w:val="3"/>
        <w:rPr>
          <w:rFonts w:hint="eastAsia" w:ascii="宋体" w:hAnsi="宋体" w:eastAsia="宋体" w:cs="宋体"/>
          <w:highlight w:val="none"/>
          <w:lang w:val="en-US" w:eastAsia="zh-CN"/>
        </w:rPr>
      </w:pPr>
      <w:r>
        <w:rPr>
          <w:rFonts w:hint="eastAsia" w:ascii="宋体" w:hAnsi="宋体" w:eastAsia="宋体" w:cs="宋体"/>
          <w:highlight w:val="none"/>
          <w:lang w:val="en-US" w:eastAsia="zh-CN"/>
        </w:rPr>
        <w:t>二、资质证明文件</w:t>
      </w:r>
      <w:bookmarkEnd w:id="80"/>
    </w:p>
    <w:p w14:paraId="7D1192A7">
      <w:pPr>
        <w:spacing w:line="480" w:lineRule="auto"/>
        <w:rPr>
          <w:sz w:val="24"/>
          <w:szCs w:val="24"/>
        </w:rPr>
      </w:pPr>
      <w:r>
        <w:rPr>
          <w:rFonts w:hint="eastAsia"/>
          <w:sz w:val="24"/>
          <w:szCs w:val="24"/>
        </w:rPr>
        <w:t>（1）供应商须为合法注册的法人、其他组织或者自然人，并具有独立承担民事责任的能力；提供统一社会信用代码的营业执照（或事业法人证、自然人身份证）等证明文件；</w:t>
      </w:r>
      <w:r>
        <w:rPr>
          <w:rFonts w:hint="eastAsia"/>
          <w:sz w:val="24"/>
          <w:szCs w:val="24"/>
        </w:rPr>
        <w:br w:type="textWrapping"/>
      </w:r>
      <w:r>
        <w:rPr>
          <w:rFonts w:hint="eastAsia"/>
          <w:sz w:val="24"/>
          <w:szCs w:val="24"/>
        </w:rPr>
        <w:t>（2）法定代表人参加采购活动须出示本人身份证（原件及复印件），被授权代表参加采购活动须出示本人身份证原件和法定代表人授权书；</w:t>
      </w:r>
      <w:r>
        <w:rPr>
          <w:rFonts w:hint="eastAsia"/>
          <w:sz w:val="24"/>
          <w:szCs w:val="24"/>
        </w:rPr>
        <w:br w:type="textWrapping"/>
      </w:r>
      <w:r>
        <w:rPr>
          <w:rFonts w:hint="eastAsia"/>
          <w:sz w:val="24"/>
          <w:szCs w:val="24"/>
        </w:rPr>
        <w:t>（3）</w:t>
      </w:r>
      <w:r>
        <w:rPr>
          <w:rFonts w:hint="default"/>
          <w:sz w:val="24"/>
          <w:szCs w:val="24"/>
        </w:rPr>
        <w:t>供应商应具备水利水电工程施工总承包三级及以上资质和有效的安全生产许可证；拟派本工程项目经理须具有水利水电工程专业二级及以上建造师资格证、注册证及有效的安全生产考核合格证，并无在建项目（以无在建承诺书为准）</w:t>
      </w:r>
      <w:r>
        <w:rPr>
          <w:rFonts w:hint="eastAsia"/>
          <w:sz w:val="24"/>
          <w:szCs w:val="24"/>
        </w:rPr>
        <w:t>；</w:t>
      </w:r>
      <w:r>
        <w:rPr>
          <w:rFonts w:hint="eastAsia"/>
          <w:sz w:val="24"/>
          <w:szCs w:val="24"/>
        </w:rPr>
        <w:br w:type="textWrapping"/>
      </w:r>
      <w:r>
        <w:rPr>
          <w:rFonts w:hint="eastAsia"/>
          <w:sz w:val="24"/>
          <w:szCs w:val="24"/>
        </w:rPr>
        <w:t>（4）财务状况报告：提供具有财务审计资质单位出具的2024年度财务审计报告，（成立时间至提交投标文件截止时间不足一年的可提供成立后任意时段的资产负债表），或开标时间前六个月内银行出具的资信证明；</w:t>
      </w:r>
      <w:r>
        <w:rPr>
          <w:rFonts w:hint="eastAsia"/>
          <w:sz w:val="24"/>
          <w:szCs w:val="24"/>
        </w:rPr>
        <w:br w:type="textWrapping"/>
      </w:r>
      <w:r>
        <w:rPr>
          <w:rFonts w:hint="eastAsia"/>
          <w:sz w:val="24"/>
          <w:szCs w:val="24"/>
        </w:rPr>
        <w:t>（5）社会保障资金缴纳证明：</w:t>
      </w:r>
      <w:r>
        <w:rPr>
          <w:rFonts w:hint="default"/>
          <w:sz w:val="24"/>
          <w:szCs w:val="24"/>
        </w:rPr>
        <w:t>提供截止至采购时间前任意六个月的社保缴费凭据或社保机构开具的社会保险参保缴费情况证明（依法不需要缴纳社会保障资金的供应商应提供相关证明）</w:t>
      </w:r>
      <w:r>
        <w:rPr>
          <w:rFonts w:hint="eastAsia"/>
          <w:sz w:val="24"/>
          <w:szCs w:val="24"/>
        </w:rPr>
        <w:t>；</w:t>
      </w:r>
      <w:r>
        <w:rPr>
          <w:rFonts w:hint="eastAsia"/>
          <w:sz w:val="24"/>
          <w:szCs w:val="24"/>
        </w:rPr>
        <w:br w:type="textWrapping"/>
      </w:r>
      <w:r>
        <w:rPr>
          <w:rFonts w:hint="eastAsia"/>
          <w:sz w:val="24"/>
          <w:szCs w:val="24"/>
        </w:rPr>
        <w:t>（6）完税证明：</w:t>
      </w:r>
      <w:r>
        <w:rPr>
          <w:rFonts w:hint="default"/>
          <w:sz w:val="24"/>
          <w:szCs w:val="24"/>
        </w:rPr>
        <w:t>提供截止至采购时间前任意六个月的纳税证明或完税证明，依法免税的单位应提供相关证明材料</w:t>
      </w:r>
      <w:r>
        <w:rPr>
          <w:rFonts w:hint="eastAsia"/>
          <w:sz w:val="24"/>
          <w:szCs w:val="24"/>
        </w:rPr>
        <w:t>；</w:t>
      </w:r>
      <w:r>
        <w:rPr>
          <w:rFonts w:hint="eastAsia"/>
          <w:sz w:val="24"/>
          <w:szCs w:val="24"/>
        </w:rPr>
        <w:br w:type="textWrapping"/>
      </w:r>
      <w:r>
        <w:rPr>
          <w:rFonts w:hint="eastAsia"/>
          <w:sz w:val="24"/>
          <w:szCs w:val="24"/>
        </w:rPr>
        <w:t>（7）参加政府采购活动前3年内在经营活动中没有重大违法记录的书面声明；</w:t>
      </w:r>
      <w:r>
        <w:rPr>
          <w:rFonts w:hint="eastAsia"/>
          <w:sz w:val="24"/>
          <w:szCs w:val="24"/>
        </w:rPr>
        <w:br w:type="textWrapping"/>
      </w:r>
      <w:r>
        <w:rPr>
          <w:rFonts w:hint="eastAsia"/>
          <w:sz w:val="24"/>
          <w:szCs w:val="24"/>
        </w:rPr>
        <w:t>（8）提供具有履行本合同所必需的设备和专业技术能力的说明及承诺；</w:t>
      </w:r>
      <w:r>
        <w:rPr>
          <w:rFonts w:hint="eastAsia"/>
          <w:sz w:val="24"/>
          <w:szCs w:val="24"/>
        </w:rPr>
        <w:br w:type="textWrapping"/>
      </w:r>
      <w:r>
        <w:rPr>
          <w:rFonts w:hint="eastAsia"/>
          <w:sz w:val="24"/>
          <w:szCs w:val="24"/>
        </w:rPr>
        <w:t>（9）单位负责人为同一人或者存在直接控股、管理关系的不同供应商，不得参加同一合同项下的政府采购活动；（提供书面承诺函）；</w:t>
      </w:r>
      <w:r>
        <w:rPr>
          <w:rFonts w:hint="eastAsia"/>
          <w:sz w:val="24"/>
          <w:szCs w:val="24"/>
        </w:rPr>
        <w:br w:type="textWrapping"/>
      </w:r>
      <w:r>
        <w:rPr>
          <w:rFonts w:hint="eastAsia"/>
          <w:sz w:val="24"/>
          <w:szCs w:val="24"/>
        </w:rPr>
        <w:t>（10）供应商不得为“信用中国(www.creditchina.gov.cn)”中列入失信被执行人和重大税收违法失信主体及“中国裁判文书网”（http://wenshu.court.gov.cn/）有行贿犯罪记录。（查询主体供应商、法定代表人、项目负责人）；不得为“中国政府采购网(www.ccgp.gov.cn)”政府采购严重违法失信行为记录名单中被财政部门禁止参加政府采购活动的供应商；</w:t>
      </w:r>
      <w:r>
        <w:rPr>
          <w:rFonts w:hint="eastAsia"/>
          <w:sz w:val="24"/>
          <w:szCs w:val="24"/>
        </w:rPr>
        <w:br w:type="textWrapping"/>
      </w:r>
      <w:r>
        <w:rPr>
          <w:rFonts w:hint="eastAsia"/>
          <w:sz w:val="24"/>
          <w:szCs w:val="24"/>
        </w:rPr>
        <w:t>（11）本项目不接受联合体投标；</w:t>
      </w:r>
      <w:r>
        <w:rPr>
          <w:rFonts w:hint="eastAsia"/>
          <w:sz w:val="24"/>
          <w:szCs w:val="24"/>
        </w:rPr>
        <w:br w:type="textWrapping"/>
      </w:r>
      <w:r>
        <w:rPr>
          <w:rFonts w:hint="eastAsia"/>
          <w:sz w:val="24"/>
          <w:szCs w:val="24"/>
        </w:rPr>
        <w:t>（12）本项目为专门面向中小企业，须提供中小企业声明函；</w:t>
      </w:r>
    </w:p>
    <w:p w14:paraId="7AB251C9"/>
    <w:p w14:paraId="6F367968">
      <w:pPr>
        <w:spacing w:line="360" w:lineRule="auto"/>
        <w:outlineLvl w:val="9"/>
        <w:rPr>
          <w:rFonts w:hint="eastAsia" w:ascii="宋体" w:hAnsi="宋体" w:eastAsia="宋体" w:cs="宋体"/>
          <w:b w:val="0"/>
          <w:bCs w:val="0"/>
          <w:sz w:val="28"/>
          <w:szCs w:val="28"/>
          <w:highlight w:val="none"/>
          <w:lang w:val="en-US" w:eastAsia="zh-CN"/>
        </w:rPr>
      </w:pPr>
    </w:p>
    <w:p w14:paraId="0C5801BB">
      <w:pPr>
        <w:pStyle w:val="10"/>
        <w:rPr>
          <w:rFonts w:hint="eastAsia"/>
          <w:highlight w:val="none"/>
          <w:lang w:val="en-US" w:eastAsia="zh-CN"/>
        </w:rPr>
      </w:pPr>
    </w:p>
    <w:p w14:paraId="01B1B3A7">
      <w:pPr>
        <w:rPr>
          <w:rFonts w:hint="eastAsia" w:ascii="宋体" w:hAnsi="宋体" w:eastAsia="宋体" w:cs="宋体"/>
          <w:b/>
          <w:color w:val="FF0000"/>
          <w:sz w:val="30"/>
          <w:szCs w:val="30"/>
          <w:highlight w:val="none"/>
          <w:lang w:val="en-US" w:eastAsia="zh-CN"/>
        </w:rPr>
      </w:pPr>
    </w:p>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14:paraId="52DABC4B">
      <w:pPr>
        <w:rPr>
          <w:rFonts w:hint="eastAsia" w:ascii="宋体" w:hAnsi="宋体" w:eastAsia="宋体" w:cs="宋体"/>
          <w:b/>
          <w:bCs/>
          <w:color w:val="auto"/>
          <w:sz w:val="24"/>
          <w:szCs w:val="22"/>
          <w:highlight w:val="none"/>
          <w:lang w:val="en-US" w:eastAsia="zh-CN"/>
        </w:rPr>
      </w:pPr>
      <w:r>
        <w:rPr>
          <w:rFonts w:hint="eastAsia" w:ascii="宋体" w:hAnsi="宋体" w:eastAsia="宋体" w:cs="宋体"/>
          <w:b/>
          <w:bCs/>
          <w:color w:val="auto"/>
          <w:sz w:val="24"/>
          <w:szCs w:val="22"/>
          <w:highlight w:val="none"/>
          <w:lang w:val="en-US" w:eastAsia="zh-CN"/>
        </w:rPr>
        <w:br w:type="page"/>
      </w:r>
    </w:p>
    <w:p w14:paraId="27F51D33">
      <w:pPr>
        <w:pStyle w:val="7"/>
        <w:ind w:firstLine="0"/>
        <w:jc w:val="both"/>
        <w:outlineLvl w:val="9"/>
        <w:rPr>
          <w:rFonts w:hint="eastAsia" w:ascii="宋体" w:hAnsi="宋体" w:eastAsia="宋体" w:cs="宋体"/>
          <w:color w:val="auto"/>
          <w:highlight w:val="none"/>
          <w:lang w:eastAsia="zh-CN"/>
        </w:rPr>
      </w:pPr>
      <w:r>
        <w:rPr>
          <w:rFonts w:hint="eastAsia" w:ascii="宋体" w:hAnsi="宋体" w:eastAsia="宋体" w:cs="宋体"/>
          <w:color w:val="auto"/>
          <w:sz w:val="24"/>
          <w:szCs w:val="18"/>
          <w:highlight w:val="none"/>
          <w:lang w:eastAsia="zh-CN"/>
        </w:rPr>
        <w:t>附</w:t>
      </w:r>
      <w:r>
        <w:rPr>
          <w:rFonts w:hint="eastAsia" w:ascii="宋体" w:hAnsi="宋体" w:cs="宋体"/>
          <w:color w:val="auto"/>
          <w:sz w:val="24"/>
          <w:szCs w:val="18"/>
          <w:highlight w:val="none"/>
          <w:lang w:eastAsia="zh-CN"/>
        </w:rPr>
        <w:t>件</w:t>
      </w:r>
      <w:r>
        <w:rPr>
          <w:rFonts w:hint="eastAsia" w:ascii="宋体" w:hAnsi="宋体" w:eastAsia="宋体" w:cs="宋体"/>
          <w:color w:val="auto"/>
          <w:sz w:val="24"/>
          <w:szCs w:val="18"/>
          <w:highlight w:val="none"/>
          <w:lang w:eastAsia="zh-CN"/>
        </w:rPr>
        <w:t>一：</w:t>
      </w:r>
    </w:p>
    <w:p w14:paraId="32813CAC">
      <w:pPr>
        <w:pStyle w:val="7"/>
        <w:ind w:firstLine="0"/>
        <w:jc w:val="center"/>
        <w:outlineLvl w:val="9"/>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t>无重大违法记录声明</w:t>
      </w:r>
    </w:p>
    <w:p w14:paraId="1B42832C">
      <w:pPr>
        <w:spacing w:line="360" w:lineRule="auto"/>
        <w:ind w:firstLine="240" w:firstLineChars="100"/>
        <w:outlineLvl w:val="9"/>
        <w:rPr>
          <w:rFonts w:hint="eastAsia" w:ascii="宋体" w:hAnsi="宋体" w:eastAsia="宋体" w:cs="宋体"/>
          <w:color w:val="auto"/>
          <w:sz w:val="24"/>
          <w:highlight w:val="none"/>
        </w:rPr>
      </w:pPr>
    </w:p>
    <w:p w14:paraId="47A71C68">
      <w:pPr>
        <w:spacing w:line="360" w:lineRule="auto"/>
        <w:ind w:firstLine="480" w:firstLineChars="200"/>
        <w:outlineLvl w:val="9"/>
        <w:rPr>
          <w:rFonts w:hint="eastAsia" w:ascii="宋体" w:hAnsi="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cs="宋体"/>
          <w:color w:val="auto"/>
          <w:sz w:val="24"/>
          <w:highlight w:val="none"/>
          <w:lang w:eastAsia="zh-CN"/>
        </w:rPr>
        <w:t>鑫益瑞建设工程有限公司</w:t>
      </w:r>
    </w:p>
    <w:p w14:paraId="1D643696">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（供应商名称）郑重声明，我方参加贵公司组织的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活动前三年内无重大违法活动记录，符合《中华人民共和国政府采购法》规定的供应商资格条件。我方对此声明负全部法律责任。</w:t>
      </w:r>
    </w:p>
    <w:p w14:paraId="7CDC4835">
      <w:pPr>
        <w:spacing w:line="360" w:lineRule="auto"/>
        <w:ind w:firstLine="240" w:firstLineChars="1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特此声明。</w:t>
      </w:r>
    </w:p>
    <w:p w14:paraId="20E5AE78">
      <w:pPr>
        <w:spacing w:line="360" w:lineRule="auto"/>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注：成立不足三年的供应商提供自成立之日起至开标之日止的无重大违法记录声明。</w:t>
      </w:r>
    </w:p>
    <w:p w14:paraId="0A25A005">
      <w:pPr>
        <w:spacing w:line="360" w:lineRule="auto"/>
        <w:ind w:firstLine="4759" w:firstLineChars="1983"/>
        <w:outlineLvl w:val="9"/>
        <w:rPr>
          <w:rFonts w:hint="eastAsia" w:ascii="宋体" w:hAnsi="宋体" w:eastAsia="宋体" w:cs="宋体"/>
          <w:color w:val="auto"/>
          <w:sz w:val="24"/>
          <w:szCs w:val="28"/>
          <w:highlight w:val="none"/>
        </w:rPr>
      </w:pPr>
    </w:p>
    <w:p w14:paraId="5C1863DE">
      <w:pPr>
        <w:spacing w:line="360" w:lineRule="auto"/>
        <w:ind w:firstLine="4759" w:firstLineChars="1983"/>
        <w:outlineLvl w:val="9"/>
        <w:rPr>
          <w:rFonts w:hint="eastAsia" w:ascii="宋体" w:hAnsi="宋体" w:eastAsia="宋体" w:cs="宋体"/>
          <w:color w:val="auto"/>
          <w:sz w:val="24"/>
          <w:szCs w:val="28"/>
          <w:highlight w:val="none"/>
        </w:rPr>
      </w:pPr>
    </w:p>
    <w:p w14:paraId="4D4779DF">
      <w:pPr>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供应商</w:t>
      </w:r>
      <w:r>
        <w:rPr>
          <w:rFonts w:hint="eastAsia" w:ascii="宋体" w:hAnsi="宋体" w:eastAsia="宋体" w:cs="宋体"/>
          <w:color w:val="auto"/>
          <w:sz w:val="24"/>
          <w:szCs w:val="28"/>
          <w:highlight w:val="none"/>
          <w:lang w:eastAsia="zh-CN"/>
        </w:rPr>
        <w:t>名</w:t>
      </w:r>
      <w:r>
        <w:rPr>
          <w:rFonts w:hint="eastAsia" w:ascii="宋体" w:hAnsi="宋体" w:eastAsia="宋体" w:cs="宋体"/>
          <w:color w:val="auto"/>
          <w:sz w:val="24"/>
          <w:szCs w:val="28"/>
          <w:highlight w:val="none"/>
        </w:rPr>
        <w:t>称(盖章)：</w:t>
      </w:r>
    </w:p>
    <w:p w14:paraId="1314EEA4">
      <w:pPr>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日  期：</w:t>
      </w:r>
    </w:p>
    <w:p w14:paraId="150FEE46">
      <w:pPr>
        <w:spacing w:line="360" w:lineRule="auto"/>
        <w:outlineLvl w:val="9"/>
        <w:rPr>
          <w:rFonts w:hint="eastAsia" w:ascii="宋体" w:hAnsi="宋体" w:eastAsia="宋体" w:cs="宋体"/>
          <w:color w:val="auto"/>
          <w:highlight w:val="none"/>
        </w:rPr>
      </w:pPr>
    </w:p>
    <w:p w14:paraId="53418E9C">
      <w:pPr>
        <w:spacing w:line="360" w:lineRule="auto"/>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r>
        <w:rPr>
          <w:rFonts w:hint="eastAsia" w:ascii="宋体" w:hAnsi="宋体" w:eastAsia="宋体" w:cs="宋体"/>
          <w:b w:val="0"/>
          <w:bCs w:val="0"/>
          <w:color w:val="auto"/>
          <w:sz w:val="24"/>
          <w:szCs w:val="24"/>
          <w:highlight w:val="none"/>
          <w:lang w:val="en-US" w:eastAsia="zh-CN"/>
        </w:rPr>
        <w:t>附</w:t>
      </w:r>
      <w:r>
        <w:rPr>
          <w:rFonts w:hint="eastAsia" w:ascii="宋体" w:hAnsi="宋体" w:cs="宋体"/>
          <w:b w:val="0"/>
          <w:bCs w:val="0"/>
          <w:color w:val="auto"/>
          <w:sz w:val="24"/>
          <w:szCs w:val="24"/>
          <w:highlight w:val="none"/>
          <w:lang w:val="en-US" w:eastAsia="zh-CN"/>
        </w:rPr>
        <w:t>件</w:t>
      </w:r>
      <w:r>
        <w:rPr>
          <w:rFonts w:hint="eastAsia" w:ascii="宋体" w:hAnsi="宋体" w:eastAsia="宋体" w:cs="宋体"/>
          <w:b w:val="0"/>
          <w:bCs w:val="0"/>
          <w:color w:val="auto"/>
          <w:sz w:val="24"/>
          <w:szCs w:val="24"/>
          <w:highlight w:val="none"/>
          <w:lang w:val="en-US" w:eastAsia="zh-CN"/>
        </w:rPr>
        <w:t>二</w:t>
      </w:r>
      <w:r>
        <w:rPr>
          <w:rFonts w:hint="eastAsia" w:ascii="宋体" w:hAnsi="宋体" w:cs="宋体"/>
          <w:b w:val="0"/>
          <w:bCs w:val="0"/>
          <w:color w:val="auto"/>
          <w:sz w:val="24"/>
          <w:szCs w:val="24"/>
          <w:highlight w:val="none"/>
          <w:lang w:val="en-US" w:eastAsia="zh-CN"/>
        </w:rPr>
        <w:t>：</w:t>
      </w:r>
    </w:p>
    <w:p w14:paraId="671D705A">
      <w:pPr>
        <w:spacing w:line="360" w:lineRule="auto"/>
        <w:ind w:left="280" w:leftChars="100"/>
        <w:jc w:val="center"/>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-1、法定代表人资格证明书</w:t>
      </w:r>
    </w:p>
    <w:tbl>
      <w:tblPr>
        <w:tblStyle w:val="26"/>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2450"/>
        <w:gridCol w:w="1392"/>
        <w:gridCol w:w="1622"/>
        <w:gridCol w:w="1968"/>
      </w:tblGrid>
      <w:tr w14:paraId="50CC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000" w:type="pct"/>
            <w:gridSpan w:val="5"/>
            <w:noWrap w:val="0"/>
            <w:vAlign w:val="top"/>
          </w:tcPr>
          <w:p w14:paraId="12D3E796">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致：</w:t>
            </w:r>
            <w:r>
              <w:rPr>
                <w:rFonts w:hint="eastAsia" w:ascii="宋体" w:hAnsi="宋体" w:cs="宋体"/>
                <w:bCs/>
                <w:caps/>
                <w:color w:val="auto"/>
                <w:sz w:val="24"/>
                <w:szCs w:val="24"/>
                <w:highlight w:val="none"/>
                <w:lang w:eastAsia="zh-CN"/>
              </w:rPr>
              <w:t>鑫益瑞建设工程有限公司</w:t>
            </w:r>
          </w:p>
        </w:tc>
      </w:tr>
      <w:tr w14:paraId="6FE8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93" w:type="pct"/>
            <w:noWrap w:val="0"/>
            <w:vAlign w:val="center"/>
          </w:tcPr>
          <w:p w14:paraId="37C6C5E1">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项目名称</w:t>
            </w:r>
          </w:p>
        </w:tc>
        <w:tc>
          <w:tcPr>
            <w:tcW w:w="4206" w:type="pct"/>
            <w:gridSpan w:val="4"/>
            <w:noWrap w:val="0"/>
            <w:vAlign w:val="top"/>
          </w:tcPr>
          <w:p w14:paraId="0EA1CD82">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72AB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3" w:type="pct"/>
            <w:noWrap w:val="0"/>
            <w:vAlign w:val="center"/>
          </w:tcPr>
          <w:p w14:paraId="593A2644">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文件编号</w:t>
            </w:r>
          </w:p>
        </w:tc>
        <w:tc>
          <w:tcPr>
            <w:tcW w:w="4206" w:type="pct"/>
            <w:gridSpan w:val="4"/>
            <w:noWrap w:val="0"/>
            <w:vAlign w:val="top"/>
          </w:tcPr>
          <w:p w14:paraId="04B2A8F3">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738E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793" w:type="pct"/>
            <w:noWrap w:val="0"/>
            <w:vAlign w:val="center"/>
          </w:tcPr>
          <w:p w14:paraId="1EDDA909">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权   限</w:t>
            </w:r>
          </w:p>
        </w:tc>
        <w:tc>
          <w:tcPr>
            <w:tcW w:w="4206" w:type="pct"/>
            <w:gridSpan w:val="4"/>
            <w:noWrap w:val="0"/>
            <w:vAlign w:val="center"/>
          </w:tcPr>
          <w:p w14:paraId="2C122FD7">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办理本次</w:t>
            </w:r>
            <w:r>
              <w:rPr>
                <w:rFonts w:hint="eastAsia" w:ascii="宋体" w:hAnsi="宋体" w:eastAsia="宋体" w:cs="宋体"/>
                <w:bCs/>
                <w:caps/>
                <w:color w:val="auto"/>
                <w:sz w:val="24"/>
                <w:szCs w:val="24"/>
                <w:highlight w:val="none"/>
                <w:lang w:eastAsia="zh-CN"/>
              </w:rPr>
              <w:t>磋商</w:t>
            </w:r>
            <w:r>
              <w:rPr>
                <w:rFonts w:hint="eastAsia" w:ascii="宋体" w:hAnsi="宋体" w:eastAsia="宋体" w:cs="宋体"/>
                <w:bCs/>
                <w:caps/>
                <w:color w:val="auto"/>
                <w:sz w:val="24"/>
                <w:szCs w:val="24"/>
                <w:highlight w:val="none"/>
              </w:rPr>
              <w:t>采购项目的投标、联系、洽谈、签约、执行等具体事务，签署全部有关文件、文书、协议及合同。</w:t>
            </w:r>
          </w:p>
        </w:tc>
      </w:tr>
      <w:tr w14:paraId="3394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93" w:type="pct"/>
            <w:noWrap w:val="0"/>
            <w:vAlign w:val="center"/>
          </w:tcPr>
          <w:p w14:paraId="4AA35E3B">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有效期</w:t>
            </w:r>
          </w:p>
        </w:tc>
        <w:tc>
          <w:tcPr>
            <w:tcW w:w="4206" w:type="pct"/>
            <w:gridSpan w:val="4"/>
            <w:noWrap w:val="0"/>
            <w:vAlign w:val="center"/>
          </w:tcPr>
          <w:p w14:paraId="50D3802F">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color w:val="auto"/>
                <w:sz w:val="24"/>
                <w:szCs w:val="24"/>
                <w:highlight w:val="none"/>
              </w:rPr>
              <w:t>自提交投标文件的截止之日起90个日历日</w:t>
            </w:r>
          </w:p>
        </w:tc>
      </w:tr>
      <w:tr w14:paraId="252A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93" w:type="pct"/>
            <w:vMerge w:val="restart"/>
            <w:noWrap w:val="0"/>
            <w:vAlign w:val="center"/>
          </w:tcPr>
          <w:p w14:paraId="123C5101">
            <w:pPr>
              <w:tabs>
                <w:tab w:val="right" w:leader="dot" w:pos="9022"/>
              </w:tabs>
              <w:autoSpaceDE w:val="0"/>
              <w:autoSpaceDN w:val="0"/>
              <w:adjustRightInd w:val="0"/>
              <w:spacing w:line="240" w:lineRule="auto"/>
              <w:ind w:firstLine="240" w:firstLineChars="100"/>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企业</w:t>
            </w:r>
          </w:p>
          <w:p w14:paraId="4A0D5C4D">
            <w:pPr>
              <w:tabs>
                <w:tab w:val="right" w:leader="dot" w:pos="9022"/>
              </w:tabs>
              <w:autoSpaceDE w:val="0"/>
              <w:autoSpaceDN w:val="0"/>
              <w:adjustRightInd w:val="0"/>
              <w:spacing w:line="240" w:lineRule="auto"/>
              <w:ind w:firstLine="240" w:firstLineChars="100"/>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信息</w:t>
            </w:r>
          </w:p>
        </w:tc>
        <w:tc>
          <w:tcPr>
            <w:tcW w:w="1387" w:type="pct"/>
            <w:noWrap w:val="0"/>
            <w:vAlign w:val="top"/>
          </w:tcPr>
          <w:p w14:paraId="2D650E46">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 xml:space="preserve">企 业 名 称 </w:t>
            </w:r>
          </w:p>
        </w:tc>
        <w:tc>
          <w:tcPr>
            <w:tcW w:w="2819" w:type="pct"/>
            <w:gridSpan w:val="3"/>
            <w:noWrap w:val="0"/>
            <w:vAlign w:val="top"/>
          </w:tcPr>
          <w:p w14:paraId="337ADD6C">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61C3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93" w:type="pct"/>
            <w:vMerge w:val="continue"/>
            <w:noWrap w:val="0"/>
            <w:vAlign w:val="center"/>
          </w:tcPr>
          <w:p w14:paraId="5747D801">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7" w:type="pct"/>
            <w:noWrap w:val="0"/>
            <w:vAlign w:val="top"/>
          </w:tcPr>
          <w:p w14:paraId="46B019B5">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 定 地 址</w:t>
            </w:r>
          </w:p>
        </w:tc>
        <w:tc>
          <w:tcPr>
            <w:tcW w:w="2819" w:type="pct"/>
            <w:gridSpan w:val="3"/>
            <w:noWrap w:val="0"/>
            <w:vAlign w:val="top"/>
          </w:tcPr>
          <w:p w14:paraId="718FBC0A">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480A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93" w:type="pct"/>
            <w:vMerge w:val="continue"/>
            <w:noWrap w:val="0"/>
            <w:vAlign w:val="center"/>
          </w:tcPr>
          <w:p w14:paraId="74D5EA1A">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7" w:type="pct"/>
            <w:noWrap w:val="0"/>
            <w:vAlign w:val="top"/>
          </w:tcPr>
          <w:p w14:paraId="12910EE7">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lang w:eastAsia="zh-CN"/>
              </w:rPr>
            </w:pPr>
            <w:r>
              <w:rPr>
                <w:rFonts w:hint="eastAsia" w:ascii="宋体" w:hAnsi="宋体" w:eastAsia="宋体" w:cs="宋体"/>
                <w:bCs/>
                <w:caps/>
                <w:color w:val="auto"/>
                <w:sz w:val="24"/>
                <w:szCs w:val="24"/>
                <w:highlight w:val="none"/>
                <w:lang w:eastAsia="zh-CN"/>
              </w:rPr>
              <w:t>统一社会信用代码</w:t>
            </w:r>
          </w:p>
        </w:tc>
        <w:tc>
          <w:tcPr>
            <w:tcW w:w="2819" w:type="pct"/>
            <w:gridSpan w:val="3"/>
            <w:noWrap w:val="0"/>
            <w:vAlign w:val="top"/>
          </w:tcPr>
          <w:p w14:paraId="211C6EC9">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78C7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93" w:type="pct"/>
            <w:vMerge w:val="continue"/>
            <w:noWrap w:val="0"/>
            <w:vAlign w:val="center"/>
          </w:tcPr>
          <w:p w14:paraId="1F301A8A">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7" w:type="pct"/>
            <w:noWrap w:val="0"/>
            <w:vAlign w:val="top"/>
          </w:tcPr>
          <w:p w14:paraId="5FA0EE23">
            <w:pPr>
              <w:tabs>
                <w:tab w:val="right" w:leader="dot" w:pos="9022"/>
              </w:tabs>
              <w:spacing w:line="24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工商登记机关</w:t>
            </w:r>
          </w:p>
        </w:tc>
        <w:tc>
          <w:tcPr>
            <w:tcW w:w="2819" w:type="pct"/>
            <w:gridSpan w:val="3"/>
            <w:noWrap w:val="0"/>
            <w:vAlign w:val="top"/>
          </w:tcPr>
          <w:p w14:paraId="08AA61FD">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7AA3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93" w:type="pct"/>
            <w:vMerge w:val="restart"/>
            <w:noWrap w:val="0"/>
            <w:vAlign w:val="center"/>
          </w:tcPr>
          <w:p w14:paraId="18F86B73">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w:t>
            </w:r>
          </w:p>
          <w:p w14:paraId="7A4C6792">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表人</w:t>
            </w:r>
          </w:p>
        </w:tc>
        <w:tc>
          <w:tcPr>
            <w:tcW w:w="1387" w:type="pct"/>
            <w:noWrap w:val="0"/>
            <w:vAlign w:val="top"/>
          </w:tcPr>
          <w:p w14:paraId="4EFBD403">
            <w:pPr>
              <w:tabs>
                <w:tab w:val="right" w:leader="dot" w:pos="9022"/>
              </w:tabs>
              <w:autoSpaceDE w:val="0"/>
              <w:autoSpaceDN w:val="0"/>
              <w:adjustRightInd w:val="0"/>
              <w:spacing w:line="240" w:lineRule="auto"/>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    名</w:t>
            </w:r>
          </w:p>
        </w:tc>
        <w:tc>
          <w:tcPr>
            <w:tcW w:w="788" w:type="pct"/>
            <w:noWrap w:val="0"/>
            <w:vAlign w:val="top"/>
          </w:tcPr>
          <w:p w14:paraId="5A30FD68">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c>
          <w:tcPr>
            <w:tcW w:w="918" w:type="pct"/>
            <w:noWrap w:val="0"/>
            <w:vAlign w:val="top"/>
          </w:tcPr>
          <w:p w14:paraId="108DEB6D">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1111" w:type="pct"/>
            <w:noWrap w:val="0"/>
            <w:vAlign w:val="top"/>
          </w:tcPr>
          <w:p w14:paraId="0480DF41">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6F57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93" w:type="pct"/>
            <w:vMerge w:val="continue"/>
            <w:noWrap w:val="0"/>
            <w:vAlign w:val="center"/>
          </w:tcPr>
          <w:p w14:paraId="1DB5B0FE">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7" w:type="pct"/>
            <w:noWrap w:val="0"/>
            <w:vAlign w:val="top"/>
          </w:tcPr>
          <w:p w14:paraId="0B2CE720">
            <w:pPr>
              <w:tabs>
                <w:tab w:val="right" w:leader="dot" w:pos="9022"/>
              </w:tabs>
              <w:autoSpaceDE w:val="0"/>
              <w:autoSpaceDN w:val="0"/>
              <w:adjustRightInd w:val="0"/>
              <w:spacing w:line="240" w:lineRule="auto"/>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    务</w:t>
            </w:r>
          </w:p>
        </w:tc>
        <w:tc>
          <w:tcPr>
            <w:tcW w:w="788" w:type="pct"/>
            <w:noWrap w:val="0"/>
            <w:vAlign w:val="top"/>
          </w:tcPr>
          <w:p w14:paraId="36593384">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c>
          <w:tcPr>
            <w:tcW w:w="918" w:type="pct"/>
            <w:noWrap w:val="0"/>
            <w:vAlign w:val="top"/>
          </w:tcPr>
          <w:p w14:paraId="3683BB58">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联系电话</w:t>
            </w:r>
          </w:p>
        </w:tc>
        <w:tc>
          <w:tcPr>
            <w:tcW w:w="1111" w:type="pct"/>
            <w:noWrap w:val="0"/>
            <w:vAlign w:val="top"/>
          </w:tcPr>
          <w:p w14:paraId="661416F8">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0116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93" w:type="pct"/>
            <w:vMerge w:val="continue"/>
            <w:noWrap w:val="0"/>
            <w:vAlign w:val="center"/>
          </w:tcPr>
          <w:p w14:paraId="156F0CE1">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c>
          <w:tcPr>
            <w:tcW w:w="1387" w:type="pct"/>
            <w:noWrap w:val="0"/>
            <w:vAlign w:val="top"/>
          </w:tcPr>
          <w:p w14:paraId="674785A0">
            <w:pPr>
              <w:tabs>
                <w:tab w:val="right" w:leader="dot" w:pos="9022"/>
              </w:tabs>
              <w:autoSpaceDE w:val="0"/>
              <w:autoSpaceDN w:val="0"/>
              <w:adjustRightInd w:val="0"/>
              <w:spacing w:line="240" w:lineRule="auto"/>
              <w:ind w:firstLine="240" w:firstLineChars="100"/>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通讯地址</w:t>
            </w:r>
          </w:p>
        </w:tc>
        <w:tc>
          <w:tcPr>
            <w:tcW w:w="2819" w:type="pct"/>
            <w:gridSpan w:val="3"/>
            <w:noWrap w:val="0"/>
            <w:vAlign w:val="top"/>
          </w:tcPr>
          <w:p w14:paraId="48E3F242">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p>
        </w:tc>
      </w:tr>
      <w:tr w14:paraId="4CAE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0" w:hRule="atLeast"/>
          <w:jc w:val="center"/>
        </w:trPr>
        <w:tc>
          <w:tcPr>
            <w:tcW w:w="5000" w:type="pct"/>
            <w:gridSpan w:val="5"/>
            <w:noWrap w:val="0"/>
            <w:vAlign w:val="top"/>
          </w:tcPr>
          <w:p w14:paraId="3FFD6DFE">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p w14:paraId="2D27EB7A">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p w14:paraId="19828905">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法定代表人身份证</w:t>
            </w:r>
            <w:r>
              <w:rPr>
                <w:rFonts w:hint="eastAsia" w:ascii="宋体" w:hAnsi="宋体" w:cs="宋体"/>
                <w:bCs/>
                <w:caps/>
                <w:color w:val="auto"/>
                <w:sz w:val="24"/>
                <w:szCs w:val="24"/>
                <w:highlight w:val="none"/>
                <w:lang w:eastAsia="zh-CN"/>
              </w:rPr>
              <w:t>正反面</w:t>
            </w:r>
            <w:r>
              <w:rPr>
                <w:rFonts w:hint="eastAsia" w:ascii="宋体" w:hAnsi="宋体" w:eastAsia="宋体" w:cs="宋体"/>
                <w:bCs/>
                <w:caps/>
                <w:color w:val="auto"/>
                <w:sz w:val="24"/>
                <w:szCs w:val="24"/>
                <w:highlight w:val="none"/>
              </w:rPr>
              <w:t>复印件</w:t>
            </w:r>
          </w:p>
          <w:p w14:paraId="33762F5A">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p w14:paraId="61A6082C">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p w14:paraId="5D4058D1">
            <w:pPr>
              <w:tabs>
                <w:tab w:val="right" w:leader="dot" w:pos="9022"/>
              </w:tabs>
              <w:autoSpaceDE w:val="0"/>
              <w:autoSpaceDN w:val="0"/>
              <w:adjustRightInd w:val="0"/>
              <w:spacing w:line="240" w:lineRule="auto"/>
              <w:jc w:val="both"/>
              <w:rPr>
                <w:rFonts w:hint="eastAsia" w:ascii="宋体" w:hAnsi="宋体" w:eastAsia="宋体" w:cs="宋体"/>
                <w:color w:val="auto"/>
                <w:spacing w:val="-4"/>
                <w:sz w:val="24"/>
                <w:szCs w:val="24"/>
                <w:highlight w:val="none"/>
              </w:rPr>
            </w:pPr>
          </w:p>
          <w:p w14:paraId="0F138B21">
            <w:pPr>
              <w:tabs>
                <w:tab w:val="right" w:leader="dot" w:pos="9022"/>
              </w:tabs>
              <w:autoSpaceDE w:val="0"/>
              <w:autoSpaceDN w:val="0"/>
              <w:adjustRightInd w:val="0"/>
              <w:spacing w:line="240" w:lineRule="auto"/>
              <w:jc w:val="center"/>
              <w:rPr>
                <w:rFonts w:hint="eastAsia" w:ascii="宋体" w:hAnsi="宋体" w:eastAsia="宋体" w:cs="宋体"/>
                <w:bCs/>
                <w:caps/>
                <w:color w:val="auto"/>
                <w:sz w:val="24"/>
                <w:szCs w:val="24"/>
                <w:highlight w:val="none"/>
              </w:rPr>
            </w:pPr>
          </w:p>
        </w:tc>
      </w:tr>
      <w:tr w14:paraId="1B9A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5000" w:type="pct"/>
            <w:gridSpan w:val="5"/>
            <w:noWrap w:val="0"/>
            <w:vAlign w:val="top"/>
          </w:tcPr>
          <w:p w14:paraId="21E97EB2">
            <w:pPr>
              <w:tabs>
                <w:tab w:val="right" w:leader="dot" w:pos="9022"/>
              </w:tabs>
              <w:autoSpaceDE w:val="0"/>
              <w:autoSpaceDN w:val="0"/>
              <w:adjustRightInd w:val="0"/>
              <w:spacing w:line="24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法定代表人签字</w:t>
            </w:r>
            <w:r>
              <w:rPr>
                <w:rFonts w:hint="eastAsia" w:ascii="宋体" w:hAnsi="宋体" w:eastAsia="宋体" w:cs="宋体"/>
                <w:bCs/>
                <w:caps/>
                <w:color w:val="auto"/>
                <w:sz w:val="24"/>
                <w:szCs w:val="24"/>
                <w:highlight w:val="none"/>
                <w:lang w:eastAsia="zh-CN"/>
              </w:rPr>
              <w:t>及</w:t>
            </w:r>
            <w:r>
              <w:rPr>
                <w:rFonts w:hint="eastAsia" w:ascii="宋体" w:hAnsi="宋体" w:eastAsia="宋体" w:cs="宋体"/>
                <w:bCs/>
                <w:caps/>
                <w:color w:val="auto"/>
                <w:sz w:val="24"/>
                <w:szCs w:val="24"/>
                <w:highlight w:val="none"/>
              </w:rPr>
              <w:t>盖章：</w:t>
            </w:r>
          </w:p>
        </w:tc>
      </w:tr>
    </w:tbl>
    <w:p w14:paraId="545AC226">
      <w:pPr>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spacing w:val="4"/>
          <w:sz w:val="24"/>
          <w:szCs w:val="24"/>
          <w:highlight w:val="none"/>
          <w:lang w:val="en-US"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日 期：</w:t>
      </w:r>
    </w:p>
    <w:p w14:paraId="48E5DD84">
      <w:pPr>
        <w:spacing w:line="360" w:lineRule="auto"/>
        <w:ind w:left="280" w:leftChars="1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2、法定代表人授权委托书</w:t>
      </w:r>
    </w:p>
    <w:tbl>
      <w:tblPr>
        <w:tblStyle w:val="26"/>
        <w:tblW w:w="51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257"/>
        <w:gridCol w:w="915"/>
        <w:gridCol w:w="838"/>
        <w:gridCol w:w="154"/>
        <w:gridCol w:w="1217"/>
        <w:gridCol w:w="3239"/>
      </w:tblGrid>
      <w:tr w14:paraId="3D34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000" w:type="pct"/>
            <w:gridSpan w:val="7"/>
            <w:noWrap w:val="0"/>
            <w:vAlign w:val="top"/>
          </w:tcPr>
          <w:p w14:paraId="22B1F75A">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致：</w:t>
            </w:r>
            <w:r>
              <w:rPr>
                <w:rFonts w:hint="eastAsia" w:ascii="宋体" w:hAnsi="宋体" w:cs="宋体"/>
                <w:bCs/>
                <w:caps/>
                <w:color w:val="auto"/>
                <w:sz w:val="24"/>
                <w:szCs w:val="24"/>
                <w:highlight w:val="none"/>
                <w:lang w:eastAsia="zh-CN"/>
              </w:rPr>
              <w:t>鑫益瑞建设工程有限公司</w:t>
            </w:r>
          </w:p>
        </w:tc>
      </w:tr>
      <w:tr w14:paraId="54ED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vMerge w:val="restart"/>
            <w:noWrap w:val="0"/>
            <w:vAlign w:val="center"/>
          </w:tcPr>
          <w:p w14:paraId="31E35CFC">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w:t>
            </w:r>
          </w:p>
          <w:p w14:paraId="0E887539">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权项</w:t>
            </w:r>
          </w:p>
          <w:p w14:paraId="2303B8DC">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目与</w:t>
            </w:r>
          </w:p>
          <w:p w14:paraId="36A52773">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内容</w:t>
            </w:r>
          </w:p>
        </w:tc>
        <w:tc>
          <w:tcPr>
            <w:tcW w:w="686" w:type="pct"/>
            <w:noWrap w:val="0"/>
            <w:vAlign w:val="top"/>
          </w:tcPr>
          <w:p w14:paraId="3E94B12F">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项目名称</w:t>
            </w:r>
          </w:p>
        </w:tc>
        <w:tc>
          <w:tcPr>
            <w:tcW w:w="3470" w:type="pct"/>
            <w:gridSpan w:val="5"/>
            <w:noWrap w:val="0"/>
            <w:vAlign w:val="top"/>
          </w:tcPr>
          <w:p w14:paraId="580DC073">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r>
      <w:tr w14:paraId="0543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vMerge w:val="continue"/>
            <w:noWrap w:val="0"/>
            <w:vAlign w:val="top"/>
          </w:tcPr>
          <w:p w14:paraId="17AD1E7A">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686" w:type="pct"/>
            <w:noWrap w:val="0"/>
            <w:vAlign w:val="top"/>
          </w:tcPr>
          <w:p w14:paraId="446DBC80">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文件编号</w:t>
            </w:r>
          </w:p>
        </w:tc>
        <w:tc>
          <w:tcPr>
            <w:tcW w:w="3470" w:type="pct"/>
            <w:gridSpan w:val="5"/>
            <w:noWrap w:val="0"/>
            <w:vAlign w:val="top"/>
          </w:tcPr>
          <w:p w14:paraId="1E745466">
            <w:pPr>
              <w:tabs>
                <w:tab w:val="right" w:leader="dot" w:pos="9022"/>
              </w:tabs>
              <w:autoSpaceDE w:val="0"/>
              <w:autoSpaceDN w:val="0"/>
              <w:adjustRightInd w:val="0"/>
              <w:spacing w:line="360" w:lineRule="auto"/>
              <w:ind w:firstLine="1200" w:firstLineChars="500"/>
              <w:jc w:val="left"/>
              <w:rPr>
                <w:rFonts w:hint="eastAsia" w:ascii="宋体" w:hAnsi="宋体" w:eastAsia="宋体" w:cs="宋体"/>
                <w:bCs/>
                <w:caps/>
                <w:color w:val="auto"/>
                <w:sz w:val="24"/>
                <w:szCs w:val="24"/>
                <w:highlight w:val="none"/>
              </w:rPr>
            </w:pPr>
          </w:p>
        </w:tc>
      </w:tr>
      <w:tr w14:paraId="4660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43" w:type="pct"/>
            <w:vMerge w:val="continue"/>
            <w:noWrap w:val="0"/>
            <w:vAlign w:val="top"/>
          </w:tcPr>
          <w:p w14:paraId="4AF5FA02">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686" w:type="pct"/>
            <w:noWrap w:val="0"/>
            <w:vAlign w:val="center"/>
          </w:tcPr>
          <w:p w14:paraId="5F64B256">
            <w:pPr>
              <w:tabs>
                <w:tab w:val="right" w:leader="dot" w:pos="9022"/>
              </w:tabs>
              <w:autoSpaceDE w:val="0"/>
              <w:autoSpaceDN w:val="0"/>
              <w:adjustRightInd w:val="0"/>
              <w:spacing w:line="360" w:lineRule="auto"/>
              <w:jc w:val="both"/>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授权范围</w:t>
            </w:r>
          </w:p>
        </w:tc>
        <w:tc>
          <w:tcPr>
            <w:tcW w:w="3470" w:type="pct"/>
            <w:gridSpan w:val="5"/>
            <w:noWrap w:val="0"/>
            <w:vAlign w:val="top"/>
          </w:tcPr>
          <w:p w14:paraId="68BDF149">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全权办理本次</w:t>
            </w:r>
            <w:r>
              <w:rPr>
                <w:rFonts w:hint="eastAsia" w:ascii="宋体" w:hAnsi="宋体" w:eastAsia="宋体" w:cs="宋体"/>
                <w:bCs/>
                <w:caps/>
                <w:color w:val="auto"/>
                <w:sz w:val="24"/>
                <w:szCs w:val="24"/>
                <w:highlight w:val="none"/>
                <w:lang w:eastAsia="zh-CN"/>
              </w:rPr>
              <w:t>磋商</w:t>
            </w:r>
            <w:r>
              <w:rPr>
                <w:rFonts w:hint="eastAsia" w:ascii="宋体" w:hAnsi="宋体" w:eastAsia="宋体" w:cs="宋体"/>
                <w:bCs/>
                <w:caps/>
                <w:color w:val="auto"/>
                <w:sz w:val="24"/>
                <w:szCs w:val="24"/>
                <w:highlight w:val="none"/>
              </w:rPr>
              <w:t>采购项目的投标、联系、洽谈、签约、执行等具体事务，签署全部有关文件、文书、协议及合同。</w:t>
            </w:r>
          </w:p>
        </w:tc>
      </w:tr>
      <w:tr w14:paraId="5259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vMerge w:val="continue"/>
            <w:noWrap w:val="0"/>
            <w:vAlign w:val="top"/>
          </w:tcPr>
          <w:p w14:paraId="0464BCC5">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686" w:type="pct"/>
            <w:noWrap w:val="0"/>
            <w:vAlign w:val="top"/>
          </w:tcPr>
          <w:p w14:paraId="7F15F11C">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法律责任</w:t>
            </w:r>
          </w:p>
        </w:tc>
        <w:tc>
          <w:tcPr>
            <w:tcW w:w="3470" w:type="pct"/>
            <w:gridSpan w:val="5"/>
            <w:noWrap w:val="0"/>
            <w:vAlign w:val="top"/>
          </w:tcPr>
          <w:p w14:paraId="0871900E">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本公司对被授权人在本项目中的签名承担全部法律责任。</w:t>
            </w:r>
          </w:p>
        </w:tc>
      </w:tr>
      <w:tr w14:paraId="4744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vMerge w:val="continue"/>
            <w:noWrap w:val="0"/>
            <w:vAlign w:val="top"/>
          </w:tcPr>
          <w:p w14:paraId="0C24846E">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686" w:type="pct"/>
            <w:noWrap w:val="0"/>
            <w:vAlign w:val="center"/>
          </w:tcPr>
          <w:p w14:paraId="655CEF50">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授权期限</w:t>
            </w:r>
          </w:p>
        </w:tc>
        <w:tc>
          <w:tcPr>
            <w:tcW w:w="3470" w:type="pct"/>
            <w:gridSpan w:val="5"/>
            <w:noWrap w:val="0"/>
            <w:vAlign w:val="center"/>
          </w:tcPr>
          <w:p w14:paraId="233E141D">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本授权书</w:t>
            </w:r>
            <w:r>
              <w:rPr>
                <w:rFonts w:hint="eastAsia" w:ascii="宋体" w:hAnsi="宋体" w:eastAsia="宋体" w:cs="宋体"/>
                <w:color w:val="auto"/>
                <w:sz w:val="24"/>
                <w:szCs w:val="24"/>
                <w:highlight w:val="none"/>
              </w:rPr>
              <w:t>自提交投标文件的截止之日起90个日历日</w:t>
            </w:r>
          </w:p>
        </w:tc>
      </w:tr>
      <w:tr w14:paraId="5C78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vMerge w:val="restart"/>
            <w:noWrap w:val="0"/>
            <w:vAlign w:val="center"/>
          </w:tcPr>
          <w:p w14:paraId="59F4CE9E">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企业信息</w:t>
            </w:r>
          </w:p>
        </w:tc>
        <w:tc>
          <w:tcPr>
            <w:tcW w:w="1185" w:type="pct"/>
            <w:gridSpan w:val="2"/>
            <w:noWrap w:val="0"/>
            <w:vAlign w:val="top"/>
          </w:tcPr>
          <w:p w14:paraId="6C4E7F8C">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 xml:space="preserve">企 业 名 称 </w:t>
            </w:r>
          </w:p>
        </w:tc>
        <w:tc>
          <w:tcPr>
            <w:tcW w:w="2971" w:type="pct"/>
            <w:gridSpan w:val="4"/>
            <w:noWrap w:val="0"/>
            <w:vAlign w:val="center"/>
          </w:tcPr>
          <w:p w14:paraId="0E292223">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p>
        </w:tc>
      </w:tr>
      <w:tr w14:paraId="00FC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vMerge w:val="continue"/>
            <w:noWrap w:val="0"/>
            <w:vAlign w:val="top"/>
          </w:tcPr>
          <w:p w14:paraId="16AC5FB9">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1185" w:type="pct"/>
            <w:gridSpan w:val="2"/>
            <w:noWrap w:val="0"/>
            <w:vAlign w:val="top"/>
          </w:tcPr>
          <w:p w14:paraId="32BF7AAA">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 定 地 址</w:t>
            </w:r>
          </w:p>
        </w:tc>
        <w:tc>
          <w:tcPr>
            <w:tcW w:w="2971" w:type="pct"/>
            <w:gridSpan w:val="4"/>
            <w:noWrap w:val="0"/>
            <w:vAlign w:val="center"/>
          </w:tcPr>
          <w:p w14:paraId="36DBCC7B">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p>
        </w:tc>
      </w:tr>
      <w:tr w14:paraId="39B0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vMerge w:val="continue"/>
            <w:noWrap w:val="0"/>
            <w:vAlign w:val="top"/>
          </w:tcPr>
          <w:p w14:paraId="0072E29F">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1185" w:type="pct"/>
            <w:gridSpan w:val="2"/>
            <w:noWrap w:val="0"/>
            <w:vAlign w:val="top"/>
          </w:tcPr>
          <w:p w14:paraId="3413657A">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lang w:eastAsia="zh-CN"/>
              </w:rPr>
              <w:t>统一社会信用代码</w:t>
            </w:r>
          </w:p>
        </w:tc>
        <w:tc>
          <w:tcPr>
            <w:tcW w:w="2971" w:type="pct"/>
            <w:gridSpan w:val="4"/>
            <w:noWrap w:val="0"/>
            <w:vAlign w:val="center"/>
          </w:tcPr>
          <w:p w14:paraId="531193C5">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p>
        </w:tc>
      </w:tr>
      <w:tr w14:paraId="555F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vMerge w:val="restart"/>
            <w:noWrap w:val="0"/>
            <w:vAlign w:val="center"/>
          </w:tcPr>
          <w:p w14:paraId="611F977C">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w:t>
            </w:r>
          </w:p>
        </w:tc>
        <w:tc>
          <w:tcPr>
            <w:tcW w:w="686" w:type="pct"/>
            <w:noWrap w:val="0"/>
            <w:vAlign w:val="center"/>
          </w:tcPr>
          <w:p w14:paraId="4232AFDC">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w:t>
            </w:r>
            <w:r>
              <w:rPr>
                <w:rFonts w:hint="eastAsia" w:ascii="宋体" w:hAnsi="宋体" w:cs="宋体"/>
                <w:bCs/>
                <w:caps/>
                <w:color w:val="auto"/>
                <w:sz w:val="24"/>
                <w:szCs w:val="24"/>
                <w:highlight w:val="none"/>
                <w:lang w:val="en-US" w:eastAsia="zh-CN"/>
              </w:rPr>
              <w:t xml:space="preserve"> </w:t>
            </w:r>
            <w:r>
              <w:rPr>
                <w:rFonts w:hint="eastAsia" w:ascii="宋体" w:hAnsi="宋体" w:eastAsia="宋体" w:cs="宋体"/>
                <w:bCs/>
                <w:caps/>
                <w:color w:val="auto"/>
                <w:sz w:val="24"/>
                <w:szCs w:val="24"/>
                <w:highlight w:val="none"/>
              </w:rPr>
              <w:t>名</w:t>
            </w:r>
          </w:p>
        </w:tc>
        <w:tc>
          <w:tcPr>
            <w:tcW w:w="1040" w:type="pct"/>
            <w:gridSpan w:val="3"/>
            <w:noWrap w:val="0"/>
            <w:vAlign w:val="center"/>
          </w:tcPr>
          <w:p w14:paraId="7201560E">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c>
          <w:tcPr>
            <w:tcW w:w="664" w:type="pct"/>
            <w:noWrap w:val="0"/>
            <w:vAlign w:val="center"/>
          </w:tcPr>
          <w:p w14:paraId="5B7EC75C">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1764" w:type="pct"/>
            <w:noWrap w:val="0"/>
            <w:vAlign w:val="center"/>
          </w:tcPr>
          <w:p w14:paraId="7F2A3C28">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r>
      <w:tr w14:paraId="4C53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vMerge w:val="continue"/>
            <w:noWrap w:val="0"/>
            <w:vAlign w:val="center"/>
          </w:tcPr>
          <w:p w14:paraId="57F24478">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686" w:type="pct"/>
            <w:noWrap w:val="0"/>
            <w:vAlign w:val="center"/>
          </w:tcPr>
          <w:p w14:paraId="0E0BAE08">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w:t>
            </w:r>
            <w:r>
              <w:rPr>
                <w:rFonts w:hint="eastAsia" w:ascii="宋体" w:hAnsi="宋体" w:cs="宋体"/>
                <w:bCs/>
                <w:caps/>
                <w:color w:val="auto"/>
                <w:sz w:val="24"/>
                <w:szCs w:val="24"/>
                <w:highlight w:val="none"/>
                <w:lang w:val="en-US" w:eastAsia="zh-CN"/>
              </w:rPr>
              <w:t xml:space="preserve"> </w:t>
            </w:r>
            <w:r>
              <w:rPr>
                <w:rFonts w:hint="eastAsia" w:ascii="宋体" w:hAnsi="宋体" w:eastAsia="宋体" w:cs="宋体"/>
                <w:bCs/>
                <w:caps/>
                <w:color w:val="auto"/>
                <w:sz w:val="24"/>
                <w:szCs w:val="24"/>
                <w:highlight w:val="none"/>
              </w:rPr>
              <w:t>务</w:t>
            </w:r>
          </w:p>
        </w:tc>
        <w:tc>
          <w:tcPr>
            <w:tcW w:w="1040" w:type="pct"/>
            <w:gridSpan w:val="3"/>
            <w:noWrap w:val="0"/>
            <w:vAlign w:val="center"/>
          </w:tcPr>
          <w:p w14:paraId="4BA414BE">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c>
          <w:tcPr>
            <w:tcW w:w="664" w:type="pct"/>
            <w:noWrap w:val="0"/>
            <w:vAlign w:val="center"/>
          </w:tcPr>
          <w:p w14:paraId="050B780A">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联系电话</w:t>
            </w:r>
          </w:p>
        </w:tc>
        <w:tc>
          <w:tcPr>
            <w:tcW w:w="1764" w:type="pct"/>
            <w:noWrap w:val="0"/>
            <w:vAlign w:val="center"/>
          </w:tcPr>
          <w:p w14:paraId="5F33F261">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p>
        </w:tc>
      </w:tr>
      <w:tr w14:paraId="520D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vMerge w:val="restart"/>
            <w:noWrap w:val="0"/>
            <w:vAlign w:val="center"/>
          </w:tcPr>
          <w:p w14:paraId="79699CCE">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被授权人</w:t>
            </w:r>
          </w:p>
        </w:tc>
        <w:tc>
          <w:tcPr>
            <w:tcW w:w="686" w:type="pct"/>
            <w:noWrap w:val="0"/>
            <w:vAlign w:val="center"/>
          </w:tcPr>
          <w:p w14:paraId="3C3938B6">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w:t>
            </w:r>
            <w:r>
              <w:rPr>
                <w:rFonts w:hint="eastAsia" w:ascii="宋体" w:hAnsi="宋体" w:cs="宋体"/>
                <w:bCs/>
                <w:caps/>
                <w:color w:val="auto"/>
                <w:sz w:val="24"/>
                <w:szCs w:val="24"/>
                <w:highlight w:val="none"/>
                <w:lang w:val="en-US" w:eastAsia="zh-CN"/>
              </w:rPr>
              <w:t xml:space="preserve"> </w:t>
            </w:r>
            <w:r>
              <w:rPr>
                <w:rFonts w:hint="eastAsia" w:ascii="宋体" w:hAnsi="宋体" w:eastAsia="宋体" w:cs="宋体"/>
                <w:bCs/>
                <w:caps/>
                <w:color w:val="auto"/>
                <w:sz w:val="24"/>
                <w:szCs w:val="24"/>
                <w:highlight w:val="none"/>
              </w:rPr>
              <w:t>名</w:t>
            </w:r>
          </w:p>
        </w:tc>
        <w:tc>
          <w:tcPr>
            <w:tcW w:w="1040" w:type="pct"/>
            <w:gridSpan w:val="3"/>
            <w:noWrap w:val="0"/>
            <w:vAlign w:val="center"/>
          </w:tcPr>
          <w:p w14:paraId="0AC3F256">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c>
          <w:tcPr>
            <w:tcW w:w="664" w:type="pct"/>
            <w:noWrap w:val="0"/>
            <w:vAlign w:val="center"/>
          </w:tcPr>
          <w:p w14:paraId="5FFFE94E">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1764" w:type="pct"/>
            <w:noWrap w:val="0"/>
            <w:vAlign w:val="center"/>
          </w:tcPr>
          <w:p w14:paraId="6A5B1AA3">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r>
      <w:tr w14:paraId="3289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3" w:type="pct"/>
            <w:vMerge w:val="continue"/>
            <w:noWrap w:val="0"/>
            <w:vAlign w:val="top"/>
          </w:tcPr>
          <w:p w14:paraId="0027783C">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c>
          <w:tcPr>
            <w:tcW w:w="686" w:type="pct"/>
            <w:noWrap w:val="0"/>
            <w:vAlign w:val="center"/>
          </w:tcPr>
          <w:p w14:paraId="42636BE4">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w:t>
            </w:r>
            <w:r>
              <w:rPr>
                <w:rFonts w:hint="eastAsia" w:ascii="宋体" w:hAnsi="宋体" w:cs="宋体"/>
                <w:bCs/>
                <w:caps/>
                <w:color w:val="auto"/>
                <w:sz w:val="24"/>
                <w:szCs w:val="24"/>
                <w:highlight w:val="none"/>
                <w:lang w:val="en-US" w:eastAsia="zh-CN"/>
              </w:rPr>
              <w:t xml:space="preserve"> </w:t>
            </w:r>
            <w:r>
              <w:rPr>
                <w:rFonts w:hint="eastAsia" w:ascii="宋体" w:hAnsi="宋体" w:eastAsia="宋体" w:cs="宋体"/>
                <w:bCs/>
                <w:caps/>
                <w:color w:val="auto"/>
                <w:sz w:val="24"/>
                <w:szCs w:val="24"/>
                <w:highlight w:val="none"/>
              </w:rPr>
              <w:t>务</w:t>
            </w:r>
          </w:p>
        </w:tc>
        <w:tc>
          <w:tcPr>
            <w:tcW w:w="1040" w:type="pct"/>
            <w:gridSpan w:val="3"/>
            <w:noWrap w:val="0"/>
            <w:vAlign w:val="center"/>
          </w:tcPr>
          <w:p w14:paraId="149E9F27">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c>
          <w:tcPr>
            <w:tcW w:w="664" w:type="pct"/>
            <w:noWrap w:val="0"/>
            <w:vAlign w:val="center"/>
          </w:tcPr>
          <w:p w14:paraId="77667645">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联系电话</w:t>
            </w:r>
          </w:p>
        </w:tc>
        <w:tc>
          <w:tcPr>
            <w:tcW w:w="1764" w:type="pct"/>
            <w:noWrap w:val="0"/>
            <w:vAlign w:val="top"/>
          </w:tcPr>
          <w:p w14:paraId="12612DAA">
            <w:pPr>
              <w:tabs>
                <w:tab w:val="right" w:leader="dot" w:pos="9022"/>
              </w:tabs>
              <w:autoSpaceDE w:val="0"/>
              <w:autoSpaceDN w:val="0"/>
              <w:adjustRightInd w:val="0"/>
              <w:spacing w:line="360" w:lineRule="auto"/>
              <w:rPr>
                <w:rFonts w:hint="eastAsia" w:ascii="宋体" w:hAnsi="宋体" w:eastAsia="宋体" w:cs="宋体"/>
                <w:bCs/>
                <w:caps/>
                <w:color w:val="auto"/>
                <w:sz w:val="24"/>
                <w:szCs w:val="24"/>
                <w:highlight w:val="none"/>
              </w:rPr>
            </w:pPr>
          </w:p>
        </w:tc>
      </w:tr>
      <w:tr w14:paraId="2973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43" w:type="pct"/>
            <w:noWrap w:val="0"/>
            <w:vAlign w:val="top"/>
          </w:tcPr>
          <w:p w14:paraId="2A56672B">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通讯地址</w:t>
            </w:r>
          </w:p>
        </w:tc>
        <w:tc>
          <w:tcPr>
            <w:tcW w:w="4156" w:type="pct"/>
            <w:gridSpan w:val="6"/>
            <w:noWrap w:val="0"/>
            <w:vAlign w:val="top"/>
          </w:tcPr>
          <w:p w14:paraId="387CAC42">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tc>
      </w:tr>
      <w:tr w14:paraId="6206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7" w:hRule="atLeast"/>
          <w:jc w:val="center"/>
        </w:trPr>
        <w:tc>
          <w:tcPr>
            <w:tcW w:w="2485" w:type="pct"/>
            <w:gridSpan w:val="4"/>
            <w:noWrap w:val="0"/>
            <w:vAlign w:val="center"/>
          </w:tcPr>
          <w:p w14:paraId="26F0987A">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法定代表人身份证</w:t>
            </w:r>
            <w:r>
              <w:rPr>
                <w:rFonts w:hint="eastAsia" w:ascii="宋体" w:hAnsi="宋体" w:cs="宋体"/>
                <w:bCs/>
                <w:caps/>
                <w:color w:val="auto"/>
                <w:sz w:val="24"/>
                <w:szCs w:val="24"/>
                <w:highlight w:val="none"/>
                <w:lang w:eastAsia="zh-CN"/>
              </w:rPr>
              <w:t>正反面</w:t>
            </w:r>
            <w:r>
              <w:rPr>
                <w:rFonts w:hint="eastAsia" w:ascii="宋体" w:hAnsi="宋体" w:eastAsia="宋体" w:cs="宋体"/>
                <w:bCs/>
                <w:caps/>
                <w:color w:val="auto"/>
                <w:sz w:val="24"/>
                <w:szCs w:val="24"/>
                <w:highlight w:val="none"/>
              </w:rPr>
              <w:t>复印件</w:t>
            </w:r>
          </w:p>
          <w:p w14:paraId="06F0F817">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p w14:paraId="6515D209">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c>
          <w:tcPr>
            <w:tcW w:w="2514" w:type="pct"/>
            <w:gridSpan w:val="3"/>
            <w:noWrap w:val="0"/>
            <w:vAlign w:val="center"/>
          </w:tcPr>
          <w:p w14:paraId="2CEA5B0F">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被授权人身份证</w:t>
            </w:r>
            <w:r>
              <w:rPr>
                <w:rFonts w:hint="eastAsia" w:ascii="宋体" w:hAnsi="宋体" w:cs="宋体"/>
                <w:bCs/>
                <w:caps/>
                <w:color w:val="auto"/>
                <w:sz w:val="24"/>
                <w:szCs w:val="24"/>
                <w:highlight w:val="none"/>
                <w:lang w:eastAsia="zh-CN"/>
              </w:rPr>
              <w:t>正反面</w:t>
            </w:r>
            <w:r>
              <w:rPr>
                <w:rFonts w:hint="eastAsia" w:ascii="宋体" w:hAnsi="宋体" w:eastAsia="宋体" w:cs="宋体"/>
                <w:bCs/>
                <w:caps/>
                <w:color w:val="auto"/>
                <w:sz w:val="24"/>
                <w:szCs w:val="24"/>
                <w:highlight w:val="none"/>
              </w:rPr>
              <w:t>复印件</w:t>
            </w:r>
          </w:p>
          <w:p w14:paraId="5E2715CD">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p>
          <w:p w14:paraId="091216A5">
            <w:pPr>
              <w:tabs>
                <w:tab w:val="right" w:leader="dot" w:pos="9022"/>
              </w:tabs>
              <w:autoSpaceDE w:val="0"/>
              <w:autoSpaceDN w:val="0"/>
              <w:adjustRightInd w:val="0"/>
              <w:spacing w:line="360" w:lineRule="auto"/>
              <w:jc w:val="center"/>
              <w:rPr>
                <w:rFonts w:hint="eastAsia" w:ascii="宋体" w:hAnsi="宋体" w:eastAsia="宋体" w:cs="宋体"/>
                <w:bCs/>
                <w:caps/>
                <w:color w:val="auto"/>
                <w:sz w:val="24"/>
                <w:szCs w:val="24"/>
                <w:highlight w:val="none"/>
              </w:rPr>
            </w:pPr>
          </w:p>
        </w:tc>
      </w:tr>
      <w:tr w14:paraId="0B76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000" w:type="pct"/>
            <w:gridSpan w:val="7"/>
            <w:tcBorders>
              <w:bottom w:val="single" w:color="auto" w:sz="4" w:space="0"/>
            </w:tcBorders>
            <w:noWrap w:val="0"/>
            <w:vAlign w:val="center"/>
          </w:tcPr>
          <w:p w14:paraId="3626A9A5">
            <w:pPr>
              <w:tabs>
                <w:tab w:val="right" w:leader="dot" w:pos="9022"/>
              </w:tabs>
              <w:autoSpaceDE w:val="0"/>
              <w:autoSpaceDN w:val="0"/>
              <w:adjustRightInd w:val="0"/>
              <w:spacing w:line="360" w:lineRule="auto"/>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w:t>
            </w:r>
            <w:r>
              <w:rPr>
                <w:rFonts w:hint="eastAsia" w:ascii="宋体" w:hAnsi="宋体" w:eastAsia="宋体" w:cs="宋体"/>
                <w:bCs/>
                <w:caps/>
                <w:color w:val="auto"/>
                <w:sz w:val="24"/>
                <w:szCs w:val="24"/>
                <w:highlight w:val="none"/>
                <w:lang w:eastAsia="zh-CN"/>
              </w:rPr>
              <w:t>及被授权人</w:t>
            </w:r>
            <w:r>
              <w:rPr>
                <w:rFonts w:hint="eastAsia" w:ascii="宋体" w:hAnsi="宋体" w:eastAsia="宋体" w:cs="宋体"/>
                <w:bCs/>
                <w:caps/>
                <w:color w:val="auto"/>
                <w:sz w:val="24"/>
                <w:szCs w:val="24"/>
                <w:highlight w:val="none"/>
              </w:rPr>
              <w:t>签字或盖章：</w:t>
            </w:r>
          </w:p>
        </w:tc>
      </w:tr>
    </w:tbl>
    <w:p w14:paraId="1D6B5509">
      <w:pPr>
        <w:autoSpaceDE w:val="0"/>
        <w:autoSpaceDN w:val="0"/>
        <w:adjustRightInd w:val="0"/>
        <w:snapToGrid w:val="0"/>
        <w:spacing w:line="360" w:lineRule="auto"/>
        <w:rPr>
          <w:rFonts w:hint="eastAsia" w:ascii="宋体" w:hAnsi="宋体" w:eastAsia="宋体" w:cs="宋体"/>
          <w:bCs/>
          <w:caps/>
          <w:color w:val="auto"/>
          <w:sz w:val="24"/>
          <w:szCs w:val="24"/>
          <w:highlight w:val="none"/>
        </w:rPr>
      </w:pPr>
      <w:r>
        <w:rPr>
          <w:rFonts w:hint="eastAsia" w:ascii="宋体" w:hAnsi="宋体" w:eastAsia="宋体" w:cs="宋体"/>
          <w:color w:val="auto"/>
          <w:spacing w:val="4"/>
          <w:sz w:val="24"/>
          <w:szCs w:val="24"/>
          <w:highlight w:val="none"/>
          <w:lang w:val="en-US" w:eastAsia="zh-CN"/>
        </w:rPr>
        <w:t>供应商</w:t>
      </w:r>
      <w:r>
        <w:rPr>
          <w:rFonts w:hint="eastAsia" w:ascii="宋体" w:hAnsi="宋体" w:eastAsia="宋体" w:cs="宋体"/>
          <w:bCs/>
          <w:caps/>
          <w:color w:val="auto"/>
          <w:sz w:val="24"/>
          <w:szCs w:val="24"/>
          <w:highlight w:val="none"/>
        </w:rPr>
        <w:t>名称：</w:t>
      </w:r>
      <w:r>
        <w:rPr>
          <w:rFonts w:hint="eastAsia" w:ascii="宋体" w:hAnsi="宋体" w:eastAsia="宋体" w:cs="宋体"/>
          <w:bCs/>
          <w:caps/>
          <w:color w:val="auto"/>
          <w:sz w:val="24"/>
          <w:szCs w:val="24"/>
          <w:highlight w:val="none"/>
          <w:u w:val="single"/>
        </w:rPr>
        <w:t xml:space="preserve">             </w:t>
      </w:r>
      <w:r>
        <w:rPr>
          <w:rFonts w:hint="eastAsia" w:ascii="宋体" w:hAnsi="宋体" w:eastAsia="宋体" w:cs="宋体"/>
          <w:bCs/>
          <w:caps/>
          <w:color w:val="auto"/>
          <w:sz w:val="24"/>
          <w:szCs w:val="24"/>
          <w:highlight w:val="none"/>
        </w:rPr>
        <w:t>（</w:t>
      </w:r>
      <w:r>
        <w:rPr>
          <w:rFonts w:hint="eastAsia" w:ascii="宋体" w:hAnsi="宋体" w:eastAsia="宋体" w:cs="宋体"/>
          <w:bCs/>
          <w:caps/>
          <w:color w:val="auto"/>
          <w:sz w:val="24"/>
          <w:szCs w:val="24"/>
          <w:highlight w:val="none"/>
          <w:lang w:eastAsia="zh-CN"/>
        </w:rPr>
        <w:t>供应商</w:t>
      </w:r>
      <w:r>
        <w:rPr>
          <w:rFonts w:hint="eastAsia" w:ascii="宋体" w:hAnsi="宋体" w:eastAsia="宋体" w:cs="宋体"/>
          <w:bCs/>
          <w:caps/>
          <w:color w:val="auto"/>
          <w:sz w:val="24"/>
          <w:szCs w:val="24"/>
          <w:highlight w:val="none"/>
        </w:rPr>
        <w:t xml:space="preserve">公章）     日 期：  </w:t>
      </w:r>
    </w:p>
    <w:p w14:paraId="1B342BC1">
      <w:pPr>
        <w:pStyle w:val="7"/>
        <w:numPr>
          <w:ilvl w:val="0"/>
          <w:numId w:val="0"/>
        </w:numPr>
        <w:spacing w:line="360" w:lineRule="auto"/>
        <w:jc w:val="both"/>
        <w:outlineLvl w:val="9"/>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rPr>
        <w:br w:type="page"/>
      </w:r>
      <w:r>
        <w:rPr>
          <w:rFonts w:hint="eastAsia" w:ascii="宋体" w:hAnsi="宋体" w:eastAsia="宋体" w:cs="宋体"/>
          <w:b w:val="0"/>
          <w:bCs w:val="0"/>
          <w:color w:val="auto"/>
          <w:kern w:val="0"/>
          <w:sz w:val="24"/>
          <w:szCs w:val="24"/>
          <w:highlight w:val="none"/>
          <w:lang w:val="en-US" w:eastAsia="zh-CN" w:bidi="ar-SA"/>
        </w:rPr>
        <w:t>附</w:t>
      </w:r>
      <w:r>
        <w:rPr>
          <w:rFonts w:hint="eastAsia" w:ascii="宋体" w:hAnsi="宋体" w:cs="宋体"/>
          <w:b w:val="0"/>
          <w:bCs w:val="0"/>
          <w:color w:val="auto"/>
          <w:kern w:val="0"/>
          <w:sz w:val="24"/>
          <w:szCs w:val="24"/>
          <w:highlight w:val="none"/>
          <w:lang w:val="en-US" w:eastAsia="zh-CN" w:bidi="ar-SA"/>
        </w:rPr>
        <w:t>件</w:t>
      </w:r>
      <w:r>
        <w:rPr>
          <w:rFonts w:hint="eastAsia" w:ascii="宋体" w:hAnsi="宋体" w:eastAsia="宋体" w:cs="宋体"/>
          <w:b w:val="0"/>
          <w:bCs w:val="0"/>
          <w:color w:val="auto"/>
          <w:kern w:val="0"/>
          <w:sz w:val="24"/>
          <w:szCs w:val="24"/>
          <w:highlight w:val="none"/>
          <w:lang w:val="en-US" w:eastAsia="zh-CN" w:bidi="ar-SA"/>
        </w:rPr>
        <w:t>三：《中小企业声明函》</w:t>
      </w:r>
    </w:p>
    <w:p w14:paraId="58BB0227">
      <w:pPr>
        <w:pStyle w:val="7"/>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en-US" w:bidi="ar-SA"/>
        </w:rPr>
        <w:t>中小企业声明函</w:t>
      </w:r>
    </w:p>
    <w:p w14:paraId="0B6ADEA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 号）的规定，本公司 （联合体）参加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40C26AF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w:t>
      </w:r>
      <w:r>
        <w:rPr>
          <w:rFonts w:hint="eastAsia" w:ascii="宋体" w:hAnsi="宋体" w:eastAsia="宋体" w:cs="宋体"/>
          <w:color w:val="auto"/>
          <w:sz w:val="24"/>
          <w:szCs w:val="24"/>
          <w:highlight w:val="none"/>
          <w:u w:val="single"/>
        </w:rPr>
        <w:t xml:space="preserve"> （标的名称）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 ，属于（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07E5CAE9">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w:t>
      </w:r>
      <w:r>
        <w:rPr>
          <w:rFonts w:hint="eastAsia" w:ascii="宋体" w:hAnsi="宋体" w:eastAsia="宋体" w:cs="宋体"/>
          <w:color w:val="auto"/>
          <w:sz w:val="24"/>
          <w:szCs w:val="24"/>
          <w:highlight w:val="none"/>
          <w:u w:val="single"/>
        </w:rPr>
        <w:t xml:space="preserve"> （标的名称）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44A9BB6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 </w:t>
      </w:r>
    </w:p>
    <w:p w14:paraId="1E9E00C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以上企业，不属于大企业的分支机构，不存在控股股东为大企业的情形，也不存在与大企业的负责人为同一人的情形。 </w:t>
      </w:r>
    </w:p>
    <w:p w14:paraId="783A70A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本企业对上述声明内容的真实性负责。如有虚假，将依法承担相应责任。 </w:t>
      </w:r>
    </w:p>
    <w:p w14:paraId="4E54730D">
      <w:pPr>
        <w:keepNext w:val="0"/>
        <w:keepLines w:val="0"/>
        <w:pageBreakBefore w:val="0"/>
        <w:widowControl w:val="0"/>
        <w:kinsoku/>
        <w:wordWrap/>
        <w:overflowPunct/>
        <w:topLinePunct w:val="0"/>
        <w:autoSpaceDE/>
        <w:autoSpaceDN/>
        <w:bidi w:val="0"/>
        <w:adjustRightInd/>
        <w:snapToGrid/>
        <w:spacing w:line="312" w:lineRule="auto"/>
        <w:ind w:firstLine="496"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 xml:space="preserve">            </w:t>
      </w:r>
    </w:p>
    <w:p w14:paraId="3DC9E025">
      <w:pPr>
        <w:keepNext w:val="0"/>
        <w:keepLines w:val="0"/>
        <w:pageBreakBefore w:val="0"/>
        <w:widowControl w:val="0"/>
        <w:kinsoku/>
        <w:wordWrap/>
        <w:overflowPunct/>
        <w:topLinePunct w:val="0"/>
        <w:autoSpaceDE/>
        <w:autoSpaceDN/>
        <w:bidi w:val="0"/>
        <w:adjustRightInd/>
        <w:snapToGrid/>
        <w:spacing w:before="156" w:beforeLines="50" w:after="156" w:afterLines="50" w:line="312" w:lineRule="auto"/>
        <w:ind w:left="4896" w:hanging="4216" w:hangingChars="17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4"/>
          <w:sz w:val="24"/>
          <w:szCs w:val="24"/>
          <w:highlight w:val="none"/>
          <w:lang w:val="en-US" w:eastAsia="zh-CN"/>
        </w:rPr>
        <w:t>供应商</w:t>
      </w:r>
      <w:r>
        <w:rPr>
          <w:rFonts w:hint="eastAsia" w:ascii="宋体" w:hAnsi="宋体" w:eastAsia="宋体" w:cs="宋体"/>
          <w:color w:val="auto"/>
          <w:spacing w:val="4"/>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单位公章）</w:t>
      </w:r>
    </w:p>
    <w:p w14:paraId="4D24ED87">
      <w:pPr>
        <w:keepNext w:val="0"/>
        <w:keepLines w:val="0"/>
        <w:pageBreakBefore w:val="0"/>
        <w:widowControl w:val="0"/>
        <w:kinsoku/>
        <w:wordWrap/>
        <w:overflowPunct/>
        <w:topLinePunct w:val="0"/>
        <w:autoSpaceDE/>
        <w:autoSpaceDN/>
        <w:bidi w:val="0"/>
        <w:adjustRightInd/>
        <w:snapToGrid/>
        <w:spacing w:before="156" w:beforeLines="50" w:after="156" w:afterLines="50" w:line="312" w:lineRule="auto"/>
        <w:ind w:firstLine="3360" w:firstLineChars="14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    年   月   日</w:t>
      </w:r>
    </w:p>
    <w:p w14:paraId="55C6CA2C">
      <w:pPr>
        <w:pStyle w:val="45"/>
        <w:keepNext w:val="0"/>
        <w:keepLines w:val="0"/>
        <w:pageBreakBefore w:val="0"/>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color w:val="auto"/>
          <w:sz w:val="24"/>
          <w:szCs w:val="24"/>
          <w:highlight w:val="none"/>
          <w:lang w:val="en-US" w:eastAsia="zh-CN"/>
        </w:rPr>
      </w:pPr>
    </w:p>
    <w:p w14:paraId="47E5850C">
      <w:pPr>
        <w:pStyle w:val="45"/>
        <w:keepNext w:val="0"/>
        <w:keepLines w:val="0"/>
        <w:pageBreakBefore w:val="0"/>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备注：</w:t>
      </w:r>
    </w:p>
    <w:p w14:paraId="0D3AF1AE">
      <w:pPr>
        <w:pStyle w:val="45"/>
        <w:keepNext w:val="0"/>
        <w:keepLines w:val="0"/>
        <w:pageBreakBefore w:val="0"/>
        <w:widowControl/>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1.从业人员、营业收入、资产总额填报上一年度数据，无上一年度数据的新成立企业可不填报。</w:t>
      </w:r>
    </w:p>
    <w:p w14:paraId="6F313D60">
      <w:pPr>
        <w:pStyle w:val="45"/>
        <w:keepNext w:val="0"/>
        <w:keepLines w:val="0"/>
        <w:pageBreakBefore w:val="0"/>
        <w:widowControl/>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2.填写前请认真阅读《工业和信息化部　国家统计局　国家发展和改革委员会　财政部关于印发中小企业划型标准规定的通知》(工信部联企业〔2011〕300号)和《财政部、工业和信息化部关于印发〈政府采购促进中小企业发展管理办法〉的通知》（财库﹝2020﹞46 号）相关规定。</w:t>
      </w:r>
    </w:p>
    <w:p w14:paraId="7C9F13F9">
      <w:pPr>
        <w:pStyle w:val="45"/>
        <w:keepNext w:val="0"/>
        <w:keepLines w:val="0"/>
        <w:pageBreakBefore w:val="0"/>
        <w:widowControl/>
        <w:shd w:val="clear"/>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3.本项目采购标的对应的中小企业划分标准所属行业为</w:t>
      </w:r>
      <w:r>
        <w:rPr>
          <w:rFonts w:hint="eastAsia" w:ascii="宋体" w:hAnsi="宋体" w:cs="宋体"/>
          <w:b/>
          <w:bCs w:val="0"/>
          <w:color w:val="auto"/>
          <w:sz w:val="24"/>
          <w:szCs w:val="24"/>
          <w:highlight w:val="none"/>
          <w:lang w:val="en-US" w:eastAsia="zh-CN"/>
        </w:rPr>
        <w:t>建筑业</w:t>
      </w:r>
      <w:r>
        <w:rPr>
          <w:rFonts w:hint="eastAsia" w:ascii="宋体" w:hAnsi="宋体" w:eastAsia="宋体" w:cs="宋体"/>
          <w:b/>
          <w:bCs w:val="0"/>
          <w:color w:val="auto"/>
          <w:sz w:val="24"/>
          <w:szCs w:val="24"/>
          <w:highlight w:val="none"/>
          <w:lang w:val="en-US" w:eastAsia="zh-CN"/>
        </w:rPr>
        <w:t>。（所属行业类别供应商不得更改，否则，造成不利影响供应商自行承担）</w:t>
      </w:r>
    </w:p>
    <w:p w14:paraId="292212DD">
      <w:pP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br w:type="page"/>
      </w:r>
    </w:p>
    <w:p w14:paraId="17ABF7BD">
      <w:pPr>
        <w:pStyle w:val="10"/>
        <w:spacing w:before="190" w:line="360" w:lineRule="auto"/>
        <w:rPr>
          <w:rFonts w:hint="eastAsia" w:ascii="宋体" w:hAnsi="宋体" w:eastAsia="宋体" w:cs="宋体"/>
          <w:sz w:val="24"/>
          <w:szCs w:val="18"/>
        </w:rPr>
      </w:pPr>
      <w:r>
        <w:rPr>
          <w:rFonts w:hint="eastAsia" w:ascii="宋体" w:hAnsi="宋体" w:eastAsia="宋体" w:cs="宋体"/>
          <w:b/>
          <w:bCs/>
          <w:spacing w:val="-3"/>
          <w:sz w:val="24"/>
          <w:szCs w:val="18"/>
        </w:rPr>
        <w:t>附：《中小企业划型标准规定》各行业划型标准</w:t>
      </w:r>
    </w:p>
    <w:p w14:paraId="3BE91E43">
      <w:pPr>
        <w:pStyle w:val="10"/>
        <w:spacing w:before="185" w:line="360" w:lineRule="auto"/>
        <w:ind w:left="7" w:right="120" w:firstLine="492"/>
        <w:rPr>
          <w:rFonts w:hint="eastAsia" w:ascii="宋体" w:hAnsi="宋体" w:eastAsia="宋体" w:cs="宋体"/>
          <w:sz w:val="24"/>
          <w:szCs w:val="18"/>
        </w:rPr>
      </w:pPr>
      <w:r>
        <w:rPr>
          <w:rFonts w:hint="eastAsia" w:ascii="宋体" w:hAnsi="宋体" w:eastAsia="宋体" w:cs="宋体"/>
          <w:spacing w:val="-1"/>
          <w:sz w:val="24"/>
          <w:szCs w:val="18"/>
        </w:rPr>
        <w:t>（一）农、林、牧、渔业。营业收入</w:t>
      </w:r>
      <w:r>
        <w:rPr>
          <w:rFonts w:hint="eastAsia" w:ascii="宋体" w:hAnsi="宋体" w:eastAsia="宋体" w:cs="宋体"/>
          <w:spacing w:val="-47"/>
          <w:sz w:val="24"/>
          <w:szCs w:val="18"/>
        </w:rPr>
        <w:t xml:space="preserve"> </w:t>
      </w:r>
      <w:r>
        <w:rPr>
          <w:rFonts w:hint="eastAsia" w:ascii="宋体" w:hAnsi="宋体" w:eastAsia="宋体" w:cs="宋体"/>
          <w:spacing w:val="-1"/>
          <w:sz w:val="24"/>
          <w:szCs w:val="18"/>
        </w:rPr>
        <w:t>20000</w:t>
      </w:r>
      <w:r>
        <w:rPr>
          <w:rFonts w:hint="eastAsia" w:ascii="宋体" w:hAnsi="宋体" w:eastAsia="宋体" w:cs="宋体"/>
          <w:spacing w:val="-45"/>
          <w:sz w:val="24"/>
          <w:szCs w:val="18"/>
        </w:rPr>
        <w:t xml:space="preserve"> </w:t>
      </w:r>
      <w:r>
        <w:rPr>
          <w:rFonts w:hint="eastAsia" w:ascii="宋体" w:hAnsi="宋体" w:eastAsia="宋体" w:cs="宋体"/>
          <w:spacing w:val="-1"/>
          <w:sz w:val="24"/>
          <w:szCs w:val="18"/>
        </w:rPr>
        <w:t>万元以下的为中小微</w:t>
      </w:r>
      <w:r>
        <w:rPr>
          <w:rFonts w:hint="eastAsia" w:ascii="宋体" w:hAnsi="宋体" w:eastAsia="宋体" w:cs="宋体"/>
          <w:spacing w:val="-2"/>
          <w:sz w:val="24"/>
          <w:szCs w:val="18"/>
        </w:rPr>
        <w:t>型企业。其中，营业收</w:t>
      </w:r>
      <w:r>
        <w:rPr>
          <w:rFonts w:hint="eastAsia" w:ascii="宋体" w:hAnsi="宋体" w:eastAsia="宋体" w:cs="宋体"/>
          <w:sz w:val="24"/>
          <w:szCs w:val="18"/>
        </w:rPr>
        <w:t xml:space="preserve"> </w:t>
      </w:r>
      <w:r>
        <w:rPr>
          <w:rFonts w:hint="eastAsia" w:ascii="宋体" w:hAnsi="宋体" w:eastAsia="宋体" w:cs="宋体"/>
          <w:spacing w:val="-2"/>
          <w:sz w:val="24"/>
          <w:szCs w:val="18"/>
        </w:rPr>
        <w:t>入</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500</w:t>
      </w:r>
      <w:r>
        <w:rPr>
          <w:rFonts w:hint="eastAsia" w:ascii="宋体" w:hAnsi="宋体" w:eastAsia="宋体" w:cs="宋体"/>
          <w:spacing w:val="-44"/>
          <w:sz w:val="24"/>
          <w:szCs w:val="18"/>
        </w:rPr>
        <w:t xml:space="preserve"> </w:t>
      </w:r>
      <w:r>
        <w:rPr>
          <w:rFonts w:hint="eastAsia" w:ascii="宋体" w:hAnsi="宋体" w:eastAsia="宋体" w:cs="宋体"/>
          <w:spacing w:val="-2"/>
          <w:sz w:val="24"/>
          <w:szCs w:val="18"/>
        </w:rPr>
        <w:t>万元及以上的为中型企业，营业收入</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50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万元及以上的</w:t>
      </w:r>
      <w:r>
        <w:rPr>
          <w:rFonts w:hint="eastAsia" w:ascii="宋体" w:hAnsi="宋体" w:eastAsia="宋体" w:cs="宋体"/>
          <w:spacing w:val="-3"/>
          <w:sz w:val="24"/>
          <w:szCs w:val="18"/>
        </w:rPr>
        <w:t>为小型企业，营业收入</w:t>
      </w:r>
      <w:r>
        <w:rPr>
          <w:rFonts w:hint="eastAsia" w:ascii="宋体" w:hAnsi="宋体" w:eastAsia="宋体" w:cs="宋体"/>
          <w:spacing w:val="-46"/>
          <w:sz w:val="24"/>
          <w:szCs w:val="18"/>
        </w:rPr>
        <w:t xml:space="preserve"> </w:t>
      </w:r>
      <w:r>
        <w:rPr>
          <w:rFonts w:hint="eastAsia" w:ascii="宋体" w:hAnsi="宋体" w:eastAsia="宋体" w:cs="宋体"/>
          <w:spacing w:val="-3"/>
          <w:sz w:val="24"/>
          <w:szCs w:val="18"/>
        </w:rPr>
        <w:t>50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w:t>
      </w:r>
      <w:r>
        <w:rPr>
          <w:rFonts w:hint="eastAsia" w:ascii="宋体" w:hAnsi="宋体" w:eastAsia="宋体" w:cs="宋体"/>
          <w:sz w:val="24"/>
          <w:szCs w:val="18"/>
        </w:rPr>
        <w:t xml:space="preserve"> </w:t>
      </w:r>
      <w:r>
        <w:rPr>
          <w:rFonts w:hint="eastAsia" w:ascii="宋体" w:hAnsi="宋体" w:eastAsia="宋体" w:cs="宋体"/>
          <w:spacing w:val="-1"/>
          <w:sz w:val="24"/>
          <w:szCs w:val="18"/>
        </w:rPr>
        <w:t>以下的为微型企业。</w:t>
      </w:r>
    </w:p>
    <w:p w14:paraId="168A1559">
      <w:pPr>
        <w:pStyle w:val="10"/>
        <w:spacing w:before="182" w:line="360" w:lineRule="auto"/>
        <w:ind w:left="8" w:right="18" w:firstLine="491"/>
        <w:rPr>
          <w:rFonts w:hint="eastAsia" w:ascii="宋体" w:hAnsi="宋体" w:eastAsia="宋体" w:cs="宋体"/>
          <w:sz w:val="24"/>
          <w:szCs w:val="18"/>
        </w:rPr>
      </w:pPr>
      <w:r>
        <w:rPr>
          <w:rFonts w:hint="eastAsia" w:ascii="宋体" w:hAnsi="宋体" w:eastAsia="宋体" w:cs="宋体"/>
          <w:spacing w:val="-6"/>
          <w:sz w:val="24"/>
          <w:szCs w:val="18"/>
        </w:rPr>
        <w:t>（二）工业。从业人员</w:t>
      </w:r>
      <w:r>
        <w:rPr>
          <w:rFonts w:hint="eastAsia" w:ascii="宋体" w:hAnsi="宋体" w:eastAsia="宋体" w:cs="宋体"/>
          <w:spacing w:val="-32"/>
          <w:sz w:val="24"/>
          <w:szCs w:val="18"/>
        </w:rPr>
        <w:t xml:space="preserve"> </w:t>
      </w:r>
      <w:r>
        <w:rPr>
          <w:rFonts w:hint="eastAsia" w:ascii="宋体" w:hAnsi="宋体" w:eastAsia="宋体" w:cs="宋体"/>
          <w:spacing w:val="-6"/>
          <w:sz w:val="24"/>
          <w:szCs w:val="18"/>
        </w:rPr>
        <w:t>1000</w:t>
      </w:r>
      <w:r>
        <w:rPr>
          <w:rFonts w:hint="eastAsia" w:ascii="宋体" w:hAnsi="宋体" w:eastAsia="宋体" w:cs="宋体"/>
          <w:spacing w:val="-49"/>
          <w:sz w:val="24"/>
          <w:szCs w:val="18"/>
        </w:rPr>
        <w:t xml:space="preserve"> </w:t>
      </w:r>
      <w:r>
        <w:rPr>
          <w:rFonts w:hint="eastAsia" w:ascii="宋体" w:hAnsi="宋体" w:eastAsia="宋体" w:cs="宋体"/>
          <w:spacing w:val="-6"/>
          <w:sz w:val="24"/>
          <w:szCs w:val="18"/>
        </w:rPr>
        <w:t>人以下或营业收入40000</w:t>
      </w:r>
      <w:r>
        <w:rPr>
          <w:rFonts w:hint="eastAsia" w:ascii="宋体" w:hAnsi="宋体" w:eastAsia="宋体" w:cs="宋体"/>
          <w:spacing w:val="-45"/>
          <w:sz w:val="24"/>
          <w:szCs w:val="18"/>
        </w:rPr>
        <w:t xml:space="preserve"> </w:t>
      </w:r>
      <w:r>
        <w:rPr>
          <w:rFonts w:hint="eastAsia" w:ascii="宋体" w:hAnsi="宋体" w:eastAsia="宋体" w:cs="宋体"/>
          <w:spacing w:val="-7"/>
          <w:sz w:val="24"/>
          <w:szCs w:val="18"/>
        </w:rPr>
        <w:t>万元以下的为中小微型企业。其中，</w:t>
      </w:r>
      <w:r>
        <w:rPr>
          <w:rFonts w:hint="eastAsia" w:ascii="宋体" w:hAnsi="宋体" w:eastAsia="宋体" w:cs="宋体"/>
          <w:sz w:val="24"/>
          <w:szCs w:val="18"/>
        </w:rPr>
        <w:t xml:space="preserve"> </w:t>
      </w:r>
      <w:r>
        <w:rPr>
          <w:rFonts w:hint="eastAsia" w:ascii="宋体" w:hAnsi="宋体" w:eastAsia="宋体" w:cs="宋体"/>
          <w:spacing w:val="-5"/>
          <w:sz w:val="24"/>
          <w:szCs w:val="18"/>
        </w:rPr>
        <w:t>从业人员</w:t>
      </w:r>
      <w:r>
        <w:rPr>
          <w:rFonts w:hint="eastAsia" w:ascii="宋体" w:hAnsi="宋体" w:eastAsia="宋体" w:cs="宋体"/>
          <w:spacing w:val="-46"/>
          <w:sz w:val="24"/>
          <w:szCs w:val="18"/>
        </w:rPr>
        <w:t xml:space="preserve"> </w:t>
      </w:r>
      <w:r>
        <w:rPr>
          <w:rFonts w:hint="eastAsia" w:ascii="宋体" w:hAnsi="宋体" w:eastAsia="宋体" w:cs="宋体"/>
          <w:spacing w:val="-5"/>
          <w:sz w:val="24"/>
          <w:szCs w:val="18"/>
        </w:rPr>
        <w:t>300</w:t>
      </w:r>
      <w:r>
        <w:rPr>
          <w:rFonts w:hint="eastAsia" w:ascii="宋体" w:hAnsi="宋体" w:eastAsia="宋体" w:cs="宋体"/>
          <w:spacing w:val="-48"/>
          <w:sz w:val="24"/>
          <w:szCs w:val="18"/>
        </w:rPr>
        <w:t xml:space="preserve"> </w:t>
      </w:r>
      <w:r>
        <w:rPr>
          <w:rFonts w:hint="eastAsia" w:ascii="宋体" w:hAnsi="宋体" w:eastAsia="宋体" w:cs="宋体"/>
          <w:spacing w:val="-5"/>
          <w:sz w:val="24"/>
          <w:szCs w:val="18"/>
        </w:rPr>
        <w:t>人及以上，且营业收入</w:t>
      </w:r>
      <w:r>
        <w:rPr>
          <w:rFonts w:hint="eastAsia" w:ascii="宋体" w:hAnsi="宋体" w:eastAsia="宋体" w:cs="宋体"/>
          <w:spacing w:val="-48"/>
          <w:sz w:val="24"/>
          <w:szCs w:val="18"/>
        </w:rPr>
        <w:t xml:space="preserve"> </w:t>
      </w:r>
      <w:r>
        <w:rPr>
          <w:rFonts w:hint="eastAsia" w:ascii="宋体" w:hAnsi="宋体" w:eastAsia="宋体" w:cs="宋体"/>
          <w:spacing w:val="-5"/>
          <w:sz w:val="24"/>
          <w:szCs w:val="18"/>
        </w:rPr>
        <w:t>2000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万元及以上的为中型企业；从业人员</w:t>
      </w:r>
      <w:r>
        <w:rPr>
          <w:rFonts w:hint="eastAsia" w:ascii="宋体" w:hAnsi="宋体" w:eastAsia="宋体" w:cs="宋体"/>
          <w:spacing w:val="-48"/>
          <w:sz w:val="24"/>
          <w:szCs w:val="18"/>
        </w:rPr>
        <w:t xml:space="preserve"> </w:t>
      </w:r>
      <w:r>
        <w:rPr>
          <w:rFonts w:hint="eastAsia" w:ascii="宋体" w:hAnsi="宋体" w:eastAsia="宋体" w:cs="宋体"/>
          <w:spacing w:val="-5"/>
          <w:sz w:val="24"/>
          <w:szCs w:val="18"/>
        </w:rPr>
        <w:t>20</w:t>
      </w:r>
      <w:r>
        <w:rPr>
          <w:rFonts w:hint="eastAsia" w:ascii="宋体" w:hAnsi="宋体" w:eastAsia="宋体" w:cs="宋体"/>
          <w:spacing w:val="-49"/>
          <w:sz w:val="24"/>
          <w:szCs w:val="18"/>
        </w:rPr>
        <w:t xml:space="preserve"> </w:t>
      </w:r>
      <w:r>
        <w:rPr>
          <w:rFonts w:hint="eastAsia" w:ascii="宋体" w:hAnsi="宋体" w:eastAsia="宋体" w:cs="宋体"/>
          <w:spacing w:val="-6"/>
          <w:sz w:val="24"/>
          <w:szCs w:val="18"/>
        </w:rPr>
        <w:t>人及以上，</w:t>
      </w:r>
      <w:r>
        <w:rPr>
          <w:rFonts w:hint="eastAsia" w:ascii="宋体" w:hAnsi="宋体" w:eastAsia="宋体" w:cs="宋体"/>
          <w:sz w:val="24"/>
          <w:szCs w:val="18"/>
        </w:rPr>
        <w:t xml:space="preserve"> </w:t>
      </w:r>
      <w:r>
        <w:rPr>
          <w:rFonts w:hint="eastAsia" w:ascii="宋体" w:hAnsi="宋体" w:eastAsia="宋体" w:cs="宋体"/>
          <w:spacing w:val="-4"/>
          <w:sz w:val="24"/>
          <w:szCs w:val="18"/>
        </w:rPr>
        <w:t>且营业收入</w:t>
      </w:r>
      <w:r>
        <w:rPr>
          <w:rFonts w:hint="eastAsia" w:ascii="宋体" w:hAnsi="宋体" w:eastAsia="宋体" w:cs="宋体"/>
          <w:spacing w:val="-46"/>
          <w:sz w:val="24"/>
          <w:szCs w:val="18"/>
        </w:rPr>
        <w:t xml:space="preserve"> </w:t>
      </w:r>
      <w:r>
        <w:rPr>
          <w:rFonts w:hint="eastAsia" w:ascii="宋体" w:hAnsi="宋体" w:eastAsia="宋体" w:cs="宋体"/>
          <w:spacing w:val="-4"/>
          <w:sz w:val="24"/>
          <w:szCs w:val="18"/>
        </w:rPr>
        <w:t>300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万元及以上的为小型企业；从业人员</w:t>
      </w:r>
      <w:r>
        <w:rPr>
          <w:rFonts w:hint="eastAsia" w:ascii="宋体" w:hAnsi="宋体" w:eastAsia="宋体" w:cs="宋体"/>
          <w:spacing w:val="-48"/>
          <w:sz w:val="24"/>
          <w:szCs w:val="18"/>
        </w:rPr>
        <w:t xml:space="preserve"> </w:t>
      </w:r>
      <w:r>
        <w:rPr>
          <w:rFonts w:hint="eastAsia" w:ascii="宋体" w:hAnsi="宋体" w:eastAsia="宋体" w:cs="宋体"/>
          <w:spacing w:val="-4"/>
          <w:sz w:val="24"/>
          <w:szCs w:val="18"/>
        </w:rPr>
        <w:t>20</w:t>
      </w:r>
      <w:r>
        <w:rPr>
          <w:rFonts w:hint="eastAsia" w:ascii="宋体" w:hAnsi="宋体" w:eastAsia="宋体" w:cs="宋体"/>
          <w:spacing w:val="-48"/>
          <w:sz w:val="24"/>
          <w:szCs w:val="18"/>
        </w:rPr>
        <w:t xml:space="preserve"> </w:t>
      </w:r>
      <w:r>
        <w:rPr>
          <w:rFonts w:hint="eastAsia" w:ascii="宋体" w:hAnsi="宋体" w:eastAsia="宋体" w:cs="宋体"/>
          <w:spacing w:val="-4"/>
          <w:sz w:val="24"/>
          <w:szCs w:val="18"/>
        </w:rPr>
        <w:t>人以下或营业收入</w:t>
      </w:r>
      <w:r>
        <w:rPr>
          <w:rFonts w:hint="eastAsia" w:ascii="宋体" w:hAnsi="宋体" w:eastAsia="宋体" w:cs="宋体"/>
          <w:spacing w:val="-46"/>
          <w:sz w:val="24"/>
          <w:szCs w:val="18"/>
        </w:rPr>
        <w:t xml:space="preserve"> </w:t>
      </w:r>
      <w:r>
        <w:rPr>
          <w:rFonts w:hint="eastAsia" w:ascii="宋体" w:hAnsi="宋体" w:eastAsia="宋体" w:cs="宋体"/>
          <w:spacing w:val="-4"/>
          <w:sz w:val="24"/>
          <w:szCs w:val="18"/>
        </w:rPr>
        <w:t>300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万元以下的为</w:t>
      </w:r>
      <w:r>
        <w:rPr>
          <w:rFonts w:hint="eastAsia" w:ascii="宋体" w:hAnsi="宋体" w:eastAsia="宋体" w:cs="宋体"/>
          <w:sz w:val="24"/>
          <w:szCs w:val="18"/>
        </w:rPr>
        <w:t xml:space="preserve"> </w:t>
      </w:r>
      <w:r>
        <w:rPr>
          <w:rFonts w:hint="eastAsia" w:ascii="宋体" w:hAnsi="宋体" w:eastAsia="宋体" w:cs="宋体"/>
          <w:spacing w:val="-2"/>
          <w:sz w:val="24"/>
          <w:szCs w:val="18"/>
        </w:rPr>
        <w:t>微型企业。</w:t>
      </w:r>
    </w:p>
    <w:p w14:paraId="0382FF99">
      <w:pPr>
        <w:pStyle w:val="10"/>
        <w:spacing w:before="182" w:line="360" w:lineRule="auto"/>
        <w:ind w:left="9" w:firstLine="490"/>
        <w:rPr>
          <w:rFonts w:hint="eastAsia" w:ascii="宋体" w:hAnsi="宋体" w:eastAsia="宋体" w:cs="宋体"/>
          <w:sz w:val="24"/>
          <w:szCs w:val="18"/>
        </w:rPr>
      </w:pPr>
      <w:r>
        <w:rPr>
          <w:rFonts w:hint="eastAsia" w:ascii="宋体" w:hAnsi="宋体" w:eastAsia="宋体" w:cs="宋体"/>
          <w:spacing w:val="-1"/>
          <w:sz w:val="24"/>
          <w:szCs w:val="18"/>
        </w:rPr>
        <w:t>（三）建筑业。营业收入80000</w:t>
      </w:r>
      <w:r>
        <w:rPr>
          <w:rFonts w:hint="eastAsia" w:ascii="宋体" w:hAnsi="宋体" w:eastAsia="宋体" w:cs="宋体"/>
          <w:spacing w:val="-44"/>
          <w:sz w:val="24"/>
          <w:szCs w:val="18"/>
        </w:rPr>
        <w:t xml:space="preserve"> </w:t>
      </w:r>
      <w:r>
        <w:rPr>
          <w:rFonts w:hint="eastAsia" w:ascii="宋体" w:hAnsi="宋体" w:eastAsia="宋体" w:cs="宋体"/>
          <w:spacing w:val="-1"/>
          <w:sz w:val="24"/>
          <w:szCs w:val="18"/>
        </w:rPr>
        <w:t>万元以下或资产总额80000</w:t>
      </w:r>
      <w:r>
        <w:rPr>
          <w:rFonts w:hint="eastAsia" w:ascii="宋体" w:hAnsi="宋体" w:eastAsia="宋体" w:cs="宋体"/>
          <w:spacing w:val="-45"/>
          <w:sz w:val="24"/>
          <w:szCs w:val="18"/>
        </w:rPr>
        <w:t xml:space="preserve"> </w:t>
      </w:r>
      <w:r>
        <w:rPr>
          <w:rFonts w:hint="eastAsia" w:ascii="宋体" w:hAnsi="宋体" w:eastAsia="宋体" w:cs="宋体"/>
          <w:spacing w:val="-1"/>
          <w:sz w:val="24"/>
          <w:szCs w:val="18"/>
        </w:rPr>
        <w:t>万元以下</w:t>
      </w:r>
      <w:r>
        <w:rPr>
          <w:rFonts w:hint="eastAsia" w:ascii="宋体" w:hAnsi="宋体" w:eastAsia="宋体" w:cs="宋体"/>
          <w:spacing w:val="-2"/>
          <w:sz w:val="24"/>
          <w:szCs w:val="18"/>
        </w:rPr>
        <w:t>的为中小微型企业。</w:t>
      </w:r>
      <w:r>
        <w:rPr>
          <w:rFonts w:hint="eastAsia" w:ascii="宋体" w:hAnsi="宋体" w:eastAsia="宋体" w:cs="宋体"/>
          <w:sz w:val="24"/>
          <w:szCs w:val="18"/>
        </w:rPr>
        <w:t xml:space="preserve"> </w:t>
      </w:r>
      <w:r>
        <w:rPr>
          <w:rFonts w:hint="eastAsia" w:ascii="宋体" w:hAnsi="宋体" w:eastAsia="宋体" w:cs="宋体"/>
          <w:spacing w:val="-3"/>
          <w:sz w:val="24"/>
          <w:szCs w:val="18"/>
        </w:rPr>
        <w:t>其中，营业收入6000</w:t>
      </w:r>
      <w:r>
        <w:rPr>
          <w:rFonts w:hint="eastAsia" w:ascii="宋体" w:hAnsi="宋体" w:eastAsia="宋体" w:cs="宋体"/>
          <w:spacing w:val="-44"/>
          <w:sz w:val="24"/>
          <w:szCs w:val="18"/>
        </w:rPr>
        <w:t xml:space="preserve"> </w:t>
      </w:r>
      <w:r>
        <w:rPr>
          <w:rFonts w:hint="eastAsia" w:ascii="宋体" w:hAnsi="宋体" w:eastAsia="宋体" w:cs="宋体"/>
          <w:spacing w:val="-3"/>
          <w:sz w:val="24"/>
          <w:szCs w:val="18"/>
        </w:rPr>
        <w:t>万元及以上，且资产总额</w:t>
      </w:r>
      <w:r>
        <w:rPr>
          <w:rFonts w:hint="eastAsia" w:ascii="宋体" w:hAnsi="宋体" w:eastAsia="宋体" w:cs="宋体"/>
          <w:spacing w:val="-46"/>
          <w:sz w:val="24"/>
          <w:szCs w:val="18"/>
        </w:rPr>
        <w:t xml:space="preserve"> </w:t>
      </w:r>
      <w:r>
        <w:rPr>
          <w:rFonts w:hint="eastAsia" w:ascii="宋体" w:hAnsi="宋体" w:eastAsia="宋体" w:cs="宋体"/>
          <w:spacing w:val="-3"/>
          <w:sz w:val="24"/>
          <w:szCs w:val="18"/>
        </w:rPr>
        <w:t>5000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万元及以</w:t>
      </w:r>
      <w:r>
        <w:rPr>
          <w:rFonts w:hint="eastAsia" w:ascii="宋体" w:hAnsi="宋体" w:eastAsia="宋体" w:cs="宋体"/>
          <w:spacing w:val="-4"/>
          <w:sz w:val="24"/>
          <w:szCs w:val="18"/>
        </w:rPr>
        <w:t>上的为中型企业；营业收入</w:t>
      </w:r>
      <w:r>
        <w:rPr>
          <w:rFonts w:hint="eastAsia" w:ascii="宋体" w:hAnsi="宋体" w:eastAsia="宋体" w:cs="宋体"/>
          <w:spacing w:val="-46"/>
          <w:sz w:val="24"/>
          <w:szCs w:val="18"/>
        </w:rPr>
        <w:t xml:space="preserve"> </w:t>
      </w:r>
      <w:r>
        <w:rPr>
          <w:rFonts w:hint="eastAsia" w:ascii="宋体" w:hAnsi="宋体" w:eastAsia="宋体" w:cs="宋体"/>
          <w:spacing w:val="-4"/>
          <w:sz w:val="24"/>
          <w:szCs w:val="18"/>
        </w:rPr>
        <w:t>300</w:t>
      </w:r>
      <w:r>
        <w:rPr>
          <w:rFonts w:hint="eastAsia" w:ascii="宋体" w:hAnsi="宋体" w:eastAsia="宋体" w:cs="宋体"/>
          <w:sz w:val="24"/>
          <w:szCs w:val="18"/>
        </w:rPr>
        <w:t xml:space="preserve"> </w:t>
      </w:r>
      <w:r>
        <w:rPr>
          <w:rFonts w:hint="eastAsia" w:ascii="宋体" w:hAnsi="宋体" w:eastAsia="宋体" w:cs="宋体"/>
          <w:spacing w:val="-2"/>
          <w:sz w:val="24"/>
          <w:szCs w:val="18"/>
        </w:rPr>
        <w:t>万元及以上，且资产总额</w:t>
      </w:r>
      <w:r>
        <w:rPr>
          <w:rFonts w:hint="eastAsia" w:ascii="宋体" w:hAnsi="宋体" w:eastAsia="宋体" w:cs="宋体"/>
          <w:spacing w:val="-32"/>
          <w:sz w:val="24"/>
          <w:szCs w:val="18"/>
        </w:rPr>
        <w:t xml:space="preserve"> </w:t>
      </w:r>
      <w:r>
        <w:rPr>
          <w:rFonts w:hint="eastAsia" w:ascii="宋体" w:hAnsi="宋体" w:eastAsia="宋体" w:cs="宋体"/>
          <w:spacing w:val="-2"/>
          <w:sz w:val="24"/>
          <w:szCs w:val="18"/>
        </w:rPr>
        <w:t>300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万元及以上的为小型企业；营业收入</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300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万元以下或资产总额</w:t>
      </w:r>
      <w:r>
        <w:rPr>
          <w:rFonts w:hint="eastAsia" w:ascii="宋体" w:hAnsi="宋体" w:eastAsia="宋体" w:cs="宋体"/>
          <w:sz w:val="24"/>
          <w:szCs w:val="18"/>
        </w:rPr>
        <w:t xml:space="preserve">  </w:t>
      </w:r>
      <w:r>
        <w:rPr>
          <w:rFonts w:hint="eastAsia" w:ascii="宋体" w:hAnsi="宋体" w:eastAsia="宋体" w:cs="宋体"/>
          <w:spacing w:val="-2"/>
          <w:sz w:val="24"/>
          <w:szCs w:val="18"/>
        </w:rPr>
        <w:t>300</w:t>
      </w:r>
      <w:r>
        <w:rPr>
          <w:rFonts w:hint="eastAsia" w:ascii="宋体" w:hAnsi="宋体" w:eastAsia="宋体" w:cs="宋体"/>
          <w:spacing w:val="-44"/>
          <w:sz w:val="24"/>
          <w:szCs w:val="18"/>
        </w:rPr>
        <w:t xml:space="preserve"> </w:t>
      </w:r>
      <w:r>
        <w:rPr>
          <w:rFonts w:hint="eastAsia" w:ascii="宋体" w:hAnsi="宋体" w:eastAsia="宋体" w:cs="宋体"/>
          <w:spacing w:val="-2"/>
          <w:sz w:val="24"/>
          <w:szCs w:val="18"/>
        </w:rPr>
        <w:t>万元以下的为微型企业。</w:t>
      </w:r>
    </w:p>
    <w:p w14:paraId="74219188">
      <w:pPr>
        <w:pStyle w:val="10"/>
        <w:spacing w:before="182" w:line="360" w:lineRule="auto"/>
        <w:ind w:left="10" w:right="120" w:firstLine="489"/>
        <w:rPr>
          <w:rFonts w:hint="eastAsia" w:ascii="宋体" w:hAnsi="宋体" w:eastAsia="宋体" w:cs="宋体"/>
          <w:sz w:val="24"/>
          <w:szCs w:val="18"/>
        </w:rPr>
      </w:pPr>
      <w:r>
        <w:rPr>
          <w:rFonts w:hint="eastAsia" w:ascii="宋体" w:hAnsi="宋体" w:eastAsia="宋体" w:cs="宋体"/>
          <w:sz w:val="24"/>
          <w:szCs w:val="18"/>
        </w:rPr>
        <w:t>（四）批发业。从业人员</w:t>
      </w:r>
      <w:r>
        <w:rPr>
          <w:rFonts w:hint="eastAsia" w:ascii="宋体" w:hAnsi="宋体" w:eastAsia="宋体" w:cs="宋体"/>
          <w:spacing w:val="-48"/>
          <w:sz w:val="24"/>
          <w:szCs w:val="18"/>
        </w:rPr>
        <w:t xml:space="preserve"> </w:t>
      </w:r>
      <w:r>
        <w:rPr>
          <w:rFonts w:hint="eastAsia" w:ascii="宋体" w:hAnsi="宋体" w:eastAsia="宋体" w:cs="宋体"/>
          <w:sz w:val="24"/>
          <w:szCs w:val="18"/>
        </w:rPr>
        <w:t>200</w:t>
      </w:r>
      <w:r>
        <w:rPr>
          <w:rFonts w:hint="eastAsia" w:ascii="宋体" w:hAnsi="宋体" w:eastAsia="宋体" w:cs="宋体"/>
          <w:spacing w:val="-49"/>
          <w:sz w:val="24"/>
          <w:szCs w:val="18"/>
        </w:rPr>
        <w:t xml:space="preserve"> </w:t>
      </w:r>
      <w:r>
        <w:rPr>
          <w:rFonts w:hint="eastAsia" w:ascii="宋体" w:hAnsi="宋体" w:eastAsia="宋体" w:cs="宋体"/>
          <w:sz w:val="24"/>
          <w:szCs w:val="18"/>
        </w:rPr>
        <w:t>人以下或营业收入40000</w:t>
      </w:r>
      <w:r>
        <w:rPr>
          <w:rFonts w:hint="eastAsia" w:ascii="宋体" w:hAnsi="宋体" w:eastAsia="宋体" w:cs="宋体"/>
          <w:spacing w:val="-45"/>
          <w:sz w:val="24"/>
          <w:szCs w:val="18"/>
        </w:rPr>
        <w:t xml:space="preserve"> </w:t>
      </w:r>
      <w:r>
        <w:rPr>
          <w:rFonts w:hint="eastAsia" w:ascii="宋体" w:hAnsi="宋体" w:eastAsia="宋体" w:cs="宋体"/>
          <w:sz w:val="24"/>
          <w:szCs w:val="18"/>
        </w:rPr>
        <w:t xml:space="preserve">万元以下的为中小微型企业。其 </w:t>
      </w:r>
      <w:r>
        <w:rPr>
          <w:rFonts w:hint="eastAsia" w:ascii="宋体" w:hAnsi="宋体" w:eastAsia="宋体" w:cs="宋体"/>
          <w:spacing w:val="-2"/>
          <w:sz w:val="24"/>
          <w:szCs w:val="18"/>
        </w:rPr>
        <w:t>中，从业人员</w:t>
      </w:r>
      <w:r>
        <w:rPr>
          <w:rFonts w:hint="eastAsia" w:ascii="宋体" w:hAnsi="宋体" w:eastAsia="宋体" w:cs="宋体"/>
          <w:spacing w:val="-48"/>
          <w:sz w:val="24"/>
          <w:szCs w:val="18"/>
        </w:rPr>
        <w:t xml:space="preserve"> </w:t>
      </w:r>
      <w:r>
        <w:rPr>
          <w:rFonts w:hint="eastAsia" w:ascii="宋体" w:hAnsi="宋体" w:eastAsia="宋体" w:cs="宋体"/>
          <w:spacing w:val="-2"/>
          <w:sz w:val="24"/>
          <w:szCs w:val="18"/>
        </w:rPr>
        <w:t>20</w:t>
      </w:r>
      <w:r>
        <w:rPr>
          <w:rFonts w:hint="eastAsia" w:ascii="宋体" w:hAnsi="宋体" w:eastAsia="宋体" w:cs="宋体"/>
          <w:spacing w:val="-49"/>
          <w:sz w:val="24"/>
          <w:szCs w:val="18"/>
        </w:rPr>
        <w:t xml:space="preserve"> </w:t>
      </w:r>
      <w:r>
        <w:rPr>
          <w:rFonts w:hint="eastAsia" w:ascii="宋体" w:hAnsi="宋体" w:eastAsia="宋体" w:cs="宋体"/>
          <w:spacing w:val="-2"/>
          <w:sz w:val="24"/>
          <w:szCs w:val="18"/>
        </w:rPr>
        <w:t>人及以上，且营业收入</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5000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万元及以上的为中型企业；从</w:t>
      </w:r>
      <w:r>
        <w:rPr>
          <w:rFonts w:hint="eastAsia" w:ascii="宋体" w:hAnsi="宋体" w:eastAsia="宋体" w:cs="宋体"/>
          <w:spacing w:val="-3"/>
          <w:sz w:val="24"/>
          <w:szCs w:val="18"/>
        </w:rPr>
        <w:t>业人员</w:t>
      </w:r>
      <w:r>
        <w:rPr>
          <w:rFonts w:hint="eastAsia" w:ascii="宋体" w:hAnsi="宋体" w:eastAsia="宋体" w:cs="宋体"/>
          <w:spacing w:val="-46"/>
          <w:sz w:val="24"/>
          <w:szCs w:val="18"/>
        </w:rPr>
        <w:t xml:space="preserve"> </w:t>
      </w:r>
      <w:r>
        <w:rPr>
          <w:rFonts w:hint="eastAsia" w:ascii="宋体" w:hAnsi="宋体" w:eastAsia="宋体" w:cs="宋体"/>
          <w:spacing w:val="-3"/>
          <w:sz w:val="24"/>
          <w:szCs w:val="18"/>
        </w:rPr>
        <w:t>5</w:t>
      </w:r>
      <w:r>
        <w:rPr>
          <w:rFonts w:hint="eastAsia" w:ascii="宋体" w:hAnsi="宋体" w:eastAsia="宋体" w:cs="宋体"/>
          <w:spacing w:val="-49"/>
          <w:sz w:val="24"/>
          <w:szCs w:val="18"/>
        </w:rPr>
        <w:t xml:space="preserve"> </w:t>
      </w:r>
      <w:r>
        <w:rPr>
          <w:rFonts w:hint="eastAsia" w:ascii="宋体" w:hAnsi="宋体" w:eastAsia="宋体" w:cs="宋体"/>
          <w:spacing w:val="-3"/>
          <w:sz w:val="24"/>
          <w:szCs w:val="18"/>
        </w:rPr>
        <w:t>人及以</w:t>
      </w:r>
      <w:r>
        <w:rPr>
          <w:rFonts w:hint="eastAsia" w:ascii="宋体" w:hAnsi="宋体" w:eastAsia="宋体" w:cs="宋体"/>
          <w:sz w:val="24"/>
          <w:szCs w:val="18"/>
        </w:rPr>
        <w:t xml:space="preserve"> </w:t>
      </w:r>
      <w:r>
        <w:rPr>
          <w:rFonts w:hint="eastAsia" w:ascii="宋体" w:hAnsi="宋体" w:eastAsia="宋体" w:cs="宋体"/>
          <w:spacing w:val="-3"/>
          <w:sz w:val="24"/>
          <w:szCs w:val="18"/>
        </w:rPr>
        <w:t>上，且营业收入</w:t>
      </w:r>
      <w:r>
        <w:rPr>
          <w:rFonts w:hint="eastAsia" w:ascii="宋体" w:hAnsi="宋体" w:eastAsia="宋体" w:cs="宋体"/>
          <w:spacing w:val="-27"/>
          <w:sz w:val="24"/>
          <w:szCs w:val="18"/>
        </w:rPr>
        <w:t xml:space="preserve"> </w:t>
      </w:r>
      <w:r>
        <w:rPr>
          <w:rFonts w:hint="eastAsia" w:ascii="宋体" w:hAnsi="宋体" w:eastAsia="宋体" w:cs="宋体"/>
          <w:spacing w:val="-3"/>
          <w:sz w:val="24"/>
          <w:szCs w:val="18"/>
        </w:rPr>
        <w:t>1000</w:t>
      </w:r>
      <w:r>
        <w:rPr>
          <w:rFonts w:hint="eastAsia" w:ascii="宋体" w:hAnsi="宋体" w:eastAsia="宋体" w:cs="宋体"/>
          <w:spacing w:val="-44"/>
          <w:sz w:val="24"/>
          <w:szCs w:val="18"/>
        </w:rPr>
        <w:t xml:space="preserve"> </w:t>
      </w:r>
      <w:r>
        <w:rPr>
          <w:rFonts w:hint="eastAsia" w:ascii="宋体" w:hAnsi="宋体" w:eastAsia="宋体" w:cs="宋体"/>
          <w:spacing w:val="-3"/>
          <w:sz w:val="24"/>
          <w:szCs w:val="18"/>
        </w:rPr>
        <w:t>万元及以上的为小型企业；从业人员</w:t>
      </w:r>
      <w:r>
        <w:rPr>
          <w:rFonts w:hint="eastAsia" w:ascii="宋体" w:hAnsi="宋体" w:eastAsia="宋体" w:cs="宋体"/>
          <w:spacing w:val="-46"/>
          <w:sz w:val="24"/>
          <w:szCs w:val="18"/>
        </w:rPr>
        <w:t xml:space="preserve"> </w:t>
      </w:r>
      <w:r>
        <w:rPr>
          <w:rFonts w:hint="eastAsia" w:ascii="宋体" w:hAnsi="宋体" w:eastAsia="宋体" w:cs="宋体"/>
          <w:spacing w:val="-3"/>
          <w:sz w:val="24"/>
          <w:szCs w:val="18"/>
        </w:rPr>
        <w:t>5</w:t>
      </w:r>
      <w:r>
        <w:rPr>
          <w:rFonts w:hint="eastAsia" w:ascii="宋体" w:hAnsi="宋体" w:eastAsia="宋体" w:cs="宋体"/>
          <w:spacing w:val="-49"/>
          <w:sz w:val="24"/>
          <w:szCs w:val="18"/>
        </w:rPr>
        <w:t xml:space="preserve"> </w:t>
      </w:r>
      <w:r>
        <w:rPr>
          <w:rFonts w:hint="eastAsia" w:ascii="宋体" w:hAnsi="宋体" w:eastAsia="宋体" w:cs="宋体"/>
          <w:spacing w:val="-3"/>
          <w:sz w:val="24"/>
          <w:szCs w:val="18"/>
        </w:rPr>
        <w:t>人以下或营业收入</w:t>
      </w:r>
      <w:r>
        <w:rPr>
          <w:rFonts w:hint="eastAsia" w:ascii="宋体" w:hAnsi="宋体" w:eastAsia="宋体" w:cs="宋体"/>
          <w:spacing w:val="-33"/>
          <w:sz w:val="24"/>
          <w:szCs w:val="18"/>
        </w:rPr>
        <w:t xml:space="preserve"> </w:t>
      </w:r>
      <w:r>
        <w:rPr>
          <w:rFonts w:hint="eastAsia" w:ascii="宋体" w:hAnsi="宋体" w:eastAsia="宋体" w:cs="宋体"/>
          <w:spacing w:val="-3"/>
          <w:sz w:val="24"/>
          <w:szCs w:val="18"/>
        </w:rPr>
        <w:t>1000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万元以</w:t>
      </w:r>
      <w:r>
        <w:rPr>
          <w:rFonts w:hint="eastAsia" w:ascii="宋体" w:hAnsi="宋体" w:eastAsia="宋体" w:cs="宋体"/>
          <w:sz w:val="24"/>
          <w:szCs w:val="18"/>
        </w:rPr>
        <w:t xml:space="preserve"> </w:t>
      </w:r>
      <w:r>
        <w:rPr>
          <w:rFonts w:hint="eastAsia" w:ascii="宋体" w:hAnsi="宋体" w:eastAsia="宋体" w:cs="宋体"/>
          <w:spacing w:val="-2"/>
          <w:sz w:val="24"/>
          <w:szCs w:val="18"/>
        </w:rPr>
        <w:t>下的为微型企业。</w:t>
      </w:r>
    </w:p>
    <w:p w14:paraId="0B84812F">
      <w:pPr>
        <w:pStyle w:val="10"/>
        <w:spacing w:before="182" w:line="360" w:lineRule="auto"/>
        <w:ind w:left="10" w:right="80" w:firstLine="489"/>
        <w:rPr>
          <w:rFonts w:hint="eastAsia" w:ascii="宋体" w:hAnsi="宋体" w:eastAsia="宋体" w:cs="宋体"/>
          <w:sz w:val="24"/>
          <w:szCs w:val="18"/>
        </w:rPr>
      </w:pPr>
      <w:r>
        <w:rPr>
          <w:rFonts w:hint="eastAsia" w:ascii="宋体" w:hAnsi="宋体" w:eastAsia="宋体" w:cs="宋体"/>
          <w:spacing w:val="-2"/>
          <w:sz w:val="24"/>
          <w:szCs w:val="18"/>
        </w:rPr>
        <w:t>（五）零售业。从业人员</w:t>
      </w:r>
      <w:r>
        <w:rPr>
          <w:rFonts w:hint="eastAsia" w:ascii="宋体" w:hAnsi="宋体" w:eastAsia="宋体" w:cs="宋体"/>
          <w:spacing w:val="-39"/>
          <w:sz w:val="24"/>
          <w:szCs w:val="18"/>
        </w:rPr>
        <w:t xml:space="preserve"> </w:t>
      </w:r>
      <w:r>
        <w:rPr>
          <w:rFonts w:hint="eastAsia" w:ascii="宋体" w:hAnsi="宋体" w:eastAsia="宋体" w:cs="宋体"/>
          <w:spacing w:val="-2"/>
          <w:sz w:val="24"/>
          <w:szCs w:val="18"/>
        </w:rPr>
        <w:t>300</w:t>
      </w:r>
      <w:r>
        <w:rPr>
          <w:rFonts w:hint="eastAsia" w:ascii="宋体" w:hAnsi="宋体" w:eastAsia="宋体" w:cs="宋体"/>
          <w:spacing w:val="-49"/>
          <w:sz w:val="24"/>
          <w:szCs w:val="18"/>
        </w:rPr>
        <w:t xml:space="preserve"> </w:t>
      </w:r>
      <w:r>
        <w:rPr>
          <w:rFonts w:hint="eastAsia" w:ascii="宋体" w:hAnsi="宋体" w:eastAsia="宋体" w:cs="宋体"/>
          <w:spacing w:val="-2"/>
          <w:sz w:val="24"/>
          <w:szCs w:val="18"/>
        </w:rPr>
        <w:t>人以下或营业收入</w:t>
      </w:r>
      <w:r>
        <w:rPr>
          <w:rFonts w:hint="eastAsia" w:ascii="宋体" w:hAnsi="宋体" w:eastAsia="宋体" w:cs="宋体"/>
          <w:spacing w:val="-47"/>
          <w:sz w:val="24"/>
          <w:szCs w:val="18"/>
        </w:rPr>
        <w:t xml:space="preserve"> </w:t>
      </w:r>
      <w:r>
        <w:rPr>
          <w:rFonts w:hint="eastAsia" w:ascii="宋体" w:hAnsi="宋体" w:eastAsia="宋体" w:cs="宋体"/>
          <w:spacing w:val="-2"/>
          <w:sz w:val="24"/>
          <w:szCs w:val="18"/>
        </w:rPr>
        <w:t>20000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万元以下的为中小微型企业。其</w:t>
      </w:r>
      <w:r>
        <w:rPr>
          <w:rFonts w:hint="eastAsia" w:ascii="宋体" w:hAnsi="宋体" w:eastAsia="宋体" w:cs="宋体"/>
          <w:sz w:val="24"/>
          <w:szCs w:val="18"/>
        </w:rPr>
        <w:t xml:space="preserve"> </w:t>
      </w:r>
      <w:r>
        <w:rPr>
          <w:rFonts w:hint="eastAsia" w:ascii="宋体" w:hAnsi="宋体" w:eastAsia="宋体" w:cs="宋体"/>
          <w:spacing w:val="-2"/>
          <w:sz w:val="24"/>
          <w:szCs w:val="18"/>
        </w:rPr>
        <w:t>中，从业人员</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50</w:t>
      </w:r>
      <w:r>
        <w:rPr>
          <w:rFonts w:hint="eastAsia" w:ascii="宋体" w:hAnsi="宋体" w:eastAsia="宋体" w:cs="宋体"/>
          <w:spacing w:val="-48"/>
          <w:sz w:val="24"/>
          <w:szCs w:val="18"/>
        </w:rPr>
        <w:t xml:space="preserve"> </w:t>
      </w:r>
      <w:r>
        <w:rPr>
          <w:rFonts w:hint="eastAsia" w:ascii="宋体" w:hAnsi="宋体" w:eastAsia="宋体" w:cs="宋体"/>
          <w:spacing w:val="-2"/>
          <w:sz w:val="24"/>
          <w:szCs w:val="18"/>
        </w:rPr>
        <w:t>人及以上，且营业收入</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50</w:t>
      </w:r>
      <w:r>
        <w:rPr>
          <w:rFonts w:hint="eastAsia" w:ascii="宋体" w:hAnsi="宋体" w:eastAsia="宋体" w:cs="宋体"/>
          <w:spacing w:val="-3"/>
          <w:sz w:val="24"/>
          <w:szCs w:val="18"/>
        </w:rPr>
        <w:t>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万元及以上的为中型企业；从业人员</w:t>
      </w:r>
      <w:r>
        <w:rPr>
          <w:rFonts w:hint="eastAsia" w:ascii="宋体" w:hAnsi="宋体" w:eastAsia="宋体" w:cs="宋体"/>
          <w:spacing w:val="-33"/>
          <w:sz w:val="24"/>
          <w:szCs w:val="18"/>
        </w:rPr>
        <w:t xml:space="preserve"> </w:t>
      </w:r>
      <w:r>
        <w:rPr>
          <w:rFonts w:hint="eastAsia" w:ascii="宋体" w:hAnsi="宋体" w:eastAsia="宋体" w:cs="宋体"/>
          <w:spacing w:val="-3"/>
          <w:sz w:val="24"/>
          <w:szCs w:val="18"/>
        </w:rPr>
        <w:t>10</w:t>
      </w:r>
      <w:r>
        <w:rPr>
          <w:rFonts w:hint="eastAsia" w:ascii="宋体" w:hAnsi="宋体" w:eastAsia="宋体" w:cs="宋体"/>
          <w:spacing w:val="-49"/>
          <w:sz w:val="24"/>
          <w:szCs w:val="18"/>
        </w:rPr>
        <w:t xml:space="preserve"> </w:t>
      </w:r>
      <w:r>
        <w:rPr>
          <w:rFonts w:hint="eastAsia" w:ascii="宋体" w:hAnsi="宋体" w:eastAsia="宋体" w:cs="宋体"/>
          <w:spacing w:val="-3"/>
          <w:sz w:val="24"/>
          <w:szCs w:val="18"/>
        </w:rPr>
        <w:t>人及以</w:t>
      </w:r>
      <w:r>
        <w:rPr>
          <w:rFonts w:hint="eastAsia" w:ascii="宋体" w:hAnsi="宋体" w:eastAsia="宋体" w:cs="宋体"/>
          <w:sz w:val="24"/>
          <w:szCs w:val="18"/>
        </w:rPr>
        <w:t xml:space="preserve"> </w:t>
      </w:r>
      <w:r>
        <w:rPr>
          <w:rFonts w:hint="eastAsia" w:ascii="宋体" w:hAnsi="宋体" w:eastAsia="宋体" w:cs="宋体"/>
          <w:spacing w:val="-5"/>
          <w:sz w:val="24"/>
          <w:szCs w:val="18"/>
        </w:rPr>
        <w:t>上，且营业收入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万元及以上的为小型企业；从业人员</w:t>
      </w:r>
      <w:r>
        <w:rPr>
          <w:rFonts w:hint="eastAsia" w:ascii="宋体" w:hAnsi="宋体" w:eastAsia="宋体" w:cs="宋体"/>
          <w:spacing w:val="-32"/>
          <w:sz w:val="24"/>
          <w:szCs w:val="18"/>
        </w:rPr>
        <w:t xml:space="preserve"> </w:t>
      </w:r>
      <w:r>
        <w:rPr>
          <w:rFonts w:hint="eastAsia" w:ascii="宋体" w:hAnsi="宋体" w:eastAsia="宋体" w:cs="宋体"/>
          <w:spacing w:val="-5"/>
          <w:sz w:val="24"/>
          <w:szCs w:val="18"/>
        </w:rPr>
        <w:t>10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人以下或营业收入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万元以下</w:t>
      </w:r>
      <w:r>
        <w:rPr>
          <w:rFonts w:hint="eastAsia" w:ascii="宋体" w:hAnsi="宋体" w:eastAsia="宋体" w:cs="宋体"/>
          <w:sz w:val="24"/>
          <w:szCs w:val="18"/>
        </w:rPr>
        <w:t xml:space="preserve"> </w:t>
      </w:r>
      <w:r>
        <w:rPr>
          <w:rFonts w:hint="eastAsia" w:ascii="宋体" w:hAnsi="宋体" w:eastAsia="宋体" w:cs="宋体"/>
          <w:spacing w:val="-2"/>
          <w:sz w:val="24"/>
          <w:szCs w:val="18"/>
        </w:rPr>
        <w:t>的为微型企业。</w:t>
      </w:r>
    </w:p>
    <w:p w14:paraId="76BA6586">
      <w:pPr>
        <w:pStyle w:val="10"/>
        <w:spacing w:before="185" w:line="360" w:lineRule="auto"/>
        <w:ind w:left="7" w:firstLine="492"/>
        <w:rPr>
          <w:rFonts w:hint="eastAsia" w:ascii="宋体" w:hAnsi="宋体" w:eastAsia="宋体" w:cs="宋体"/>
          <w:sz w:val="24"/>
          <w:szCs w:val="18"/>
        </w:rPr>
      </w:pPr>
      <w:r>
        <w:rPr>
          <w:rFonts w:hint="eastAsia" w:ascii="宋体" w:hAnsi="宋体" w:eastAsia="宋体" w:cs="宋体"/>
          <w:spacing w:val="-8"/>
          <w:sz w:val="24"/>
          <w:szCs w:val="18"/>
        </w:rPr>
        <w:t>（六）交通运输业。从业人员</w:t>
      </w:r>
      <w:r>
        <w:rPr>
          <w:rFonts w:hint="eastAsia" w:ascii="宋体" w:hAnsi="宋体" w:eastAsia="宋体" w:cs="宋体"/>
          <w:spacing w:val="-18"/>
          <w:sz w:val="24"/>
          <w:szCs w:val="18"/>
        </w:rPr>
        <w:t xml:space="preserve"> </w:t>
      </w:r>
      <w:r>
        <w:rPr>
          <w:rFonts w:hint="eastAsia" w:ascii="宋体" w:hAnsi="宋体" w:eastAsia="宋体" w:cs="宋体"/>
          <w:spacing w:val="-8"/>
          <w:sz w:val="24"/>
          <w:szCs w:val="18"/>
        </w:rPr>
        <w:t>1000</w:t>
      </w:r>
      <w:r>
        <w:rPr>
          <w:rFonts w:hint="eastAsia" w:ascii="宋体" w:hAnsi="宋体" w:eastAsia="宋体" w:cs="宋体"/>
          <w:spacing w:val="-49"/>
          <w:sz w:val="24"/>
          <w:szCs w:val="18"/>
        </w:rPr>
        <w:t xml:space="preserve"> </w:t>
      </w:r>
      <w:r>
        <w:rPr>
          <w:rFonts w:hint="eastAsia" w:ascii="宋体" w:hAnsi="宋体" w:eastAsia="宋体" w:cs="宋体"/>
          <w:spacing w:val="-8"/>
          <w:sz w:val="24"/>
          <w:szCs w:val="18"/>
        </w:rPr>
        <w:t>人以下或营业收入</w:t>
      </w:r>
      <w:r>
        <w:rPr>
          <w:rFonts w:hint="eastAsia" w:ascii="宋体" w:hAnsi="宋体" w:eastAsia="宋体" w:cs="宋体"/>
          <w:spacing w:val="-45"/>
          <w:sz w:val="24"/>
          <w:szCs w:val="18"/>
        </w:rPr>
        <w:t xml:space="preserve"> </w:t>
      </w:r>
      <w:r>
        <w:rPr>
          <w:rFonts w:hint="eastAsia" w:ascii="宋体" w:hAnsi="宋体" w:eastAsia="宋体" w:cs="宋体"/>
          <w:spacing w:val="-8"/>
          <w:sz w:val="24"/>
          <w:szCs w:val="18"/>
        </w:rPr>
        <w:t>30000</w:t>
      </w:r>
      <w:r>
        <w:rPr>
          <w:rFonts w:hint="eastAsia" w:ascii="宋体" w:hAnsi="宋体" w:eastAsia="宋体" w:cs="宋体"/>
          <w:spacing w:val="-45"/>
          <w:sz w:val="24"/>
          <w:szCs w:val="18"/>
        </w:rPr>
        <w:t xml:space="preserve"> </w:t>
      </w:r>
      <w:r>
        <w:rPr>
          <w:rFonts w:hint="eastAsia" w:ascii="宋体" w:hAnsi="宋体" w:eastAsia="宋体" w:cs="宋体"/>
          <w:spacing w:val="-8"/>
          <w:sz w:val="24"/>
          <w:szCs w:val="18"/>
        </w:rPr>
        <w:t>万元以下的为中小微型企业。</w:t>
      </w:r>
      <w:r>
        <w:rPr>
          <w:rFonts w:hint="eastAsia" w:ascii="宋体" w:hAnsi="宋体" w:eastAsia="宋体" w:cs="宋体"/>
          <w:sz w:val="24"/>
          <w:szCs w:val="18"/>
        </w:rPr>
        <w:t xml:space="preserve"> </w:t>
      </w:r>
      <w:r>
        <w:rPr>
          <w:rFonts w:hint="eastAsia" w:ascii="宋体" w:hAnsi="宋体" w:eastAsia="宋体" w:cs="宋体"/>
          <w:spacing w:val="-2"/>
          <w:sz w:val="24"/>
          <w:szCs w:val="18"/>
        </w:rPr>
        <w:t>其中，从业人员</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300</w:t>
      </w:r>
      <w:r>
        <w:rPr>
          <w:rFonts w:hint="eastAsia" w:ascii="宋体" w:hAnsi="宋体" w:eastAsia="宋体" w:cs="宋体"/>
          <w:spacing w:val="-49"/>
          <w:sz w:val="24"/>
          <w:szCs w:val="18"/>
        </w:rPr>
        <w:t xml:space="preserve"> </w:t>
      </w:r>
      <w:r>
        <w:rPr>
          <w:rFonts w:hint="eastAsia" w:ascii="宋体" w:hAnsi="宋体" w:eastAsia="宋体" w:cs="宋体"/>
          <w:spacing w:val="-2"/>
          <w:sz w:val="24"/>
          <w:szCs w:val="18"/>
        </w:rPr>
        <w:t>人及以上，且营业收入</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3000</w:t>
      </w:r>
      <w:r>
        <w:rPr>
          <w:rFonts w:hint="eastAsia" w:ascii="宋体" w:hAnsi="宋体" w:eastAsia="宋体" w:cs="宋体"/>
          <w:spacing w:val="-44"/>
          <w:sz w:val="24"/>
          <w:szCs w:val="18"/>
        </w:rPr>
        <w:t xml:space="preserve"> </w:t>
      </w:r>
      <w:r>
        <w:rPr>
          <w:rFonts w:hint="eastAsia" w:ascii="宋体" w:hAnsi="宋体" w:eastAsia="宋体" w:cs="宋体"/>
          <w:spacing w:val="-2"/>
          <w:sz w:val="24"/>
          <w:szCs w:val="18"/>
        </w:rPr>
        <w:t>万元及以上的为中型企业；从业人员</w:t>
      </w:r>
      <w:r>
        <w:rPr>
          <w:rFonts w:hint="eastAsia" w:ascii="宋体" w:hAnsi="宋体" w:eastAsia="宋体" w:cs="宋体"/>
          <w:spacing w:val="-48"/>
          <w:sz w:val="24"/>
          <w:szCs w:val="18"/>
        </w:rPr>
        <w:t xml:space="preserve"> </w:t>
      </w:r>
      <w:r>
        <w:rPr>
          <w:rFonts w:hint="eastAsia" w:ascii="宋体" w:hAnsi="宋体" w:eastAsia="宋体" w:cs="宋体"/>
          <w:spacing w:val="-2"/>
          <w:sz w:val="24"/>
          <w:szCs w:val="18"/>
        </w:rPr>
        <w:t>2</w:t>
      </w:r>
      <w:r>
        <w:rPr>
          <w:rFonts w:hint="eastAsia" w:ascii="宋体" w:hAnsi="宋体" w:eastAsia="宋体" w:cs="宋体"/>
          <w:spacing w:val="-3"/>
          <w:sz w:val="24"/>
          <w:szCs w:val="18"/>
        </w:rPr>
        <w:t>0</w:t>
      </w:r>
      <w:r>
        <w:rPr>
          <w:rFonts w:hint="eastAsia" w:ascii="宋体" w:hAnsi="宋体" w:eastAsia="宋体" w:cs="宋体"/>
          <w:spacing w:val="-49"/>
          <w:sz w:val="24"/>
          <w:szCs w:val="18"/>
        </w:rPr>
        <w:t xml:space="preserve"> </w:t>
      </w:r>
      <w:r>
        <w:rPr>
          <w:rFonts w:hint="eastAsia" w:ascii="宋体" w:hAnsi="宋体" w:eastAsia="宋体" w:cs="宋体"/>
          <w:spacing w:val="-3"/>
          <w:sz w:val="24"/>
          <w:szCs w:val="18"/>
        </w:rPr>
        <w:t>人</w:t>
      </w:r>
      <w:r>
        <w:rPr>
          <w:rFonts w:hint="eastAsia" w:ascii="宋体" w:hAnsi="宋体" w:eastAsia="宋体" w:cs="宋体"/>
          <w:sz w:val="24"/>
          <w:szCs w:val="18"/>
        </w:rPr>
        <w:t xml:space="preserve">  </w:t>
      </w:r>
      <w:r>
        <w:rPr>
          <w:rFonts w:hint="eastAsia" w:ascii="宋体" w:hAnsi="宋体" w:eastAsia="宋体" w:cs="宋体"/>
          <w:spacing w:val="-4"/>
          <w:sz w:val="24"/>
          <w:szCs w:val="18"/>
        </w:rPr>
        <w:t>及以上，且营业收入</w:t>
      </w:r>
      <w:r>
        <w:rPr>
          <w:rFonts w:hint="eastAsia" w:ascii="宋体" w:hAnsi="宋体" w:eastAsia="宋体" w:cs="宋体"/>
          <w:spacing w:val="-43"/>
          <w:sz w:val="24"/>
          <w:szCs w:val="18"/>
        </w:rPr>
        <w:t xml:space="preserve"> </w:t>
      </w:r>
      <w:r>
        <w:rPr>
          <w:rFonts w:hint="eastAsia" w:ascii="宋体" w:hAnsi="宋体" w:eastAsia="宋体" w:cs="宋体"/>
          <w:spacing w:val="-4"/>
          <w:sz w:val="24"/>
          <w:szCs w:val="18"/>
        </w:rPr>
        <w:t>200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万元及以上的为小型企业；从业人员</w:t>
      </w:r>
      <w:r>
        <w:rPr>
          <w:rFonts w:hint="eastAsia" w:ascii="宋体" w:hAnsi="宋体" w:eastAsia="宋体" w:cs="宋体"/>
          <w:spacing w:val="-48"/>
          <w:sz w:val="24"/>
          <w:szCs w:val="18"/>
        </w:rPr>
        <w:t xml:space="preserve"> </w:t>
      </w:r>
      <w:r>
        <w:rPr>
          <w:rFonts w:hint="eastAsia" w:ascii="宋体" w:hAnsi="宋体" w:eastAsia="宋体" w:cs="宋体"/>
          <w:spacing w:val="-4"/>
          <w:sz w:val="24"/>
          <w:szCs w:val="18"/>
        </w:rPr>
        <w:t>20</w:t>
      </w:r>
      <w:r>
        <w:rPr>
          <w:rFonts w:hint="eastAsia" w:ascii="宋体" w:hAnsi="宋体" w:eastAsia="宋体" w:cs="宋体"/>
          <w:spacing w:val="-48"/>
          <w:sz w:val="24"/>
          <w:szCs w:val="18"/>
        </w:rPr>
        <w:t xml:space="preserve"> </w:t>
      </w:r>
      <w:r>
        <w:rPr>
          <w:rFonts w:hint="eastAsia" w:ascii="宋体" w:hAnsi="宋体" w:eastAsia="宋体" w:cs="宋体"/>
          <w:spacing w:val="-4"/>
          <w:sz w:val="24"/>
          <w:szCs w:val="18"/>
        </w:rPr>
        <w:t>人以下或营业收入</w:t>
      </w:r>
      <w:r>
        <w:rPr>
          <w:rFonts w:hint="eastAsia" w:ascii="宋体" w:hAnsi="宋体" w:eastAsia="宋体" w:cs="宋体"/>
          <w:spacing w:val="-48"/>
          <w:sz w:val="24"/>
          <w:szCs w:val="18"/>
        </w:rPr>
        <w:t xml:space="preserve"> </w:t>
      </w:r>
      <w:r>
        <w:rPr>
          <w:rFonts w:hint="eastAsia" w:ascii="宋体" w:hAnsi="宋体" w:eastAsia="宋体" w:cs="宋体"/>
          <w:spacing w:val="-4"/>
          <w:sz w:val="24"/>
          <w:szCs w:val="18"/>
        </w:rPr>
        <w:t>200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w:t>
      </w:r>
      <w:r>
        <w:rPr>
          <w:rFonts w:hint="eastAsia" w:ascii="宋体" w:hAnsi="宋体" w:eastAsia="宋体" w:cs="宋体"/>
          <w:sz w:val="24"/>
          <w:szCs w:val="18"/>
        </w:rPr>
        <w:t xml:space="preserve"> </w:t>
      </w:r>
      <w:r>
        <w:rPr>
          <w:rFonts w:hint="eastAsia" w:ascii="宋体" w:hAnsi="宋体" w:eastAsia="宋体" w:cs="宋体"/>
          <w:spacing w:val="-1"/>
          <w:sz w:val="24"/>
          <w:szCs w:val="18"/>
        </w:rPr>
        <w:t>以下的为微型企业。</w:t>
      </w:r>
    </w:p>
    <w:p w14:paraId="1AE92CF6">
      <w:pPr>
        <w:pStyle w:val="10"/>
        <w:spacing w:before="180" w:line="360" w:lineRule="auto"/>
        <w:ind w:left="15" w:right="80" w:firstLine="484"/>
        <w:rPr>
          <w:rFonts w:hint="eastAsia" w:ascii="宋体" w:hAnsi="宋体" w:eastAsia="宋体" w:cs="宋体"/>
          <w:sz w:val="24"/>
          <w:szCs w:val="18"/>
        </w:rPr>
      </w:pPr>
      <w:r>
        <w:rPr>
          <w:rFonts w:hint="eastAsia" w:ascii="宋体" w:hAnsi="宋体" w:eastAsia="宋体" w:cs="宋体"/>
          <w:spacing w:val="-2"/>
          <w:sz w:val="24"/>
          <w:szCs w:val="18"/>
        </w:rPr>
        <w:t>（七）仓储业。从业人员</w:t>
      </w:r>
      <w:r>
        <w:rPr>
          <w:rFonts w:hint="eastAsia" w:ascii="宋体" w:hAnsi="宋体" w:eastAsia="宋体" w:cs="宋体"/>
          <w:spacing w:val="-41"/>
          <w:sz w:val="24"/>
          <w:szCs w:val="18"/>
        </w:rPr>
        <w:t xml:space="preserve"> </w:t>
      </w:r>
      <w:r>
        <w:rPr>
          <w:rFonts w:hint="eastAsia" w:ascii="宋体" w:hAnsi="宋体" w:eastAsia="宋体" w:cs="宋体"/>
          <w:spacing w:val="-2"/>
          <w:sz w:val="24"/>
          <w:szCs w:val="18"/>
        </w:rPr>
        <w:t>200</w:t>
      </w:r>
      <w:r>
        <w:rPr>
          <w:rFonts w:hint="eastAsia" w:ascii="宋体" w:hAnsi="宋体" w:eastAsia="宋体" w:cs="宋体"/>
          <w:spacing w:val="-49"/>
          <w:sz w:val="24"/>
          <w:szCs w:val="18"/>
        </w:rPr>
        <w:t xml:space="preserve"> </w:t>
      </w:r>
      <w:r>
        <w:rPr>
          <w:rFonts w:hint="eastAsia" w:ascii="宋体" w:hAnsi="宋体" w:eastAsia="宋体" w:cs="宋体"/>
          <w:spacing w:val="-2"/>
          <w:sz w:val="24"/>
          <w:szCs w:val="18"/>
        </w:rPr>
        <w:t>人以下或营业收入</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30000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万元以下的为中小微型企业。其</w:t>
      </w:r>
      <w:r>
        <w:rPr>
          <w:rFonts w:hint="eastAsia" w:ascii="宋体" w:hAnsi="宋体" w:eastAsia="宋体" w:cs="宋体"/>
          <w:sz w:val="24"/>
          <w:szCs w:val="18"/>
        </w:rPr>
        <w:t xml:space="preserve"> </w:t>
      </w:r>
      <w:r>
        <w:rPr>
          <w:rFonts w:hint="eastAsia" w:ascii="宋体" w:hAnsi="宋体" w:eastAsia="宋体" w:cs="宋体"/>
          <w:spacing w:val="-3"/>
          <w:sz w:val="24"/>
          <w:szCs w:val="18"/>
        </w:rPr>
        <w:t>中，从业人员</w:t>
      </w:r>
      <w:r>
        <w:rPr>
          <w:rFonts w:hint="eastAsia" w:ascii="宋体" w:hAnsi="宋体" w:eastAsia="宋体" w:cs="宋体"/>
          <w:spacing w:val="-29"/>
          <w:sz w:val="24"/>
          <w:szCs w:val="18"/>
        </w:rPr>
        <w:t xml:space="preserve"> </w:t>
      </w:r>
      <w:r>
        <w:rPr>
          <w:rFonts w:hint="eastAsia" w:ascii="宋体" w:hAnsi="宋体" w:eastAsia="宋体" w:cs="宋体"/>
          <w:spacing w:val="-3"/>
          <w:sz w:val="24"/>
          <w:szCs w:val="18"/>
        </w:rPr>
        <w:t>100</w:t>
      </w:r>
      <w:r>
        <w:rPr>
          <w:rFonts w:hint="eastAsia" w:ascii="宋体" w:hAnsi="宋体" w:eastAsia="宋体" w:cs="宋体"/>
          <w:spacing w:val="-49"/>
          <w:sz w:val="24"/>
          <w:szCs w:val="18"/>
        </w:rPr>
        <w:t xml:space="preserve"> </w:t>
      </w:r>
      <w:r>
        <w:rPr>
          <w:rFonts w:hint="eastAsia" w:ascii="宋体" w:hAnsi="宋体" w:eastAsia="宋体" w:cs="宋体"/>
          <w:spacing w:val="-3"/>
          <w:sz w:val="24"/>
          <w:szCs w:val="18"/>
        </w:rPr>
        <w:t>人及以上，且营业收入</w:t>
      </w:r>
      <w:r>
        <w:rPr>
          <w:rFonts w:hint="eastAsia" w:ascii="宋体" w:hAnsi="宋体" w:eastAsia="宋体" w:cs="宋体"/>
          <w:spacing w:val="-33"/>
          <w:sz w:val="24"/>
          <w:szCs w:val="18"/>
        </w:rPr>
        <w:t xml:space="preserve"> </w:t>
      </w:r>
      <w:r>
        <w:rPr>
          <w:rFonts w:hint="eastAsia" w:ascii="宋体" w:hAnsi="宋体" w:eastAsia="宋体" w:cs="宋体"/>
          <w:spacing w:val="-3"/>
          <w:sz w:val="24"/>
          <w:szCs w:val="18"/>
        </w:rPr>
        <w:t>100</w:t>
      </w:r>
      <w:r>
        <w:rPr>
          <w:rFonts w:hint="eastAsia" w:ascii="宋体" w:hAnsi="宋体" w:eastAsia="宋体" w:cs="宋体"/>
          <w:spacing w:val="75"/>
          <w:sz w:val="24"/>
          <w:szCs w:val="18"/>
        </w:rPr>
        <w:t xml:space="preserve"> </w:t>
      </w:r>
      <w:r>
        <w:rPr>
          <w:rFonts w:hint="eastAsia" w:ascii="宋体" w:hAnsi="宋体" w:eastAsia="宋体" w:cs="宋体"/>
          <w:spacing w:val="-3"/>
          <w:sz w:val="24"/>
          <w:szCs w:val="18"/>
        </w:rPr>
        <w:t>万元及以上的为中型企业；从业人员</w:t>
      </w:r>
      <w:r>
        <w:rPr>
          <w:rFonts w:hint="eastAsia" w:ascii="宋体" w:hAnsi="宋体" w:eastAsia="宋体" w:cs="宋体"/>
          <w:spacing w:val="-48"/>
          <w:sz w:val="24"/>
          <w:szCs w:val="18"/>
        </w:rPr>
        <w:t xml:space="preserve"> </w:t>
      </w:r>
      <w:r>
        <w:rPr>
          <w:rFonts w:hint="eastAsia" w:ascii="宋体" w:hAnsi="宋体" w:eastAsia="宋体" w:cs="宋体"/>
          <w:spacing w:val="-3"/>
          <w:sz w:val="24"/>
          <w:szCs w:val="18"/>
        </w:rPr>
        <w:t>20</w:t>
      </w:r>
      <w:r>
        <w:rPr>
          <w:rFonts w:hint="eastAsia" w:ascii="宋体" w:hAnsi="宋体" w:eastAsia="宋体" w:cs="宋体"/>
          <w:spacing w:val="-48"/>
          <w:sz w:val="24"/>
          <w:szCs w:val="18"/>
        </w:rPr>
        <w:t xml:space="preserve"> </w:t>
      </w:r>
      <w:r>
        <w:rPr>
          <w:rFonts w:hint="eastAsia" w:ascii="宋体" w:hAnsi="宋体" w:eastAsia="宋体" w:cs="宋体"/>
          <w:spacing w:val="-3"/>
          <w:sz w:val="24"/>
          <w:szCs w:val="18"/>
        </w:rPr>
        <w:t>人及</w:t>
      </w:r>
      <w:r>
        <w:rPr>
          <w:rFonts w:hint="eastAsia" w:ascii="宋体" w:hAnsi="宋体" w:eastAsia="宋体" w:cs="宋体"/>
          <w:sz w:val="24"/>
          <w:szCs w:val="18"/>
        </w:rPr>
        <w:t xml:space="preserve"> </w:t>
      </w:r>
      <w:r>
        <w:rPr>
          <w:rFonts w:hint="eastAsia" w:ascii="宋体" w:hAnsi="宋体" w:eastAsia="宋体" w:cs="宋体"/>
          <w:spacing w:val="-5"/>
          <w:sz w:val="24"/>
          <w:szCs w:val="18"/>
        </w:rPr>
        <w:t>以上，且营业收入</w:t>
      </w:r>
      <w:r>
        <w:rPr>
          <w:rFonts w:hint="eastAsia" w:ascii="宋体" w:hAnsi="宋体" w:eastAsia="宋体" w:cs="宋体"/>
          <w:spacing w:val="-23"/>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万元及以上的为小型企业；从业人员</w:t>
      </w:r>
      <w:r>
        <w:rPr>
          <w:rFonts w:hint="eastAsia" w:ascii="宋体" w:hAnsi="宋体" w:eastAsia="宋体" w:cs="宋体"/>
          <w:spacing w:val="-48"/>
          <w:sz w:val="24"/>
          <w:szCs w:val="18"/>
        </w:rPr>
        <w:t xml:space="preserve"> </w:t>
      </w:r>
      <w:r>
        <w:rPr>
          <w:rFonts w:hint="eastAsia" w:ascii="宋体" w:hAnsi="宋体" w:eastAsia="宋体" w:cs="宋体"/>
          <w:spacing w:val="-5"/>
          <w:sz w:val="24"/>
          <w:szCs w:val="18"/>
        </w:rPr>
        <w:t>20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人以下或营业收入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万元以</w:t>
      </w:r>
      <w:r>
        <w:rPr>
          <w:rFonts w:hint="eastAsia" w:ascii="宋体" w:hAnsi="宋体" w:eastAsia="宋体" w:cs="宋体"/>
          <w:sz w:val="24"/>
          <w:szCs w:val="18"/>
        </w:rPr>
        <w:t xml:space="preserve"> </w:t>
      </w:r>
      <w:r>
        <w:rPr>
          <w:rFonts w:hint="eastAsia" w:ascii="宋体" w:hAnsi="宋体" w:eastAsia="宋体" w:cs="宋体"/>
          <w:spacing w:val="-3"/>
          <w:sz w:val="24"/>
          <w:szCs w:val="18"/>
        </w:rPr>
        <w:t>下的为微型企业。</w:t>
      </w:r>
    </w:p>
    <w:p w14:paraId="11727153">
      <w:pPr>
        <w:pStyle w:val="10"/>
        <w:spacing w:before="192" w:line="360" w:lineRule="auto"/>
        <w:ind w:left="15" w:right="80" w:firstLine="15"/>
        <w:jc w:val="both"/>
        <w:rPr>
          <w:rFonts w:hint="eastAsia" w:ascii="宋体" w:hAnsi="宋体" w:eastAsia="宋体" w:cs="宋体"/>
          <w:sz w:val="24"/>
          <w:szCs w:val="18"/>
        </w:rPr>
      </w:pPr>
      <w:r>
        <w:rPr>
          <w:rFonts w:hint="eastAsia" w:ascii="宋体" w:hAnsi="宋体" w:eastAsia="宋体" w:cs="宋体"/>
          <w:spacing w:val="-4"/>
          <w:sz w:val="24"/>
          <w:szCs w:val="18"/>
        </w:rPr>
        <w:t>（八）邮政业。从业人员</w:t>
      </w:r>
      <w:r>
        <w:rPr>
          <w:rFonts w:hint="eastAsia" w:ascii="宋体" w:hAnsi="宋体" w:eastAsia="宋体" w:cs="宋体"/>
          <w:spacing w:val="-24"/>
          <w:sz w:val="24"/>
          <w:szCs w:val="18"/>
        </w:rPr>
        <w:t xml:space="preserve"> </w:t>
      </w:r>
      <w:r>
        <w:rPr>
          <w:rFonts w:hint="eastAsia" w:ascii="宋体" w:hAnsi="宋体" w:eastAsia="宋体" w:cs="宋体"/>
          <w:spacing w:val="-4"/>
          <w:sz w:val="24"/>
          <w:szCs w:val="18"/>
        </w:rPr>
        <w:t>1000</w:t>
      </w:r>
      <w:r>
        <w:rPr>
          <w:rFonts w:hint="eastAsia" w:ascii="宋体" w:hAnsi="宋体" w:eastAsia="宋体" w:cs="宋体"/>
          <w:spacing w:val="-49"/>
          <w:sz w:val="24"/>
          <w:szCs w:val="18"/>
        </w:rPr>
        <w:t xml:space="preserve"> </w:t>
      </w:r>
      <w:r>
        <w:rPr>
          <w:rFonts w:hint="eastAsia" w:ascii="宋体" w:hAnsi="宋体" w:eastAsia="宋体" w:cs="宋体"/>
          <w:spacing w:val="-4"/>
          <w:sz w:val="24"/>
          <w:szCs w:val="18"/>
        </w:rPr>
        <w:t>人以下或营业收入</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30000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万元以下的为中小微型企业。其</w:t>
      </w:r>
      <w:r>
        <w:rPr>
          <w:rFonts w:hint="eastAsia" w:ascii="宋体" w:hAnsi="宋体" w:eastAsia="宋体" w:cs="宋体"/>
          <w:spacing w:val="-2"/>
          <w:sz w:val="24"/>
          <w:szCs w:val="18"/>
        </w:rPr>
        <w:t>中，从业人员</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300</w:t>
      </w:r>
      <w:r>
        <w:rPr>
          <w:rFonts w:hint="eastAsia" w:ascii="宋体" w:hAnsi="宋体" w:eastAsia="宋体" w:cs="宋体"/>
          <w:spacing w:val="-48"/>
          <w:sz w:val="24"/>
          <w:szCs w:val="18"/>
        </w:rPr>
        <w:t xml:space="preserve"> </w:t>
      </w:r>
      <w:r>
        <w:rPr>
          <w:rFonts w:hint="eastAsia" w:ascii="宋体" w:hAnsi="宋体" w:eastAsia="宋体" w:cs="宋体"/>
          <w:spacing w:val="-2"/>
          <w:sz w:val="24"/>
          <w:szCs w:val="18"/>
        </w:rPr>
        <w:t>人及以上，且营业收入</w:t>
      </w:r>
      <w:r>
        <w:rPr>
          <w:rFonts w:hint="eastAsia" w:ascii="宋体" w:hAnsi="宋体" w:eastAsia="宋体" w:cs="宋体"/>
          <w:spacing w:val="-48"/>
          <w:sz w:val="24"/>
          <w:szCs w:val="18"/>
        </w:rPr>
        <w:t xml:space="preserve"> </w:t>
      </w:r>
      <w:r>
        <w:rPr>
          <w:rFonts w:hint="eastAsia" w:ascii="宋体" w:hAnsi="宋体" w:eastAsia="宋体" w:cs="宋体"/>
          <w:spacing w:val="-3"/>
          <w:sz w:val="24"/>
          <w:szCs w:val="18"/>
        </w:rPr>
        <w:t>2000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万元及以上的为中型企业；从业人员</w:t>
      </w:r>
      <w:r>
        <w:rPr>
          <w:rFonts w:hint="eastAsia" w:ascii="宋体" w:hAnsi="宋体" w:eastAsia="宋体" w:cs="宋体"/>
          <w:spacing w:val="-48"/>
          <w:sz w:val="24"/>
          <w:szCs w:val="18"/>
        </w:rPr>
        <w:t xml:space="preserve"> </w:t>
      </w:r>
      <w:r>
        <w:rPr>
          <w:rFonts w:hint="eastAsia" w:ascii="宋体" w:hAnsi="宋体" w:eastAsia="宋体" w:cs="宋体"/>
          <w:spacing w:val="-3"/>
          <w:sz w:val="24"/>
          <w:szCs w:val="18"/>
        </w:rPr>
        <w:t>20</w:t>
      </w:r>
      <w:r>
        <w:rPr>
          <w:rFonts w:hint="eastAsia" w:ascii="宋体" w:hAnsi="宋体" w:eastAsia="宋体" w:cs="宋体"/>
          <w:spacing w:val="-48"/>
          <w:sz w:val="24"/>
          <w:szCs w:val="18"/>
        </w:rPr>
        <w:t xml:space="preserve"> </w:t>
      </w:r>
      <w:r>
        <w:rPr>
          <w:rFonts w:hint="eastAsia" w:ascii="宋体" w:hAnsi="宋体" w:eastAsia="宋体" w:cs="宋体"/>
          <w:spacing w:val="-3"/>
          <w:sz w:val="24"/>
          <w:szCs w:val="18"/>
        </w:rPr>
        <w:t>人及</w:t>
      </w:r>
      <w:r>
        <w:rPr>
          <w:rFonts w:hint="eastAsia" w:ascii="宋体" w:hAnsi="宋体" w:eastAsia="宋体" w:cs="宋体"/>
          <w:sz w:val="24"/>
          <w:szCs w:val="18"/>
        </w:rPr>
        <w:t xml:space="preserve"> </w:t>
      </w:r>
      <w:r>
        <w:rPr>
          <w:rFonts w:hint="eastAsia" w:ascii="宋体" w:hAnsi="宋体" w:eastAsia="宋体" w:cs="宋体"/>
          <w:spacing w:val="-5"/>
          <w:sz w:val="24"/>
          <w:szCs w:val="18"/>
        </w:rPr>
        <w:t>以上，且营业收入</w:t>
      </w:r>
      <w:r>
        <w:rPr>
          <w:rFonts w:hint="eastAsia" w:ascii="宋体" w:hAnsi="宋体" w:eastAsia="宋体" w:cs="宋体"/>
          <w:spacing w:val="-23"/>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万元及以上的为小型企业；从业人员</w:t>
      </w:r>
      <w:r>
        <w:rPr>
          <w:rFonts w:hint="eastAsia" w:ascii="宋体" w:hAnsi="宋体" w:eastAsia="宋体" w:cs="宋体"/>
          <w:spacing w:val="-48"/>
          <w:sz w:val="24"/>
          <w:szCs w:val="18"/>
        </w:rPr>
        <w:t xml:space="preserve"> </w:t>
      </w:r>
      <w:r>
        <w:rPr>
          <w:rFonts w:hint="eastAsia" w:ascii="宋体" w:hAnsi="宋体" w:eastAsia="宋体" w:cs="宋体"/>
          <w:spacing w:val="-5"/>
          <w:sz w:val="24"/>
          <w:szCs w:val="18"/>
        </w:rPr>
        <w:t>20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人以下或营业收入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万元以</w:t>
      </w:r>
      <w:r>
        <w:rPr>
          <w:rFonts w:hint="eastAsia" w:ascii="宋体" w:hAnsi="宋体" w:eastAsia="宋体" w:cs="宋体"/>
          <w:sz w:val="24"/>
          <w:szCs w:val="18"/>
        </w:rPr>
        <w:t xml:space="preserve"> </w:t>
      </w:r>
      <w:r>
        <w:rPr>
          <w:rFonts w:hint="eastAsia" w:ascii="宋体" w:hAnsi="宋体" w:eastAsia="宋体" w:cs="宋体"/>
          <w:spacing w:val="-3"/>
          <w:sz w:val="24"/>
          <w:szCs w:val="18"/>
        </w:rPr>
        <w:t>下的为微型企业。</w:t>
      </w:r>
    </w:p>
    <w:p w14:paraId="5B7B8B1B">
      <w:pPr>
        <w:pStyle w:val="10"/>
        <w:spacing w:before="4" w:line="360" w:lineRule="auto"/>
        <w:ind w:left="15" w:right="80" w:firstLine="484"/>
        <w:rPr>
          <w:rFonts w:hint="eastAsia" w:ascii="宋体" w:hAnsi="宋体" w:eastAsia="宋体" w:cs="宋体"/>
          <w:sz w:val="24"/>
          <w:szCs w:val="18"/>
        </w:rPr>
      </w:pPr>
      <w:r>
        <w:rPr>
          <w:rFonts w:hint="eastAsia" w:ascii="宋体" w:hAnsi="宋体" w:eastAsia="宋体" w:cs="宋体"/>
          <w:spacing w:val="-2"/>
          <w:sz w:val="24"/>
          <w:szCs w:val="18"/>
        </w:rPr>
        <w:t>（九）住宿业。从业人员</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300</w:t>
      </w:r>
      <w:r>
        <w:rPr>
          <w:rFonts w:hint="eastAsia" w:ascii="宋体" w:hAnsi="宋体" w:eastAsia="宋体" w:cs="宋体"/>
          <w:spacing w:val="-49"/>
          <w:sz w:val="24"/>
          <w:szCs w:val="18"/>
        </w:rPr>
        <w:t xml:space="preserve"> </w:t>
      </w:r>
      <w:r>
        <w:rPr>
          <w:rFonts w:hint="eastAsia" w:ascii="宋体" w:hAnsi="宋体" w:eastAsia="宋体" w:cs="宋体"/>
          <w:spacing w:val="-2"/>
          <w:sz w:val="24"/>
          <w:szCs w:val="18"/>
        </w:rPr>
        <w:t>人以下或营业收入</w:t>
      </w:r>
      <w:r>
        <w:rPr>
          <w:rFonts w:hint="eastAsia" w:ascii="宋体" w:hAnsi="宋体" w:eastAsia="宋体" w:cs="宋体"/>
          <w:spacing w:val="-32"/>
          <w:sz w:val="24"/>
          <w:szCs w:val="18"/>
        </w:rPr>
        <w:t xml:space="preserve"> </w:t>
      </w:r>
      <w:r>
        <w:rPr>
          <w:rFonts w:hint="eastAsia" w:ascii="宋体" w:hAnsi="宋体" w:eastAsia="宋体" w:cs="宋体"/>
          <w:spacing w:val="-2"/>
          <w:sz w:val="24"/>
          <w:szCs w:val="18"/>
        </w:rPr>
        <w:t>10000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万元以下的为</w:t>
      </w:r>
      <w:r>
        <w:rPr>
          <w:rFonts w:hint="eastAsia" w:ascii="宋体" w:hAnsi="宋体" w:eastAsia="宋体" w:cs="宋体"/>
          <w:spacing w:val="-3"/>
          <w:sz w:val="24"/>
          <w:szCs w:val="18"/>
        </w:rPr>
        <w:t>中小微型企业。其</w:t>
      </w:r>
      <w:r>
        <w:rPr>
          <w:rFonts w:hint="eastAsia" w:ascii="宋体" w:hAnsi="宋体" w:eastAsia="宋体" w:cs="宋体"/>
          <w:sz w:val="24"/>
          <w:szCs w:val="18"/>
        </w:rPr>
        <w:t xml:space="preserve"> </w:t>
      </w:r>
      <w:r>
        <w:rPr>
          <w:rFonts w:hint="eastAsia" w:ascii="宋体" w:hAnsi="宋体" w:eastAsia="宋体" w:cs="宋体"/>
          <w:spacing w:val="-3"/>
          <w:sz w:val="24"/>
          <w:szCs w:val="18"/>
        </w:rPr>
        <w:t>中，从业人员</w:t>
      </w:r>
      <w:r>
        <w:rPr>
          <w:rFonts w:hint="eastAsia" w:ascii="宋体" w:hAnsi="宋体" w:eastAsia="宋体" w:cs="宋体"/>
          <w:spacing w:val="-26"/>
          <w:sz w:val="24"/>
          <w:szCs w:val="18"/>
        </w:rPr>
        <w:t xml:space="preserve"> </w:t>
      </w:r>
      <w:r>
        <w:rPr>
          <w:rFonts w:hint="eastAsia" w:ascii="宋体" w:hAnsi="宋体" w:eastAsia="宋体" w:cs="宋体"/>
          <w:spacing w:val="-3"/>
          <w:sz w:val="24"/>
          <w:szCs w:val="18"/>
        </w:rPr>
        <w:t>100</w:t>
      </w:r>
      <w:r>
        <w:rPr>
          <w:rFonts w:hint="eastAsia" w:ascii="宋体" w:hAnsi="宋体" w:eastAsia="宋体" w:cs="宋体"/>
          <w:spacing w:val="-49"/>
          <w:sz w:val="24"/>
          <w:szCs w:val="18"/>
        </w:rPr>
        <w:t xml:space="preserve"> </w:t>
      </w:r>
      <w:r>
        <w:rPr>
          <w:rFonts w:hint="eastAsia" w:ascii="宋体" w:hAnsi="宋体" w:eastAsia="宋体" w:cs="宋体"/>
          <w:spacing w:val="-3"/>
          <w:sz w:val="24"/>
          <w:szCs w:val="18"/>
        </w:rPr>
        <w:t>人及以上，且营业收入</w:t>
      </w:r>
      <w:r>
        <w:rPr>
          <w:rFonts w:hint="eastAsia" w:ascii="宋体" w:hAnsi="宋体" w:eastAsia="宋体" w:cs="宋体"/>
          <w:spacing w:val="-48"/>
          <w:sz w:val="24"/>
          <w:szCs w:val="18"/>
        </w:rPr>
        <w:t xml:space="preserve"> </w:t>
      </w:r>
      <w:r>
        <w:rPr>
          <w:rFonts w:hint="eastAsia" w:ascii="宋体" w:hAnsi="宋体" w:eastAsia="宋体" w:cs="宋体"/>
          <w:spacing w:val="-3"/>
          <w:sz w:val="24"/>
          <w:szCs w:val="18"/>
        </w:rPr>
        <w:t>2000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万元及以上的为中型企业；从业人员</w:t>
      </w:r>
      <w:r>
        <w:rPr>
          <w:rFonts w:hint="eastAsia" w:ascii="宋体" w:hAnsi="宋体" w:eastAsia="宋体" w:cs="宋体"/>
          <w:spacing w:val="-33"/>
          <w:sz w:val="24"/>
          <w:szCs w:val="18"/>
        </w:rPr>
        <w:t xml:space="preserve"> </w:t>
      </w:r>
      <w:r>
        <w:rPr>
          <w:rFonts w:hint="eastAsia" w:ascii="宋体" w:hAnsi="宋体" w:eastAsia="宋体" w:cs="宋体"/>
          <w:spacing w:val="-3"/>
          <w:sz w:val="24"/>
          <w:szCs w:val="18"/>
        </w:rPr>
        <w:t>10</w:t>
      </w:r>
      <w:r>
        <w:rPr>
          <w:rFonts w:hint="eastAsia" w:ascii="宋体" w:hAnsi="宋体" w:eastAsia="宋体" w:cs="宋体"/>
          <w:spacing w:val="-48"/>
          <w:sz w:val="24"/>
          <w:szCs w:val="18"/>
        </w:rPr>
        <w:t xml:space="preserve"> </w:t>
      </w:r>
      <w:r>
        <w:rPr>
          <w:rFonts w:hint="eastAsia" w:ascii="宋体" w:hAnsi="宋体" w:eastAsia="宋体" w:cs="宋体"/>
          <w:spacing w:val="-3"/>
          <w:sz w:val="24"/>
          <w:szCs w:val="18"/>
        </w:rPr>
        <w:t>人及</w:t>
      </w:r>
      <w:r>
        <w:rPr>
          <w:rFonts w:hint="eastAsia" w:ascii="宋体" w:hAnsi="宋体" w:eastAsia="宋体" w:cs="宋体"/>
          <w:sz w:val="24"/>
          <w:szCs w:val="18"/>
        </w:rPr>
        <w:t xml:space="preserve"> </w:t>
      </w:r>
      <w:r>
        <w:rPr>
          <w:rFonts w:hint="eastAsia" w:ascii="宋体" w:hAnsi="宋体" w:eastAsia="宋体" w:cs="宋体"/>
          <w:spacing w:val="-5"/>
          <w:sz w:val="24"/>
          <w:szCs w:val="18"/>
        </w:rPr>
        <w:t>以上，且营业收入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万元及以上的为小型企业；从业人员</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人以下或营业收入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w:t>
      </w:r>
      <w:r>
        <w:rPr>
          <w:rFonts w:hint="eastAsia" w:ascii="宋体" w:hAnsi="宋体" w:eastAsia="宋体" w:cs="宋体"/>
          <w:spacing w:val="-6"/>
          <w:sz w:val="24"/>
          <w:szCs w:val="18"/>
        </w:rPr>
        <w:t>00</w:t>
      </w:r>
      <w:r>
        <w:rPr>
          <w:rFonts w:hint="eastAsia" w:ascii="宋体" w:hAnsi="宋体" w:eastAsia="宋体" w:cs="宋体"/>
          <w:spacing w:val="-45"/>
          <w:sz w:val="24"/>
          <w:szCs w:val="18"/>
        </w:rPr>
        <w:t xml:space="preserve"> </w:t>
      </w:r>
      <w:r>
        <w:rPr>
          <w:rFonts w:hint="eastAsia" w:ascii="宋体" w:hAnsi="宋体" w:eastAsia="宋体" w:cs="宋体"/>
          <w:spacing w:val="-6"/>
          <w:sz w:val="24"/>
          <w:szCs w:val="18"/>
        </w:rPr>
        <w:t>万元以</w:t>
      </w:r>
      <w:r>
        <w:rPr>
          <w:rFonts w:hint="eastAsia" w:ascii="宋体" w:hAnsi="宋体" w:eastAsia="宋体" w:cs="宋体"/>
          <w:sz w:val="24"/>
          <w:szCs w:val="18"/>
        </w:rPr>
        <w:t xml:space="preserve"> </w:t>
      </w:r>
      <w:r>
        <w:rPr>
          <w:rFonts w:hint="eastAsia" w:ascii="宋体" w:hAnsi="宋体" w:eastAsia="宋体" w:cs="宋体"/>
          <w:spacing w:val="-3"/>
          <w:sz w:val="24"/>
          <w:szCs w:val="18"/>
        </w:rPr>
        <w:t>下的为微型企业。</w:t>
      </w:r>
    </w:p>
    <w:p w14:paraId="12171DF8">
      <w:pPr>
        <w:pStyle w:val="10"/>
        <w:spacing w:before="182" w:line="360" w:lineRule="auto"/>
        <w:ind w:left="15" w:right="80" w:firstLine="484"/>
        <w:rPr>
          <w:rFonts w:hint="eastAsia" w:ascii="宋体" w:hAnsi="宋体" w:eastAsia="宋体" w:cs="宋体"/>
          <w:sz w:val="24"/>
          <w:szCs w:val="18"/>
        </w:rPr>
      </w:pPr>
      <w:r>
        <w:rPr>
          <w:rFonts w:hint="eastAsia" w:ascii="宋体" w:hAnsi="宋体" w:eastAsia="宋体" w:cs="宋体"/>
          <w:spacing w:val="-2"/>
          <w:sz w:val="24"/>
          <w:szCs w:val="18"/>
        </w:rPr>
        <w:t>（十）餐饮业。从业人员</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300</w:t>
      </w:r>
      <w:r>
        <w:rPr>
          <w:rFonts w:hint="eastAsia" w:ascii="宋体" w:hAnsi="宋体" w:eastAsia="宋体" w:cs="宋体"/>
          <w:spacing w:val="-49"/>
          <w:sz w:val="24"/>
          <w:szCs w:val="18"/>
        </w:rPr>
        <w:t xml:space="preserve"> </w:t>
      </w:r>
      <w:r>
        <w:rPr>
          <w:rFonts w:hint="eastAsia" w:ascii="宋体" w:hAnsi="宋体" w:eastAsia="宋体" w:cs="宋体"/>
          <w:spacing w:val="-2"/>
          <w:sz w:val="24"/>
          <w:szCs w:val="18"/>
        </w:rPr>
        <w:t>人以下或营业收入</w:t>
      </w:r>
      <w:r>
        <w:rPr>
          <w:rFonts w:hint="eastAsia" w:ascii="宋体" w:hAnsi="宋体" w:eastAsia="宋体" w:cs="宋体"/>
          <w:spacing w:val="-32"/>
          <w:sz w:val="24"/>
          <w:szCs w:val="18"/>
        </w:rPr>
        <w:t xml:space="preserve"> </w:t>
      </w:r>
      <w:r>
        <w:rPr>
          <w:rFonts w:hint="eastAsia" w:ascii="宋体" w:hAnsi="宋体" w:eastAsia="宋体" w:cs="宋体"/>
          <w:spacing w:val="-2"/>
          <w:sz w:val="24"/>
          <w:szCs w:val="18"/>
        </w:rPr>
        <w:t>10000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万元以下的为</w:t>
      </w:r>
      <w:r>
        <w:rPr>
          <w:rFonts w:hint="eastAsia" w:ascii="宋体" w:hAnsi="宋体" w:eastAsia="宋体" w:cs="宋体"/>
          <w:spacing w:val="-3"/>
          <w:sz w:val="24"/>
          <w:szCs w:val="18"/>
        </w:rPr>
        <w:t>中小微型企业。其</w:t>
      </w:r>
      <w:r>
        <w:rPr>
          <w:rFonts w:hint="eastAsia" w:ascii="宋体" w:hAnsi="宋体" w:eastAsia="宋体" w:cs="宋体"/>
          <w:sz w:val="24"/>
          <w:szCs w:val="18"/>
        </w:rPr>
        <w:t xml:space="preserve"> </w:t>
      </w:r>
      <w:r>
        <w:rPr>
          <w:rFonts w:hint="eastAsia" w:ascii="宋体" w:hAnsi="宋体" w:eastAsia="宋体" w:cs="宋体"/>
          <w:spacing w:val="-3"/>
          <w:sz w:val="24"/>
          <w:szCs w:val="18"/>
        </w:rPr>
        <w:t>中，从业人员</w:t>
      </w:r>
      <w:r>
        <w:rPr>
          <w:rFonts w:hint="eastAsia" w:ascii="宋体" w:hAnsi="宋体" w:eastAsia="宋体" w:cs="宋体"/>
          <w:spacing w:val="-26"/>
          <w:sz w:val="24"/>
          <w:szCs w:val="18"/>
        </w:rPr>
        <w:t xml:space="preserve"> </w:t>
      </w:r>
      <w:r>
        <w:rPr>
          <w:rFonts w:hint="eastAsia" w:ascii="宋体" w:hAnsi="宋体" w:eastAsia="宋体" w:cs="宋体"/>
          <w:spacing w:val="-3"/>
          <w:sz w:val="24"/>
          <w:szCs w:val="18"/>
        </w:rPr>
        <w:t>100</w:t>
      </w:r>
      <w:r>
        <w:rPr>
          <w:rFonts w:hint="eastAsia" w:ascii="宋体" w:hAnsi="宋体" w:eastAsia="宋体" w:cs="宋体"/>
          <w:spacing w:val="-49"/>
          <w:sz w:val="24"/>
          <w:szCs w:val="18"/>
        </w:rPr>
        <w:t xml:space="preserve"> </w:t>
      </w:r>
      <w:r>
        <w:rPr>
          <w:rFonts w:hint="eastAsia" w:ascii="宋体" w:hAnsi="宋体" w:eastAsia="宋体" w:cs="宋体"/>
          <w:spacing w:val="-3"/>
          <w:sz w:val="24"/>
          <w:szCs w:val="18"/>
        </w:rPr>
        <w:t>人及以上，且营业收入</w:t>
      </w:r>
      <w:r>
        <w:rPr>
          <w:rFonts w:hint="eastAsia" w:ascii="宋体" w:hAnsi="宋体" w:eastAsia="宋体" w:cs="宋体"/>
          <w:spacing w:val="-48"/>
          <w:sz w:val="24"/>
          <w:szCs w:val="18"/>
        </w:rPr>
        <w:t xml:space="preserve"> </w:t>
      </w:r>
      <w:r>
        <w:rPr>
          <w:rFonts w:hint="eastAsia" w:ascii="宋体" w:hAnsi="宋体" w:eastAsia="宋体" w:cs="宋体"/>
          <w:spacing w:val="-3"/>
          <w:sz w:val="24"/>
          <w:szCs w:val="18"/>
        </w:rPr>
        <w:t>2000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万元及以上的为中型企业；从业人员</w:t>
      </w:r>
      <w:r>
        <w:rPr>
          <w:rFonts w:hint="eastAsia" w:ascii="宋体" w:hAnsi="宋体" w:eastAsia="宋体" w:cs="宋体"/>
          <w:spacing w:val="-33"/>
          <w:sz w:val="24"/>
          <w:szCs w:val="18"/>
        </w:rPr>
        <w:t xml:space="preserve"> </w:t>
      </w:r>
      <w:r>
        <w:rPr>
          <w:rFonts w:hint="eastAsia" w:ascii="宋体" w:hAnsi="宋体" w:eastAsia="宋体" w:cs="宋体"/>
          <w:spacing w:val="-3"/>
          <w:sz w:val="24"/>
          <w:szCs w:val="18"/>
        </w:rPr>
        <w:t>10</w:t>
      </w:r>
      <w:r>
        <w:rPr>
          <w:rFonts w:hint="eastAsia" w:ascii="宋体" w:hAnsi="宋体" w:eastAsia="宋体" w:cs="宋体"/>
          <w:spacing w:val="-48"/>
          <w:sz w:val="24"/>
          <w:szCs w:val="18"/>
        </w:rPr>
        <w:t xml:space="preserve"> </w:t>
      </w:r>
      <w:r>
        <w:rPr>
          <w:rFonts w:hint="eastAsia" w:ascii="宋体" w:hAnsi="宋体" w:eastAsia="宋体" w:cs="宋体"/>
          <w:spacing w:val="-3"/>
          <w:sz w:val="24"/>
          <w:szCs w:val="18"/>
        </w:rPr>
        <w:t>人及</w:t>
      </w:r>
      <w:r>
        <w:rPr>
          <w:rFonts w:hint="eastAsia" w:ascii="宋体" w:hAnsi="宋体" w:eastAsia="宋体" w:cs="宋体"/>
          <w:sz w:val="24"/>
          <w:szCs w:val="18"/>
        </w:rPr>
        <w:t xml:space="preserve"> </w:t>
      </w:r>
      <w:r>
        <w:rPr>
          <w:rFonts w:hint="eastAsia" w:ascii="宋体" w:hAnsi="宋体" w:eastAsia="宋体" w:cs="宋体"/>
          <w:spacing w:val="-5"/>
          <w:sz w:val="24"/>
          <w:szCs w:val="18"/>
        </w:rPr>
        <w:t>以上，且营业收入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万元及以上的为小型企业；从业人员</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人以下或营业收入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w:t>
      </w:r>
      <w:r>
        <w:rPr>
          <w:rFonts w:hint="eastAsia" w:ascii="宋体" w:hAnsi="宋体" w:eastAsia="宋体" w:cs="宋体"/>
          <w:spacing w:val="-6"/>
          <w:sz w:val="24"/>
          <w:szCs w:val="18"/>
        </w:rPr>
        <w:t>00</w:t>
      </w:r>
      <w:r>
        <w:rPr>
          <w:rFonts w:hint="eastAsia" w:ascii="宋体" w:hAnsi="宋体" w:eastAsia="宋体" w:cs="宋体"/>
          <w:spacing w:val="-45"/>
          <w:sz w:val="24"/>
          <w:szCs w:val="18"/>
        </w:rPr>
        <w:t xml:space="preserve"> </w:t>
      </w:r>
      <w:r>
        <w:rPr>
          <w:rFonts w:hint="eastAsia" w:ascii="宋体" w:hAnsi="宋体" w:eastAsia="宋体" w:cs="宋体"/>
          <w:spacing w:val="-6"/>
          <w:sz w:val="24"/>
          <w:szCs w:val="18"/>
        </w:rPr>
        <w:t>万元以</w:t>
      </w:r>
      <w:r>
        <w:rPr>
          <w:rFonts w:hint="eastAsia" w:ascii="宋体" w:hAnsi="宋体" w:eastAsia="宋体" w:cs="宋体"/>
          <w:sz w:val="24"/>
          <w:szCs w:val="18"/>
        </w:rPr>
        <w:t xml:space="preserve"> </w:t>
      </w:r>
      <w:r>
        <w:rPr>
          <w:rFonts w:hint="eastAsia" w:ascii="宋体" w:hAnsi="宋体" w:eastAsia="宋体" w:cs="宋体"/>
          <w:spacing w:val="-3"/>
          <w:sz w:val="24"/>
          <w:szCs w:val="18"/>
        </w:rPr>
        <w:t>下的为微型企业。</w:t>
      </w:r>
    </w:p>
    <w:p w14:paraId="1BD818D4">
      <w:pPr>
        <w:pStyle w:val="10"/>
        <w:spacing w:before="184" w:line="360" w:lineRule="auto"/>
        <w:ind w:left="11" w:right="80" w:firstLine="487"/>
        <w:rPr>
          <w:rFonts w:hint="eastAsia" w:ascii="宋体" w:hAnsi="宋体" w:eastAsia="宋体" w:cs="宋体"/>
          <w:sz w:val="24"/>
          <w:szCs w:val="18"/>
        </w:rPr>
      </w:pPr>
      <w:r>
        <w:rPr>
          <w:rFonts w:hint="eastAsia" w:ascii="宋体" w:hAnsi="宋体" w:eastAsia="宋体" w:cs="宋体"/>
          <w:spacing w:val="-2"/>
          <w:sz w:val="24"/>
          <w:szCs w:val="18"/>
        </w:rPr>
        <w:t>（十一）信息传输业。从业人员</w:t>
      </w:r>
      <w:r>
        <w:rPr>
          <w:rFonts w:hint="eastAsia" w:ascii="宋体" w:hAnsi="宋体" w:eastAsia="宋体" w:cs="宋体"/>
          <w:spacing w:val="-48"/>
          <w:sz w:val="24"/>
          <w:szCs w:val="18"/>
        </w:rPr>
        <w:t xml:space="preserve"> </w:t>
      </w:r>
      <w:r>
        <w:rPr>
          <w:rFonts w:hint="eastAsia" w:ascii="宋体" w:hAnsi="宋体" w:eastAsia="宋体" w:cs="宋体"/>
          <w:spacing w:val="-2"/>
          <w:sz w:val="24"/>
          <w:szCs w:val="18"/>
        </w:rPr>
        <w:t>2000</w:t>
      </w:r>
      <w:r>
        <w:rPr>
          <w:rFonts w:hint="eastAsia" w:ascii="宋体" w:hAnsi="宋体" w:eastAsia="宋体" w:cs="宋体"/>
          <w:spacing w:val="-49"/>
          <w:sz w:val="24"/>
          <w:szCs w:val="18"/>
        </w:rPr>
        <w:t xml:space="preserve"> </w:t>
      </w:r>
      <w:r>
        <w:rPr>
          <w:rFonts w:hint="eastAsia" w:ascii="宋体" w:hAnsi="宋体" w:eastAsia="宋体" w:cs="宋体"/>
          <w:spacing w:val="-2"/>
          <w:sz w:val="24"/>
          <w:szCs w:val="18"/>
        </w:rPr>
        <w:t>人以下或营业收入</w:t>
      </w:r>
      <w:r>
        <w:rPr>
          <w:rFonts w:hint="eastAsia" w:ascii="宋体" w:hAnsi="宋体" w:eastAsia="宋体" w:cs="宋体"/>
          <w:spacing w:val="-32"/>
          <w:sz w:val="24"/>
          <w:szCs w:val="18"/>
        </w:rPr>
        <w:t xml:space="preserve"> </w:t>
      </w:r>
      <w:r>
        <w:rPr>
          <w:rFonts w:hint="eastAsia" w:ascii="宋体" w:hAnsi="宋体" w:eastAsia="宋体" w:cs="宋体"/>
          <w:spacing w:val="-2"/>
          <w:sz w:val="24"/>
          <w:szCs w:val="18"/>
        </w:rPr>
        <w:t>100000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万元以下的为</w:t>
      </w:r>
      <w:r>
        <w:rPr>
          <w:rFonts w:hint="eastAsia" w:ascii="宋体" w:hAnsi="宋体" w:eastAsia="宋体" w:cs="宋体"/>
          <w:spacing w:val="-3"/>
          <w:sz w:val="24"/>
          <w:szCs w:val="18"/>
        </w:rPr>
        <w:t>中小微型</w:t>
      </w:r>
      <w:r>
        <w:rPr>
          <w:rFonts w:hint="eastAsia" w:ascii="宋体" w:hAnsi="宋体" w:eastAsia="宋体" w:cs="宋体"/>
          <w:sz w:val="24"/>
          <w:szCs w:val="18"/>
        </w:rPr>
        <w:t xml:space="preserve"> </w:t>
      </w:r>
      <w:r>
        <w:rPr>
          <w:rFonts w:hint="eastAsia" w:ascii="宋体" w:hAnsi="宋体" w:eastAsia="宋体" w:cs="宋体"/>
          <w:spacing w:val="-4"/>
          <w:sz w:val="24"/>
          <w:szCs w:val="18"/>
        </w:rPr>
        <w:t>企业。其中，从业人员</w:t>
      </w:r>
      <w:r>
        <w:rPr>
          <w:rFonts w:hint="eastAsia" w:ascii="宋体" w:hAnsi="宋体" w:eastAsia="宋体" w:cs="宋体"/>
          <w:spacing w:val="-32"/>
          <w:sz w:val="24"/>
          <w:szCs w:val="18"/>
        </w:rPr>
        <w:t xml:space="preserve"> </w:t>
      </w:r>
      <w:r>
        <w:rPr>
          <w:rFonts w:hint="eastAsia" w:ascii="宋体" w:hAnsi="宋体" w:eastAsia="宋体" w:cs="宋体"/>
          <w:spacing w:val="-4"/>
          <w:sz w:val="24"/>
          <w:szCs w:val="18"/>
        </w:rPr>
        <w:t>100</w:t>
      </w:r>
      <w:r>
        <w:rPr>
          <w:rFonts w:hint="eastAsia" w:ascii="宋体" w:hAnsi="宋体" w:eastAsia="宋体" w:cs="宋体"/>
          <w:spacing w:val="-49"/>
          <w:sz w:val="24"/>
          <w:szCs w:val="18"/>
        </w:rPr>
        <w:t xml:space="preserve"> </w:t>
      </w:r>
      <w:r>
        <w:rPr>
          <w:rFonts w:hint="eastAsia" w:ascii="宋体" w:hAnsi="宋体" w:eastAsia="宋体" w:cs="宋体"/>
          <w:spacing w:val="-4"/>
          <w:sz w:val="24"/>
          <w:szCs w:val="18"/>
        </w:rPr>
        <w:t>人及以上，且营业收入</w:t>
      </w:r>
      <w:r>
        <w:rPr>
          <w:rFonts w:hint="eastAsia" w:ascii="宋体" w:hAnsi="宋体" w:eastAsia="宋体" w:cs="宋体"/>
          <w:spacing w:val="-33"/>
          <w:sz w:val="24"/>
          <w:szCs w:val="18"/>
        </w:rPr>
        <w:t xml:space="preserve"> </w:t>
      </w:r>
      <w:r>
        <w:rPr>
          <w:rFonts w:hint="eastAsia" w:ascii="宋体" w:hAnsi="宋体" w:eastAsia="宋体" w:cs="宋体"/>
          <w:spacing w:val="-4"/>
          <w:sz w:val="24"/>
          <w:szCs w:val="18"/>
        </w:rPr>
        <w:t>1000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万元及以上的为中型企业；从</w:t>
      </w:r>
      <w:r>
        <w:rPr>
          <w:rFonts w:hint="eastAsia" w:ascii="宋体" w:hAnsi="宋体" w:eastAsia="宋体" w:cs="宋体"/>
          <w:spacing w:val="-5"/>
          <w:sz w:val="24"/>
          <w:szCs w:val="18"/>
        </w:rPr>
        <w:t>业人员</w:t>
      </w:r>
      <w:r>
        <w:rPr>
          <w:rFonts w:hint="eastAsia" w:ascii="宋体" w:hAnsi="宋体" w:eastAsia="宋体" w:cs="宋体"/>
          <w:sz w:val="24"/>
          <w:szCs w:val="18"/>
        </w:rPr>
        <w:t xml:space="preserve"> </w:t>
      </w:r>
      <w:r>
        <w:rPr>
          <w:rFonts w:hint="eastAsia" w:ascii="宋体" w:hAnsi="宋体" w:eastAsia="宋体" w:cs="宋体"/>
          <w:spacing w:val="-5"/>
          <w:sz w:val="24"/>
          <w:szCs w:val="18"/>
        </w:rPr>
        <w:t>10</w:t>
      </w:r>
      <w:r>
        <w:rPr>
          <w:rFonts w:hint="eastAsia" w:ascii="宋体" w:hAnsi="宋体" w:eastAsia="宋体" w:cs="宋体"/>
          <w:spacing w:val="-42"/>
          <w:sz w:val="24"/>
          <w:szCs w:val="18"/>
        </w:rPr>
        <w:t xml:space="preserve"> </w:t>
      </w:r>
      <w:r>
        <w:rPr>
          <w:rFonts w:hint="eastAsia" w:ascii="宋体" w:hAnsi="宋体" w:eastAsia="宋体" w:cs="宋体"/>
          <w:spacing w:val="-5"/>
          <w:sz w:val="24"/>
          <w:szCs w:val="18"/>
        </w:rPr>
        <w:t>人及以上，且营业收入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4"/>
          <w:sz w:val="24"/>
          <w:szCs w:val="18"/>
        </w:rPr>
        <w:t xml:space="preserve"> </w:t>
      </w:r>
      <w:r>
        <w:rPr>
          <w:rFonts w:hint="eastAsia" w:ascii="宋体" w:hAnsi="宋体" w:eastAsia="宋体" w:cs="宋体"/>
          <w:spacing w:val="-5"/>
          <w:sz w:val="24"/>
          <w:szCs w:val="18"/>
        </w:rPr>
        <w:t>万元及以上的为小型企业；从业人员</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人以下或营业收入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100</w:t>
      </w:r>
      <w:r>
        <w:rPr>
          <w:rFonts w:hint="eastAsia" w:ascii="宋体" w:hAnsi="宋体" w:eastAsia="宋体" w:cs="宋体"/>
          <w:sz w:val="24"/>
          <w:szCs w:val="18"/>
        </w:rPr>
        <w:t xml:space="preserve"> </w:t>
      </w:r>
      <w:r>
        <w:rPr>
          <w:rFonts w:hint="eastAsia" w:ascii="宋体" w:hAnsi="宋体" w:eastAsia="宋体" w:cs="宋体"/>
          <w:spacing w:val="-2"/>
          <w:sz w:val="24"/>
          <w:szCs w:val="18"/>
        </w:rPr>
        <w:t>万元以下的为微型企业。</w:t>
      </w:r>
    </w:p>
    <w:p w14:paraId="21925FE3">
      <w:pPr>
        <w:pStyle w:val="10"/>
        <w:spacing w:before="182" w:line="360" w:lineRule="auto"/>
        <w:ind w:left="11" w:right="62" w:firstLine="488"/>
        <w:rPr>
          <w:rFonts w:hint="eastAsia" w:ascii="宋体" w:hAnsi="宋体" w:eastAsia="宋体" w:cs="宋体"/>
          <w:sz w:val="24"/>
          <w:szCs w:val="18"/>
        </w:rPr>
      </w:pPr>
      <w:r>
        <w:rPr>
          <w:rFonts w:hint="eastAsia" w:ascii="宋体" w:hAnsi="宋体" w:eastAsia="宋体" w:cs="宋体"/>
          <w:spacing w:val="-2"/>
          <w:sz w:val="24"/>
          <w:szCs w:val="18"/>
        </w:rPr>
        <w:t>（十二）软件和信息技术服务业。从业人员</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300</w:t>
      </w:r>
      <w:r>
        <w:rPr>
          <w:rFonts w:hint="eastAsia" w:ascii="宋体" w:hAnsi="宋体" w:eastAsia="宋体" w:cs="宋体"/>
          <w:spacing w:val="-49"/>
          <w:sz w:val="24"/>
          <w:szCs w:val="18"/>
        </w:rPr>
        <w:t xml:space="preserve"> </w:t>
      </w:r>
      <w:r>
        <w:rPr>
          <w:rFonts w:hint="eastAsia" w:ascii="宋体" w:hAnsi="宋体" w:eastAsia="宋体" w:cs="宋体"/>
          <w:spacing w:val="-2"/>
          <w:sz w:val="24"/>
          <w:szCs w:val="18"/>
        </w:rPr>
        <w:t>人以下或营业收入</w:t>
      </w:r>
      <w:r>
        <w:rPr>
          <w:rFonts w:hint="eastAsia" w:ascii="宋体" w:hAnsi="宋体" w:eastAsia="宋体" w:cs="宋体"/>
          <w:spacing w:val="-32"/>
          <w:sz w:val="24"/>
          <w:szCs w:val="18"/>
        </w:rPr>
        <w:t xml:space="preserve"> </w:t>
      </w:r>
      <w:r>
        <w:rPr>
          <w:rFonts w:hint="eastAsia" w:ascii="宋体" w:hAnsi="宋体" w:eastAsia="宋体" w:cs="宋体"/>
          <w:spacing w:val="-2"/>
          <w:sz w:val="24"/>
          <w:szCs w:val="18"/>
        </w:rPr>
        <w:t>100</w:t>
      </w:r>
      <w:r>
        <w:rPr>
          <w:rFonts w:hint="eastAsia" w:ascii="宋体" w:hAnsi="宋体" w:eastAsia="宋体" w:cs="宋体"/>
          <w:spacing w:val="-3"/>
          <w:sz w:val="24"/>
          <w:szCs w:val="18"/>
        </w:rPr>
        <w:t>00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万元以下的为</w:t>
      </w:r>
      <w:r>
        <w:rPr>
          <w:rFonts w:hint="eastAsia" w:ascii="宋体" w:hAnsi="宋体" w:eastAsia="宋体" w:cs="宋体"/>
          <w:sz w:val="24"/>
          <w:szCs w:val="18"/>
        </w:rPr>
        <w:t xml:space="preserve"> </w:t>
      </w:r>
      <w:r>
        <w:rPr>
          <w:rFonts w:hint="eastAsia" w:ascii="宋体" w:hAnsi="宋体" w:eastAsia="宋体" w:cs="宋体"/>
          <w:spacing w:val="-4"/>
          <w:sz w:val="24"/>
          <w:szCs w:val="18"/>
        </w:rPr>
        <w:t>中小微型企业。其中，从业人员</w:t>
      </w:r>
      <w:r>
        <w:rPr>
          <w:rFonts w:hint="eastAsia" w:ascii="宋体" w:hAnsi="宋体" w:eastAsia="宋体" w:cs="宋体"/>
          <w:spacing w:val="-16"/>
          <w:sz w:val="24"/>
          <w:szCs w:val="18"/>
        </w:rPr>
        <w:t xml:space="preserve"> </w:t>
      </w:r>
      <w:r>
        <w:rPr>
          <w:rFonts w:hint="eastAsia" w:ascii="宋体" w:hAnsi="宋体" w:eastAsia="宋体" w:cs="宋体"/>
          <w:spacing w:val="-4"/>
          <w:sz w:val="24"/>
          <w:szCs w:val="18"/>
        </w:rPr>
        <w:t>100</w:t>
      </w:r>
      <w:r>
        <w:rPr>
          <w:rFonts w:hint="eastAsia" w:ascii="宋体" w:hAnsi="宋体" w:eastAsia="宋体" w:cs="宋体"/>
          <w:spacing w:val="-49"/>
          <w:sz w:val="24"/>
          <w:szCs w:val="18"/>
        </w:rPr>
        <w:t xml:space="preserve"> </w:t>
      </w:r>
      <w:r>
        <w:rPr>
          <w:rFonts w:hint="eastAsia" w:ascii="宋体" w:hAnsi="宋体" w:eastAsia="宋体" w:cs="宋体"/>
          <w:spacing w:val="-4"/>
          <w:sz w:val="24"/>
          <w:szCs w:val="18"/>
        </w:rPr>
        <w:t>人及以上，且营业收入</w:t>
      </w:r>
      <w:r>
        <w:rPr>
          <w:rFonts w:hint="eastAsia" w:ascii="宋体" w:hAnsi="宋体" w:eastAsia="宋体" w:cs="宋体"/>
          <w:spacing w:val="-33"/>
          <w:sz w:val="24"/>
          <w:szCs w:val="18"/>
        </w:rPr>
        <w:t xml:space="preserve"> </w:t>
      </w:r>
      <w:r>
        <w:rPr>
          <w:rFonts w:hint="eastAsia" w:ascii="宋体" w:hAnsi="宋体" w:eastAsia="宋体" w:cs="宋体"/>
          <w:spacing w:val="-4"/>
          <w:sz w:val="24"/>
          <w:szCs w:val="18"/>
        </w:rPr>
        <w:t>1000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万元及以上的为中型企业；</w:t>
      </w:r>
      <w:r>
        <w:rPr>
          <w:rFonts w:hint="eastAsia" w:ascii="宋体" w:hAnsi="宋体" w:eastAsia="宋体" w:cs="宋体"/>
          <w:sz w:val="24"/>
          <w:szCs w:val="18"/>
        </w:rPr>
        <w:t xml:space="preserve"> </w:t>
      </w:r>
      <w:r>
        <w:rPr>
          <w:rFonts w:hint="eastAsia" w:ascii="宋体" w:hAnsi="宋体" w:eastAsia="宋体" w:cs="宋体"/>
          <w:spacing w:val="-5"/>
          <w:sz w:val="24"/>
          <w:szCs w:val="18"/>
        </w:rPr>
        <w:t>从业人员</w:t>
      </w:r>
      <w:r>
        <w:rPr>
          <w:rFonts w:hint="eastAsia" w:ascii="宋体" w:hAnsi="宋体" w:eastAsia="宋体" w:cs="宋体"/>
          <w:spacing w:val="-22"/>
          <w:sz w:val="24"/>
          <w:szCs w:val="18"/>
        </w:rPr>
        <w:t xml:space="preserve"> </w:t>
      </w:r>
      <w:r>
        <w:rPr>
          <w:rFonts w:hint="eastAsia" w:ascii="宋体" w:hAnsi="宋体" w:eastAsia="宋体" w:cs="宋体"/>
          <w:spacing w:val="-5"/>
          <w:sz w:val="24"/>
          <w:szCs w:val="18"/>
        </w:rPr>
        <w:t>10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人及以上，且营业收入</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50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万元及以上的为小型企业；从业人员</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人以下或营业</w:t>
      </w:r>
      <w:r>
        <w:rPr>
          <w:rFonts w:hint="eastAsia" w:ascii="宋体" w:hAnsi="宋体" w:eastAsia="宋体" w:cs="宋体"/>
          <w:sz w:val="24"/>
          <w:szCs w:val="18"/>
        </w:rPr>
        <w:t xml:space="preserve"> </w:t>
      </w:r>
      <w:r>
        <w:rPr>
          <w:rFonts w:hint="eastAsia" w:ascii="宋体" w:hAnsi="宋体" w:eastAsia="宋体" w:cs="宋体"/>
          <w:spacing w:val="-3"/>
          <w:sz w:val="24"/>
          <w:szCs w:val="18"/>
        </w:rPr>
        <w:t>收入</w:t>
      </w:r>
      <w:r>
        <w:rPr>
          <w:rFonts w:hint="eastAsia" w:ascii="宋体" w:hAnsi="宋体" w:eastAsia="宋体" w:cs="宋体"/>
          <w:spacing w:val="-44"/>
          <w:sz w:val="24"/>
          <w:szCs w:val="18"/>
        </w:rPr>
        <w:t xml:space="preserve"> </w:t>
      </w:r>
      <w:r>
        <w:rPr>
          <w:rFonts w:hint="eastAsia" w:ascii="宋体" w:hAnsi="宋体" w:eastAsia="宋体" w:cs="宋体"/>
          <w:spacing w:val="-3"/>
          <w:sz w:val="24"/>
          <w:szCs w:val="18"/>
        </w:rPr>
        <w:t>50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万元以下的为微型企业。</w:t>
      </w:r>
    </w:p>
    <w:p w14:paraId="726A4582">
      <w:pPr>
        <w:pStyle w:val="10"/>
        <w:spacing w:before="183" w:line="360" w:lineRule="auto"/>
        <w:ind w:left="14" w:right="21" w:firstLine="485"/>
        <w:rPr>
          <w:rFonts w:hint="eastAsia" w:ascii="宋体" w:hAnsi="宋体" w:eastAsia="宋体" w:cs="宋体"/>
          <w:sz w:val="24"/>
          <w:szCs w:val="18"/>
        </w:rPr>
      </w:pPr>
      <w:r>
        <w:rPr>
          <w:rFonts w:hint="eastAsia" w:ascii="宋体" w:hAnsi="宋体" w:eastAsia="宋体" w:cs="宋体"/>
          <w:spacing w:val="-4"/>
          <w:sz w:val="24"/>
          <w:szCs w:val="18"/>
        </w:rPr>
        <w:t>（十三）房地产开发经营。营业收入</w:t>
      </w:r>
      <w:r>
        <w:rPr>
          <w:rFonts w:hint="eastAsia" w:ascii="宋体" w:hAnsi="宋体" w:eastAsia="宋体" w:cs="宋体"/>
          <w:spacing w:val="-47"/>
          <w:sz w:val="24"/>
          <w:szCs w:val="18"/>
        </w:rPr>
        <w:t xml:space="preserve"> </w:t>
      </w:r>
      <w:r>
        <w:rPr>
          <w:rFonts w:hint="eastAsia" w:ascii="宋体" w:hAnsi="宋体" w:eastAsia="宋体" w:cs="宋体"/>
          <w:spacing w:val="-4"/>
          <w:sz w:val="24"/>
          <w:szCs w:val="18"/>
        </w:rPr>
        <w:t>200000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万元以下或资产总额</w:t>
      </w:r>
      <w:r>
        <w:rPr>
          <w:rFonts w:hint="eastAsia" w:ascii="宋体" w:hAnsi="宋体" w:eastAsia="宋体" w:cs="宋体"/>
          <w:spacing w:val="-33"/>
          <w:sz w:val="24"/>
          <w:szCs w:val="18"/>
        </w:rPr>
        <w:t xml:space="preserve"> </w:t>
      </w:r>
      <w:r>
        <w:rPr>
          <w:rFonts w:hint="eastAsia" w:ascii="宋体" w:hAnsi="宋体" w:eastAsia="宋体" w:cs="宋体"/>
          <w:spacing w:val="-4"/>
          <w:sz w:val="24"/>
          <w:szCs w:val="18"/>
        </w:rPr>
        <w:t>10000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万元以下的为中</w:t>
      </w:r>
      <w:r>
        <w:rPr>
          <w:rFonts w:hint="eastAsia" w:ascii="宋体" w:hAnsi="宋体" w:eastAsia="宋体" w:cs="宋体"/>
          <w:sz w:val="24"/>
          <w:szCs w:val="18"/>
        </w:rPr>
        <w:t xml:space="preserve"> </w:t>
      </w:r>
      <w:r>
        <w:rPr>
          <w:rFonts w:hint="eastAsia" w:ascii="宋体" w:hAnsi="宋体" w:eastAsia="宋体" w:cs="宋体"/>
          <w:spacing w:val="-5"/>
          <w:sz w:val="24"/>
          <w:szCs w:val="18"/>
        </w:rPr>
        <w:t>小微型企业。其中，营业收入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万元及以上，且资产总额</w:t>
      </w:r>
      <w:r>
        <w:rPr>
          <w:rFonts w:hint="eastAsia" w:ascii="宋体" w:hAnsi="宋体" w:eastAsia="宋体" w:cs="宋体"/>
          <w:spacing w:val="-46"/>
          <w:sz w:val="24"/>
          <w:szCs w:val="18"/>
        </w:rPr>
        <w:t xml:space="preserve"> </w:t>
      </w:r>
      <w:r>
        <w:rPr>
          <w:rFonts w:hint="eastAsia" w:ascii="宋体" w:hAnsi="宋体" w:eastAsia="宋体" w:cs="宋体"/>
          <w:spacing w:val="-5"/>
          <w:sz w:val="24"/>
          <w:szCs w:val="18"/>
        </w:rPr>
        <w:t>5000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w:t>
      </w:r>
      <w:r>
        <w:rPr>
          <w:rFonts w:hint="eastAsia" w:ascii="宋体" w:hAnsi="宋体" w:eastAsia="宋体" w:cs="宋体"/>
          <w:spacing w:val="-6"/>
          <w:sz w:val="24"/>
          <w:szCs w:val="18"/>
        </w:rPr>
        <w:t>以上的为中型企业；</w:t>
      </w:r>
      <w:r>
        <w:rPr>
          <w:rFonts w:hint="eastAsia" w:ascii="宋体" w:hAnsi="宋体" w:eastAsia="宋体" w:cs="宋体"/>
          <w:sz w:val="24"/>
          <w:szCs w:val="18"/>
        </w:rPr>
        <w:t xml:space="preserve"> </w:t>
      </w:r>
      <w:r>
        <w:rPr>
          <w:rFonts w:hint="eastAsia" w:ascii="宋体" w:hAnsi="宋体" w:eastAsia="宋体" w:cs="宋体"/>
          <w:spacing w:val="-5"/>
          <w:sz w:val="24"/>
          <w:szCs w:val="18"/>
        </w:rPr>
        <w:t>营业收入</w:t>
      </w:r>
      <w:r>
        <w:rPr>
          <w:rFonts w:hint="eastAsia" w:ascii="宋体" w:hAnsi="宋体" w:eastAsia="宋体" w:cs="宋体"/>
          <w:spacing w:val="-21"/>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万元及以上，且资产总额</w:t>
      </w:r>
      <w:r>
        <w:rPr>
          <w:rFonts w:hint="eastAsia" w:ascii="宋体" w:hAnsi="宋体" w:eastAsia="宋体" w:cs="宋体"/>
          <w:spacing w:val="-48"/>
          <w:sz w:val="24"/>
          <w:szCs w:val="18"/>
        </w:rPr>
        <w:t xml:space="preserve"> </w:t>
      </w:r>
      <w:r>
        <w:rPr>
          <w:rFonts w:hint="eastAsia" w:ascii="宋体" w:hAnsi="宋体" w:eastAsia="宋体" w:cs="宋体"/>
          <w:spacing w:val="-5"/>
          <w:sz w:val="24"/>
          <w:szCs w:val="18"/>
        </w:rPr>
        <w:t>2000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万元及以上的为小型企业；营业收入</w:t>
      </w:r>
      <w:r>
        <w:rPr>
          <w:rFonts w:hint="eastAsia" w:ascii="宋体" w:hAnsi="宋体" w:eastAsia="宋体" w:cs="宋体"/>
          <w:spacing w:val="-33"/>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万元以</w:t>
      </w:r>
      <w:r>
        <w:rPr>
          <w:rFonts w:hint="eastAsia" w:ascii="宋体" w:hAnsi="宋体" w:eastAsia="宋体" w:cs="宋体"/>
          <w:sz w:val="24"/>
          <w:szCs w:val="18"/>
        </w:rPr>
        <w:t xml:space="preserve"> </w:t>
      </w:r>
      <w:r>
        <w:rPr>
          <w:rFonts w:hint="eastAsia" w:ascii="宋体" w:hAnsi="宋体" w:eastAsia="宋体" w:cs="宋体"/>
          <w:spacing w:val="-3"/>
          <w:sz w:val="24"/>
          <w:szCs w:val="18"/>
        </w:rPr>
        <w:t>下或资产总额</w:t>
      </w:r>
      <w:r>
        <w:rPr>
          <w:rFonts w:hint="eastAsia" w:ascii="宋体" w:hAnsi="宋体" w:eastAsia="宋体" w:cs="宋体"/>
          <w:spacing w:val="-29"/>
          <w:sz w:val="24"/>
          <w:szCs w:val="18"/>
        </w:rPr>
        <w:t xml:space="preserve"> </w:t>
      </w:r>
      <w:r>
        <w:rPr>
          <w:rFonts w:hint="eastAsia" w:ascii="宋体" w:hAnsi="宋体" w:eastAsia="宋体" w:cs="宋体"/>
          <w:spacing w:val="-3"/>
          <w:sz w:val="24"/>
          <w:szCs w:val="18"/>
        </w:rPr>
        <w:t>2000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万元以下的为微型企业。</w:t>
      </w:r>
    </w:p>
    <w:p w14:paraId="438CB2D3">
      <w:pPr>
        <w:pStyle w:val="10"/>
        <w:spacing w:before="182" w:line="360" w:lineRule="auto"/>
        <w:ind w:left="7" w:firstLine="492"/>
        <w:rPr>
          <w:rFonts w:hint="eastAsia" w:ascii="宋体" w:hAnsi="宋体" w:eastAsia="宋体" w:cs="宋体"/>
          <w:sz w:val="24"/>
          <w:szCs w:val="18"/>
        </w:rPr>
      </w:pPr>
      <w:r>
        <w:rPr>
          <w:rFonts w:hint="eastAsia" w:ascii="宋体" w:hAnsi="宋体" w:eastAsia="宋体" w:cs="宋体"/>
          <w:spacing w:val="-5"/>
          <w:sz w:val="24"/>
          <w:szCs w:val="18"/>
        </w:rPr>
        <w:t>（十四）物业管理。从业人员</w:t>
      </w:r>
      <w:r>
        <w:rPr>
          <w:rFonts w:hint="eastAsia" w:ascii="宋体" w:hAnsi="宋体" w:eastAsia="宋体" w:cs="宋体"/>
          <w:spacing w:val="-32"/>
          <w:sz w:val="24"/>
          <w:szCs w:val="18"/>
        </w:rPr>
        <w:t xml:space="preserve"> </w:t>
      </w:r>
      <w:r>
        <w:rPr>
          <w:rFonts w:hint="eastAsia" w:ascii="宋体" w:hAnsi="宋体" w:eastAsia="宋体" w:cs="宋体"/>
          <w:spacing w:val="-5"/>
          <w:sz w:val="24"/>
          <w:szCs w:val="18"/>
        </w:rPr>
        <w:t>1000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人以下或营业收入</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5000</w:t>
      </w:r>
      <w:r>
        <w:rPr>
          <w:rFonts w:hint="eastAsia" w:ascii="宋体" w:hAnsi="宋体" w:eastAsia="宋体" w:cs="宋体"/>
          <w:spacing w:val="-45"/>
          <w:sz w:val="24"/>
          <w:szCs w:val="18"/>
        </w:rPr>
        <w:t xml:space="preserve"> </w:t>
      </w:r>
      <w:r>
        <w:rPr>
          <w:rFonts w:hint="eastAsia" w:ascii="宋体" w:hAnsi="宋体" w:eastAsia="宋体" w:cs="宋体"/>
          <w:spacing w:val="-5"/>
          <w:sz w:val="24"/>
          <w:szCs w:val="18"/>
        </w:rPr>
        <w:t>万元以下的为中小微型企业。</w:t>
      </w:r>
      <w:r>
        <w:rPr>
          <w:rFonts w:hint="eastAsia" w:ascii="宋体" w:hAnsi="宋体" w:eastAsia="宋体" w:cs="宋体"/>
          <w:sz w:val="24"/>
          <w:szCs w:val="18"/>
        </w:rPr>
        <w:t xml:space="preserve"> </w:t>
      </w:r>
      <w:r>
        <w:rPr>
          <w:rFonts w:hint="eastAsia" w:ascii="宋体" w:hAnsi="宋体" w:eastAsia="宋体" w:cs="宋体"/>
          <w:spacing w:val="-4"/>
          <w:sz w:val="24"/>
          <w:szCs w:val="18"/>
        </w:rPr>
        <w:t>其中，从业人员</w:t>
      </w:r>
      <w:r>
        <w:rPr>
          <w:rFonts w:hint="eastAsia" w:ascii="宋体" w:hAnsi="宋体" w:eastAsia="宋体" w:cs="宋体"/>
          <w:spacing w:val="-46"/>
          <w:sz w:val="24"/>
          <w:szCs w:val="18"/>
        </w:rPr>
        <w:t xml:space="preserve"> </w:t>
      </w:r>
      <w:r>
        <w:rPr>
          <w:rFonts w:hint="eastAsia" w:ascii="宋体" w:hAnsi="宋体" w:eastAsia="宋体" w:cs="宋体"/>
          <w:spacing w:val="-4"/>
          <w:sz w:val="24"/>
          <w:szCs w:val="18"/>
        </w:rPr>
        <w:t>300</w:t>
      </w:r>
      <w:r>
        <w:rPr>
          <w:rFonts w:hint="eastAsia" w:ascii="宋体" w:hAnsi="宋体" w:eastAsia="宋体" w:cs="宋体"/>
          <w:spacing w:val="-49"/>
          <w:sz w:val="24"/>
          <w:szCs w:val="18"/>
        </w:rPr>
        <w:t xml:space="preserve"> </w:t>
      </w:r>
      <w:r>
        <w:rPr>
          <w:rFonts w:hint="eastAsia" w:ascii="宋体" w:hAnsi="宋体" w:eastAsia="宋体" w:cs="宋体"/>
          <w:spacing w:val="-4"/>
          <w:sz w:val="24"/>
          <w:szCs w:val="18"/>
        </w:rPr>
        <w:t>人及以上，且营业收入</w:t>
      </w:r>
      <w:r>
        <w:rPr>
          <w:rFonts w:hint="eastAsia" w:ascii="宋体" w:hAnsi="宋体" w:eastAsia="宋体" w:cs="宋体"/>
          <w:spacing w:val="-33"/>
          <w:sz w:val="24"/>
          <w:szCs w:val="18"/>
        </w:rPr>
        <w:t xml:space="preserve"> </w:t>
      </w:r>
      <w:r>
        <w:rPr>
          <w:rFonts w:hint="eastAsia" w:ascii="宋体" w:hAnsi="宋体" w:eastAsia="宋体" w:cs="宋体"/>
          <w:spacing w:val="-4"/>
          <w:sz w:val="24"/>
          <w:szCs w:val="18"/>
        </w:rPr>
        <w:t>1000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w:t>
      </w:r>
      <w:r>
        <w:rPr>
          <w:rFonts w:hint="eastAsia" w:ascii="宋体" w:hAnsi="宋体" w:eastAsia="宋体" w:cs="宋体"/>
          <w:spacing w:val="-5"/>
          <w:sz w:val="24"/>
          <w:szCs w:val="18"/>
        </w:rPr>
        <w:t>元及以上的为中型企业；从业人员</w:t>
      </w:r>
      <w:r>
        <w:rPr>
          <w:rFonts w:hint="eastAsia" w:ascii="宋体" w:hAnsi="宋体" w:eastAsia="宋体" w:cs="宋体"/>
          <w:spacing w:val="-32"/>
          <w:sz w:val="24"/>
          <w:szCs w:val="18"/>
        </w:rPr>
        <w:t xml:space="preserve"> </w:t>
      </w:r>
      <w:r>
        <w:rPr>
          <w:rFonts w:hint="eastAsia" w:ascii="宋体" w:hAnsi="宋体" w:eastAsia="宋体" w:cs="宋体"/>
          <w:spacing w:val="-5"/>
          <w:sz w:val="24"/>
          <w:szCs w:val="18"/>
        </w:rPr>
        <w:t>100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w:t>
      </w:r>
      <w:r>
        <w:rPr>
          <w:rFonts w:hint="eastAsia" w:ascii="宋体" w:hAnsi="宋体" w:eastAsia="宋体" w:cs="宋体"/>
          <w:sz w:val="24"/>
          <w:szCs w:val="18"/>
        </w:rPr>
        <w:t xml:space="preserve"> </w:t>
      </w:r>
      <w:r>
        <w:rPr>
          <w:rFonts w:hint="eastAsia" w:ascii="宋体" w:hAnsi="宋体" w:eastAsia="宋体" w:cs="宋体"/>
          <w:spacing w:val="-2"/>
          <w:sz w:val="24"/>
          <w:szCs w:val="18"/>
        </w:rPr>
        <w:t>及以上，且营业收入</w:t>
      </w:r>
      <w:r>
        <w:rPr>
          <w:rFonts w:hint="eastAsia" w:ascii="宋体" w:hAnsi="宋体" w:eastAsia="宋体" w:cs="宋体"/>
          <w:spacing w:val="-46"/>
          <w:sz w:val="24"/>
          <w:szCs w:val="18"/>
        </w:rPr>
        <w:t xml:space="preserve"> </w:t>
      </w:r>
      <w:r>
        <w:rPr>
          <w:rFonts w:hint="eastAsia" w:ascii="宋体" w:hAnsi="宋体" w:eastAsia="宋体" w:cs="宋体"/>
          <w:spacing w:val="-2"/>
          <w:sz w:val="24"/>
          <w:szCs w:val="18"/>
        </w:rPr>
        <w:t>500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万元及以上的为小型  业；</w:t>
      </w:r>
      <w:r>
        <w:rPr>
          <w:rFonts w:hint="eastAsia" w:ascii="宋体" w:hAnsi="宋体" w:eastAsia="宋体" w:cs="宋体"/>
          <w:spacing w:val="-3"/>
          <w:sz w:val="24"/>
          <w:szCs w:val="18"/>
        </w:rPr>
        <w:t>从业人员</w:t>
      </w:r>
      <w:r>
        <w:rPr>
          <w:rFonts w:hint="eastAsia" w:ascii="宋体" w:hAnsi="宋体" w:eastAsia="宋体" w:cs="宋体"/>
          <w:spacing w:val="-32"/>
          <w:sz w:val="24"/>
          <w:szCs w:val="18"/>
        </w:rPr>
        <w:t xml:space="preserve"> </w:t>
      </w:r>
      <w:r>
        <w:rPr>
          <w:rFonts w:hint="eastAsia" w:ascii="宋体" w:hAnsi="宋体" w:eastAsia="宋体" w:cs="宋体"/>
          <w:spacing w:val="-3"/>
          <w:sz w:val="24"/>
          <w:szCs w:val="18"/>
        </w:rPr>
        <w:t>100</w:t>
      </w:r>
      <w:r>
        <w:rPr>
          <w:rFonts w:hint="eastAsia" w:ascii="宋体" w:hAnsi="宋体" w:eastAsia="宋体" w:cs="宋体"/>
          <w:spacing w:val="-49"/>
          <w:sz w:val="24"/>
          <w:szCs w:val="18"/>
        </w:rPr>
        <w:t xml:space="preserve"> </w:t>
      </w:r>
      <w:r>
        <w:rPr>
          <w:rFonts w:hint="eastAsia" w:ascii="宋体" w:hAnsi="宋体" w:eastAsia="宋体" w:cs="宋体"/>
          <w:spacing w:val="-3"/>
          <w:sz w:val="24"/>
          <w:szCs w:val="18"/>
        </w:rPr>
        <w:t>人以下或营业收入</w:t>
      </w:r>
      <w:r>
        <w:rPr>
          <w:rFonts w:hint="eastAsia" w:ascii="宋体" w:hAnsi="宋体" w:eastAsia="宋体" w:cs="宋体"/>
          <w:spacing w:val="-46"/>
          <w:sz w:val="24"/>
          <w:szCs w:val="18"/>
        </w:rPr>
        <w:t xml:space="preserve"> </w:t>
      </w:r>
      <w:r>
        <w:rPr>
          <w:rFonts w:hint="eastAsia" w:ascii="宋体" w:hAnsi="宋体" w:eastAsia="宋体" w:cs="宋体"/>
          <w:spacing w:val="-3"/>
          <w:sz w:val="24"/>
          <w:szCs w:val="18"/>
        </w:rPr>
        <w:t>500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w:t>
      </w:r>
      <w:r>
        <w:rPr>
          <w:rFonts w:hint="eastAsia" w:ascii="宋体" w:hAnsi="宋体" w:eastAsia="宋体" w:cs="宋体"/>
          <w:sz w:val="24"/>
          <w:szCs w:val="18"/>
        </w:rPr>
        <w:t xml:space="preserve">  </w:t>
      </w:r>
      <w:r>
        <w:rPr>
          <w:rFonts w:hint="eastAsia" w:ascii="宋体" w:hAnsi="宋体" w:eastAsia="宋体" w:cs="宋体"/>
          <w:spacing w:val="-1"/>
          <w:sz w:val="24"/>
          <w:szCs w:val="18"/>
        </w:rPr>
        <w:t>元以下的为微型企业。</w:t>
      </w:r>
    </w:p>
    <w:p w14:paraId="5FB2BB87">
      <w:pPr>
        <w:pStyle w:val="10"/>
        <w:spacing w:before="191" w:line="360" w:lineRule="auto"/>
        <w:ind w:left="8" w:right="40" w:firstLine="1"/>
        <w:rPr>
          <w:rFonts w:hint="eastAsia" w:ascii="宋体" w:hAnsi="宋体" w:eastAsia="宋体" w:cs="宋体"/>
          <w:sz w:val="24"/>
          <w:szCs w:val="18"/>
        </w:rPr>
      </w:pPr>
      <w:r>
        <w:rPr>
          <w:rFonts w:hint="eastAsia" w:ascii="宋体" w:hAnsi="宋体" w:eastAsia="宋体" w:cs="宋体"/>
          <w:spacing w:val="-4"/>
          <w:sz w:val="24"/>
          <w:szCs w:val="18"/>
        </w:rPr>
        <w:t>（十五）租赁和商务服务业。从业人员</w:t>
      </w:r>
      <w:r>
        <w:rPr>
          <w:rFonts w:hint="eastAsia" w:ascii="宋体" w:hAnsi="宋体" w:eastAsia="宋体" w:cs="宋体"/>
          <w:spacing w:val="-46"/>
          <w:sz w:val="24"/>
          <w:szCs w:val="18"/>
        </w:rPr>
        <w:t xml:space="preserve"> </w:t>
      </w:r>
      <w:r>
        <w:rPr>
          <w:rFonts w:hint="eastAsia" w:ascii="宋体" w:hAnsi="宋体" w:eastAsia="宋体" w:cs="宋体"/>
          <w:spacing w:val="-4"/>
          <w:sz w:val="24"/>
          <w:szCs w:val="18"/>
        </w:rPr>
        <w:t>300</w:t>
      </w:r>
      <w:r>
        <w:rPr>
          <w:rFonts w:hint="eastAsia" w:ascii="宋体" w:hAnsi="宋体" w:eastAsia="宋体" w:cs="宋体"/>
          <w:spacing w:val="-49"/>
          <w:sz w:val="24"/>
          <w:szCs w:val="18"/>
        </w:rPr>
        <w:t xml:space="preserve"> </w:t>
      </w:r>
      <w:r>
        <w:rPr>
          <w:rFonts w:hint="eastAsia" w:ascii="宋体" w:hAnsi="宋体" w:eastAsia="宋体" w:cs="宋体"/>
          <w:spacing w:val="-4"/>
          <w:sz w:val="24"/>
          <w:szCs w:val="18"/>
        </w:rPr>
        <w:t>人以下或资产总额</w:t>
      </w:r>
      <w:r>
        <w:rPr>
          <w:rFonts w:hint="eastAsia" w:ascii="宋体" w:hAnsi="宋体" w:eastAsia="宋体" w:cs="宋体"/>
          <w:spacing w:val="-33"/>
          <w:sz w:val="24"/>
          <w:szCs w:val="18"/>
        </w:rPr>
        <w:t xml:space="preserve"> </w:t>
      </w:r>
      <w:r>
        <w:rPr>
          <w:rFonts w:hint="eastAsia" w:ascii="宋体" w:hAnsi="宋体" w:eastAsia="宋体" w:cs="宋体"/>
          <w:spacing w:val="-4"/>
          <w:sz w:val="24"/>
          <w:szCs w:val="18"/>
        </w:rPr>
        <w:t>120000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万元以下的为中小</w:t>
      </w:r>
      <w:r>
        <w:rPr>
          <w:rFonts w:hint="eastAsia" w:ascii="宋体" w:hAnsi="宋体" w:eastAsia="宋体" w:cs="宋体"/>
          <w:sz w:val="24"/>
          <w:szCs w:val="18"/>
        </w:rPr>
        <w:t xml:space="preserve"> </w:t>
      </w:r>
      <w:r>
        <w:rPr>
          <w:rFonts w:hint="eastAsia" w:ascii="宋体" w:hAnsi="宋体" w:eastAsia="宋体" w:cs="宋体"/>
          <w:spacing w:val="-2"/>
          <w:sz w:val="24"/>
          <w:szCs w:val="18"/>
        </w:rPr>
        <w:t>微型企业。其中，从业人员</w:t>
      </w:r>
      <w:r>
        <w:rPr>
          <w:rFonts w:hint="eastAsia" w:ascii="宋体" w:hAnsi="宋体" w:eastAsia="宋体" w:cs="宋体"/>
          <w:spacing w:val="-30"/>
          <w:sz w:val="24"/>
          <w:szCs w:val="18"/>
        </w:rPr>
        <w:t xml:space="preserve"> </w:t>
      </w:r>
      <w:r>
        <w:rPr>
          <w:rFonts w:hint="eastAsia" w:ascii="宋体" w:hAnsi="宋体" w:eastAsia="宋体" w:cs="宋体"/>
          <w:spacing w:val="-2"/>
          <w:sz w:val="24"/>
          <w:szCs w:val="18"/>
        </w:rPr>
        <w:t>100</w:t>
      </w:r>
      <w:r>
        <w:rPr>
          <w:rFonts w:hint="eastAsia" w:ascii="宋体" w:hAnsi="宋体" w:eastAsia="宋体" w:cs="宋体"/>
          <w:spacing w:val="-49"/>
          <w:sz w:val="24"/>
          <w:szCs w:val="18"/>
        </w:rPr>
        <w:t xml:space="preserve"> </w:t>
      </w:r>
      <w:r>
        <w:rPr>
          <w:rFonts w:hint="eastAsia" w:ascii="宋体" w:hAnsi="宋体" w:eastAsia="宋体" w:cs="宋体"/>
          <w:spacing w:val="-2"/>
          <w:sz w:val="24"/>
          <w:szCs w:val="18"/>
        </w:rPr>
        <w:t>人及以上，且资产总额8000</w:t>
      </w:r>
      <w:r>
        <w:rPr>
          <w:rFonts w:hint="eastAsia" w:ascii="宋体" w:hAnsi="宋体" w:eastAsia="宋体" w:cs="宋体"/>
          <w:spacing w:val="-45"/>
          <w:sz w:val="24"/>
          <w:szCs w:val="18"/>
        </w:rPr>
        <w:t xml:space="preserve"> </w:t>
      </w:r>
      <w:r>
        <w:rPr>
          <w:rFonts w:hint="eastAsia" w:ascii="宋体" w:hAnsi="宋体" w:eastAsia="宋体" w:cs="宋体"/>
          <w:spacing w:val="-2"/>
          <w:sz w:val="24"/>
          <w:szCs w:val="18"/>
        </w:rPr>
        <w:t>万元及以上的为中型企业；从业</w:t>
      </w:r>
      <w:r>
        <w:rPr>
          <w:rFonts w:hint="eastAsia" w:ascii="宋体" w:hAnsi="宋体" w:eastAsia="宋体" w:cs="宋体"/>
          <w:spacing w:val="-3"/>
          <w:sz w:val="24"/>
          <w:szCs w:val="18"/>
        </w:rPr>
        <w:t>人员</w:t>
      </w:r>
      <w:r>
        <w:rPr>
          <w:rFonts w:hint="eastAsia" w:ascii="宋体" w:hAnsi="宋体" w:eastAsia="宋体" w:cs="宋体"/>
          <w:spacing w:val="-33"/>
          <w:sz w:val="24"/>
          <w:szCs w:val="18"/>
        </w:rPr>
        <w:t xml:space="preserve"> </w:t>
      </w:r>
      <w:r>
        <w:rPr>
          <w:rFonts w:hint="eastAsia" w:ascii="宋体" w:hAnsi="宋体" w:eastAsia="宋体" w:cs="宋体"/>
          <w:spacing w:val="-3"/>
          <w:sz w:val="24"/>
          <w:szCs w:val="18"/>
        </w:rPr>
        <w:t>10</w:t>
      </w:r>
      <w:r>
        <w:rPr>
          <w:rFonts w:hint="eastAsia" w:ascii="宋体" w:hAnsi="宋体" w:eastAsia="宋体" w:cs="宋体"/>
          <w:spacing w:val="-48"/>
          <w:sz w:val="24"/>
          <w:szCs w:val="18"/>
        </w:rPr>
        <w:t xml:space="preserve"> </w:t>
      </w:r>
      <w:r>
        <w:rPr>
          <w:rFonts w:hint="eastAsia" w:ascii="宋体" w:hAnsi="宋体" w:eastAsia="宋体" w:cs="宋体"/>
          <w:spacing w:val="-3"/>
          <w:sz w:val="24"/>
          <w:szCs w:val="18"/>
        </w:rPr>
        <w:t>人及以上，且资产总额</w:t>
      </w:r>
      <w:r>
        <w:rPr>
          <w:rFonts w:hint="eastAsia" w:ascii="宋体" w:hAnsi="宋体" w:eastAsia="宋体" w:cs="宋体"/>
          <w:spacing w:val="-33"/>
          <w:sz w:val="24"/>
          <w:szCs w:val="18"/>
        </w:rPr>
        <w:t xml:space="preserve"> </w:t>
      </w:r>
      <w:r>
        <w:rPr>
          <w:rFonts w:hint="eastAsia" w:ascii="宋体" w:hAnsi="宋体" w:eastAsia="宋体" w:cs="宋体"/>
          <w:spacing w:val="-3"/>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3"/>
          <w:sz w:val="24"/>
          <w:szCs w:val="18"/>
        </w:rPr>
        <w:t>万元及以上的为小型企业；从业人员</w:t>
      </w:r>
      <w:r>
        <w:rPr>
          <w:rFonts w:hint="eastAsia" w:ascii="宋体" w:hAnsi="宋体" w:eastAsia="宋体" w:cs="宋体"/>
          <w:spacing w:val="-33"/>
          <w:sz w:val="24"/>
          <w:szCs w:val="18"/>
        </w:rPr>
        <w:t xml:space="preserve"> </w:t>
      </w:r>
      <w:r>
        <w:rPr>
          <w:rFonts w:hint="eastAsia" w:ascii="宋体" w:hAnsi="宋体" w:eastAsia="宋体" w:cs="宋体"/>
          <w:spacing w:val="-3"/>
          <w:sz w:val="24"/>
          <w:szCs w:val="18"/>
        </w:rPr>
        <w:t>10</w:t>
      </w:r>
      <w:r>
        <w:rPr>
          <w:rFonts w:hint="eastAsia" w:ascii="宋体" w:hAnsi="宋体" w:eastAsia="宋体" w:cs="宋体"/>
          <w:spacing w:val="-49"/>
          <w:sz w:val="24"/>
          <w:szCs w:val="18"/>
        </w:rPr>
        <w:t xml:space="preserve"> </w:t>
      </w:r>
      <w:r>
        <w:rPr>
          <w:rFonts w:hint="eastAsia" w:ascii="宋体" w:hAnsi="宋体" w:eastAsia="宋体" w:cs="宋体"/>
          <w:spacing w:val="-3"/>
          <w:sz w:val="24"/>
          <w:szCs w:val="18"/>
        </w:rPr>
        <w:t>人</w:t>
      </w:r>
      <w:r>
        <w:rPr>
          <w:rFonts w:hint="eastAsia" w:ascii="宋体" w:hAnsi="宋体" w:eastAsia="宋体" w:cs="宋体"/>
          <w:spacing w:val="-4"/>
          <w:sz w:val="24"/>
          <w:szCs w:val="18"/>
        </w:rPr>
        <w:t>以下或资产总</w:t>
      </w:r>
      <w:r>
        <w:rPr>
          <w:rFonts w:hint="eastAsia" w:ascii="宋体" w:hAnsi="宋体" w:eastAsia="宋体" w:cs="宋体"/>
          <w:sz w:val="24"/>
          <w:szCs w:val="18"/>
        </w:rPr>
        <w:t xml:space="preserve"> </w:t>
      </w:r>
      <w:r>
        <w:rPr>
          <w:rFonts w:hint="eastAsia" w:ascii="宋体" w:hAnsi="宋体" w:eastAsia="宋体" w:cs="宋体"/>
          <w:spacing w:val="-4"/>
          <w:sz w:val="24"/>
          <w:szCs w:val="18"/>
        </w:rPr>
        <w:t>额</w:t>
      </w:r>
      <w:r>
        <w:rPr>
          <w:rFonts w:hint="eastAsia" w:ascii="宋体" w:hAnsi="宋体" w:eastAsia="宋体" w:cs="宋体"/>
          <w:spacing w:val="-26"/>
          <w:sz w:val="24"/>
          <w:szCs w:val="18"/>
        </w:rPr>
        <w:t xml:space="preserve"> </w:t>
      </w:r>
      <w:r>
        <w:rPr>
          <w:rFonts w:hint="eastAsia" w:ascii="宋体" w:hAnsi="宋体" w:eastAsia="宋体" w:cs="宋体"/>
          <w:spacing w:val="-4"/>
          <w:sz w:val="24"/>
          <w:szCs w:val="18"/>
        </w:rPr>
        <w:t>100</w:t>
      </w:r>
      <w:r>
        <w:rPr>
          <w:rFonts w:hint="eastAsia" w:ascii="宋体" w:hAnsi="宋体" w:eastAsia="宋体" w:cs="宋体"/>
          <w:spacing w:val="-45"/>
          <w:sz w:val="24"/>
          <w:szCs w:val="18"/>
        </w:rPr>
        <w:t xml:space="preserve"> </w:t>
      </w:r>
      <w:r>
        <w:rPr>
          <w:rFonts w:hint="eastAsia" w:ascii="宋体" w:hAnsi="宋体" w:eastAsia="宋体" w:cs="宋体"/>
          <w:spacing w:val="-4"/>
          <w:sz w:val="24"/>
          <w:szCs w:val="18"/>
        </w:rPr>
        <w:t>万元以下的为微型企业。</w:t>
      </w:r>
    </w:p>
    <w:p w14:paraId="55C92C22">
      <w:pPr>
        <w:pStyle w:val="45"/>
        <w:keepNext w:val="0"/>
        <w:keepLines w:val="0"/>
        <w:pageBreakBefore w:val="0"/>
        <w:widowControl/>
        <w:shd w:val="clear"/>
        <w:kinsoku/>
        <w:wordWrap/>
        <w:overflowPunct/>
        <w:topLinePunct w:val="0"/>
        <w:autoSpaceDE/>
        <w:autoSpaceDN/>
        <w:bidi w:val="0"/>
        <w:adjustRightInd/>
        <w:snapToGrid/>
        <w:spacing w:line="312" w:lineRule="auto"/>
        <w:ind w:firstLine="0" w:firstLineChars="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spacing w:val="-5"/>
          <w:sz w:val="24"/>
          <w:szCs w:val="18"/>
        </w:rPr>
        <w:t>（十六）其他未列明行业。从业人员</w:t>
      </w:r>
      <w:r>
        <w:rPr>
          <w:rFonts w:hint="eastAsia" w:ascii="宋体" w:hAnsi="宋体" w:eastAsia="宋体" w:cs="宋体"/>
          <w:spacing w:val="-46"/>
          <w:sz w:val="24"/>
          <w:szCs w:val="18"/>
        </w:rPr>
        <w:t xml:space="preserve"> </w:t>
      </w:r>
      <w:r>
        <w:rPr>
          <w:rFonts w:hint="eastAsia" w:ascii="宋体" w:hAnsi="宋体" w:eastAsia="宋体" w:cs="宋体"/>
          <w:spacing w:val="-5"/>
          <w:sz w:val="24"/>
          <w:szCs w:val="18"/>
        </w:rPr>
        <w:t>300</w:t>
      </w:r>
      <w:r>
        <w:rPr>
          <w:rFonts w:hint="eastAsia" w:ascii="宋体" w:hAnsi="宋体" w:eastAsia="宋体" w:cs="宋体"/>
          <w:spacing w:val="-49"/>
          <w:sz w:val="24"/>
          <w:szCs w:val="18"/>
        </w:rPr>
        <w:t xml:space="preserve"> </w:t>
      </w:r>
      <w:r>
        <w:rPr>
          <w:rFonts w:hint="eastAsia" w:ascii="宋体" w:hAnsi="宋体" w:eastAsia="宋体" w:cs="宋体"/>
          <w:spacing w:val="-5"/>
          <w:sz w:val="24"/>
          <w:szCs w:val="18"/>
        </w:rPr>
        <w:t>人以下的为中小微型企业。其</w:t>
      </w:r>
      <w:r>
        <w:rPr>
          <w:rFonts w:hint="eastAsia" w:ascii="宋体" w:hAnsi="宋体" w:eastAsia="宋体" w:cs="宋体"/>
          <w:spacing w:val="-6"/>
          <w:sz w:val="24"/>
          <w:szCs w:val="18"/>
        </w:rPr>
        <w:t>中，从业人员</w:t>
      </w:r>
      <w:r>
        <w:rPr>
          <w:rFonts w:hint="eastAsia" w:ascii="宋体" w:hAnsi="宋体" w:eastAsia="宋体" w:cs="宋体"/>
          <w:spacing w:val="-33"/>
          <w:sz w:val="24"/>
          <w:szCs w:val="18"/>
        </w:rPr>
        <w:t xml:space="preserve"> </w:t>
      </w:r>
      <w:r>
        <w:rPr>
          <w:rFonts w:hint="eastAsia" w:ascii="宋体" w:hAnsi="宋体" w:eastAsia="宋体" w:cs="宋体"/>
          <w:spacing w:val="-6"/>
          <w:sz w:val="24"/>
          <w:szCs w:val="18"/>
        </w:rPr>
        <w:t>100</w:t>
      </w:r>
      <w:r>
        <w:rPr>
          <w:rFonts w:hint="eastAsia" w:ascii="宋体" w:hAnsi="宋体" w:eastAsia="宋体" w:cs="宋体"/>
          <w:sz w:val="24"/>
          <w:szCs w:val="18"/>
        </w:rPr>
        <w:t xml:space="preserve"> </w:t>
      </w:r>
      <w:r>
        <w:rPr>
          <w:rFonts w:hint="eastAsia" w:ascii="宋体" w:hAnsi="宋体" w:eastAsia="宋体" w:cs="宋体"/>
          <w:spacing w:val="-2"/>
          <w:sz w:val="24"/>
          <w:szCs w:val="18"/>
        </w:rPr>
        <w:t>人及以上的为中型企业；从业人员</w:t>
      </w:r>
      <w:r>
        <w:rPr>
          <w:rFonts w:hint="eastAsia" w:ascii="宋体" w:hAnsi="宋体" w:eastAsia="宋体" w:cs="宋体"/>
          <w:spacing w:val="-32"/>
          <w:sz w:val="24"/>
          <w:szCs w:val="18"/>
        </w:rPr>
        <w:t xml:space="preserve"> </w:t>
      </w:r>
      <w:r>
        <w:rPr>
          <w:rFonts w:hint="eastAsia" w:ascii="宋体" w:hAnsi="宋体" w:eastAsia="宋体" w:cs="宋体"/>
          <w:spacing w:val="-2"/>
          <w:sz w:val="24"/>
          <w:szCs w:val="18"/>
        </w:rPr>
        <w:t>10</w:t>
      </w:r>
      <w:r>
        <w:rPr>
          <w:rFonts w:hint="eastAsia" w:ascii="宋体" w:hAnsi="宋体" w:eastAsia="宋体" w:cs="宋体"/>
          <w:spacing w:val="-49"/>
          <w:sz w:val="24"/>
          <w:szCs w:val="18"/>
        </w:rPr>
        <w:t xml:space="preserve"> </w:t>
      </w:r>
      <w:r>
        <w:rPr>
          <w:rFonts w:hint="eastAsia" w:ascii="宋体" w:hAnsi="宋体" w:eastAsia="宋体" w:cs="宋体"/>
          <w:spacing w:val="-2"/>
          <w:sz w:val="24"/>
          <w:szCs w:val="18"/>
        </w:rPr>
        <w:t>人及以上的为小型企业；从业人员</w:t>
      </w:r>
      <w:r>
        <w:rPr>
          <w:rFonts w:hint="eastAsia" w:ascii="宋体" w:hAnsi="宋体" w:eastAsia="宋体" w:cs="宋体"/>
          <w:spacing w:val="-33"/>
          <w:sz w:val="24"/>
          <w:szCs w:val="18"/>
        </w:rPr>
        <w:t xml:space="preserve"> </w:t>
      </w:r>
      <w:r>
        <w:rPr>
          <w:rFonts w:hint="eastAsia" w:ascii="宋体" w:hAnsi="宋体" w:eastAsia="宋体" w:cs="宋体"/>
          <w:spacing w:val="-2"/>
          <w:sz w:val="24"/>
          <w:szCs w:val="18"/>
        </w:rPr>
        <w:t>1</w:t>
      </w:r>
      <w:r>
        <w:rPr>
          <w:rFonts w:hint="eastAsia" w:ascii="宋体" w:hAnsi="宋体" w:eastAsia="宋体" w:cs="宋体"/>
          <w:spacing w:val="-3"/>
          <w:sz w:val="24"/>
          <w:szCs w:val="18"/>
        </w:rPr>
        <w:t>0</w:t>
      </w:r>
      <w:r>
        <w:rPr>
          <w:rFonts w:hint="eastAsia" w:ascii="宋体" w:hAnsi="宋体" w:eastAsia="宋体" w:cs="宋体"/>
          <w:spacing w:val="-49"/>
          <w:sz w:val="24"/>
          <w:szCs w:val="18"/>
        </w:rPr>
        <w:t xml:space="preserve"> </w:t>
      </w:r>
      <w:r>
        <w:rPr>
          <w:rFonts w:hint="eastAsia" w:ascii="宋体" w:hAnsi="宋体" w:eastAsia="宋体" w:cs="宋体"/>
          <w:spacing w:val="-3"/>
          <w:sz w:val="24"/>
          <w:szCs w:val="18"/>
        </w:rPr>
        <w:t>人以下的为微型</w:t>
      </w:r>
      <w:r>
        <w:rPr>
          <w:rFonts w:hint="eastAsia" w:ascii="宋体" w:hAnsi="宋体" w:eastAsia="宋体" w:cs="宋体"/>
          <w:sz w:val="24"/>
          <w:szCs w:val="18"/>
        </w:rPr>
        <w:t xml:space="preserve"> </w:t>
      </w:r>
      <w:r>
        <w:rPr>
          <w:rFonts w:hint="eastAsia" w:ascii="宋体" w:hAnsi="宋体" w:eastAsia="宋体" w:cs="宋体"/>
          <w:spacing w:val="-4"/>
          <w:sz w:val="24"/>
          <w:szCs w:val="18"/>
        </w:rPr>
        <w:t>企业。</w:t>
      </w:r>
    </w:p>
    <w:p w14:paraId="4801DD3F">
      <w:pPr>
        <w:jc w:val="both"/>
        <w:outlineLvl w:val="1"/>
        <w:rPr>
          <w:rFonts w:hint="eastAsia" w:ascii="宋体" w:hAnsi="宋体" w:eastAsia="宋体" w:cs="宋体"/>
          <w:b/>
          <w:color w:val="auto"/>
          <w:sz w:val="32"/>
          <w:szCs w:val="28"/>
          <w:highlight w:val="none"/>
          <w:lang w:eastAsia="zh-CN"/>
        </w:rPr>
      </w:pPr>
    </w:p>
    <w:p w14:paraId="53BDA895">
      <w:pPr>
        <w:rPr>
          <w:rFonts w:hint="eastAsia" w:ascii="宋体" w:hAnsi="宋体" w:eastAsia="宋体" w:cs="宋体"/>
          <w:b/>
          <w:color w:val="auto"/>
          <w:sz w:val="32"/>
          <w:szCs w:val="28"/>
          <w:highlight w:val="none"/>
          <w:lang w:eastAsia="zh-CN"/>
        </w:rPr>
      </w:pPr>
      <w:r>
        <w:rPr>
          <w:rFonts w:hint="eastAsia" w:ascii="宋体" w:hAnsi="宋体" w:eastAsia="宋体" w:cs="宋体"/>
          <w:b/>
          <w:color w:val="auto"/>
          <w:sz w:val="32"/>
          <w:szCs w:val="28"/>
          <w:highlight w:val="none"/>
          <w:lang w:eastAsia="zh-CN"/>
        </w:rPr>
        <w:br w:type="page"/>
      </w:r>
    </w:p>
    <w:p w14:paraId="069BB10B">
      <w:pPr>
        <w:jc w:val="both"/>
        <w:outlineLvl w:val="1"/>
        <w:rPr>
          <w:rFonts w:hint="eastAsia" w:ascii="宋体" w:hAnsi="宋体" w:eastAsia="宋体" w:cs="宋体"/>
          <w:b/>
          <w:color w:val="auto"/>
          <w:sz w:val="32"/>
          <w:szCs w:val="28"/>
          <w:highlight w:val="none"/>
          <w:lang w:eastAsia="zh-CN"/>
        </w:rPr>
      </w:pPr>
      <w:r>
        <w:rPr>
          <w:rFonts w:hint="eastAsia" w:ascii="宋体" w:hAnsi="宋体" w:eastAsia="宋体" w:cs="宋体"/>
          <w:b/>
          <w:color w:val="auto"/>
          <w:sz w:val="32"/>
          <w:szCs w:val="28"/>
          <w:highlight w:val="none"/>
          <w:lang w:eastAsia="zh-CN"/>
        </w:rPr>
        <w:t>三、符合性证明文件</w:t>
      </w:r>
    </w:p>
    <w:p w14:paraId="566F764F">
      <w:pPr>
        <w:spacing w:line="360" w:lineRule="auto"/>
        <w:jc w:val="both"/>
        <w:outlineLvl w:val="9"/>
        <w:rPr>
          <w:rFonts w:hint="eastAsia" w:ascii="宋体" w:hAnsi="宋体" w:eastAsia="宋体" w:cs="宋体"/>
          <w:b/>
          <w:bCs/>
          <w:color w:val="auto"/>
          <w:sz w:val="16"/>
          <w:szCs w:val="16"/>
          <w:highlight w:val="none"/>
          <w:lang w:val="en-US" w:eastAsia="zh-CN"/>
        </w:rPr>
      </w:pPr>
    </w:p>
    <w:p w14:paraId="063EB408">
      <w:pPr>
        <w:spacing w:line="360" w:lineRule="auto"/>
        <w:jc w:val="both"/>
        <w:outlineLvl w:val="2"/>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1</w:t>
      </w:r>
      <w:r>
        <w:rPr>
          <w:rFonts w:hint="eastAsia" w:ascii="宋体" w:hAnsi="宋体" w:cs="宋体"/>
          <w:b/>
          <w:bCs/>
          <w:color w:val="auto"/>
          <w:sz w:val="32"/>
          <w:szCs w:val="32"/>
          <w:highlight w:val="none"/>
          <w:lang w:val="en-US" w:eastAsia="zh-CN"/>
        </w:rPr>
        <w:t>.</w:t>
      </w:r>
      <w:r>
        <w:rPr>
          <w:rFonts w:hint="eastAsia" w:ascii="宋体" w:hAnsi="宋体" w:eastAsia="宋体" w:cs="宋体"/>
          <w:b/>
          <w:bCs/>
          <w:color w:val="auto"/>
          <w:sz w:val="32"/>
          <w:szCs w:val="32"/>
          <w:highlight w:val="none"/>
          <w:lang w:val="en-US" w:eastAsia="zh-CN"/>
        </w:rPr>
        <w:t>响应</w:t>
      </w:r>
      <w:r>
        <w:rPr>
          <w:rFonts w:hint="eastAsia" w:ascii="宋体" w:hAnsi="宋体" w:eastAsia="宋体" w:cs="宋体"/>
          <w:b/>
          <w:bCs/>
          <w:color w:val="auto"/>
          <w:sz w:val="32"/>
          <w:szCs w:val="32"/>
          <w:highlight w:val="none"/>
        </w:rPr>
        <w:t>函</w:t>
      </w:r>
    </w:p>
    <w:p w14:paraId="50F414DE">
      <w:pPr>
        <w:tabs>
          <w:tab w:val="left" w:pos="3500"/>
          <w:tab w:val="left" w:pos="3700"/>
        </w:tabs>
        <w:spacing w:line="360" w:lineRule="auto"/>
        <w:ind w:firstLine="480" w:firstLineChars="200"/>
        <w:outlineLvl w:val="9"/>
        <w:rPr>
          <w:rFonts w:hint="eastAsia" w:ascii="宋体" w:hAnsi="宋体" w:cs="宋体"/>
          <w:color w:val="auto"/>
          <w:sz w:val="24"/>
          <w:highlight w:val="none"/>
          <w:lang w:eastAsia="zh-CN"/>
        </w:rPr>
      </w:pPr>
      <w:r>
        <w:rPr>
          <w:rFonts w:hint="eastAsia" w:ascii="宋体" w:hAnsi="宋体" w:eastAsia="宋体" w:cs="宋体"/>
          <w:color w:val="auto"/>
          <w:sz w:val="24"/>
          <w:highlight w:val="none"/>
        </w:rPr>
        <w:t>致：</w:t>
      </w:r>
      <w:bookmarkStart w:id="81" w:name="_Hlt520355938"/>
      <w:bookmarkEnd w:id="81"/>
      <w:bookmarkStart w:id="82" w:name="_Hlt520356243"/>
      <w:bookmarkEnd w:id="82"/>
      <w:bookmarkStart w:id="83" w:name="_Toc403027470"/>
      <w:bookmarkStart w:id="84" w:name="_Toc7447441"/>
      <w:r>
        <w:rPr>
          <w:rFonts w:hint="eastAsia" w:ascii="宋体" w:hAnsi="宋体" w:cs="宋体"/>
          <w:color w:val="auto"/>
          <w:sz w:val="24"/>
          <w:highlight w:val="none"/>
          <w:lang w:eastAsia="zh-CN"/>
        </w:rPr>
        <w:t>鑫益瑞建设工程有限公司</w:t>
      </w:r>
    </w:p>
    <w:p w14:paraId="237D8EDB">
      <w:pPr>
        <w:tabs>
          <w:tab w:val="left" w:pos="3500"/>
          <w:tab w:val="left" w:pos="3700"/>
        </w:tabs>
        <w:spacing w:line="360" w:lineRule="auto"/>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1、我方具备本项目竞争性磋商文件中规定的资格条件。</w:t>
      </w:r>
    </w:p>
    <w:p w14:paraId="1D6683A8">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2、根据你方</w:t>
      </w:r>
      <w:r>
        <w:rPr>
          <w:rFonts w:hint="eastAsia" w:ascii="宋体" w:hAnsi="宋体" w:cs="宋体"/>
          <w:color w:val="auto"/>
          <w:sz w:val="24"/>
          <w:highlight w:val="none"/>
          <w:lang w:eastAsia="zh-CN"/>
        </w:rPr>
        <w:t>发布</w:t>
      </w:r>
      <w:r>
        <w:rPr>
          <w:rFonts w:hint="eastAsia" w:ascii="宋体" w:hAnsi="宋体" w:eastAsia="宋体" w:cs="宋体"/>
          <w:color w:val="auto"/>
          <w:sz w:val="24"/>
          <w:highlight w:val="none"/>
        </w:rPr>
        <w:t>的</w:t>
      </w:r>
      <w:r>
        <w:rPr>
          <w:rFonts w:hint="eastAsia" w:ascii="宋体" w:hAnsi="宋体" w:eastAsia="宋体" w:cs="宋体"/>
          <w:b/>
          <w:color w:val="auto"/>
          <w:sz w:val="24"/>
          <w:highlight w:val="none"/>
          <w:u w:val="single"/>
        </w:rPr>
        <w:t xml:space="preserve">           </w:t>
      </w:r>
      <w:r>
        <w:rPr>
          <w:rFonts w:hint="eastAsia" w:ascii="宋体" w:hAnsi="宋体" w:eastAsia="宋体" w:cs="宋体"/>
          <w:color w:val="auto"/>
          <w:sz w:val="24"/>
          <w:highlight w:val="none"/>
        </w:rPr>
        <w:t>项目竞争性磋商文件，经研究上述竞争性磋商响应文件的磋商须知、合同条款、图纸、工程建设标准、工程量清单和答疑纪要及其它有关文件后，我方愿以(大写)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人民币（RMB￥</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元）的磋商报价承包上述工程的施工、竣工，并承担任何质量缺陷保修责任。</w:t>
      </w:r>
    </w:p>
    <w:p w14:paraId="56CA0641">
      <w:pPr>
        <w:spacing w:line="360" w:lineRule="auto"/>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3、我方已详细审阅全部磋商响应文件，确认无误。提交磋商响应文件</w:t>
      </w:r>
      <w:r>
        <w:rPr>
          <w:rFonts w:hint="eastAsia" w:ascii="宋体" w:hAnsi="宋体" w:eastAsia="宋体" w:cs="宋体"/>
          <w:color w:val="auto"/>
          <w:sz w:val="24"/>
          <w:highlight w:val="none"/>
          <w:lang w:eastAsia="zh-CN"/>
        </w:rPr>
        <w:t>电子版</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份。</w:t>
      </w:r>
    </w:p>
    <w:p w14:paraId="31ACAFB7">
      <w:pPr>
        <w:spacing w:line="540" w:lineRule="exact"/>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4、我方保证上述磋商报价不低于我单位工程施工的成本价。</w:t>
      </w:r>
    </w:p>
    <w:p w14:paraId="5B42D140">
      <w:pPr>
        <w:spacing w:line="540" w:lineRule="exact"/>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pacing w:val="-4"/>
          <w:sz w:val="24"/>
          <w:highlight w:val="none"/>
        </w:rPr>
        <w:t>若我方成交，我方保证按磋商工期</w:t>
      </w:r>
      <w:r>
        <w:rPr>
          <w:rFonts w:hint="eastAsia" w:ascii="宋体" w:hAnsi="宋体" w:eastAsia="宋体" w:cs="宋体"/>
          <w:color w:val="auto"/>
          <w:spacing w:val="-4"/>
          <w:sz w:val="24"/>
          <w:highlight w:val="none"/>
          <w:u w:val="single"/>
        </w:rPr>
        <w:t xml:space="preserve">       </w:t>
      </w:r>
      <w:r>
        <w:rPr>
          <w:rFonts w:hint="eastAsia" w:ascii="宋体" w:hAnsi="宋体" w:eastAsia="宋体" w:cs="宋体"/>
          <w:color w:val="auto"/>
          <w:spacing w:val="-4"/>
          <w:sz w:val="24"/>
          <w:highlight w:val="none"/>
        </w:rPr>
        <w:t>。</w:t>
      </w:r>
    </w:p>
    <w:p w14:paraId="67CFAB2F">
      <w:pPr>
        <w:spacing w:line="54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eastAsia="宋体" w:cs="宋体"/>
          <w:color w:val="auto"/>
          <w:spacing w:val="-4"/>
          <w:sz w:val="24"/>
          <w:highlight w:val="none"/>
        </w:rPr>
        <w:t>若我方成交</w:t>
      </w:r>
      <w:r>
        <w:rPr>
          <w:rFonts w:hint="eastAsia" w:ascii="宋体" w:hAnsi="宋体" w:eastAsia="宋体" w:cs="宋体"/>
          <w:color w:val="auto"/>
          <w:sz w:val="24"/>
          <w:highlight w:val="none"/>
        </w:rPr>
        <w:t>，我方保证工程质量</w:t>
      </w:r>
      <w:r>
        <w:rPr>
          <w:rFonts w:hint="eastAsia" w:ascii="宋体" w:hAnsi="宋体" w:eastAsia="宋体" w:cs="宋体"/>
          <w:color w:val="auto"/>
          <w:sz w:val="24"/>
          <w:highlight w:val="none"/>
          <w:lang w:eastAsia="zh-CN"/>
        </w:rPr>
        <w:t>标准</w:t>
      </w:r>
      <w:r>
        <w:rPr>
          <w:rFonts w:hint="eastAsia" w:ascii="宋体" w:hAnsi="宋体" w:eastAsia="宋体" w:cs="宋体"/>
          <w:color w:val="auto"/>
          <w:sz w:val="24"/>
          <w:highlight w:val="none"/>
        </w:rPr>
        <w:t>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。本工程项目经理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903CBC2">
      <w:pPr>
        <w:spacing w:line="54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7、若我方成交，我方保证安全文明施工达到文明工地标准。</w:t>
      </w:r>
    </w:p>
    <w:p w14:paraId="2236E1EA">
      <w:pPr>
        <w:spacing w:line="54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r>
        <w:rPr>
          <w:rFonts w:hint="eastAsia" w:ascii="宋体" w:hAnsi="宋体" w:eastAsia="宋体" w:cs="宋体"/>
          <w:bCs/>
          <w:caps/>
          <w:color w:val="auto"/>
          <w:sz w:val="24"/>
          <w:highlight w:val="none"/>
        </w:rPr>
        <w:t>磋商有效期为自提交磋商响应文件的截止之日起90个日历日。</w:t>
      </w:r>
    </w:p>
    <w:p w14:paraId="2F041BE6">
      <w:pPr>
        <w:spacing w:line="540" w:lineRule="exact"/>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9、在合同协议书正式签署生效之前，你方的竞争性磋商文件、答疑纪要、成交通知书和本竞争性磋商响应文件</w:t>
      </w:r>
      <w:r>
        <w:rPr>
          <w:rFonts w:hint="eastAsia" w:ascii="宋体" w:hAnsi="宋体" w:eastAsia="宋体" w:cs="宋体"/>
          <w:color w:val="auto"/>
          <w:spacing w:val="-6"/>
          <w:sz w:val="24"/>
          <w:highlight w:val="none"/>
        </w:rPr>
        <w:t>将构成我们约束双方之间共同遵守的文件，对双方具有约束力。</w:t>
      </w:r>
    </w:p>
    <w:p w14:paraId="0FA70653">
      <w:pPr>
        <w:spacing w:line="540" w:lineRule="exact"/>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10、</w:t>
      </w:r>
      <w:r>
        <w:rPr>
          <w:rFonts w:hint="eastAsia" w:ascii="宋体" w:hAnsi="宋体" w:eastAsia="宋体" w:cs="宋体"/>
          <w:color w:val="auto"/>
          <w:spacing w:val="-16"/>
          <w:sz w:val="24"/>
          <w:highlight w:val="none"/>
        </w:rPr>
        <w:t>我方已提交了</w:t>
      </w:r>
      <w:r>
        <w:rPr>
          <w:rFonts w:hint="eastAsia" w:ascii="宋体" w:hAnsi="宋体" w:eastAsia="宋体" w:cs="宋体"/>
          <w:color w:val="auto"/>
          <w:spacing w:val="-16"/>
          <w:sz w:val="24"/>
          <w:highlight w:val="none"/>
          <w:u w:val="single"/>
        </w:rPr>
        <w:t xml:space="preserve">          </w:t>
      </w:r>
      <w:r>
        <w:rPr>
          <w:rFonts w:hint="eastAsia" w:ascii="宋体" w:hAnsi="宋体" w:eastAsia="宋体" w:cs="宋体"/>
          <w:color w:val="auto"/>
          <w:spacing w:val="-16"/>
          <w:sz w:val="24"/>
          <w:highlight w:val="none"/>
        </w:rPr>
        <w:t>元人民币作为磋商保证金。</w:t>
      </w:r>
    </w:p>
    <w:p w14:paraId="046AE6D8">
      <w:pPr>
        <w:spacing w:line="540" w:lineRule="exact"/>
        <w:ind w:firstLine="480" w:firstLineChars="200"/>
        <w:outlineLvl w:val="9"/>
        <w:rPr>
          <w:rFonts w:hint="eastAsia" w:ascii="宋体" w:hAnsi="宋体" w:eastAsia="宋体" w:cs="宋体"/>
          <w:b/>
          <w:color w:val="auto"/>
          <w:sz w:val="24"/>
          <w:highlight w:val="none"/>
        </w:rPr>
      </w:pPr>
      <w:r>
        <w:rPr>
          <w:rFonts w:hint="eastAsia" w:ascii="宋体" w:hAnsi="宋体" w:eastAsia="宋体" w:cs="宋体"/>
          <w:color w:val="auto"/>
          <w:sz w:val="24"/>
          <w:highlight w:val="none"/>
        </w:rPr>
        <w:t>11、我方理解你方不负担我们的任何</w:t>
      </w:r>
      <w:r>
        <w:rPr>
          <w:rFonts w:hint="eastAsia" w:ascii="宋体" w:hAnsi="宋体" w:eastAsia="宋体" w:cs="宋体"/>
          <w:color w:val="auto"/>
          <w:spacing w:val="-16"/>
          <w:sz w:val="24"/>
          <w:highlight w:val="none"/>
        </w:rPr>
        <w:t>磋商</w:t>
      </w:r>
      <w:r>
        <w:rPr>
          <w:rFonts w:hint="eastAsia" w:ascii="宋体" w:hAnsi="宋体" w:eastAsia="宋体" w:cs="宋体"/>
          <w:color w:val="auto"/>
          <w:sz w:val="24"/>
          <w:highlight w:val="none"/>
        </w:rPr>
        <w:t>费用，我方不要求你方对未成交原因作任何解释，也不退回竞争性磋商响应文件。</w:t>
      </w:r>
    </w:p>
    <w:p w14:paraId="6E76A417">
      <w:pPr>
        <w:spacing w:line="540" w:lineRule="exact"/>
        <w:ind w:firstLine="400" w:firstLineChars="200"/>
        <w:outlineLvl w:val="9"/>
        <w:rPr>
          <w:rFonts w:hint="eastAsia" w:ascii="宋体" w:hAnsi="宋体" w:eastAsia="宋体" w:cs="宋体"/>
          <w:color w:val="auto"/>
          <w:sz w:val="24"/>
          <w:highlight w:val="none"/>
        </w:rPr>
      </w:pPr>
      <w:r>
        <w:rPr>
          <w:rFonts w:hint="eastAsia" w:ascii="宋体" w:hAnsi="宋体" w:eastAsia="宋体" w:cs="宋体"/>
          <w:color w:val="auto"/>
          <w:spacing w:val="-20"/>
          <w:sz w:val="24"/>
          <w:highlight w:val="none"/>
        </w:rPr>
        <w:t>注</w:t>
      </w:r>
      <w:r>
        <w:rPr>
          <w:rFonts w:hint="eastAsia" w:ascii="宋体" w:hAnsi="宋体" w:eastAsia="宋体" w:cs="宋体"/>
          <w:color w:val="auto"/>
          <w:sz w:val="24"/>
          <w:highlight w:val="none"/>
        </w:rPr>
        <w:t>：磋商报价应与清单的报价汇总表数字一致。精确到元.角.分。</w:t>
      </w:r>
    </w:p>
    <w:p w14:paraId="2426CB9D">
      <w:pPr>
        <w:spacing w:line="360" w:lineRule="auto"/>
        <w:ind w:firstLine="1200" w:firstLineChars="5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应  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（盖章）   </w:t>
      </w:r>
    </w:p>
    <w:p w14:paraId="10CE131F">
      <w:pPr>
        <w:spacing w:line="360" w:lineRule="auto"/>
        <w:ind w:firstLine="1200" w:firstLineChars="5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单 位 地 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lang w:val="en-US" w:eastAsia="zh-CN"/>
        </w:rPr>
        <w:t xml:space="preserve">        </w:t>
      </w:r>
      <w:r>
        <w:rPr>
          <w:rFonts w:hint="eastAsia" w:ascii="宋体" w:hAnsi="宋体" w:eastAsia="宋体" w:cs="宋体"/>
          <w:color w:val="auto"/>
          <w:sz w:val="24"/>
          <w:highlight w:val="none"/>
          <w:u w:val="single"/>
        </w:rPr>
        <w:t xml:space="preserve">                                          </w:t>
      </w:r>
    </w:p>
    <w:p w14:paraId="489F46FB">
      <w:pPr>
        <w:spacing w:line="360" w:lineRule="auto"/>
        <w:ind w:firstLine="1200" w:firstLineChars="500"/>
        <w:outlineLvl w:val="9"/>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法定代表人或被授权人：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（签字或盖章）</w:t>
      </w:r>
    </w:p>
    <w:p w14:paraId="4C218E50">
      <w:pPr>
        <w:spacing w:line="360" w:lineRule="auto"/>
        <w:ind w:firstLine="1200" w:firstLineChars="5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电</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话：</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1FF17672">
      <w:pPr>
        <w:spacing w:line="360" w:lineRule="auto"/>
        <w:ind w:firstLine="1200" w:firstLineChars="500"/>
        <w:outlineLvl w:val="9"/>
        <w:rPr>
          <w:rFonts w:hint="eastAsia" w:ascii="宋体" w:hAnsi="宋体" w:eastAsia="宋体" w:cs="宋体"/>
          <w:bCs/>
          <w:caps/>
          <w:color w:val="auto"/>
          <w:sz w:val="24"/>
          <w:szCs w:val="24"/>
          <w:highlight w:val="none"/>
        </w:rPr>
      </w:pPr>
      <w:r>
        <w:rPr>
          <w:rFonts w:hint="eastAsia" w:ascii="宋体" w:hAnsi="宋体" w:eastAsia="宋体" w:cs="宋体"/>
          <w:color w:val="auto"/>
          <w:sz w:val="24"/>
          <w:highlight w:val="none"/>
        </w:rPr>
        <w:t xml:space="preserve">日       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年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r>
        <w:rPr>
          <w:rFonts w:hint="eastAsia" w:ascii="宋体" w:hAnsi="宋体" w:eastAsia="宋体" w:cs="宋体"/>
          <w:b/>
          <w:bCs/>
          <w:color w:val="auto"/>
          <w:sz w:val="28"/>
          <w:szCs w:val="28"/>
          <w:highlight w:val="none"/>
          <w:lang w:eastAsia="zh-CN"/>
        </w:rPr>
        <w:br w:type="page"/>
      </w:r>
      <w:bookmarkEnd w:id="83"/>
      <w:bookmarkEnd w:id="84"/>
    </w:p>
    <w:p w14:paraId="1031C5D2">
      <w:pPr>
        <w:jc w:val="both"/>
        <w:outlineLvl w:val="2"/>
        <w:rPr>
          <w:rFonts w:hint="eastAsia" w:ascii="宋体" w:hAnsi="宋体" w:eastAsia="宋体" w:cs="宋体"/>
          <w:b/>
          <w:bCs/>
          <w:color w:val="auto"/>
          <w:sz w:val="28"/>
          <w:szCs w:val="28"/>
          <w:highlight w:val="none"/>
        </w:rPr>
      </w:pPr>
      <w:bookmarkStart w:id="85" w:name="_Toc7447442"/>
      <w:r>
        <w:rPr>
          <w:rFonts w:hint="eastAsia" w:ascii="宋体" w:hAnsi="宋体" w:eastAsia="宋体" w:cs="宋体"/>
          <w:b/>
          <w:bCs/>
          <w:color w:val="auto"/>
          <w:sz w:val="28"/>
          <w:szCs w:val="28"/>
          <w:highlight w:val="none"/>
          <w:lang w:val="en-US" w:eastAsia="zh-CN"/>
        </w:rPr>
        <w:t>2</w:t>
      </w:r>
      <w:r>
        <w:rPr>
          <w:rFonts w:hint="eastAsia" w:ascii="宋体" w:hAnsi="宋体" w:cs="宋体"/>
          <w:b/>
          <w:bCs/>
          <w:color w:val="auto"/>
          <w:sz w:val="28"/>
          <w:szCs w:val="28"/>
          <w:highlight w:val="none"/>
          <w:lang w:val="en-US" w:eastAsia="zh-CN"/>
        </w:rPr>
        <w:t>.</w:t>
      </w:r>
      <w:r>
        <w:rPr>
          <w:rFonts w:hint="eastAsia" w:ascii="宋体" w:hAnsi="宋体" w:eastAsia="宋体" w:cs="宋体"/>
          <w:b/>
          <w:bCs/>
          <w:color w:val="auto"/>
          <w:sz w:val="28"/>
          <w:szCs w:val="28"/>
          <w:highlight w:val="none"/>
          <w:lang w:val="en-US" w:eastAsia="zh-CN"/>
        </w:rPr>
        <w:t>第一次磋商报价表</w:t>
      </w:r>
      <w:r>
        <w:rPr>
          <w:rFonts w:hint="eastAsia" w:ascii="宋体" w:hAnsi="宋体" w:eastAsia="宋体" w:cs="宋体"/>
          <w:b/>
          <w:bCs/>
          <w:color w:val="auto"/>
          <w:sz w:val="28"/>
          <w:szCs w:val="28"/>
          <w:highlight w:val="none"/>
        </w:rPr>
        <w:t xml:space="preserve"> </w:t>
      </w:r>
      <w:bookmarkEnd w:id="85"/>
    </w:p>
    <w:p w14:paraId="4FE6B368">
      <w:pPr>
        <w:pStyle w:val="12"/>
        <w:spacing w:line="360" w:lineRule="auto"/>
        <w:outlineLvl w:val="9"/>
        <w:rPr>
          <w:rFonts w:hint="eastAsia" w:ascii="宋体" w:hAnsi="宋体" w:eastAsia="宋体" w:cs="宋体"/>
          <w:color w:val="auto"/>
          <w:sz w:val="24"/>
          <w:highlight w:val="none"/>
        </w:rPr>
      </w:pPr>
    </w:p>
    <w:p w14:paraId="734014AB">
      <w:pPr>
        <w:pStyle w:val="12"/>
        <w:spacing w:line="360" w:lineRule="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采购编号：</w:t>
      </w:r>
      <w:r>
        <w:rPr>
          <w:rFonts w:hint="eastAsia" w:ascii="宋体" w:hAnsi="宋体" w:eastAsia="宋体" w:cs="宋体"/>
          <w:color w:val="auto"/>
          <w:sz w:val="24"/>
          <w:highlight w:val="none"/>
          <w:u w:val="single"/>
          <w:lang w:eastAsia="zh-CN"/>
        </w:rPr>
        <w:t xml:space="preserve">                          </w:t>
      </w:r>
    </w:p>
    <w:p w14:paraId="1E7D7D21">
      <w:pPr>
        <w:pStyle w:val="12"/>
        <w:spacing w:line="360" w:lineRule="auto"/>
        <w:outlineLvl w:val="9"/>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2C63221E">
      <w:pPr>
        <w:pStyle w:val="12"/>
        <w:spacing w:line="360" w:lineRule="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供 应 商：</w:t>
      </w:r>
      <w:r>
        <w:rPr>
          <w:rFonts w:hint="eastAsia" w:ascii="宋体" w:hAnsi="宋体" w:eastAsia="宋体" w:cs="宋体"/>
          <w:color w:val="auto"/>
          <w:sz w:val="24"/>
          <w:highlight w:val="none"/>
          <w:u w:val="single"/>
        </w:rPr>
        <w:t xml:space="preserve">                    </w:t>
      </w:r>
    </w:p>
    <w:p w14:paraId="44BBFF54">
      <w:pPr>
        <w:spacing w:line="360" w:lineRule="auto"/>
        <w:jc w:val="right"/>
        <w:outlineLvl w:val="9"/>
        <w:rPr>
          <w:rFonts w:hint="eastAsia" w:ascii="宋体" w:hAnsi="宋体" w:eastAsia="宋体" w:cs="宋体"/>
          <w:bCs/>
          <w:color w:val="auto"/>
          <w:kern w:val="2"/>
          <w:sz w:val="32"/>
          <w:szCs w:val="32"/>
          <w:highlight w:val="none"/>
        </w:rPr>
      </w:pPr>
      <w:r>
        <w:rPr>
          <w:rFonts w:hint="eastAsia" w:ascii="宋体" w:hAnsi="宋体" w:eastAsia="宋体" w:cs="宋体"/>
          <w:color w:val="auto"/>
          <w:sz w:val="24"/>
          <w:highlight w:val="none"/>
        </w:rPr>
        <w:t>单位 ：元（保留小数点后两位）</w:t>
      </w:r>
    </w:p>
    <w:tbl>
      <w:tblPr>
        <w:tblStyle w:val="26"/>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7060"/>
      </w:tblGrid>
      <w:tr w14:paraId="2156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2245" w:type="dxa"/>
            <w:noWrap w:val="0"/>
            <w:vAlign w:val="top"/>
          </w:tcPr>
          <w:p w14:paraId="702D8FF0">
            <w:pPr>
              <w:pStyle w:val="50"/>
              <w:tabs>
                <w:tab w:val="left" w:pos="1860"/>
                <w:tab w:val="center" w:pos="4680"/>
              </w:tabs>
              <w:spacing w:line="540" w:lineRule="exact"/>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磋商总价</w:t>
            </w:r>
          </w:p>
          <w:p w14:paraId="5D4353B5">
            <w:pPr>
              <w:pStyle w:val="50"/>
              <w:tabs>
                <w:tab w:val="left" w:pos="1860"/>
                <w:tab w:val="center" w:pos="4680"/>
              </w:tabs>
              <w:spacing w:line="540" w:lineRule="exact"/>
              <w:outlineLvl w:val="9"/>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（人民币:元）</w:t>
            </w:r>
          </w:p>
        </w:tc>
        <w:tc>
          <w:tcPr>
            <w:tcW w:w="7060" w:type="dxa"/>
            <w:noWrap w:val="0"/>
            <w:vAlign w:val="top"/>
          </w:tcPr>
          <w:p w14:paraId="53F86A82">
            <w:pPr>
              <w:pStyle w:val="50"/>
              <w:tabs>
                <w:tab w:val="left" w:pos="1860"/>
                <w:tab w:val="center" w:pos="4680"/>
              </w:tabs>
              <w:spacing w:line="540" w:lineRule="exact"/>
              <w:jc w:val="both"/>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大  写：</w:t>
            </w:r>
          </w:p>
          <w:p w14:paraId="28D29688">
            <w:pPr>
              <w:pStyle w:val="50"/>
              <w:tabs>
                <w:tab w:val="left" w:pos="1860"/>
                <w:tab w:val="center" w:pos="4680"/>
              </w:tabs>
              <w:spacing w:line="540" w:lineRule="exact"/>
              <w:jc w:val="both"/>
              <w:outlineLvl w:val="9"/>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小  写：</w:t>
            </w:r>
          </w:p>
        </w:tc>
      </w:tr>
      <w:tr w14:paraId="7581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2245" w:type="dxa"/>
            <w:noWrap w:val="0"/>
            <w:vAlign w:val="center"/>
          </w:tcPr>
          <w:p w14:paraId="29CAA083">
            <w:pPr>
              <w:pStyle w:val="50"/>
              <w:tabs>
                <w:tab w:val="left" w:pos="1860"/>
                <w:tab w:val="center" w:pos="4680"/>
              </w:tabs>
              <w:spacing w:line="540" w:lineRule="exact"/>
              <w:jc w:val="center"/>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工期</w:t>
            </w:r>
          </w:p>
        </w:tc>
        <w:tc>
          <w:tcPr>
            <w:tcW w:w="7060" w:type="dxa"/>
            <w:noWrap w:val="0"/>
            <w:vAlign w:val="center"/>
          </w:tcPr>
          <w:p w14:paraId="505CD72F">
            <w:pPr>
              <w:pStyle w:val="50"/>
              <w:tabs>
                <w:tab w:val="left" w:pos="1860"/>
                <w:tab w:val="center" w:pos="4680"/>
              </w:tabs>
              <w:spacing w:line="540" w:lineRule="exact"/>
              <w:jc w:val="center"/>
              <w:outlineLvl w:val="9"/>
              <w:rPr>
                <w:rFonts w:hint="eastAsia" w:ascii="宋体" w:hAnsi="宋体" w:eastAsia="宋体" w:cs="宋体"/>
                <w:color w:val="auto"/>
                <w:sz w:val="24"/>
                <w:szCs w:val="24"/>
                <w:highlight w:val="none"/>
              </w:rPr>
            </w:pPr>
          </w:p>
        </w:tc>
      </w:tr>
      <w:tr w14:paraId="1854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245" w:type="dxa"/>
            <w:noWrap w:val="0"/>
            <w:vAlign w:val="top"/>
          </w:tcPr>
          <w:p w14:paraId="2247241B">
            <w:pPr>
              <w:pStyle w:val="50"/>
              <w:tabs>
                <w:tab w:val="left" w:pos="1860"/>
                <w:tab w:val="center" w:pos="4680"/>
              </w:tabs>
              <w:spacing w:line="540" w:lineRule="exact"/>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项目经理</w:t>
            </w:r>
          </w:p>
        </w:tc>
        <w:tc>
          <w:tcPr>
            <w:tcW w:w="7060" w:type="dxa"/>
            <w:noWrap w:val="0"/>
            <w:vAlign w:val="top"/>
          </w:tcPr>
          <w:p w14:paraId="3CD46571">
            <w:pPr>
              <w:pStyle w:val="50"/>
              <w:tabs>
                <w:tab w:val="left" w:pos="1860"/>
                <w:tab w:val="center" w:pos="4680"/>
              </w:tabs>
              <w:spacing w:line="540" w:lineRule="exact"/>
              <w:jc w:val="both"/>
              <w:outlineLvl w:val="9"/>
              <w:rPr>
                <w:rFonts w:hint="eastAsia" w:ascii="宋体" w:hAnsi="宋体" w:eastAsia="宋体" w:cs="宋体"/>
                <w:color w:val="auto"/>
                <w:sz w:val="24"/>
                <w:szCs w:val="24"/>
                <w:highlight w:val="none"/>
              </w:rPr>
            </w:pPr>
          </w:p>
        </w:tc>
      </w:tr>
      <w:tr w14:paraId="2B2A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9305" w:type="dxa"/>
            <w:gridSpan w:val="2"/>
            <w:noWrap w:val="0"/>
            <w:vAlign w:val="top"/>
          </w:tcPr>
          <w:p w14:paraId="44EA4669">
            <w:pPr>
              <w:pStyle w:val="50"/>
              <w:tabs>
                <w:tab w:val="left" w:pos="1860"/>
                <w:tab w:val="center" w:pos="4680"/>
              </w:tabs>
              <w:spacing w:line="540" w:lineRule="exact"/>
              <w:jc w:val="both"/>
              <w:outlineLvl w:val="9"/>
              <w:rPr>
                <w:rFonts w:hint="eastAsia" w:ascii="宋体" w:hAnsi="宋体" w:eastAsia="宋体" w:cs="宋体"/>
                <w:color w:val="auto"/>
                <w:sz w:val="24"/>
                <w:szCs w:val="24"/>
                <w:highlight w:val="none"/>
              </w:rPr>
            </w:pPr>
            <w:r>
              <w:rPr>
                <w:rFonts w:hint="eastAsia" w:ascii="宋体" w:hAnsi="宋体" w:eastAsia="宋体" w:cs="宋体"/>
                <w:b/>
                <w:i w:val="0"/>
                <w:color w:val="auto"/>
                <w:kern w:val="0"/>
                <w:sz w:val="24"/>
                <w:szCs w:val="24"/>
                <w:highlight w:val="none"/>
                <w:u w:val="none"/>
                <w:lang w:val="en-US" w:eastAsia="zh-CN" w:bidi="ar"/>
              </w:rPr>
              <w:t>备注：</w:t>
            </w:r>
            <w:r>
              <w:rPr>
                <w:rFonts w:hint="eastAsia" w:ascii="宋体" w:hAnsi="宋体" w:eastAsia="宋体" w:cs="宋体"/>
                <w:b/>
                <w:bCs/>
                <w:color w:val="auto"/>
                <w:kern w:val="2"/>
                <w:sz w:val="24"/>
                <w:szCs w:val="24"/>
                <w:highlight w:val="none"/>
                <w:lang w:val="en-US" w:eastAsia="zh-CN" w:bidi="ar-SA"/>
              </w:rPr>
              <w:t>磋商报价应是竞争性磋商响应文件所确定的磋商范围内的全部工作内容的价格体现，包括本项目所涉及的人员、设备及其他相关伴随费用的全部费用。</w:t>
            </w:r>
          </w:p>
        </w:tc>
      </w:tr>
    </w:tbl>
    <w:p w14:paraId="2384230B">
      <w:pPr>
        <w:spacing w:before="194" w:beforeLines="50"/>
        <w:ind w:left="423" w:hanging="470" w:hangingChars="196"/>
        <w:jc w:val="left"/>
        <w:rPr>
          <w:rFonts w:hint="eastAsia" w:ascii="宋体" w:hAnsi="宋体" w:eastAsia="宋体" w:cs="宋体"/>
          <w:color w:val="auto"/>
          <w:sz w:val="24"/>
          <w:szCs w:val="24"/>
          <w:highlight w:val="none"/>
        </w:rPr>
      </w:pPr>
      <w:bookmarkStart w:id="86" w:name="_Toc433961643"/>
      <w:bookmarkStart w:id="87" w:name="_Toc7447443"/>
    </w:p>
    <w:p w14:paraId="27FE03D3">
      <w:pPr>
        <w:spacing w:before="194" w:beforeLines="50"/>
        <w:ind w:left="423" w:hanging="470" w:hangingChars="19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 1、报价应按总报价填写，精确到小数点后两位，大小写不一致时，以大写为准；</w:t>
      </w:r>
    </w:p>
    <w:p w14:paraId="7F6FE3AC">
      <w:pPr>
        <w:spacing w:before="194" w:beforeLines="50"/>
        <w:ind w:firstLine="720"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2、本表所列各项数据与</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其地方表述不一致时，以本表为准。</w:t>
      </w:r>
    </w:p>
    <w:p w14:paraId="2B417A50">
      <w:pPr>
        <w:spacing w:line="360" w:lineRule="auto"/>
        <w:outlineLvl w:val="9"/>
        <w:rPr>
          <w:rFonts w:hint="eastAsia" w:ascii="宋体" w:hAnsi="宋体" w:eastAsia="宋体" w:cs="宋体"/>
          <w:color w:val="auto"/>
          <w:sz w:val="24"/>
          <w:szCs w:val="28"/>
          <w:highlight w:val="none"/>
        </w:rPr>
      </w:pPr>
    </w:p>
    <w:p w14:paraId="6346CE53">
      <w:pPr>
        <w:spacing w:line="360" w:lineRule="auto"/>
        <w:outlineLvl w:val="9"/>
        <w:rPr>
          <w:rFonts w:hint="eastAsia" w:ascii="宋体" w:hAnsi="宋体" w:eastAsia="宋体" w:cs="宋体"/>
          <w:color w:val="auto"/>
          <w:sz w:val="24"/>
          <w:szCs w:val="28"/>
          <w:highlight w:val="none"/>
        </w:rPr>
      </w:pPr>
    </w:p>
    <w:p w14:paraId="63A91467">
      <w:pPr>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供应商全称(盖章)：</w:t>
      </w:r>
    </w:p>
    <w:p w14:paraId="3EEAD1A3">
      <w:pPr>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法定代表人或授权代表人(</w:t>
      </w:r>
      <w:r>
        <w:rPr>
          <w:rFonts w:hint="eastAsia" w:ascii="宋体" w:hAnsi="宋体" w:eastAsia="宋体" w:cs="宋体"/>
          <w:color w:val="auto"/>
          <w:sz w:val="24"/>
          <w:highlight w:val="none"/>
        </w:rPr>
        <w:t>签字或盖章</w:t>
      </w:r>
      <w:r>
        <w:rPr>
          <w:rFonts w:hint="eastAsia" w:ascii="宋体" w:hAnsi="宋体" w:eastAsia="宋体" w:cs="宋体"/>
          <w:color w:val="auto"/>
          <w:sz w:val="24"/>
          <w:szCs w:val="28"/>
          <w:highlight w:val="none"/>
        </w:rPr>
        <w:t>)：</w:t>
      </w:r>
    </w:p>
    <w:p w14:paraId="1A4AD8C8">
      <w:pPr>
        <w:spacing w:line="360" w:lineRule="auto"/>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日  期：</w:t>
      </w:r>
    </w:p>
    <w:p w14:paraId="168439AE">
      <w:pPr>
        <w:pStyle w:val="45"/>
        <w:spacing w:line="360" w:lineRule="auto"/>
        <w:ind w:firstLineChars="71"/>
        <w:jc w:val="both"/>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br w:type="page"/>
      </w:r>
      <w:bookmarkEnd w:id="86"/>
      <w:bookmarkEnd w:id="87"/>
      <w:bookmarkStart w:id="88" w:name="_Toc65"/>
      <w:bookmarkStart w:id="89" w:name="_Toc7447444"/>
    </w:p>
    <w:p w14:paraId="12CC6095">
      <w:pPr>
        <w:pStyle w:val="45"/>
        <w:numPr>
          <w:ilvl w:val="0"/>
          <w:numId w:val="0"/>
        </w:numPr>
        <w:spacing w:line="360" w:lineRule="auto"/>
        <w:jc w:val="both"/>
        <w:outlineLvl w:val="2"/>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3</w:t>
      </w:r>
      <w:r>
        <w:rPr>
          <w:rFonts w:hint="eastAsia" w:ascii="宋体" w:hAnsi="宋体" w:cs="宋体"/>
          <w:b/>
          <w:color w:val="auto"/>
          <w:highlight w:val="none"/>
          <w:lang w:val="en-US" w:eastAsia="zh-CN"/>
        </w:rPr>
        <w:t>.</w:t>
      </w:r>
      <w:r>
        <w:rPr>
          <w:rFonts w:hint="eastAsia" w:ascii="宋体" w:hAnsi="宋体" w:eastAsia="宋体" w:cs="宋体"/>
          <w:b/>
          <w:color w:val="auto"/>
          <w:highlight w:val="none"/>
          <w:lang w:val="en-US" w:eastAsia="zh-CN"/>
        </w:rPr>
        <w:t>分项报价表</w:t>
      </w:r>
    </w:p>
    <w:p w14:paraId="7E726F48">
      <w:pPr>
        <w:shd w:val="clear" w:color="auto"/>
        <w:spacing w:line="320" w:lineRule="exact"/>
        <w:jc w:val="center"/>
        <w:rPr>
          <w:rFonts w:hint="eastAsia" w:ascii="宋体" w:hAnsi="宋体" w:eastAsia="宋体" w:cs="宋体"/>
          <w:b/>
          <w:color w:val="auto"/>
          <w:kern w:val="2"/>
          <w:sz w:val="28"/>
          <w:szCs w:val="28"/>
          <w:highlight w:val="none"/>
          <w:lang w:val="en-US" w:eastAsia="zh-CN" w:bidi="ar-SA"/>
        </w:rPr>
      </w:pPr>
    </w:p>
    <w:p w14:paraId="20DF5F1A">
      <w:pPr>
        <w:shd w:val="clear" w:color="auto"/>
        <w:jc w:val="center"/>
        <w:rPr>
          <w:rFonts w:hint="eastAsia" w:ascii="宋体" w:hAnsi="宋体" w:eastAsia="宋体" w:cs="宋体"/>
          <w:b/>
          <w:color w:val="auto"/>
          <w:kern w:val="2"/>
          <w:sz w:val="28"/>
          <w:szCs w:val="28"/>
          <w:highlight w:val="none"/>
          <w:lang w:val="en-US" w:eastAsia="zh-CN" w:bidi="ar-SA"/>
        </w:rPr>
      </w:pPr>
      <w:r>
        <w:rPr>
          <w:rFonts w:hint="eastAsia" w:ascii="宋体" w:hAnsi="宋体" w:cs="宋体"/>
          <w:b/>
          <w:color w:val="auto"/>
          <w:kern w:val="2"/>
          <w:sz w:val="28"/>
          <w:szCs w:val="28"/>
          <w:highlight w:val="none"/>
          <w:lang w:val="en-US" w:eastAsia="zh-CN" w:bidi="ar-SA"/>
        </w:rPr>
        <w:t>（已标价工程量清单）</w:t>
      </w:r>
    </w:p>
    <w:p w14:paraId="6A50CCEC">
      <w:pPr>
        <w:numPr>
          <w:ilvl w:val="2"/>
          <w:numId w:val="0"/>
        </w:numPr>
        <w:shd w:val="clear"/>
        <w:spacing w:line="500" w:lineRule="exact"/>
        <w:jc w:val="both"/>
        <w:outlineLvl w:val="9"/>
        <w:rPr>
          <w:rFonts w:hint="eastAsia" w:ascii="宋体" w:hAnsi="宋体" w:eastAsia="宋体" w:cs="宋体"/>
          <w:color w:val="auto"/>
          <w:sz w:val="32"/>
          <w:szCs w:val="32"/>
          <w:highlight w:val="none"/>
        </w:rPr>
      </w:pPr>
    </w:p>
    <w:p w14:paraId="680C35BA">
      <w:pPr>
        <w:pStyle w:val="45"/>
        <w:numPr>
          <w:ilvl w:val="0"/>
          <w:numId w:val="0"/>
        </w:numPr>
        <w:spacing w:line="360" w:lineRule="auto"/>
        <w:jc w:val="both"/>
        <w:outlineLvl w:val="9"/>
        <w:rPr>
          <w:rFonts w:hint="eastAsia" w:ascii="宋体" w:hAnsi="宋体" w:eastAsia="宋体" w:cs="宋体"/>
          <w:b/>
          <w:color w:val="auto"/>
          <w:highlight w:val="none"/>
          <w:lang w:val="en-US" w:eastAsia="zh-CN"/>
        </w:rPr>
      </w:pPr>
    </w:p>
    <w:p w14:paraId="5FCA7A84">
      <w:pPr>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br w:type="page"/>
      </w:r>
    </w:p>
    <w:p w14:paraId="7D1BCA69">
      <w:pPr>
        <w:pStyle w:val="45"/>
        <w:spacing w:line="360" w:lineRule="auto"/>
        <w:ind w:firstLineChars="71"/>
        <w:jc w:val="both"/>
        <w:outlineLvl w:val="2"/>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4</w:t>
      </w:r>
      <w:r>
        <w:rPr>
          <w:rFonts w:hint="eastAsia" w:ascii="宋体" w:hAnsi="宋体" w:cs="宋体"/>
          <w:b/>
          <w:color w:val="auto"/>
          <w:highlight w:val="none"/>
          <w:lang w:val="en-US" w:eastAsia="zh-CN"/>
        </w:rPr>
        <w:t>.</w:t>
      </w:r>
      <w:r>
        <w:rPr>
          <w:rFonts w:hint="eastAsia" w:ascii="宋体" w:hAnsi="宋体" w:eastAsia="宋体" w:cs="宋体"/>
          <w:b/>
          <w:color w:val="auto"/>
          <w:highlight w:val="none"/>
          <w:lang w:val="en-US" w:eastAsia="zh-CN"/>
        </w:rPr>
        <w:t>磋商保证金缴纳凭证</w:t>
      </w:r>
      <w:bookmarkEnd w:id="88"/>
    </w:p>
    <w:bookmarkEnd w:id="89"/>
    <w:p w14:paraId="14C12F55">
      <w:pPr>
        <w:widowControl/>
        <w:spacing w:line="360" w:lineRule="auto"/>
        <w:outlineLvl w:val="2"/>
        <w:rPr>
          <w:rFonts w:hint="eastAsia" w:ascii="宋体" w:hAnsi="宋体" w:eastAsia="宋体" w:cs="宋体"/>
          <w:color w:val="auto"/>
          <w:sz w:val="28"/>
          <w:szCs w:val="21"/>
          <w:highlight w:val="none"/>
          <w:lang w:val="en-US" w:eastAsia="zh-CN"/>
        </w:rPr>
      </w:pPr>
      <w:r>
        <w:rPr>
          <w:rFonts w:hint="eastAsia" w:ascii="宋体" w:hAnsi="宋体" w:eastAsia="宋体" w:cs="宋体"/>
          <w:color w:val="auto"/>
          <w:sz w:val="24"/>
          <w:highlight w:val="none"/>
        </w:rPr>
        <w:br w:type="page"/>
      </w:r>
      <w:r>
        <w:rPr>
          <w:rFonts w:hint="eastAsia" w:ascii="宋体" w:hAnsi="宋体" w:eastAsia="宋体" w:cs="宋体"/>
          <w:b/>
          <w:bCs/>
          <w:color w:val="auto"/>
          <w:sz w:val="28"/>
          <w:szCs w:val="21"/>
          <w:highlight w:val="none"/>
          <w:lang w:val="en-US" w:eastAsia="zh-CN"/>
        </w:rPr>
        <w:t>5</w:t>
      </w:r>
      <w:r>
        <w:rPr>
          <w:rFonts w:hint="eastAsia" w:ascii="宋体" w:hAnsi="宋体" w:cs="宋体"/>
          <w:b/>
          <w:bCs/>
          <w:color w:val="auto"/>
          <w:sz w:val="28"/>
          <w:szCs w:val="21"/>
          <w:highlight w:val="none"/>
          <w:lang w:val="en-US" w:eastAsia="zh-CN"/>
        </w:rPr>
        <w:t>.</w:t>
      </w:r>
      <w:r>
        <w:rPr>
          <w:rFonts w:hint="eastAsia" w:ascii="宋体" w:hAnsi="宋体" w:eastAsia="宋体" w:cs="宋体"/>
          <w:b/>
          <w:bCs/>
          <w:color w:val="auto"/>
          <w:sz w:val="28"/>
          <w:szCs w:val="21"/>
          <w:highlight w:val="none"/>
          <w:lang w:val="en-US" w:eastAsia="zh-CN"/>
        </w:rPr>
        <w:t>供应商承诺书</w:t>
      </w:r>
      <w:r>
        <w:rPr>
          <w:rFonts w:hint="eastAsia" w:ascii="宋体" w:hAnsi="宋体" w:eastAsia="宋体" w:cs="宋体"/>
          <w:color w:val="auto"/>
          <w:sz w:val="28"/>
          <w:szCs w:val="21"/>
          <w:highlight w:val="none"/>
          <w:lang w:val="en-US" w:eastAsia="zh-CN"/>
        </w:rPr>
        <w:t xml:space="preserve">        </w:t>
      </w:r>
    </w:p>
    <w:p w14:paraId="0EFB2AFD">
      <w:pPr>
        <w:widowControl/>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陕西省政府采购</w:t>
      </w:r>
      <w:r>
        <w:rPr>
          <w:rFonts w:hint="eastAsia" w:ascii="宋体" w:hAnsi="宋体" w:eastAsia="宋体" w:cs="宋体"/>
          <w:b/>
          <w:bCs/>
          <w:color w:val="auto"/>
          <w:kern w:val="0"/>
          <w:sz w:val="28"/>
          <w:szCs w:val="28"/>
          <w:highlight w:val="none"/>
          <w:lang w:val="en-US" w:eastAsia="zh-CN"/>
        </w:rPr>
        <w:t>供应商</w:t>
      </w:r>
    </w:p>
    <w:p w14:paraId="55099442">
      <w:pPr>
        <w:widowControl/>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拒绝政府采购领域商业贿赂承诺书</w:t>
      </w:r>
    </w:p>
    <w:p w14:paraId="6C8F80F9">
      <w:pPr>
        <w:jc w:val="center"/>
        <w:outlineLvl w:val="9"/>
        <w:rPr>
          <w:rFonts w:hint="eastAsia" w:ascii="宋体" w:hAnsi="宋体" w:eastAsia="宋体" w:cs="宋体"/>
          <w:b/>
          <w:bCs/>
          <w:color w:val="auto"/>
          <w:sz w:val="28"/>
          <w:szCs w:val="28"/>
          <w:highlight w:val="none"/>
        </w:rPr>
      </w:pPr>
    </w:p>
    <w:p w14:paraId="22B7174B">
      <w:pPr>
        <w:pStyle w:val="52"/>
        <w:spacing w:line="360" w:lineRule="auto"/>
        <w:ind w:left="239" w:firstLine="470"/>
        <w:jc w:val="left"/>
        <w:outlineLvl w:val="9"/>
        <w:rPr>
          <w:rFonts w:hint="eastAsia" w:ascii="宋体" w:hAnsi="宋体" w:eastAsia="宋体" w:cs="宋体"/>
          <w:color w:val="auto"/>
          <w:sz w:val="24"/>
          <w:szCs w:val="24"/>
          <w:highlight w:val="none"/>
        </w:rPr>
      </w:pPr>
    </w:p>
    <w:p w14:paraId="2F6A6322">
      <w:pPr>
        <w:pStyle w:val="52"/>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为响应党中央、国务院关于治理政府采购领域商业贿赂行为的号召，我公司在此庄严承诺：</w:t>
      </w:r>
    </w:p>
    <w:p w14:paraId="3E6394A7">
      <w:pPr>
        <w:pStyle w:val="52"/>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1、在参与政府采购活动中遵纪守法、诚信经营、公平竞标。</w:t>
      </w:r>
    </w:p>
    <w:p w14:paraId="2AA1889D">
      <w:pPr>
        <w:pStyle w:val="52"/>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2、不向政府采购人、采购代理机构和政府采购评审专家进行任何形式的商业贿赂以谋取交易机会。</w:t>
      </w:r>
    </w:p>
    <w:p w14:paraId="276D78DE">
      <w:pPr>
        <w:pStyle w:val="52"/>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3、不向政府采购代理机构和采购人提供虚假资质文件或采用虚假应标方式参与政府采购市场竞争并谋取中标、成交。</w:t>
      </w:r>
    </w:p>
    <w:p w14:paraId="2FF5816C">
      <w:pPr>
        <w:pStyle w:val="52"/>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4、不采取“围标、陪标”等商业欺诈手段获得政府采购定单。</w:t>
      </w:r>
    </w:p>
    <w:p w14:paraId="16F5CF6C">
      <w:pPr>
        <w:pStyle w:val="52"/>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5、不采取不正当手段诋毁、排挤其他供应商。</w:t>
      </w:r>
    </w:p>
    <w:p w14:paraId="4802FC84">
      <w:pPr>
        <w:pStyle w:val="52"/>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6、不在提供商品和服务时“偷梁换柱、以次充好”损害采购人的合法权益。</w:t>
      </w:r>
    </w:p>
    <w:p w14:paraId="6AA15601">
      <w:pPr>
        <w:pStyle w:val="52"/>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7、不与采购人、采购代理机构政府采购评审专家或其它供应商恶意串通，进行质疑和投诉，维护政府采购市场秩序。</w:t>
      </w:r>
    </w:p>
    <w:p w14:paraId="02BE05D1">
      <w:pPr>
        <w:pStyle w:val="52"/>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8、尊重和接受政府采购监督管理部门的监督和政府采购代理机构招标采购要求，承担因违约行为给采购人造成的损失。</w:t>
      </w:r>
    </w:p>
    <w:p w14:paraId="0FE27D24">
      <w:pPr>
        <w:pStyle w:val="52"/>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9、不发生其他有悖于政府采购公开、公平、公正和诚信原则的行为。</w:t>
      </w:r>
    </w:p>
    <w:p w14:paraId="6A06DD3E">
      <w:pPr>
        <w:pStyle w:val="52"/>
        <w:spacing w:line="360" w:lineRule="auto"/>
        <w:jc w:val="left"/>
        <w:outlineLvl w:val="9"/>
        <w:rPr>
          <w:rFonts w:hint="eastAsia" w:ascii="宋体" w:hAnsi="宋体" w:eastAsia="宋体" w:cs="宋体"/>
          <w:color w:val="auto"/>
          <w:sz w:val="24"/>
          <w:szCs w:val="24"/>
          <w:highlight w:val="none"/>
        </w:rPr>
      </w:pPr>
    </w:p>
    <w:p w14:paraId="28730D4C">
      <w:pPr>
        <w:pStyle w:val="52"/>
        <w:spacing w:line="360" w:lineRule="auto"/>
        <w:jc w:val="left"/>
        <w:outlineLvl w:val="9"/>
        <w:rPr>
          <w:rFonts w:hint="eastAsia" w:ascii="宋体" w:hAnsi="宋体" w:eastAsia="宋体" w:cs="宋体"/>
          <w:color w:val="auto"/>
          <w:sz w:val="24"/>
          <w:szCs w:val="24"/>
          <w:highlight w:val="none"/>
        </w:rPr>
      </w:pPr>
    </w:p>
    <w:p w14:paraId="19545FD5">
      <w:pPr>
        <w:spacing w:line="360" w:lineRule="auto"/>
        <w:ind w:firstLine="480" w:firstLineChars="200"/>
        <w:jc w:val="left"/>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xml:space="preserve"> 承诺单位：　</w:t>
      </w:r>
      <w:r>
        <w:rPr>
          <w:rFonts w:hint="eastAsia" w:ascii="宋体" w:hAnsi="宋体" w:eastAsia="宋体" w:cs="宋体"/>
          <w:color w:val="auto"/>
          <w:kern w:val="0"/>
          <w:szCs w:val="24"/>
          <w:highlight w:val="none"/>
          <w:u w:val="single"/>
        </w:rPr>
        <w:t>　                 　</w:t>
      </w:r>
      <w:r>
        <w:rPr>
          <w:rFonts w:hint="eastAsia" w:ascii="宋体" w:hAnsi="宋体" w:eastAsia="宋体" w:cs="宋体"/>
          <w:color w:val="auto"/>
          <w:kern w:val="0"/>
          <w:sz w:val="24"/>
          <w:szCs w:val="24"/>
          <w:highlight w:val="none"/>
          <w:lang w:val="en-US" w:eastAsia="zh-CN" w:bidi="ar-SA"/>
        </w:rPr>
        <w:t>（盖章）</w:t>
      </w:r>
    </w:p>
    <w:p w14:paraId="10D4E68F">
      <w:pPr>
        <w:widowControl w:val="0"/>
        <w:numPr>
          <w:ilvl w:val="0"/>
          <w:numId w:val="0"/>
        </w:numPr>
        <w:spacing w:line="360" w:lineRule="auto"/>
        <w:jc w:val="center"/>
        <w:outlineLvl w:val="9"/>
        <w:rPr>
          <w:rFonts w:hint="eastAsia" w:ascii="宋体" w:hAnsi="宋体" w:eastAsia="宋体" w:cs="宋体"/>
          <w:b/>
          <w:bCs/>
          <w:color w:val="auto"/>
          <w:sz w:val="28"/>
          <w:szCs w:val="28"/>
          <w:highlight w:val="none"/>
          <w:lang w:eastAsia="zh-CN"/>
        </w:rPr>
      </w:pPr>
      <w:bookmarkStart w:id="90" w:name="_Toc7447450"/>
    </w:p>
    <w:p w14:paraId="517F37A6">
      <w:pPr>
        <w:spacing w:line="360" w:lineRule="auto"/>
        <w:ind w:firstLine="2160" w:firstLineChars="900"/>
        <w:rPr>
          <w:rFonts w:hint="eastAsia" w:ascii="宋体" w:hAnsi="宋体" w:eastAsia="宋体" w:cs="宋体"/>
          <w:color w:val="auto"/>
          <w:kern w:val="0"/>
          <w:sz w:val="24"/>
          <w:szCs w:val="24"/>
          <w:highlight w:val="none"/>
          <w:lang w:val="en-US" w:eastAsia="zh-CN" w:bidi="ar-SA"/>
        </w:rPr>
        <w:sectPr>
          <w:pgSz w:w="11905" w:h="16838"/>
          <w:pgMar w:top="1440" w:right="1587" w:bottom="1440" w:left="1020" w:header="720" w:footer="720" w:gutter="567"/>
          <w:pgBorders>
            <w:top w:val="none" w:sz="0" w:space="0"/>
            <w:left w:val="none" w:sz="0" w:space="0"/>
            <w:bottom w:val="none" w:sz="0" w:space="0"/>
            <w:right w:val="none" w:sz="0" w:space="0"/>
          </w:pgBorders>
          <w:pgNumType w:fmt="decimal"/>
          <w:cols w:space="0" w:num="1"/>
          <w:titlePg/>
          <w:rtlGutter w:val="0"/>
          <w:docGrid w:linePitch="312" w:charSpace="0"/>
        </w:sectPr>
      </w:pPr>
      <w:r>
        <w:rPr>
          <w:rFonts w:hint="eastAsia" w:ascii="宋体" w:hAnsi="宋体" w:eastAsia="宋体" w:cs="宋体"/>
          <w:color w:val="auto"/>
          <w:kern w:val="0"/>
          <w:sz w:val="24"/>
          <w:szCs w:val="24"/>
          <w:highlight w:val="none"/>
          <w:lang w:val="en-US" w:eastAsia="zh-CN" w:bidi="ar-SA"/>
        </w:rPr>
        <w:t xml:space="preserve">年　　月　　日 </w:t>
      </w:r>
    </w:p>
    <w:bookmarkEnd w:id="90"/>
    <w:p w14:paraId="52C692D2">
      <w:pPr>
        <w:spacing w:line="360" w:lineRule="auto"/>
        <w:jc w:val="both"/>
        <w:outlineLvl w:val="2"/>
        <w:rPr>
          <w:rFonts w:hint="eastAsia" w:ascii="宋体" w:hAnsi="宋体" w:eastAsia="宋体" w:cs="宋体"/>
          <w:color w:val="auto"/>
          <w:sz w:val="28"/>
          <w:szCs w:val="28"/>
          <w:highlight w:val="none"/>
          <w:lang w:eastAsia="zh-CN"/>
        </w:rPr>
      </w:pPr>
      <w:bookmarkStart w:id="91" w:name="_Toc7447451"/>
      <w:r>
        <w:rPr>
          <w:rFonts w:hint="eastAsia" w:ascii="宋体" w:hAnsi="宋体" w:eastAsia="宋体" w:cs="宋体"/>
          <w:b/>
          <w:bCs/>
          <w:color w:val="auto"/>
          <w:sz w:val="28"/>
          <w:szCs w:val="28"/>
          <w:highlight w:val="none"/>
          <w:lang w:val="en-US" w:eastAsia="zh-CN"/>
        </w:rPr>
        <w:t>6</w:t>
      </w:r>
      <w:r>
        <w:rPr>
          <w:rFonts w:hint="eastAsia" w:ascii="宋体" w:hAnsi="宋体" w:cs="宋体"/>
          <w:b/>
          <w:bCs/>
          <w:color w:val="auto"/>
          <w:sz w:val="28"/>
          <w:szCs w:val="28"/>
          <w:highlight w:val="none"/>
          <w:lang w:val="en-US" w:eastAsia="zh-CN"/>
        </w:rPr>
        <w:t>.</w:t>
      </w:r>
      <w:r>
        <w:rPr>
          <w:rFonts w:hint="eastAsia" w:ascii="宋体" w:hAnsi="宋体" w:eastAsia="宋体" w:cs="宋体"/>
          <w:b/>
          <w:bCs/>
          <w:color w:val="auto"/>
          <w:sz w:val="28"/>
          <w:szCs w:val="28"/>
          <w:highlight w:val="none"/>
        </w:rPr>
        <w:t>商务</w:t>
      </w:r>
      <w:r>
        <w:rPr>
          <w:rFonts w:hint="eastAsia" w:ascii="宋体" w:hAnsi="宋体" w:eastAsia="宋体" w:cs="宋体"/>
          <w:b/>
          <w:bCs/>
          <w:color w:val="auto"/>
          <w:sz w:val="28"/>
          <w:szCs w:val="28"/>
          <w:highlight w:val="none"/>
          <w:lang w:eastAsia="zh-CN"/>
        </w:rPr>
        <w:t>响应</w:t>
      </w:r>
      <w:bookmarkEnd w:id="91"/>
      <w:r>
        <w:rPr>
          <w:rFonts w:hint="eastAsia" w:ascii="宋体" w:hAnsi="宋体" w:cs="宋体"/>
          <w:b/>
          <w:bCs/>
          <w:color w:val="auto"/>
          <w:sz w:val="28"/>
          <w:szCs w:val="28"/>
          <w:highlight w:val="none"/>
          <w:lang w:eastAsia="zh-CN"/>
        </w:rPr>
        <w:t>偏差表</w:t>
      </w:r>
    </w:p>
    <w:p w14:paraId="671CA5F7">
      <w:pPr>
        <w:pStyle w:val="12"/>
        <w:spacing w:line="360" w:lineRule="auto"/>
        <w:outlineLvl w:val="9"/>
        <w:rPr>
          <w:rFonts w:hint="eastAsia" w:ascii="宋体" w:hAnsi="宋体" w:eastAsia="宋体" w:cs="宋体"/>
          <w:color w:val="auto"/>
          <w:sz w:val="24"/>
          <w:highlight w:val="none"/>
        </w:rPr>
      </w:pPr>
    </w:p>
    <w:p w14:paraId="2F903EBD">
      <w:pPr>
        <w:pStyle w:val="12"/>
        <w:spacing w:line="360" w:lineRule="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采购编号：</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none"/>
          <w:lang w:eastAsia="zh-CN"/>
        </w:rPr>
        <w:t xml:space="preserve">            </w:t>
      </w:r>
      <w:r>
        <w:rPr>
          <w:rFonts w:hint="eastAsia" w:ascii="宋体" w:hAnsi="宋体" w:eastAsia="宋体" w:cs="宋体"/>
          <w:color w:val="auto"/>
          <w:sz w:val="24"/>
          <w:highlight w:val="none"/>
          <w:u w:val="single"/>
          <w:lang w:eastAsia="zh-CN"/>
        </w:rPr>
        <w:t xml:space="preserve">             </w:t>
      </w:r>
    </w:p>
    <w:p w14:paraId="5DE04EC3">
      <w:pPr>
        <w:pStyle w:val="12"/>
        <w:spacing w:line="360" w:lineRule="auto"/>
        <w:outlineLvl w:val="9"/>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19FDE441">
      <w:pPr>
        <w:pStyle w:val="12"/>
        <w:spacing w:line="360" w:lineRule="auto"/>
        <w:outlineLvl w:val="9"/>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供 应 商：</w:t>
      </w:r>
      <w:r>
        <w:rPr>
          <w:rFonts w:hint="eastAsia" w:ascii="宋体" w:hAnsi="宋体" w:eastAsia="宋体" w:cs="宋体"/>
          <w:color w:val="auto"/>
          <w:sz w:val="24"/>
          <w:highlight w:val="none"/>
          <w:u w:val="single"/>
        </w:rPr>
        <w:t xml:space="preserve">                   </w:t>
      </w:r>
    </w:p>
    <w:tbl>
      <w:tblPr>
        <w:tblStyle w:val="26"/>
        <w:tblW w:w="912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72"/>
        <w:gridCol w:w="1825"/>
        <w:gridCol w:w="2416"/>
        <w:gridCol w:w="3154"/>
        <w:gridCol w:w="960"/>
      </w:tblGrid>
      <w:tr w14:paraId="550A3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2" w:hRule="atLeast"/>
          <w:jc w:val="center"/>
        </w:trPr>
        <w:tc>
          <w:tcPr>
            <w:tcW w:w="772" w:type="dxa"/>
            <w:noWrap w:val="0"/>
            <w:vAlign w:val="center"/>
          </w:tcPr>
          <w:p w14:paraId="2B943621">
            <w:pP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825" w:type="dxa"/>
            <w:noWrap w:val="0"/>
            <w:vAlign w:val="center"/>
          </w:tcPr>
          <w:p w14:paraId="3D35BE7D">
            <w:pP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文件条目号</w:t>
            </w:r>
          </w:p>
        </w:tc>
        <w:tc>
          <w:tcPr>
            <w:tcW w:w="2416" w:type="dxa"/>
            <w:noWrap w:val="0"/>
            <w:vAlign w:val="center"/>
          </w:tcPr>
          <w:p w14:paraId="46B70D55">
            <w:pP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文件商务要求</w:t>
            </w:r>
          </w:p>
        </w:tc>
        <w:tc>
          <w:tcPr>
            <w:tcW w:w="3154" w:type="dxa"/>
            <w:noWrap w:val="0"/>
            <w:vAlign w:val="center"/>
          </w:tcPr>
          <w:p w14:paraId="7D36216B">
            <w:pP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磋商响应</w:t>
            </w:r>
            <w:r>
              <w:rPr>
                <w:rFonts w:hint="eastAsia" w:ascii="宋体" w:hAnsi="宋体" w:eastAsia="宋体" w:cs="宋体"/>
                <w:color w:val="auto"/>
                <w:sz w:val="24"/>
                <w:highlight w:val="none"/>
              </w:rPr>
              <w:t>文件商务响应描述</w:t>
            </w:r>
          </w:p>
        </w:tc>
        <w:tc>
          <w:tcPr>
            <w:tcW w:w="960" w:type="dxa"/>
            <w:noWrap w:val="0"/>
            <w:vAlign w:val="center"/>
          </w:tcPr>
          <w:p w14:paraId="535749DE">
            <w:pP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偏离</w:t>
            </w:r>
          </w:p>
        </w:tc>
      </w:tr>
      <w:tr w14:paraId="77C42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772" w:type="dxa"/>
            <w:noWrap w:val="0"/>
            <w:vAlign w:val="center"/>
          </w:tcPr>
          <w:p w14:paraId="079ED012">
            <w:pPr>
              <w:spacing w:line="360" w:lineRule="auto"/>
              <w:jc w:val="center"/>
              <w:outlineLvl w:val="9"/>
              <w:rPr>
                <w:rFonts w:hint="eastAsia" w:ascii="宋体" w:hAnsi="宋体" w:eastAsia="宋体" w:cs="宋体"/>
                <w:color w:val="auto"/>
                <w:sz w:val="24"/>
                <w:highlight w:val="none"/>
              </w:rPr>
            </w:pPr>
          </w:p>
        </w:tc>
        <w:tc>
          <w:tcPr>
            <w:tcW w:w="1825" w:type="dxa"/>
            <w:noWrap w:val="0"/>
            <w:vAlign w:val="center"/>
          </w:tcPr>
          <w:p w14:paraId="6C041111">
            <w:pPr>
              <w:spacing w:line="360" w:lineRule="auto"/>
              <w:jc w:val="center"/>
              <w:outlineLvl w:val="9"/>
              <w:rPr>
                <w:rFonts w:hint="eastAsia" w:ascii="宋体" w:hAnsi="宋体" w:eastAsia="宋体" w:cs="宋体"/>
                <w:color w:val="auto"/>
                <w:sz w:val="24"/>
                <w:highlight w:val="none"/>
              </w:rPr>
            </w:pPr>
          </w:p>
        </w:tc>
        <w:tc>
          <w:tcPr>
            <w:tcW w:w="2416" w:type="dxa"/>
            <w:noWrap w:val="0"/>
            <w:vAlign w:val="center"/>
          </w:tcPr>
          <w:p w14:paraId="1740000F">
            <w:pPr>
              <w:spacing w:line="360" w:lineRule="auto"/>
              <w:jc w:val="center"/>
              <w:outlineLvl w:val="9"/>
              <w:rPr>
                <w:rFonts w:hint="eastAsia" w:ascii="宋体" w:hAnsi="宋体" w:eastAsia="宋体" w:cs="宋体"/>
                <w:color w:val="auto"/>
                <w:sz w:val="24"/>
                <w:highlight w:val="none"/>
              </w:rPr>
            </w:pPr>
          </w:p>
        </w:tc>
        <w:tc>
          <w:tcPr>
            <w:tcW w:w="3154" w:type="dxa"/>
            <w:noWrap w:val="0"/>
            <w:vAlign w:val="center"/>
          </w:tcPr>
          <w:p w14:paraId="68A477C1">
            <w:pPr>
              <w:spacing w:line="360" w:lineRule="auto"/>
              <w:jc w:val="center"/>
              <w:outlineLvl w:val="9"/>
              <w:rPr>
                <w:rFonts w:hint="eastAsia" w:ascii="宋体" w:hAnsi="宋体" w:eastAsia="宋体" w:cs="宋体"/>
                <w:color w:val="auto"/>
                <w:sz w:val="24"/>
                <w:highlight w:val="none"/>
              </w:rPr>
            </w:pPr>
          </w:p>
        </w:tc>
        <w:tc>
          <w:tcPr>
            <w:tcW w:w="960" w:type="dxa"/>
            <w:noWrap w:val="0"/>
            <w:vAlign w:val="center"/>
          </w:tcPr>
          <w:p w14:paraId="5DD02CB1">
            <w:pPr>
              <w:spacing w:line="360" w:lineRule="auto"/>
              <w:jc w:val="center"/>
              <w:outlineLvl w:val="9"/>
              <w:rPr>
                <w:rFonts w:hint="eastAsia" w:ascii="宋体" w:hAnsi="宋体" w:eastAsia="宋体" w:cs="宋体"/>
                <w:b/>
                <w:color w:val="auto"/>
                <w:sz w:val="24"/>
                <w:highlight w:val="none"/>
              </w:rPr>
            </w:pPr>
          </w:p>
        </w:tc>
      </w:tr>
      <w:tr w14:paraId="65798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8" w:hRule="atLeast"/>
          <w:jc w:val="center"/>
        </w:trPr>
        <w:tc>
          <w:tcPr>
            <w:tcW w:w="772" w:type="dxa"/>
            <w:noWrap w:val="0"/>
            <w:vAlign w:val="center"/>
          </w:tcPr>
          <w:p w14:paraId="723DBF7E">
            <w:pPr>
              <w:spacing w:line="360" w:lineRule="auto"/>
              <w:jc w:val="center"/>
              <w:outlineLvl w:val="9"/>
              <w:rPr>
                <w:rFonts w:hint="eastAsia" w:ascii="宋体" w:hAnsi="宋体" w:eastAsia="宋体" w:cs="宋体"/>
                <w:color w:val="auto"/>
                <w:sz w:val="24"/>
                <w:highlight w:val="none"/>
              </w:rPr>
            </w:pPr>
          </w:p>
        </w:tc>
        <w:tc>
          <w:tcPr>
            <w:tcW w:w="1825" w:type="dxa"/>
            <w:noWrap w:val="0"/>
            <w:vAlign w:val="center"/>
          </w:tcPr>
          <w:p w14:paraId="5DA8D7DB">
            <w:pPr>
              <w:spacing w:line="360" w:lineRule="auto"/>
              <w:jc w:val="center"/>
              <w:outlineLvl w:val="9"/>
              <w:rPr>
                <w:rFonts w:hint="eastAsia" w:ascii="宋体" w:hAnsi="宋体" w:eastAsia="宋体" w:cs="宋体"/>
                <w:color w:val="auto"/>
                <w:sz w:val="24"/>
                <w:highlight w:val="none"/>
              </w:rPr>
            </w:pPr>
          </w:p>
        </w:tc>
        <w:tc>
          <w:tcPr>
            <w:tcW w:w="2416" w:type="dxa"/>
            <w:noWrap w:val="0"/>
            <w:vAlign w:val="center"/>
          </w:tcPr>
          <w:p w14:paraId="038F8E47">
            <w:pPr>
              <w:spacing w:line="360" w:lineRule="auto"/>
              <w:jc w:val="center"/>
              <w:outlineLvl w:val="9"/>
              <w:rPr>
                <w:rFonts w:hint="eastAsia" w:ascii="宋体" w:hAnsi="宋体" w:eastAsia="宋体" w:cs="宋体"/>
                <w:color w:val="auto"/>
                <w:sz w:val="24"/>
                <w:highlight w:val="none"/>
              </w:rPr>
            </w:pPr>
          </w:p>
        </w:tc>
        <w:tc>
          <w:tcPr>
            <w:tcW w:w="3154" w:type="dxa"/>
            <w:noWrap w:val="0"/>
            <w:vAlign w:val="center"/>
          </w:tcPr>
          <w:p w14:paraId="179C76A7">
            <w:pPr>
              <w:spacing w:line="360" w:lineRule="auto"/>
              <w:jc w:val="center"/>
              <w:outlineLvl w:val="9"/>
              <w:rPr>
                <w:rFonts w:hint="eastAsia" w:ascii="宋体" w:hAnsi="宋体" w:eastAsia="宋体" w:cs="宋体"/>
                <w:color w:val="auto"/>
                <w:sz w:val="24"/>
                <w:highlight w:val="none"/>
              </w:rPr>
            </w:pPr>
          </w:p>
        </w:tc>
        <w:tc>
          <w:tcPr>
            <w:tcW w:w="960" w:type="dxa"/>
            <w:noWrap w:val="0"/>
            <w:vAlign w:val="center"/>
          </w:tcPr>
          <w:p w14:paraId="0C4C9EFD">
            <w:pPr>
              <w:spacing w:line="360" w:lineRule="auto"/>
              <w:jc w:val="center"/>
              <w:outlineLvl w:val="9"/>
              <w:rPr>
                <w:rFonts w:hint="eastAsia" w:ascii="宋体" w:hAnsi="宋体" w:eastAsia="宋体" w:cs="宋体"/>
                <w:b/>
                <w:color w:val="auto"/>
                <w:sz w:val="24"/>
                <w:highlight w:val="none"/>
              </w:rPr>
            </w:pPr>
          </w:p>
        </w:tc>
      </w:tr>
      <w:tr w14:paraId="320EA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772" w:type="dxa"/>
            <w:noWrap w:val="0"/>
            <w:vAlign w:val="center"/>
          </w:tcPr>
          <w:p w14:paraId="5DBD6AD2">
            <w:pPr>
              <w:spacing w:line="360" w:lineRule="auto"/>
              <w:jc w:val="center"/>
              <w:outlineLvl w:val="9"/>
              <w:rPr>
                <w:rFonts w:hint="eastAsia" w:ascii="宋体" w:hAnsi="宋体" w:eastAsia="宋体" w:cs="宋体"/>
                <w:color w:val="auto"/>
                <w:sz w:val="24"/>
                <w:highlight w:val="none"/>
              </w:rPr>
            </w:pPr>
          </w:p>
        </w:tc>
        <w:tc>
          <w:tcPr>
            <w:tcW w:w="1825" w:type="dxa"/>
            <w:noWrap w:val="0"/>
            <w:vAlign w:val="center"/>
          </w:tcPr>
          <w:p w14:paraId="538A7A1F">
            <w:pPr>
              <w:spacing w:line="360" w:lineRule="auto"/>
              <w:jc w:val="center"/>
              <w:outlineLvl w:val="9"/>
              <w:rPr>
                <w:rFonts w:hint="eastAsia" w:ascii="宋体" w:hAnsi="宋体" w:eastAsia="宋体" w:cs="宋体"/>
                <w:color w:val="auto"/>
                <w:sz w:val="24"/>
                <w:highlight w:val="none"/>
              </w:rPr>
            </w:pPr>
          </w:p>
        </w:tc>
        <w:tc>
          <w:tcPr>
            <w:tcW w:w="2416" w:type="dxa"/>
            <w:noWrap w:val="0"/>
            <w:vAlign w:val="center"/>
          </w:tcPr>
          <w:p w14:paraId="7BD4684B">
            <w:pPr>
              <w:spacing w:line="360" w:lineRule="auto"/>
              <w:jc w:val="center"/>
              <w:outlineLvl w:val="9"/>
              <w:rPr>
                <w:rFonts w:hint="eastAsia" w:ascii="宋体" w:hAnsi="宋体" w:eastAsia="宋体" w:cs="宋体"/>
                <w:color w:val="auto"/>
                <w:sz w:val="24"/>
                <w:highlight w:val="none"/>
              </w:rPr>
            </w:pPr>
          </w:p>
        </w:tc>
        <w:tc>
          <w:tcPr>
            <w:tcW w:w="3154" w:type="dxa"/>
            <w:noWrap w:val="0"/>
            <w:vAlign w:val="center"/>
          </w:tcPr>
          <w:p w14:paraId="67A3BBBF">
            <w:pPr>
              <w:spacing w:line="360" w:lineRule="auto"/>
              <w:jc w:val="center"/>
              <w:outlineLvl w:val="9"/>
              <w:rPr>
                <w:rFonts w:hint="eastAsia" w:ascii="宋体" w:hAnsi="宋体" w:eastAsia="宋体" w:cs="宋体"/>
                <w:color w:val="auto"/>
                <w:sz w:val="24"/>
                <w:highlight w:val="none"/>
              </w:rPr>
            </w:pPr>
          </w:p>
        </w:tc>
        <w:tc>
          <w:tcPr>
            <w:tcW w:w="960" w:type="dxa"/>
            <w:noWrap w:val="0"/>
            <w:vAlign w:val="center"/>
          </w:tcPr>
          <w:p w14:paraId="6E521566">
            <w:pPr>
              <w:spacing w:line="360" w:lineRule="auto"/>
              <w:jc w:val="center"/>
              <w:outlineLvl w:val="9"/>
              <w:rPr>
                <w:rFonts w:hint="eastAsia" w:ascii="宋体" w:hAnsi="宋体" w:eastAsia="宋体" w:cs="宋体"/>
                <w:b/>
                <w:color w:val="auto"/>
                <w:sz w:val="24"/>
                <w:highlight w:val="none"/>
              </w:rPr>
            </w:pPr>
          </w:p>
        </w:tc>
      </w:tr>
      <w:tr w14:paraId="244EB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772" w:type="dxa"/>
            <w:noWrap w:val="0"/>
            <w:vAlign w:val="center"/>
          </w:tcPr>
          <w:p w14:paraId="4D58FE66">
            <w:pPr>
              <w:spacing w:line="360" w:lineRule="auto"/>
              <w:jc w:val="center"/>
              <w:outlineLvl w:val="9"/>
              <w:rPr>
                <w:rFonts w:hint="eastAsia" w:ascii="宋体" w:hAnsi="宋体" w:eastAsia="宋体" w:cs="宋体"/>
                <w:color w:val="auto"/>
                <w:sz w:val="24"/>
                <w:highlight w:val="none"/>
              </w:rPr>
            </w:pPr>
          </w:p>
        </w:tc>
        <w:tc>
          <w:tcPr>
            <w:tcW w:w="1825" w:type="dxa"/>
            <w:noWrap w:val="0"/>
            <w:vAlign w:val="center"/>
          </w:tcPr>
          <w:p w14:paraId="726F24C1">
            <w:pPr>
              <w:spacing w:line="360" w:lineRule="auto"/>
              <w:jc w:val="center"/>
              <w:outlineLvl w:val="9"/>
              <w:rPr>
                <w:rFonts w:hint="eastAsia" w:ascii="宋体" w:hAnsi="宋体" w:eastAsia="宋体" w:cs="宋体"/>
                <w:color w:val="auto"/>
                <w:sz w:val="24"/>
                <w:highlight w:val="none"/>
              </w:rPr>
            </w:pPr>
          </w:p>
        </w:tc>
        <w:tc>
          <w:tcPr>
            <w:tcW w:w="2416" w:type="dxa"/>
            <w:noWrap w:val="0"/>
            <w:vAlign w:val="center"/>
          </w:tcPr>
          <w:p w14:paraId="13BA3D67">
            <w:pPr>
              <w:spacing w:line="360" w:lineRule="auto"/>
              <w:jc w:val="center"/>
              <w:outlineLvl w:val="9"/>
              <w:rPr>
                <w:rFonts w:hint="eastAsia" w:ascii="宋体" w:hAnsi="宋体" w:eastAsia="宋体" w:cs="宋体"/>
                <w:color w:val="auto"/>
                <w:sz w:val="24"/>
                <w:highlight w:val="none"/>
              </w:rPr>
            </w:pPr>
          </w:p>
        </w:tc>
        <w:tc>
          <w:tcPr>
            <w:tcW w:w="3154" w:type="dxa"/>
            <w:noWrap w:val="0"/>
            <w:vAlign w:val="center"/>
          </w:tcPr>
          <w:p w14:paraId="362F0225">
            <w:pPr>
              <w:spacing w:line="360" w:lineRule="auto"/>
              <w:jc w:val="center"/>
              <w:outlineLvl w:val="9"/>
              <w:rPr>
                <w:rFonts w:hint="eastAsia" w:ascii="宋体" w:hAnsi="宋体" w:eastAsia="宋体" w:cs="宋体"/>
                <w:color w:val="auto"/>
                <w:sz w:val="24"/>
                <w:highlight w:val="none"/>
              </w:rPr>
            </w:pPr>
          </w:p>
        </w:tc>
        <w:tc>
          <w:tcPr>
            <w:tcW w:w="960" w:type="dxa"/>
            <w:noWrap w:val="0"/>
            <w:vAlign w:val="center"/>
          </w:tcPr>
          <w:p w14:paraId="788A3C52">
            <w:pPr>
              <w:spacing w:line="360" w:lineRule="auto"/>
              <w:jc w:val="center"/>
              <w:outlineLvl w:val="9"/>
              <w:rPr>
                <w:rFonts w:hint="eastAsia" w:ascii="宋体" w:hAnsi="宋体" w:eastAsia="宋体" w:cs="宋体"/>
                <w:b/>
                <w:color w:val="auto"/>
                <w:sz w:val="24"/>
                <w:highlight w:val="none"/>
              </w:rPr>
            </w:pPr>
          </w:p>
        </w:tc>
      </w:tr>
      <w:tr w14:paraId="77B7E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772" w:type="dxa"/>
            <w:noWrap w:val="0"/>
            <w:vAlign w:val="center"/>
          </w:tcPr>
          <w:p w14:paraId="234C1271">
            <w:pPr>
              <w:spacing w:line="360" w:lineRule="auto"/>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c>
          <w:tcPr>
            <w:tcW w:w="8355" w:type="dxa"/>
            <w:gridSpan w:val="4"/>
            <w:noWrap w:val="0"/>
            <w:vAlign w:val="center"/>
          </w:tcPr>
          <w:p w14:paraId="5B731A99">
            <w:pPr>
              <w:spacing w:line="360" w:lineRule="auto"/>
              <w:jc w:val="center"/>
              <w:outlineLvl w:val="9"/>
              <w:rPr>
                <w:rFonts w:hint="eastAsia" w:ascii="宋体" w:hAnsi="宋体" w:eastAsia="宋体" w:cs="宋体"/>
                <w:b/>
                <w:color w:val="auto"/>
                <w:sz w:val="24"/>
                <w:highlight w:val="none"/>
              </w:rPr>
            </w:pPr>
          </w:p>
        </w:tc>
      </w:tr>
    </w:tbl>
    <w:p w14:paraId="156DB6C7">
      <w:pPr>
        <w:spacing w:line="360" w:lineRule="auto"/>
        <w:rPr>
          <w:rFonts w:hint="eastAsia" w:eastAsia="宋体"/>
          <w:sz w:val="24"/>
          <w:szCs w:val="24"/>
          <w:lang w:eastAsia="zh-CN"/>
        </w:rPr>
      </w:pPr>
      <w:r>
        <w:rPr>
          <w:rFonts w:hint="eastAsia" w:ascii="宋体" w:hAnsi="宋体" w:eastAsia="宋体" w:cs="宋体"/>
          <w:color w:val="auto"/>
          <w:sz w:val="24"/>
          <w:szCs w:val="28"/>
          <w:highlight w:val="none"/>
        </w:rPr>
        <w:t>注：</w:t>
      </w:r>
      <w:r>
        <w:rPr>
          <w:rFonts w:hint="eastAsia"/>
          <w:sz w:val="24"/>
          <w:szCs w:val="24"/>
        </w:rPr>
        <w:t>1、商务合同条款各条目是对</w:t>
      </w:r>
      <w:r>
        <w:rPr>
          <w:rFonts w:hint="eastAsia"/>
          <w:sz w:val="24"/>
          <w:szCs w:val="24"/>
          <w:lang w:eastAsia="zh-CN"/>
        </w:rPr>
        <w:t>供应商</w:t>
      </w:r>
      <w:r>
        <w:rPr>
          <w:rFonts w:hint="eastAsia"/>
          <w:sz w:val="24"/>
          <w:szCs w:val="24"/>
        </w:rPr>
        <w:t>提出的最低要求，将作为</w:t>
      </w:r>
      <w:r>
        <w:rPr>
          <w:rFonts w:hint="eastAsia"/>
          <w:sz w:val="24"/>
          <w:szCs w:val="24"/>
          <w:lang w:eastAsia="zh-CN"/>
        </w:rPr>
        <w:t>采购</w:t>
      </w:r>
      <w:r>
        <w:rPr>
          <w:rFonts w:hint="eastAsia"/>
          <w:sz w:val="24"/>
          <w:szCs w:val="24"/>
        </w:rPr>
        <w:t>人与</w:t>
      </w:r>
      <w:r>
        <w:rPr>
          <w:rFonts w:hint="eastAsia"/>
          <w:sz w:val="24"/>
          <w:szCs w:val="24"/>
          <w:lang w:eastAsia="zh-CN"/>
        </w:rPr>
        <w:t>成交</w:t>
      </w:r>
      <w:r>
        <w:rPr>
          <w:rFonts w:hint="eastAsia"/>
          <w:sz w:val="24"/>
          <w:szCs w:val="24"/>
        </w:rPr>
        <w:t>人签定合同的基本要求</w:t>
      </w:r>
      <w:r>
        <w:rPr>
          <w:rFonts w:hint="eastAsia"/>
          <w:sz w:val="24"/>
          <w:szCs w:val="24"/>
          <w:lang w:eastAsia="zh-CN"/>
        </w:rPr>
        <w:t>，完全响应的可以不用在此表中列出。</w:t>
      </w:r>
    </w:p>
    <w:p w14:paraId="671AC6F0">
      <w:pPr>
        <w:spacing w:line="360" w:lineRule="auto"/>
        <w:ind w:firstLine="480" w:firstLineChars="200"/>
        <w:rPr>
          <w:rFonts w:hint="eastAsia"/>
          <w:sz w:val="24"/>
          <w:szCs w:val="24"/>
        </w:rPr>
      </w:pPr>
      <w:r>
        <w:rPr>
          <w:rFonts w:hint="eastAsia"/>
          <w:sz w:val="24"/>
          <w:szCs w:val="24"/>
        </w:rPr>
        <w:t>2、凡是</w:t>
      </w:r>
      <w:r>
        <w:rPr>
          <w:rFonts w:hint="eastAsia"/>
          <w:sz w:val="24"/>
          <w:szCs w:val="24"/>
          <w:lang w:eastAsia="zh-CN"/>
        </w:rPr>
        <w:t>磋商响应文件</w:t>
      </w:r>
      <w:r>
        <w:rPr>
          <w:rFonts w:hint="eastAsia"/>
          <w:sz w:val="24"/>
          <w:szCs w:val="24"/>
        </w:rPr>
        <w:t>的商务条款与</w:t>
      </w:r>
      <w:r>
        <w:rPr>
          <w:rFonts w:hint="eastAsia"/>
          <w:sz w:val="24"/>
          <w:szCs w:val="24"/>
          <w:lang w:eastAsia="zh-CN"/>
        </w:rPr>
        <w:t>磋商</w:t>
      </w:r>
      <w:r>
        <w:rPr>
          <w:rFonts w:hint="eastAsia"/>
          <w:sz w:val="24"/>
          <w:szCs w:val="24"/>
        </w:rPr>
        <w:t>文件的商务条款之间存在负偏离（即不能满足</w:t>
      </w:r>
      <w:r>
        <w:rPr>
          <w:rFonts w:hint="eastAsia"/>
          <w:sz w:val="24"/>
          <w:szCs w:val="24"/>
          <w:lang w:eastAsia="zh-CN"/>
        </w:rPr>
        <w:t>磋商</w:t>
      </w:r>
      <w:r>
        <w:rPr>
          <w:rFonts w:hint="eastAsia"/>
          <w:sz w:val="24"/>
          <w:szCs w:val="24"/>
        </w:rPr>
        <w:t>文件要求）的，</w:t>
      </w:r>
      <w:r>
        <w:rPr>
          <w:rFonts w:hint="eastAsia"/>
          <w:sz w:val="24"/>
          <w:szCs w:val="24"/>
          <w:lang w:eastAsia="zh-CN"/>
        </w:rPr>
        <w:t>按废标处理</w:t>
      </w:r>
      <w:r>
        <w:rPr>
          <w:rFonts w:hint="eastAsia"/>
          <w:sz w:val="24"/>
          <w:szCs w:val="24"/>
        </w:rPr>
        <w:t>。</w:t>
      </w:r>
    </w:p>
    <w:p w14:paraId="4D93EC9A">
      <w:pPr>
        <w:pStyle w:val="12"/>
        <w:spacing w:line="360" w:lineRule="auto"/>
        <w:ind w:firstLine="480" w:firstLineChars="200"/>
        <w:outlineLvl w:val="9"/>
        <w:rPr>
          <w:rFonts w:hint="eastAsia" w:ascii="宋体" w:hAnsi="宋体" w:eastAsia="宋体" w:cs="宋体"/>
          <w:color w:val="auto"/>
          <w:sz w:val="24"/>
          <w:highlight w:val="none"/>
        </w:rPr>
      </w:pPr>
    </w:p>
    <w:p w14:paraId="713DE6DF">
      <w:pPr>
        <w:pStyle w:val="12"/>
        <w:spacing w:line="360" w:lineRule="auto"/>
        <w:outlineLvl w:val="9"/>
        <w:rPr>
          <w:rFonts w:hint="eastAsia" w:ascii="宋体" w:hAnsi="宋体" w:eastAsia="宋体" w:cs="宋体"/>
          <w:color w:val="auto"/>
          <w:sz w:val="24"/>
          <w:highlight w:val="none"/>
        </w:rPr>
      </w:pPr>
    </w:p>
    <w:p w14:paraId="312D5B5C">
      <w:pPr>
        <w:spacing w:line="360" w:lineRule="auto"/>
        <w:ind w:firstLine="4759" w:firstLineChars="1983"/>
        <w:outlineLvl w:val="9"/>
        <w:rPr>
          <w:rFonts w:hint="eastAsia" w:ascii="宋体" w:hAnsi="宋体" w:eastAsia="宋体" w:cs="宋体"/>
          <w:color w:val="auto"/>
          <w:sz w:val="24"/>
          <w:szCs w:val="28"/>
          <w:highlight w:val="none"/>
        </w:rPr>
      </w:pPr>
    </w:p>
    <w:p w14:paraId="6A4461C9">
      <w:pPr>
        <w:spacing w:line="360" w:lineRule="auto"/>
        <w:ind w:left="280" w:leftChars="1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u w:val="none"/>
          <w:lang w:val="en-US" w:eastAsia="zh-CN"/>
        </w:rPr>
        <w:t>供应商</w:t>
      </w:r>
      <w:r>
        <w:rPr>
          <w:rFonts w:hint="eastAsia" w:ascii="宋体" w:hAnsi="宋体" w:eastAsia="宋体" w:cs="宋体"/>
          <w:color w:val="auto"/>
          <w:sz w:val="24"/>
          <w:szCs w:val="22"/>
          <w:highlight w:val="none"/>
          <w:u w:val="none"/>
          <w:lang w:eastAsia="zh-CN"/>
        </w:rPr>
        <w:t>名称：</w:t>
      </w:r>
      <w:r>
        <w:rPr>
          <w:rFonts w:hint="eastAsia" w:ascii="宋体" w:hAnsi="宋体" w:eastAsia="宋体" w:cs="宋体"/>
          <w:color w:val="auto"/>
          <w:sz w:val="24"/>
          <w:szCs w:val="22"/>
          <w:highlight w:val="none"/>
          <w:u w:val="none"/>
        </w:rPr>
        <w:t xml:space="preserve"> </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供应商</w:t>
      </w:r>
      <w:r>
        <w:rPr>
          <w:rFonts w:hint="eastAsia" w:ascii="宋体" w:hAnsi="宋体" w:eastAsia="宋体" w:cs="宋体"/>
          <w:color w:val="auto"/>
          <w:sz w:val="24"/>
          <w:szCs w:val="22"/>
          <w:highlight w:val="none"/>
        </w:rPr>
        <w:t xml:space="preserve">单位公章） </w:t>
      </w:r>
    </w:p>
    <w:p w14:paraId="3DD16CBB">
      <w:pPr>
        <w:spacing w:line="360" w:lineRule="auto"/>
        <w:ind w:firstLine="240" w:firstLineChars="100"/>
        <w:rPr>
          <w:rFonts w:hint="eastAsia" w:ascii="宋体" w:hAnsi="宋体" w:eastAsia="宋体" w:cs="宋体"/>
          <w:color w:val="auto"/>
          <w:sz w:val="24"/>
          <w:szCs w:val="22"/>
          <w:highlight w:val="none"/>
        </w:rPr>
      </w:pPr>
    </w:p>
    <w:p w14:paraId="5231C466">
      <w:pPr>
        <w:spacing w:line="360" w:lineRule="auto"/>
        <w:ind w:firstLine="240" w:firstLineChars="100"/>
        <w:rPr>
          <w:rFonts w:hint="eastAsia" w:ascii="宋体" w:hAnsi="宋体" w:eastAsia="宋体" w:cs="宋体"/>
          <w:color w:val="auto"/>
          <w:highlight w:val="none"/>
          <w:u w:val="single"/>
        </w:rPr>
      </w:pPr>
      <w:r>
        <w:rPr>
          <w:rFonts w:hint="eastAsia" w:ascii="宋体" w:hAnsi="宋体" w:eastAsia="宋体" w:cs="宋体"/>
          <w:color w:val="auto"/>
          <w:sz w:val="24"/>
          <w:szCs w:val="22"/>
          <w:highlight w:val="none"/>
        </w:rPr>
        <w:t xml:space="preserve">日 </w:t>
      </w:r>
      <w:r>
        <w:rPr>
          <w:rFonts w:hint="eastAsia" w:ascii="宋体" w:hAnsi="宋体" w:cs="宋体"/>
          <w:color w:val="auto"/>
          <w:sz w:val="24"/>
          <w:szCs w:val="22"/>
          <w:highlight w:val="none"/>
          <w:lang w:val="en-US" w:eastAsia="zh-CN"/>
        </w:rPr>
        <w:t xml:space="preserve">     </w:t>
      </w:r>
      <w:r>
        <w:rPr>
          <w:rFonts w:hint="eastAsia" w:ascii="宋体" w:hAnsi="宋体" w:eastAsia="宋体" w:cs="宋体"/>
          <w:color w:val="auto"/>
          <w:sz w:val="24"/>
          <w:szCs w:val="22"/>
          <w:highlight w:val="none"/>
        </w:rPr>
        <w:t>期：</w:t>
      </w:r>
      <w:r>
        <w:rPr>
          <w:rFonts w:hint="eastAsia" w:ascii="宋体" w:hAnsi="宋体" w:eastAsia="宋体" w:cs="宋体"/>
          <w:color w:val="auto"/>
          <w:sz w:val="24"/>
          <w:szCs w:val="18"/>
          <w:highlight w:val="none"/>
          <w:u w:val="single"/>
        </w:rPr>
        <w:t xml:space="preserve">   </w:t>
      </w:r>
      <w:r>
        <w:rPr>
          <w:rFonts w:hint="eastAsia" w:ascii="宋体" w:hAnsi="宋体" w:eastAsia="宋体" w:cs="宋体"/>
          <w:color w:val="auto"/>
          <w:highlight w:val="none"/>
          <w:u w:val="single"/>
        </w:rPr>
        <w:t xml:space="preserve">         </w:t>
      </w:r>
    </w:p>
    <w:p w14:paraId="1E113E3A">
      <w:pPr>
        <w:spacing w:line="360" w:lineRule="auto"/>
        <w:outlineLvl w:val="9"/>
        <w:rPr>
          <w:rFonts w:hint="eastAsia" w:ascii="宋体" w:hAnsi="宋体" w:eastAsia="宋体" w:cs="宋体"/>
          <w:color w:val="auto"/>
          <w:sz w:val="24"/>
          <w:szCs w:val="28"/>
          <w:highlight w:val="none"/>
        </w:rPr>
      </w:pPr>
    </w:p>
    <w:p w14:paraId="352AB93D">
      <w:pPr>
        <w:numPr>
          <w:ilvl w:val="0"/>
          <w:numId w:val="9"/>
        </w:numPr>
        <w:ind w:left="0" w:firstLine="0"/>
        <w:jc w:val="both"/>
        <w:outlineLvl w:val="1"/>
        <w:rPr>
          <w:rFonts w:hint="eastAsia" w:ascii="宋体" w:hAnsi="宋体" w:eastAsia="宋体" w:cs="宋体"/>
          <w:b/>
          <w:bCs/>
          <w:color w:val="auto"/>
          <w:sz w:val="28"/>
          <w:szCs w:val="28"/>
          <w:highlight w:val="none"/>
          <w:lang w:eastAsia="zh-CN"/>
        </w:rPr>
      </w:pPr>
      <w:bookmarkStart w:id="92" w:name="_Toc7447452"/>
      <w:r>
        <w:rPr>
          <w:rFonts w:hint="eastAsia" w:ascii="宋体" w:hAnsi="宋体" w:eastAsia="宋体" w:cs="宋体"/>
          <w:color w:val="auto"/>
          <w:sz w:val="28"/>
          <w:szCs w:val="28"/>
          <w:highlight w:val="none"/>
          <w:lang w:eastAsia="zh-CN"/>
        </w:rPr>
        <w:br w:type="page"/>
      </w:r>
      <w:bookmarkEnd w:id="92"/>
      <w:bookmarkStart w:id="93" w:name="_Toc7447453"/>
      <w:r>
        <w:rPr>
          <w:rFonts w:hint="eastAsia" w:ascii="宋体" w:hAnsi="宋体" w:eastAsia="宋体" w:cs="宋体"/>
          <w:b/>
          <w:bCs/>
          <w:color w:val="auto"/>
          <w:sz w:val="28"/>
          <w:szCs w:val="28"/>
          <w:highlight w:val="none"/>
          <w:lang w:eastAsia="zh-CN"/>
        </w:rPr>
        <w:t>响应方案</w:t>
      </w:r>
      <w:bookmarkEnd w:id="93"/>
    </w:p>
    <w:p w14:paraId="5C7F20FF">
      <w:pPr>
        <w:pStyle w:val="44"/>
        <w:ind w:left="0" w:leftChars="0" w:firstLine="0" w:firstLineChars="0"/>
        <w:rPr>
          <w:rFonts w:hint="eastAsia" w:ascii="宋体" w:hAnsi="宋体" w:eastAsia="宋体" w:cs="宋体"/>
          <w:color w:val="auto"/>
          <w:kern w:val="2"/>
          <w:sz w:val="28"/>
          <w:szCs w:val="28"/>
          <w:highlight w:val="none"/>
          <w:lang w:val="en-US" w:eastAsia="en-US" w:bidi="ar-SA"/>
        </w:rPr>
      </w:pPr>
      <w:bookmarkStart w:id="94" w:name="_Toc7447454"/>
    </w:p>
    <w:p w14:paraId="170ACD02">
      <w:pPr>
        <w:pStyle w:val="45"/>
        <w:numPr>
          <w:ilvl w:val="0"/>
          <w:numId w:val="0"/>
        </w:numPr>
        <w:spacing w:line="360" w:lineRule="auto"/>
        <w:outlineLvl w:val="2"/>
        <w:rPr>
          <w:rFonts w:hint="eastAsia" w:ascii="宋体" w:hAnsi="宋体" w:eastAsia="宋体" w:cs="宋体"/>
          <w:b/>
          <w:bCs/>
          <w:color w:val="auto"/>
          <w:szCs w:val="28"/>
          <w:highlight w:val="none"/>
          <w:lang w:eastAsia="zh-CN"/>
        </w:rPr>
      </w:pPr>
      <w:r>
        <w:rPr>
          <w:rFonts w:hint="eastAsia" w:ascii="宋体" w:hAnsi="宋体" w:eastAsia="宋体" w:cs="宋体"/>
          <w:b/>
          <w:bCs/>
          <w:color w:val="auto"/>
          <w:szCs w:val="28"/>
          <w:highlight w:val="none"/>
          <w:lang w:val="en-US" w:eastAsia="zh-CN"/>
        </w:rPr>
        <w:t>1</w:t>
      </w:r>
      <w:r>
        <w:rPr>
          <w:rFonts w:hint="eastAsia" w:ascii="宋体" w:hAnsi="宋体" w:cs="宋体"/>
          <w:b/>
          <w:bCs/>
          <w:color w:val="auto"/>
          <w:szCs w:val="28"/>
          <w:highlight w:val="none"/>
          <w:lang w:val="en-US" w:eastAsia="zh-CN"/>
        </w:rPr>
        <w:t>.</w:t>
      </w:r>
      <w:r>
        <w:rPr>
          <w:rFonts w:hint="eastAsia" w:ascii="宋体" w:hAnsi="宋体" w:eastAsia="宋体" w:cs="宋体"/>
          <w:b/>
          <w:bCs/>
          <w:color w:val="auto"/>
          <w:szCs w:val="28"/>
          <w:highlight w:val="none"/>
          <w:lang w:eastAsia="zh-CN"/>
        </w:rPr>
        <w:t>供应商概况及其性质</w:t>
      </w:r>
    </w:p>
    <w:tbl>
      <w:tblPr>
        <w:tblStyle w:val="26"/>
        <w:tblW w:w="891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01"/>
        <w:gridCol w:w="949"/>
        <w:gridCol w:w="2299"/>
        <w:gridCol w:w="1685"/>
        <w:gridCol w:w="2485"/>
      </w:tblGrid>
      <w:tr w14:paraId="7EA473A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54" w:hRule="atLeast"/>
          <w:jc w:val="center"/>
        </w:trPr>
        <w:tc>
          <w:tcPr>
            <w:tcW w:w="1501" w:type="dxa"/>
            <w:vAlign w:val="center"/>
          </w:tcPr>
          <w:p w14:paraId="15100F06">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kern w:val="0"/>
                <w:sz w:val="24"/>
                <w:szCs w:val="24"/>
                <w:highlight w:val="none"/>
              </w:rPr>
              <w:t>名称</w:t>
            </w:r>
          </w:p>
        </w:tc>
        <w:tc>
          <w:tcPr>
            <w:tcW w:w="7418" w:type="dxa"/>
            <w:gridSpan w:val="4"/>
            <w:vAlign w:val="center"/>
          </w:tcPr>
          <w:p w14:paraId="7B2E6553">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p>
        </w:tc>
      </w:tr>
      <w:tr w14:paraId="28FE428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9" w:hRule="atLeast"/>
          <w:jc w:val="center"/>
        </w:trPr>
        <w:tc>
          <w:tcPr>
            <w:tcW w:w="1501" w:type="dxa"/>
            <w:vAlign w:val="center"/>
          </w:tcPr>
          <w:p w14:paraId="1778AE4D">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p>
        </w:tc>
        <w:tc>
          <w:tcPr>
            <w:tcW w:w="3248" w:type="dxa"/>
            <w:gridSpan w:val="2"/>
            <w:vAlign w:val="center"/>
          </w:tcPr>
          <w:p w14:paraId="074B6BA9">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10BB5C23">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2485" w:type="dxa"/>
            <w:vAlign w:val="center"/>
          </w:tcPr>
          <w:p w14:paraId="523EC648">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p>
        </w:tc>
      </w:tr>
      <w:tr w14:paraId="6E03693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60" w:hRule="atLeast"/>
          <w:jc w:val="center"/>
        </w:trPr>
        <w:tc>
          <w:tcPr>
            <w:tcW w:w="1501" w:type="dxa"/>
            <w:vMerge w:val="restart"/>
            <w:vAlign w:val="center"/>
          </w:tcPr>
          <w:p w14:paraId="45317ADA">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联系方式</w:t>
            </w:r>
          </w:p>
        </w:tc>
        <w:tc>
          <w:tcPr>
            <w:tcW w:w="949" w:type="dxa"/>
            <w:vAlign w:val="center"/>
          </w:tcPr>
          <w:p w14:paraId="3DB947C6">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联系人</w:t>
            </w:r>
          </w:p>
        </w:tc>
        <w:tc>
          <w:tcPr>
            <w:tcW w:w="2299" w:type="dxa"/>
            <w:vAlign w:val="center"/>
          </w:tcPr>
          <w:p w14:paraId="6EEB58F2">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6E748647">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tc>
        <w:tc>
          <w:tcPr>
            <w:tcW w:w="2485" w:type="dxa"/>
            <w:vAlign w:val="center"/>
          </w:tcPr>
          <w:p w14:paraId="0541A0B2">
            <w:pPr>
              <w:keepNext/>
              <w:keepLines/>
              <w:autoSpaceDE w:val="0"/>
              <w:autoSpaceDN w:val="0"/>
              <w:adjustRightInd w:val="0"/>
              <w:spacing w:line="400" w:lineRule="exact"/>
              <w:jc w:val="center"/>
              <w:rPr>
                <w:rFonts w:hint="eastAsia" w:ascii="宋体" w:hAnsi="宋体" w:eastAsia="宋体" w:cs="宋体"/>
                <w:color w:val="auto"/>
                <w:kern w:val="0"/>
                <w:sz w:val="24"/>
                <w:szCs w:val="24"/>
                <w:highlight w:val="none"/>
              </w:rPr>
            </w:pPr>
          </w:p>
        </w:tc>
      </w:tr>
      <w:tr w14:paraId="79DC5D5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6" w:hRule="atLeast"/>
          <w:jc w:val="center"/>
        </w:trPr>
        <w:tc>
          <w:tcPr>
            <w:tcW w:w="1501" w:type="dxa"/>
            <w:vMerge w:val="continue"/>
            <w:vAlign w:val="center"/>
          </w:tcPr>
          <w:p w14:paraId="4751812B">
            <w:pP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949" w:type="dxa"/>
            <w:vAlign w:val="center"/>
          </w:tcPr>
          <w:p w14:paraId="7EF2EA10">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2299" w:type="dxa"/>
            <w:vAlign w:val="center"/>
          </w:tcPr>
          <w:p w14:paraId="740CE5CD">
            <w:pP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7C75CFAB">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网址</w:t>
            </w:r>
          </w:p>
        </w:tc>
        <w:tc>
          <w:tcPr>
            <w:tcW w:w="2485" w:type="dxa"/>
            <w:vAlign w:val="center"/>
          </w:tcPr>
          <w:p w14:paraId="1699A5F1">
            <w:pP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r>
      <w:tr w14:paraId="4F255DA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1501" w:type="dxa"/>
            <w:vAlign w:val="center"/>
          </w:tcPr>
          <w:p w14:paraId="3258568E">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949" w:type="dxa"/>
            <w:vAlign w:val="center"/>
          </w:tcPr>
          <w:p w14:paraId="6E0F7A2F">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99" w:type="dxa"/>
            <w:vAlign w:val="center"/>
          </w:tcPr>
          <w:p w14:paraId="5F32029B">
            <w:pP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7C73B690">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tc>
        <w:tc>
          <w:tcPr>
            <w:tcW w:w="2485" w:type="dxa"/>
            <w:vAlign w:val="center"/>
          </w:tcPr>
          <w:p w14:paraId="7B1E2B96">
            <w:pPr>
              <w:autoSpaceDE w:val="0"/>
              <w:autoSpaceDN w:val="0"/>
              <w:adjustRightInd w:val="0"/>
              <w:spacing w:line="400" w:lineRule="exact"/>
              <w:jc w:val="center"/>
              <w:rPr>
                <w:rFonts w:hint="eastAsia" w:ascii="宋体" w:hAnsi="宋体" w:eastAsia="宋体" w:cs="宋体"/>
                <w:b/>
                <w:bCs/>
                <w:color w:val="auto"/>
                <w:kern w:val="0"/>
                <w:sz w:val="24"/>
                <w:szCs w:val="24"/>
                <w:highlight w:val="none"/>
              </w:rPr>
            </w:pPr>
          </w:p>
        </w:tc>
      </w:tr>
      <w:tr w14:paraId="22427E6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501" w:type="dxa"/>
            <w:vAlign w:val="center"/>
          </w:tcPr>
          <w:p w14:paraId="575B2CBD">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项目</w:t>
            </w:r>
            <w:r>
              <w:rPr>
                <w:rFonts w:hint="eastAsia" w:ascii="宋体" w:hAnsi="宋体" w:cs="宋体"/>
                <w:color w:val="auto"/>
                <w:kern w:val="0"/>
                <w:sz w:val="24"/>
                <w:szCs w:val="24"/>
                <w:highlight w:val="none"/>
                <w:lang w:eastAsia="zh-CN"/>
              </w:rPr>
              <w:t>经理</w:t>
            </w:r>
          </w:p>
        </w:tc>
        <w:tc>
          <w:tcPr>
            <w:tcW w:w="949" w:type="dxa"/>
            <w:vAlign w:val="center"/>
          </w:tcPr>
          <w:p w14:paraId="2F096974">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99" w:type="dxa"/>
            <w:vAlign w:val="center"/>
          </w:tcPr>
          <w:p w14:paraId="169A3FB0">
            <w:pP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434740A0">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tc>
        <w:tc>
          <w:tcPr>
            <w:tcW w:w="2485" w:type="dxa"/>
            <w:vAlign w:val="center"/>
          </w:tcPr>
          <w:p w14:paraId="08497F2E">
            <w:pPr>
              <w:autoSpaceDE w:val="0"/>
              <w:autoSpaceDN w:val="0"/>
              <w:adjustRightInd w:val="0"/>
              <w:spacing w:line="400" w:lineRule="exact"/>
              <w:jc w:val="center"/>
              <w:rPr>
                <w:rFonts w:hint="eastAsia" w:ascii="宋体" w:hAnsi="宋体" w:eastAsia="宋体" w:cs="宋体"/>
                <w:b/>
                <w:bCs/>
                <w:color w:val="auto"/>
                <w:kern w:val="0"/>
                <w:sz w:val="24"/>
                <w:szCs w:val="24"/>
                <w:highlight w:val="none"/>
              </w:rPr>
            </w:pPr>
          </w:p>
        </w:tc>
      </w:tr>
      <w:tr w14:paraId="7BABABF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9" w:hRule="atLeast"/>
          <w:jc w:val="center"/>
        </w:trPr>
        <w:tc>
          <w:tcPr>
            <w:tcW w:w="1501" w:type="dxa"/>
            <w:vAlign w:val="center"/>
          </w:tcPr>
          <w:p w14:paraId="2B962687">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w:t>
            </w:r>
          </w:p>
        </w:tc>
        <w:tc>
          <w:tcPr>
            <w:tcW w:w="3248" w:type="dxa"/>
            <w:gridSpan w:val="2"/>
            <w:vAlign w:val="center"/>
          </w:tcPr>
          <w:p w14:paraId="1E5AD1C6">
            <w:pP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4E88A08B">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tc>
        <w:tc>
          <w:tcPr>
            <w:tcW w:w="2485" w:type="dxa"/>
            <w:vAlign w:val="center"/>
          </w:tcPr>
          <w:p w14:paraId="3FB40738">
            <w:pPr>
              <w:autoSpaceDE w:val="0"/>
              <w:autoSpaceDN w:val="0"/>
              <w:adjustRightInd w:val="0"/>
              <w:spacing w:line="400" w:lineRule="exact"/>
              <w:jc w:val="center"/>
              <w:rPr>
                <w:rFonts w:hint="eastAsia" w:ascii="宋体" w:hAnsi="宋体" w:eastAsia="宋体" w:cs="宋体"/>
                <w:b/>
                <w:bCs/>
                <w:color w:val="auto"/>
                <w:kern w:val="0"/>
                <w:sz w:val="24"/>
                <w:szCs w:val="24"/>
                <w:highlight w:val="none"/>
              </w:rPr>
            </w:pPr>
          </w:p>
        </w:tc>
      </w:tr>
      <w:tr w14:paraId="79E6F6C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60" w:hRule="atLeast"/>
          <w:jc w:val="center"/>
        </w:trPr>
        <w:tc>
          <w:tcPr>
            <w:tcW w:w="1501" w:type="dxa"/>
            <w:vAlign w:val="center"/>
          </w:tcPr>
          <w:p w14:paraId="2D43D715">
            <w:pPr>
              <w:autoSpaceDE w:val="0"/>
              <w:autoSpaceDN w:val="0"/>
              <w:adjustRightInd w:val="0"/>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统一社会信用代码</w:t>
            </w:r>
          </w:p>
        </w:tc>
        <w:tc>
          <w:tcPr>
            <w:tcW w:w="3248" w:type="dxa"/>
            <w:gridSpan w:val="2"/>
            <w:vAlign w:val="center"/>
          </w:tcPr>
          <w:p w14:paraId="623DC4C6">
            <w:pPr>
              <w:autoSpaceDE w:val="0"/>
              <w:autoSpaceDN w:val="0"/>
              <w:adjustRightInd w:val="0"/>
              <w:spacing w:line="400" w:lineRule="exact"/>
              <w:jc w:val="center"/>
              <w:rPr>
                <w:rFonts w:hint="eastAsia" w:ascii="宋体" w:hAnsi="宋体" w:eastAsia="宋体" w:cs="宋体"/>
                <w:color w:val="auto"/>
                <w:kern w:val="0"/>
                <w:sz w:val="24"/>
                <w:szCs w:val="24"/>
                <w:highlight w:val="none"/>
              </w:rPr>
            </w:pPr>
          </w:p>
        </w:tc>
        <w:tc>
          <w:tcPr>
            <w:tcW w:w="1685" w:type="dxa"/>
            <w:vAlign w:val="center"/>
          </w:tcPr>
          <w:p w14:paraId="76C4E5ED">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p>
        </w:tc>
        <w:tc>
          <w:tcPr>
            <w:tcW w:w="2485" w:type="dxa"/>
            <w:vAlign w:val="center"/>
          </w:tcPr>
          <w:p w14:paraId="5338AEE5">
            <w:pPr>
              <w:autoSpaceDE w:val="0"/>
              <w:autoSpaceDN w:val="0"/>
              <w:adjustRightInd w:val="0"/>
              <w:spacing w:line="400" w:lineRule="exact"/>
              <w:jc w:val="center"/>
              <w:rPr>
                <w:rFonts w:hint="eastAsia" w:ascii="宋体" w:hAnsi="宋体" w:eastAsia="宋体" w:cs="宋体"/>
                <w:b/>
                <w:bCs/>
                <w:color w:val="auto"/>
                <w:kern w:val="0"/>
                <w:sz w:val="24"/>
                <w:szCs w:val="24"/>
                <w:highlight w:val="none"/>
              </w:rPr>
            </w:pPr>
          </w:p>
        </w:tc>
      </w:tr>
      <w:tr w14:paraId="13F3BF6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047" w:hRule="atLeast"/>
          <w:jc w:val="center"/>
        </w:trPr>
        <w:tc>
          <w:tcPr>
            <w:tcW w:w="1501" w:type="dxa"/>
            <w:vAlign w:val="center"/>
          </w:tcPr>
          <w:p w14:paraId="2856B03A">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经营范围</w:t>
            </w:r>
          </w:p>
        </w:tc>
        <w:tc>
          <w:tcPr>
            <w:tcW w:w="7418" w:type="dxa"/>
            <w:gridSpan w:val="4"/>
            <w:vAlign w:val="center"/>
          </w:tcPr>
          <w:p w14:paraId="5D41DD7E">
            <w:pPr>
              <w:autoSpaceDE w:val="0"/>
              <w:autoSpaceDN w:val="0"/>
              <w:adjustRightInd w:val="0"/>
              <w:spacing w:line="400" w:lineRule="exact"/>
              <w:rPr>
                <w:rFonts w:hint="eastAsia" w:ascii="宋体" w:hAnsi="宋体" w:eastAsia="宋体" w:cs="宋体"/>
                <w:b/>
                <w:bCs/>
                <w:color w:val="auto"/>
                <w:kern w:val="0"/>
                <w:sz w:val="24"/>
                <w:szCs w:val="24"/>
                <w:highlight w:val="none"/>
              </w:rPr>
            </w:pPr>
          </w:p>
        </w:tc>
      </w:tr>
      <w:tr w14:paraId="00497D4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653" w:hRule="atLeast"/>
          <w:jc w:val="center"/>
        </w:trPr>
        <w:tc>
          <w:tcPr>
            <w:tcW w:w="1501" w:type="dxa"/>
            <w:vAlign w:val="top"/>
          </w:tcPr>
          <w:p w14:paraId="5C3444E9">
            <w:pPr>
              <w:autoSpaceDE w:val="0"/>
              <w:autoSpaceDN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418" w:type="dxa"/>
            <w:gridSpan w:val="4"/>
            <w:vAlign w:val="top"/>
          </w:tcPr>
          <w:p w14:paraId="64C9F031">
            <w:pPr>
              <w:autoSpaceDE w:val="0"/>
              <w:autoSpaceDN w:val="0"/>
              <w:adjustRightInd w:val="0"/>
              <w:spacing w:line="400" w:lineRule="exact"/>
              <w:jc w:val="left"/>
              <w:rPr>
                <w:rFonts w:hint="eastAsia" w:ascii="宋体" w:hAnsi="宋体" w:eastAsia="宋体" w:cs="宋体"/>
                <w:color w:val="auto"/>
                <w:kern w:val="0"/>
                <w:sz w:val="24"/>
                <w:szCs w:val="24"/>
                <w:highlight w:val="none"/>
              </w:rPr>
            </w:pPr>
          </w:p>
        </w:tc>
      </w:tr>
    </w:tbl>
    <w:p w14:paraId="3986D74E">
      <w:pPr>
        <w:rPr>
          <w:rFonts w:hint="eastAsia" w:ascii="宋体" w:hAnsi="宋体" w:eastAsia="宋体" w:cs="宋体"/>
          <w:color w:val="auto"/>
          <w:highlight w:val="none"/>
        </w:rPr>
      </w:pPr>
    </w:p>
    <w:p w14:paraId="12F92E72">
      <w:pPr>
        <w:spacing w:line="360" w:lineRule="auto"/>
        <w:ind w:firstLine="470" w:firstLineChars="196"/>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lang w:val="en-US" w:eastAsia="zh-CN"/>
        </w:rPr>
        <w:t>供应商</w:t>
      </w:r>
      <w:r>
        <w:rPr>
          <w:rFonts w:hint="eastAsia" w:ascii="宋体" w:hAnsi="宋体" w:eastAsia="宋体" w:cs="宋体"/>
          <w:bCs/>
          <w:color w:val="auto"/>
          <w:sz w:val="24"/>
          <w:szCs w:val="22"/>
          <w:highlight w:val="none"/>
        </w:rPr>
        <w:t>名称:</w:t>
      </w:r>
      <w:r>
        <w:rPr>
          <w:rFonts w:hint="eastAsia" w:ascii="宋体" w:hAnsi="宋体" w:eastAsia="宋体" w:cs="宋体"/>
          <w:bCs/>
          <w:color w:val="auto"/>
          <w:sz w:val="24"/>
          <w:szCs w:val="22"/>
          <w:highlight w:val="none"/>
          <w:u w:val="single"/>
        </w:rPr>
        <w:t xml:space="preserve">                    </w:t>
      </w:r>
      <w:r>
        <w:rPr>
          <w:rFonts w:hint="eastAsia" w:ascii="宋体" w:hAnsi="宋体" w:eastAsia="宋体" w:cs="宋体"/>
          <w:bCs/>
          <w:color w:val="auto"/>
          <w:sz w:val="24"/>
          <w:szCs w:val="22"/>
          <w:highlight w:val="none"/>
        </w:rPr>
        <w:t>（</w:t>
      </w:r>
      <w:r>
        <w:rPr>
          <w:rFonts w:hint="eastAsia" w:ascii="宋体" w:hAnsi="宋体" w:eastAsia="宋体" w:cs="宋体"/>
          <w:bCs/>
          <w:color w:val="auto"/>
          <w:sz w:val="24"/>
          <w:szCs w:val="22"/>
          <w:highlight w:val="none"/>
          <w:lang w:val="en-US" w:eastAsia="zh-CN"/>
        </w:rPr>
        <w:t>供应商</w:t>
      </w:r>
      <w:r>
        <w:rPr>
          <w:rFonts w:hint="eastAsia" w:ascii="宋体" w:hAnsi="宋体" w:eastAsia="宋体" w:cs="宋体"/>
          <w:bCs/>
          <w:color w:val="auto"/>
          <w:sz w:val="24"/>
          <w:szCs w:val="22"/>
          <w:highlight w:val="none"/>
        </w:rPr>
        <w:t>加盖公章）</w:t>
      </w:r>
    </w:p>
    <w:p w14:paraId="094CA725">
      <w:pPr>
        <w:spacing w:line="360" w:lineRule="auto"/>
        <w:ind w:firstLine="470" w:firstLineChars="196"/>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2"/>
          <w:highlight w:val="none"/>
        </w:rPr>
        <w:t>日   期：     年    月    日</w:t>
      </w:r>
    </w:p>
    <w:p w14:paraId="14A5D3D6">
      <w:pPr>
        <w:pStyle w:val="45"/>
        <w:spacing w:line="360" w:lineRule="auto"/>
        <w:ind w:firstLine="131" w:firstLineChars="62"/>
        <w:jc w:val="left"/>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注：后附下列资料</w:t>
      </w:r>
    </w:p>
    <w:p w14:paraId="571B5CC6">
      <w:pPr>
        <w:pStyle w:val="45"/>
        <w:spacing w:line="360" w:lineRule="auto"/>
        <w:ind w:firstLine="131" w:firstLineChars="62"/>
        <w:jc w:val="left"/>
        <w:outlineLvl w:val="9"/>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.残疾人福利性单位声明函（如适用，请提供，格式见附件</w:t>
      </w:r>
      <w:r>
        <w:rPr>
          <w:rFonts w:hint="eastAsia" w:ascii="宋体" w:hAnsi="宋体" w:cs="宋体"/>
          <w:b/>
          <w:bCs/>
          <w:color w:val="auto"/>
          <w:sz w:val="21"/>
          <w:szCs w:val="21"/>
          <w:highlight w:val="none"/>
          <w:lang w:eastAsia="zh-CN"/>
        </w:rPr>
        <w:t>一</w:t>
      </w:r>
      <w:r>
        <w:rPr>
          <w:rFonts w:hint="eastAsia" w:ascii="宋体" w:hAnsi="宋体" w:eastAsia="宋体" w:cs="宋体"/>
          <w:b/>
          <w:bCs/>
          <w:color w:val="auto"/>
          <w:sz w:val="21"/>
          <w:szCs w:val="21"/>
          <w:highlight w:val="none"/>
        </w:rPr>
        <w:t>）；</w:t>
      </w:r>
    </w:p>
    <w:p w14:paraId="7B153DFB">
      <w:pPr>
        <w:pStyle w:val="45"/>
        <w:spacing w:line="360" w:lineRule="auto"/>
        <w:ind w:firstLine="131" w:firstLineChars="62"/>
        <w:jc w:val="left"/>
        <w:outlineLvl w:val="9"/>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.监狱企业证明文件（如适用，请提供证明材料）；</w:t>
      </w:r>
    </w:p>
    <w:p w14:paraId="50B5A15E">
      <w:pPr>
        <w:pStyle w:val="45"/>
        <w:spacing w:line="360" w:lineRule="auto"/>
        <w:ind w:firstLine="131" w:firstLineChars="62"/>
        <w:jc w:val="left"/>
        <w:outlineLvl w:val="9"/>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.节能产品和环境标志产品证明材料（如适用，请提供证明材料）；</w:t>
      </w:r>
    </w:p>
    <w:p w14:paraId="30120955">
      <w:pPr>
        <w:pStyle w:val="45"/>
        <w:spacing w:line="360" w:lineRule="auto"/>
        <w:ind w:firstLine="131" w:firstLineChars="62"/>
        <w:jc w:val="left"/>
        <w:outlineLvl w:val="9"/>
        <w:rPr>
          <w:rFonts w:hint="eastAsia" w:ascii="宋体" w:hAnsi="宋体" w:eastAsia="宋体" w:cs="宋体"/>
          <w:b/>
          <w:bCs/>
          <w:color w:val="auto"/>
          <w:sz w:val="21"/>
          <w:szCs w:val="21"/>
          <w:highlight w:val="none"/>
        </w:rPr>
        <w:sectPr>
          <w:headerReference r:id="rId8" w:type="first"/>
          <w:footerReference r:id="rId10" w:type="first"/>
          <w:headerReference r:id="rId7" w:type="default"/>
          <w:footerReference r:id="rId9" w:type="default"/>
          <w:pgSz w:w="11905" w:h="16838"/>
          <w:pgMar w:top="1417" w:right="1134" w:bottom="1417" w:left="1304" w:header="935" w:footer="1020" w:gutter="567"/>
          <w:pgBorders>
            <w:top w:val="none" w:sz="0" w:space="0"/>
            <w:left w:val="none" w:sz="0" w:space="0"/>
            <w:bottom w:val="none" w:sz="0" w:space="0"/>
            <w:right w:val="none" w:sz="0" w:space="0"/>
          </w:pgBorders>
          <w:pgNumType w:fmt="decimal"/>
          <w:cols w:space="0" w:num="1"/>
          <w:titlePg/>
          <w:rtlGutter w:val="0"/>
          <w:docGrid w:linePitch="312" w:charSpace="0"/>
        </w:sectPr>
      </w:pP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.其他资料。</w:t>
      </w:r>
    </w:p>
    <w:bookmarkEnd w:id="94"/>
    <w:p w14:paraId="76CF4B63">
      <w:pPr>
        <w:pStyle w:val="45"/>
        <w:spacing w:line="360" w:lineRule="auto"/>
        <w:ind w:firstLine="149" w:firstLineChars="62"/>
        <w:jc w:val="both"/>
        <w:outlineLvl w:val="9"/>
        <w:rPr>
          <w:rFonts w:hint="eastAsia" w:ascii="宋体" w:hAnsi="宋体" w:eastAsia="宋体" w:cs="宋体"/>
          <w:b/>
          <w:color w:val="auto"/>
          <w:spacing w:val="6"/>
          <w:szCs w:val="24"/>
          <w:highlight w:val="none"/>
        </w:rPr>
      </w:pPr>
      <w:r>
        <w:rPr>
          <w:rFonts w:hint="eastAsia" w:ascii="宋体" w:hAnsi="宋体" w:eastAsia="宋体" w:cs="宋体"/>
          <w:b/>
          <w:bCs/>
          <w:color w:val="auto"/>
          <w:kern w:val="0"/>
          <w:sz w:val="24"/>
          <w:szCs w:val="24"/>
          <w:highlight w:val="none"/>
          <w:lang w:val="en-US" w:eastAsia="zh-CN" w:bidi="ar-SA"/>
        </w:rPr>
        <w:t>附件</w:t>
      </w:r>
      <w:r>
        <w:rPr>
          <w:rFonts w:hint="eastAsia" w:ascii="宋体" w:hAnsi="宋体" w:cs="宋体"/>
          <w:b/>
          <w:bCs/>
          <w:color w:val="auto"/>
          <w:kern w:val="0"/>
          <w:sz w:val="24"/>
          <w:szCs w:val="24"/>
          <w:highlight w:val="none"/>
          <w:lang w:val="en-US" w:eastAsia="zh-CN" w:bidi="ar-SA"/>
        </w:rPr>
        <w:t>一</w:t>
      </w:r>
      <w:r>
        <w:rPr>
          <w:rFonts w:hint="eastAsia" w:ascii="宋体" w:hAnsi="宋体" w:eastAsia="宋体" w:cs="宋体"/>
          <w:b/>
          <w:bCs/>
          <w:color w:val="auto"/>
          <w:kern w:val="0"/>
          <w:sz w:val="24"/>
          <w:szCs w:val="24"/>
          <w:highlight w:val="none"/>
          <w:lang w:val="en-US" w:eastAsia="zh-CN" w:bidi="ar-SA"/>
        </w:rPr>
        <w:t>：《残疾人福利性单位声明函》（若有）</w:t>
      </w:r>
    </w:p>
    <w:p w14:paraId="1C148F5A">
      <w:pPr>
        <w:spacing w:line="360" w:lineRule="auto"/>
        <w:jc w:val="center"/>
        <w:rPr>
          <w:rFonts w:hint="eastAsia" w:ascii="宋体" w:hAnsi="宋体" w:eastAsia="宋体" w:cs="宋体"/>
          <w:b w:val="0"/>
          <w:bCs w:val="0"/>
          <w:color w:val="auto"/>
          <w:kern w:val="2"/>
          <w:sz w:val="24"/>
          <w:szCs w:val="24"/>
          <w:highlight w:val="none"/>
          <w:lang w:val="en-US" w:eastAsia="en-US" w:bidi="ar-SA"/>
        </w:rPr>
      </w:pPr>
    </w:p>
    <w:p w14:paraId="68F1B01F">
      <w:pPr>
        <w:spacing w:line="360" w:lineRule="auto"/>
        <w:jc w:val="center"/>
        <w:rPr>
          <w:rFonts w:hint="eastAsia" w:ascii="宋体" w:hAnsi="宋体" w:eastAsia="宋体" w:cs="宋体"/>
          <w:b w:val="0"/>
          <w:bCs w:val="0"/>
          <w:color w:val="auto"/>
          <w:kern w:val="2"/>
          <w:sz w:val="24"/>
          <w:szCs w:val="24"/>
          <w:highlight w:val="none"/>
          <w:lang w:val="en-US" w:eastAsia="en-US" w:bidi="ar-SA"/>
        </w:rPr>
      </w:pPr>
      <w:r>
        <w:rPr>
          <w:rFonts w:hint="eastAsia" w:ascii="宋体" w:hAnsi="宋体" w:eastAsia="宋体" w:cs="宋体"/>
          <w:b w:val="0"/>
          <w:bCs w:val="0"/>
          <w:color w:val="auto"/>
          <w:kern w:val="2"/>
          <w:sz w:val="24"/>
          <w:szCs w:val="24"/>
          <w:highlight w:val="none"/>
          <w:lang w:val="en-US" w:eastAsia="en-US" w:bidi="ar-SA"/>
        </w:rPr>
        <w:t>残疾人福利性单位声明函</w:t>
      </w:r>
    </w:p>
    <w:p w14:paraId="650A6408">
      <w:pPr>
        <w:spacing w:line="360" w:lineRule="auto"/>
        <w:rPr>
          <w:rFonts w:hint="eastAsia" w:ascii="宋体" w:hAnsi="宋体" w:eastAsia="宋体" w:cs="宋体"/>
          <w:b/>
          <w:bCs/>
          <w:color w:val="auto"/>
          <w:kern w:val="2"/>
          <w:sz w:val="24"/>
          <w:szCs w:val="24"/>
          <w:highlight w:val="none"/>
          <w:lang w:val="en-US" w:eastAsia="en-US" w:bidi="ar-SA"/>
        </w:rPr>
      </w:pPr>
    </w:p>
    <w:p w14:paraId="0E753686">
      <w:pPr>
        <w:spacing w:line="360" w:lineRule="auto"/>
        <w:ind w:firstLine="504" w:firstLineChars="200"/>
        <w:rPr>
          <w:rFonts w:hint="eastAsia" w:ascii="宋体" w:hAnsi="宋体" w:eastAsia="宋体" w:cs="宋体"/>
          <w:color w:val="auto"/>
          <w:spacing w:val="6"/>
          <w:sz w:val="24"/>
          <w:szCs w:val="22"/>
          <w:highlight w:val="none"/>
        </w:rPr>
      </w:pPr>
      <w:r>
        <w:rPr>
          <w:rFonts w:hint="eastAsia" w:ascii="宋体" w:hAnsi="宋体" w:eastAsia="宋体" w:cs="宋体"/>
          <w:color w:val="auto"/>
          <w:spacing w:val="6"/>
          <w:sz w:val="24"/>
          <w:szCs w:val="22"/>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2"/>
          <w:highlight w:val="none"/>
        </w:rPr>
        <w:t>〔2017〕 141</w:t>
      </w:r>
      <w:r>
        <w:rPr>
          <w:rFonts w:hint="eastAsia" w:ascii="宋体" w:hAnsi="宋体" w:eastAsia="宋体" w:cs="宋体"/>
          <w:color w:val="auto"/>
          <w:spacing w:val="6"/>
          <w:sz w:val="24"/>
          <w:szCs w:val="22"/>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CD2C15F">
      <w:pPr>
        <w:spacing w:line="360" w:lineRule="auto"/>
        <w:ind w:firstLine="504" w:firstLineChars="200"/>
        <w:rPr>
          <w:rFonts w:hint="eastAsia" w:ascii="宋体" w:hAnsi="宋体" w:eastAsia="宋体" w:cs="宋体"/>
          <w:color w:val="auto"/>
          <w:spacing w:val="6"/>
          <w:sz w:val="24"/>
          <w:szCs w:val="22"/>
          <w:highlight w:val="none"/>
        </w:rPr>
      </w:pPr>
      <w:r>
        <w:rPr>
          <w:rFonts w:hint="eastAsia" w:ascii="宋体" w:hAnsi="宋体" w:eastAsia="宋体" w:cs="宋体"/>
          <w:color w:val="auto"/>
          <w:spacing w:val="6"/>
          <w:sz w:val="24"/>
          <w:szCs w:val="22"/>
          <w:highlight w:val="none"/>
        </w:rPr>
        <w:t>本单位对上述声明的真实性负责。如有虚假，将依法承担相应责任。</w:t>
      </w:r>
    </w:p>
    <w:p w14:paraId="065F0925">
      <w:pPr>
        <w:spacing w:line="360" w:lineRule="auto"/>
        <w:ind w:firstLine="584" w:firstLineChars="200"/>
        <w:rPr>
          <w:rFonts w:hint="eastAsia" w:ascii="宋体" w:hAnsi="宋体" w:eastAsia="宋体" w:cs="宋体"/>
          <w:color w:val="auto"/>
          <w:spacing w:val="6"/>
          <w:szCs w:val="24"/>
          <w:highlight w:val="none"/>
        </w:rPr>
      </w:pPr>
    </w:p>
    <w:p w14:paraId="67FB0855">
      <w:pPr>
        <w:spacing w:line="360" w:lineRule="auto"/>
        <w:ind w:firstLine="584" w:firstLineChars="200"/>
        <w:rPr>
          <w:rFonts w:hint="eastAsia" w:ascii="宋体" w:hAnsi="宋体" w:eastAsia="宋体" w:cs="宋体"/>
          <w:color w:val="auto"/>
          <w:spacing w:val="6"/>
          <w:szCs w:val="24"/>
          <w:highlight w:val="none"/>
        </w:rPr>
      </w:pPr>
    </w:p>
    <w:p w14:paraId="28FD2779">
      <w:pPr>
        <w:spacing w:before="156" w:beforeLines="50" w:after="156" w:afterLines="50" w:line="360" w:lineRule="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4"/>
          <w:sz w:val="24"/>
          <w:szCs w:val="24"/>
          <w:highlight w:val="none"/>
          <w:lang w:val="en-US" w:eastAsia="zh-CN"/>
        </w:rPr>
        <w:t xml:space="preserve">      供应商</w:t>
      </w:r>
      <w:r>
        <w:rPr>
          <w:rFonts w:hint="eastAsia" w:ascii="宋体" w:hAnsi="宋体" w:eastAsia="宋体" w:cs="宋体"/>
          <w:bCs/>
          <w:color w:val="auto"/>
          <w:sz w:val="24"/>
          <w:szCs w:val="24"/>
          <w:highlight w:val="none"/>
        </w:rPr>
        <w:t>名称</w:t>
      </w:r>
      <w:r>
        <w:rPr>
          <w:rFonts w:hint="eastAsia" w:ascii="宋体" w:hAnsi="宋体" w:eastAsia="宋体" w:cs="宋体"/>
          <w:color w:val="auto"/>
          <w:spacing w:val="4"/>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单位公章）</w:t>
      </w:r>
    </w:p>
    <w:p w14:paraId="70094ADE">
      <w:pPr>
        <w:adjustRightInd w:val="0"/>
        <w:snapToGrid w:val="0"/>
        <w:spacing w:line="360" w:lineRule="auto"/>
        <w:ind w:right="4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    年   月   日</w:t>
      </w:r>
    </w:p>
    <w:p w14:paraId="6F654607">
      <w:pPr>
        <w:rPr>
          <w:rFonts w:hint="eastAsia" w:ascii="宋体" w:hAnsi="宋体" w:eastAsia="宋体" w:cs="宋体"/>
          <w:color w:val="auto"/>
          <w:kern w:val="2"/>
          <w:sz w:val="24"/>
          <w:szCs w:val="24"/>
          <w:highlight w:val="none"/>
          <w:lang w:val="en-US" w:eastAsia="en-US" w:bidi="ar-SA"/>
        </w:rPr>
      </w:pPr>
    </w:p>
    <w:p w14:paraId="1BF3B026">
      <w:pPr>
        <w:pStyle w:val="24"/>
        <w:rPr>
          <w:rFonts w:hint="eastAsia" w:ascii="宋体" w:hAnsi="宋体" w:eastAsia="宋体" w:cs="宋体"/>
          <w:color w:val="auto"/>
          <w:highlight w:val="none"/>
        </w:rPr>
      </w:pPr>
    </w:p>
    <w:p w14:paraId="2B9FDC36">
      <w:pPr>
        <w:spacing w:line="600" w:lineRule="exact"/>
        <w:rPr>
          <w:rFonts w:hint="eastAsia" w:ascii="宋体" w:hAnsi="宋体" w:eastAsia="宋体" w:cs="宋体"/>
          <w:b/>
          <w:sz w:val="24"/>
          <w:highlight w:val="none"/>
        </w:rPr>
      </w:pPr>
      <w:r>
        <w:rPr>
          <w:rFonts w:hint="eastAsia" w:ascii="宋体" w:hAnsi="宋体" w:eastAsia="宋体" w:cs="宋体"/>
          <w:color w:val="auto"/>
          <w:highlight w:val="none"/>
        </w:rPr>
        <w:br w:type="page"/>
      </w:r>
      <w:r>
        <w:rPr>
          <w:rFonts w:hint="eastAsia" w:ascii="宋体" w:hAnsi="宋体" w:eastAsia="宋体" w:cs="宋体"/>
          <w:b/>
          <w:sz w:val="24"/>
          <w:highlight w:val="none"/>
          <w:lang w:val="en-US" w:eastAsia="zh-CN"/>
        </w:rPr>
        <w:t>附件</w:t>
      </w:r>
      <w:r>
        <w:rPr>
          <w:rFonts w:hint="eastAsia" w:ascii="宋体" w:hAnsi="宋体" w:cs="宋体"/>
          <w:b/>
          <w:sz w:val="24"/>
          <w:highlight w:val="none"/>
          <w:lang w:val="en-US" w:eastAsia="zh-CN"/>
        </w:rPr>
        <w:t>二：</w:t>
      </w:r>
      <w:r>
        <w:rPr>
          <w:rFonts w:hint="eastAsia" w:ascii="宋体" w:hAnsi="宋体" w:eastAsia="宋体" w:cs="宋体"/>
          <w:b/>
          <w:sz w:val="24"/>
          <w:highlight w:val="none"/>
        </w:rPr>
        <w:t>监狱企业证明文件（若有）</w:t>
      </w:r>
    </w:p>
    <w:p w14:paraId="67203F2B">
      <w:pPr>
        <w:snapToGrid w:val="0"/>
        <w:spacing w:line="360" w:lineRule="auto"/>
        <w:ind w:firstLine="504" w:firstLineChars="200"/>
        <w:rPr>
          <w:rFonts w:hint="eastAsia" w:ascii="宋体" w:hAnsi="宋体" w:eastAsia="宋体" w:cs="宋体"/>
          <w:spacing w:val="6"/>
          <w:sz w:val="24"/>
          <w:highlight w:val="none"/>
        </w:rPr>
      </w:pPr>
    </w:p>
    <w:p w14:paraId="51FA6B02">
      <w:pPr>
        <w:snapToGrid w:val="0"/>
        <w:spacing w:line="360" w:lineRule="auto"/>
        <w:ind w:firstLine="504" w:firstLineChars="200"/>
        <w:rPr>
          <w:rFonts w:hint="eastAsia" w:ascii="宋体" w:hAnsi="宋体" w:eastAsia="宋体" w:cs="宋体"/>
          <w:sz w:val="24"/>
          <w:highlight w:val="none"/>
        </w:rPr>
      </w:pPr>
      <w:r>
        <w:rPr>
          <w:rFonts w:hint="eastAsia" w:ascii="宋体" w:hAnsi="宋体" w:eastAsia="宋体" w:cs="宋体"/>
          <w:spacing w:val="6"/>
          <w:sz w:val="24"/>
          <w:highlight w:val="none"/>
        </w:rPr>
        <w:t xml:space="preserve"> 说明：根据</w:t>
      </w:r>
      <w:r>
        <w:rPr>
          <w:rFonts w:hint="eastAsia" w:ascii="宋体" w:hAnsi="宋体" w:eastAsia="宋体" w:cs="宋体"/>
          <w:sz w:val="24"/>
          <w:highlight w:val="none"/>
        </w:rPr>
        <w:t>《关于政府采购支持监狱企业发展有关问题的通知》（财库〔2014〕68号）的规定，监狱企业参加政府采购活动时，应当提供由省级以上监狱管理局、戒毒管理局（含新疆生产建设兵团）出具的属于监狱企业的证明文件。</w:t>
      </w:r>
    </w:p>
    <w:p w14:paraId="71F45E28">
      <w:pPr>
        <w:pStyle w:val="44"/>
        <w:rPr>
          <w:rFonts w:hint="eastAsia" w:ascii="宋体" w:hAnsi="宋体" w:eastAsia="宋体" w:cs="宋体"/>
          <w:b/>
          <w:color w:val="auto"/>
          <w:sz w:val="44"/>
          <w:szCs w:val="44"/>
          <w:highlight w:val="none"/>
          <w:lang w:val="en-US" w:eastAsia="zh-CN"/>
        </w:rPr>
      </w:pPr>
      <w:r>
        <w:rPr>
          <w:rFonts w:hint="eastAsia" w:ascii="宋体" w:hAnsi="宋体" w:eastAsia="宋体" w:cs="宋体"/>
          <w:b/>
          <w:bCs/>
          <w:color w:val="auto"/>
          <w:szCs w:val="28"/>
          <w:highlight w:val="none"/>
          <w:lang w:val="en-US" w:eastAsia="zh-CN"/>
        </w:rPr>
        <w:br w:type="page"/>
      </w:r>
    </w:p>
    <w:p w14:paraId="0DA915A8">
      <w:pPr>
        <w:pStyle w:val="45"/>
        <w:spacing w:line="360" w:lineRule="auto"/>
        <w:ind w:left="0" w:leftChars="0" w:firstLine="0" w:firstLineChars="0"/>
        <w:outlineLvl w:val="2"/>
        <w:rPr>
          <w:rFonts w:hint="eastAsia" w:ascii="宋体" w:hAnsi="宋体" w:eastAsia="宋体" w:cs="宋体"/>
          <w:b/>
          <w:bCs/>
          <w:color w:val="auto"/>
          <w:szCs w:val="28"/>
          <w:highlight w:val="none"/>
          <w:lang w:eastAsia="zh-CN"/>
        </w:rPr>
      </w:pPr>
      <w:bookmarkStart w:id="95" w:name="_Toc23813"/>
      <w:r>
        <w:rPr>
          <w:rFonts w:hint="eastAsia" w:ascii="宋体" w:hAnsi="宋体" w:eastAsia="宋体" w:cs="宋体"/>
          <w:b/>
          <w:bCs/>
          <w:color w:val="auto"/>
          <w:szCs w:val="28"/>
          <w:highlight w:val="none"/>
          <w:lang w:val="en-US" w:eastAsia="zh-CN"/>
        </w:rPr>
        <w:t>2.</w:t>
      </w:r>
      <w:r>
        <w:rPr>
          <w:rFonts w:hint="eastAsia" w:ascii="宋体" w:hAnsi="宋体" w:eastAsia="宋体" w:cs="宋体"/>
          <w:b/>
          <w:bCs/>
          <w:color w:val="auto"/>
          <w:szCs w:val="28"/>
          <w:highlight w:val="none"/>
          <w:lang w:eastAsia="zh-CN"/>
        </w:rPr>
        <w:t>技术文件</w:t>
      </w:r>
      <w:bookmarkEnd w:id="95"/>
    </w:p>
    <w:p w14:paraId="25D3FB8A">
      <w:pPr>
        <w:spacing w:line="360" w:lineRule="auto"/>
        <w:jc w:val="center"/>
        <w:outlineLvl w:val="9"/>
        <w:rPr>
          <w:rFonts w:hint="eastAsia" w:ascii="宋体" w:hAnsi="宋体" w:eastAsia="宋体" w:cs="宋体"/>
          <w:b/>
          <w:bCs/>
          <w:color w:val="auto"/>
          <w:sz w:val="28"/>
          <w:szCs w:val="28"/>
          <w:highlight w:val="none"/>
        </w:rPr>
      </w:pPr>
      <w:bookmarkStart w:id="96" w:name="_Toc11620"/>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rPr>
        <w:t>供应商</w:t>
      </w:r>
      <w:r>
        <w:rPr>
          <w:rFonts w:hint="eastAsia" w:ascii="宋体" w:hAnsi="宋体" w:eastAsia="宋体" w:cs="宋体"/>
          <w:b/>
          <w:bCs/>
          <w:color w:val="auto"/>
          <w:sz w:val="28"/>
          <w:szCs w:val="28"/>
          <w:highlight w:val="none"/>
          <w:lang w:eastAsia="zh-CN"/>
        </w:rPr>
        <w:t>根据评标办法细则格式自拟、自行阐述</w:t>
      </w:r>
      <w:r>
        <w:rPr>
          <w:rFonts w:hint="eastAsia" w:ascii="宋体" w:hAnsi="宋体" w:eastAsia="宋体" w:cs="宋体"/>
          <w:b/>
          <w:bCs/>
          <w:color w:val="auto"/>
          <w:sz w:val="28"/>
          <w:szCs w:val="28"/>
          <w:highlight w:val="none"/>
        </w:rPr>
        <w:t>）</w:t>
      </w:r>
      <w:bookmarkEnd w:id="96"/>
    </w:p>
    <w:p w14:paraId="0673DEFE">
      <w:pPr>
        <w:pStyle w:val="44"/>
        <w:rPr>
          <w:rFonts w:hint="eastAsia" w:ascii="宋体" w:hAnsi="宋体" w:eastAsia="宋体" w:cs="宋体"/>
          <w:b/>
          <w:color w:val="auto"/>
          <w:sz w:val="44"/>
          <w:szCs w:val="44"/>
          <w:highlight w:val="none"/>
        </w:rPr>
      </w:pPr>
    </w:p>
    <w:p w14:paraId="0309FFB4">
      <w:pPr>
        <w:pStyle w:val="7"/>
        <w:numPr>
          <w:ilvl w:val="0"/>
          <w:numId w:val="0"/>
        </w:numPr>
        <w:rPr>
          <w:rFonts w:hint="eastAsia" w:ascii="宋体" w:hAnsi="宋体" w:eastAsia="宋体" w:cs="宋体"/>
          <w:highlight w:val="none"/>
          <w:lang w:val="en-US" w:eastAsia="zh-CN"/>
        </w:rPr>
      </w:pPr>
    </w:p>
    <w:p w14:paraId="08296B77">
      <w:pPr>
        <w:rPr>
          <w:rFonts w:hint="eastAsia" w:ascii="宋体" w:hAnsi="宋体" w:eastAsia="宋体" w:cs="宋体"/>
          <w:b/>
          <w:color w:val="auto"/>
          <w:highlight w:val="none"/>
          <w:lang w:val="en-US" w:eastAsia="zh-CN"/>
        </w:rPr>
      </w:pPr>
    </w:p>
    <w:p w14:paraId="232976D3">
      <w:pPr>
        <w:spacing w:line="360" w:lineRule="auto"/>
        <w:rPr>
          <w:rFonts w:hint="eastAsia" w:ascii="宋体" w:hAnsi="宋体" w:eastAsia="宋体" w:cs="宋体"/>
          <w:b/>
          <w:color w:val="auto"/>
          <w:highlight w:val="none"/>
          <w:lang w:val="en-US" w:eastAsia="zh-CN"/>
        </w:rPr>
      </w:pPr>
    </w:p>
    <w:p w14:paraId="026D7017">
      <w:pPr>
        <w:numPr>
          <w:ilvl w:val="0"/>
          <w:numId w:val="0"/>
        </w:numPr>
        <w:spacing w:line="360" w:lineRule="auto"/>
        <w:jc w:val="left"/>
        <w:outlineLvl w:val="2"/>
        <w:rPr>
          <w:rFonts w:hint="eastAsia" w:ascii="宋体" w:hAnsi="宋体" w:eastAsia="宋体" w:cs="宋体"/>
          <w:color w:val="auto"/>
          <w:highlight w:val="none"/>
        </w:rPr>
      </w:pPr>
      <w:r>
        <w:rPr>
          <w:rFonts w:hint="eastAsia" w:ascii="宋体" w:hAnsi="宋体" w:eastAsia="宋体" w:cs="宋体"/>
          <w:b/>
          <w:color w:val="auto"/>
          <w:highlight w:val="none"/>
          <w:lang w:val="en-US" w:eastAsia="zh-CN"/>
        </w:rPr>
        <w:br w:type="page"/>
      </w:r>
      <w:bookmarkStart w:id="97" w:name="_Toc7761"/>
      <w:r>
        <w:rPr>
          <w:rFonts w:hint="eastAsia" w:ascii="宋体" w:hAnsi="宋体" w:eastAsia="宋体" w:cs="宋体"/>
          <w:b/>
          <w:bCs/>
          <w:color w:val="auto"/>
          <w:kern w:val="2"/>
          <w:sz w:val="28"/>
          <w:szCs w:val="28"/>
          <w:highlight w:val="none"/>
          <w:lang w:val="en-US" w:eastAsia="zh-CN" w:bidi="ar-SA"/>
        </w:rPr>
        <w:t>3</w:t>
      </w:r>
      <w:r>
        <w:rPr>
          <w:rFonts w:hint="eastAsia" w:ascii="宋体" w:hAnsi="宋体" w:eastAsia="宋体" w:cs="宋体"/>
          <w:b/>
          <w:color w:val="auto"/>
          <w:highlight w:val="none"/>
        </w:rPr>
        <w:t>.</w:t>
      </w:r>
      <w:r>
        <w:rPr>
          <w:rFonts w:hint="eastAsia" w:ascii="宋体" w:hAnsi="宋体" w:eastAsia="宋体" w:cs="宋体"/>
          <w:b/>
          <w:bCs/>
          <w:color w:val="auto"/>
          <w:kern w:val="2"/>
          <w:sz w:val="28"/>
          <w:szCs w:val="28"/>
          <w:highlight w:val="none"/>
          <w:lang w:val="zh-CN" w:eastAsia="zh-CN" w:bidi="ar-SA"/>
        </w:rPr>
        <w:t>提供</w:t>
      </w:r>
      <w:r>
        <w:rPr>
          <w:rFonts w:hint="eastAsia" w:ascii="宋体" w:hAnsi="宋体" w:cs="宋体"/>
          <w:b/>
          <w:bCs/>
          <w:color w:val="auto"/>
          <w:kern w:val="2"/>
          <w:sz w:val="28"/>
          <w:szCs w:val="28"/>
          <w:highlight w:val="none"/>
          <w:lang w:val="zh-CN" w:eastAsia="zh-CN" w:bidi="ar-SA"/>
        </w:rPr>
        <w:t>2023年01月</w:t>
      </w:r>
      <w:r>
        <w:rPr>
          <w:rFonts w:hint="eastAsia" w:ascii="宋体" w:hAnsi="宋体" w:eastAsia="宋体" w:cs="宋体"/>
          <w:b/>
          <w:bCs/>
          <w:color w:val="auto"/>
          <w:kern w:val="2"/>
          <w:sz w:val="28"/>
          <w:szCs w:val="28"/>
          <w:highlight w:val="none"/>
          <w:lang w:val="zh-CN" w:eastAsia="zh-CN" w:bidi="ar-SA"/>
        </w:rPr>
        <w:t>至今</w:t>
      </w:r>
      <w:r>
        <w:rPr>
          <w:rFonts w:hint="eastAsia" w:ascii="宋体" w:hAnsi="宋体" w:eastAsia="宋体" w:cs="宋体"/>
          <w:b/>
          <w:bCs/>
          <w:color w:val="auto"/>
          <w:kern w:val="2"/>
          <w:sz w:val="28"/>
          <w:szCs w:val="28"/>
          <w:highlight w:val="none"/>
          <w:lang w:val="en-US" w:eastAsia="zh-CN" w:bidi="ar-SA"/>
        </w:rPr>
        <w:t>完成的类似业绩证明材料</w:t>
      </w:r>
      <w:bookmarkEnd w:id="97"/>
    </w:p>
    <w:p w14:paraId="25A35AEE">
      <w:pPr>
        <w:rPr>
          <w:rFonts w:hint="eastAsia" w:ascii="宋体" w:hAnsi="宋体" w:eastAsia="宋体" w:cs="宋体"/>
          <w:color w:val="auto"/>
          <w:highlight w:val="none"/>
        </w:rPr>
      </w:pPr>
    </w:p>
    <w:p w14:paraId="43A6A9C0">
      <w:pPr>
        <w:pStyle w:val="10"/>
        <w:rPr>
          <w:rFonts w:hint="eastAsia" w:ascii="宋体" w:hAnsi="宋体" w:eastAsia="宋体" w:cs="宋体"/>
          <w:color w:val="auto"/>
          <w:highlight w:val="none"/>
        </w:rPr>
      </w:pPr>
    </w:p>
    <w:p w14:paraId="7AB44109">
      <w:pPr>
        <w:rPr>
          <w:rFonts w:hint="eastAsia" w:ascii="宋体" w:hAnsi="宋体" w:eastAsia="宋体" w:cs="宋体"/>
          <w:color w:val="auto"/>
          <w:highlight w:val="none"/>
        </w:rPr>
      </w:pPr>
    </w:p>
    <w:p w14:paraId="1FABA7AF">
      <w:pPr>
        <w:pStyle w:val="10"/>
        <w:rPr>
          <w:rFonts w:hint="eastAsia" w:ascii="宋体" w:hAnsi="宋体" w:eastAsia="宋体" w:cs="宋体"/>
          <w:color w:val="auto"/>
          <w:highlight w:val="none"/>
        </w:rPr>
      </w:pPr>
    </w:p>
    <w:p w14:paraId="5413A1CE">
      <w:pPr>
        <w:pStyle w:val="44"/>
        <w:spacing w:line="360" w:lineRule="auto"/>
        <w:ind w:left="0" w:leftChars="0" w:firstLine="0" w:firstLineChars="0"/>
        <w:rPr>
          <w:rFonts w:hint="eastAsia" w:ascii="宋体" w:hAnsi="宋体" w:eastAsia="宋体" w:cs="宋体"/>
          <w:b w:val="0"/>
          <w:bCs w:val="0"/>
          <w:sz w:val="24"/>
          <w:szCs w:val="24"/>
          <w:highlight w:val="none"/>
          <w:lang w:val="en-US" w:eastAsia="zh-CN"/>
        </w:rPr>
      </w:pPr>
    </w:p>
    <w:sectPr>
      <w:headerReference r:id="rId11" w:type="default"/>
      <w:footerReference r:id="rId12" w:type="default"/>
      <w:pgSz w:w="11849" w:h="16781"/>
      <w:pgMar w:top="1440" w:right="1083" w:bottom="1440" w:left="1083" w:header="720" w:footer="72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10002FF" w:usb1="4000FCFF" w:usb2="00000009" w:usb3="00000000" w:csb0="6000019F" w:csb1="DFD70000"/>
  </w:font>
  <w:font w:name="Arial Unicode MS">
    <w:altName w:val="宋体"/>
    <w:panose1 w:val="020B0604020202020204"/>
    <w:charset w:val="86"/>
    <w:family w:val="roman"/>
    <w:pitch w:val="default"/>
    <w:sig w:usb0="00000000" w:usb1="00000000" w:usb2="0000003F" w:usb3="00000000" w:csb0="603F01FF" w:csb1="FFFF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8656D">
    <w:pPr>
      <w:pStyle w:val="15"/>
      <w:rPr>
        <w:rFonts w:hint="eastAsia" w:ascii="宋体" w:hAnsi="宋体"/>
        <w:b/>
      </w:rPr>
    </w:pPr>
  </w:p>
  <w:p w14:paraId="7C87E58F">
    <w:pPr>
      <w:spacing w:line="280" w:lineRule="exact"/>
      <w:jc w:val="left"/>
      <w:rPr>
        <w:rFonts w:hint="eastAsia" w:ascii="楷体" w:hAnsi="楷体" w:eastAsia="楷体" w:cs="楷体"/>
        <w:b/>
        <w:sz w:val="18"/>
        <w:szCs w:val="18"/>
        <w:u w:val="single"/>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C77C5">
    <w:pPr>
      <w:pStyle w:val="15"/>
      <w:rPr>
        <w:rFonts w:hint="eastAsia" w:ascii="宋体" w:hAnsi="宋体"/>
        <w:b/>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81305" cy="1587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81305" cy="158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AEC99">
                          <w:pPr>
                            <w:pStyle w:val="1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5pt;width:22.15pt;mso-position-horizontal:center;mso-position-horizontal-relative:margin;z-index:251664384;mso-width-relative:page;mso-height-relative:page;" filled="f" stroked="f" coordsize="21600,21600" o:gfxdata="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eWgdNMAAAADAQAADwAAAAAAAAABACAAAAAiAAAAZHJzL2Rvd25yZXYueG1s&#10;UEsBAhQAFAAAAAgAh07iQP+spzc2AgAAYwQAAA4AAAAAAAAAAQAgAAAAIgEAAGRycy9lMm9Eb2Mu&#10;eG1sUEsFBgAAAAAGAAYAWQEAAMoFAAAAAA==&#10;">
              <v:fill on="f" focussize="0,0"/>
              <v:stroke on="f" weight="0.5pt"/>
              <v:imagedata o:title=""/>
              <o:lock v:ext="edit" aspectratio="f"/>
              <v:textbox inset="0mm,0mm,0mm,0mm">
                <w:txbxContent>
                  <w:p w14:paraId="255AEC99">
                    <w:pPr>
                      <w:pStyle w:val="15"/>
                    </w:pPr>
                    <w:r>
                      <w:fldChar w:fldCharType="begin"/>
                    </w:r>
                    <w:r>
                      <w:instrText xml:space="preserve"> PAGE  \* MERGEFORMAT </w:instrText>
                    </w:r>
                    <w:r>
                      <w:fldChar w:fldCharType="separate"/>
                    </w:r>
                    <w:r>
                      <w:t>48</w:t>
                    </w:r>
                    <w:r>
                      <w:fldChar w:fldCharType="end"/>
                    </w:r>
                  </w:p>
                </w:txbxContent>
              </v:textbox>
            </v:shape>
          </w:pict>
        </mc:Fallback>
      </mc:AlternateContent>
    </w:r>
  </w:p>
  <w:p w14:paraId="5E31954E">
    <w:pPr>
      <w:spacing w:line="280" w:lineRule="exact"/>
      <w:jc w:val="left"/>
      <w:rPr>
        <w:rFonts w:hint="eastAsia" w:ascii="楷体" w:hAnsi="楷体" w:eastAsia="楷体" w:cs="楷体"/>
        <w:b/>
        <w:sz w:val="18"/>
        <w:szCs w:val="18"/>
        <w:u w:val="single"/>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2BBC8">
    <w:pPr>
      <w:pStyle w:val="15"/>
      <w:rPr>
        <w:rFonts w:hint="eastAsia" w:ascii="宋体" w:hAnsi="宋体" w:eastAsia="宋体" w:cs="宋体"/>
        <w:b/>
        <w:sz w:val="18"/>
        <w:szCs w:val="18"/>
        <w:u w:val="single"/>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13A2D">
                          <w:pPr>
                            <w:pStyle w:val="1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4513A2D">
                    <w:pPr>
                      <w:pStyle w:val="1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8788E">
    <w:pPr>
      <w:pStyle w:val="15"/>
      <w:jc w:val="center"/>
      <w:rPr>
        <w:rFonts w:hint="eastAsia" w:ascii="宋体" w:hAnsi="宋体" w:eastAsia="宋体" w:cs="宋体"/>
        <w:b/>
        <w:sz w:val="18"/>
        <w:szCs w:val="18"/>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0CD8D">
                          <w:pPr>
                            <w:pStyle w:val="1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3C80CD8D">
                    <w:pPr>
                      <w:pStyle w:val="1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D00C5">
    <w:pPr>
      <w:pStyle w:val="1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9555"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249555" cy="1828800"/>
                      </a:xfrm>
                      <a:prstGeom prst="rect">
                        <a:avLst/>
                      </a:prstGeom>
                      <a:noFill/>
                      <a:ln>
                        <a:noFill/>
                      </a:ln>
                    </wps:spPr>
                    <wps:txbx>
                      <w:txbxContent>
                        <w:p w14:paraId="58B7A091">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wps:txbx>
                    <wps:bodyPr vert="horz" wrap="square" lIns="0" tIns="0" rIns="0" bIns="0" anchor="t" upright="0">
                      <a:spAutoFit/>
                    </wps:bodyPr>
                  </wps:wsp>
                </a:graphicData>
              </a:graphic>
            </wp:anchor>
          </w:drawing>
        </mc:Choice>
        <mc:Fallback>
          <w:pict>
            <v:shape id="文本框 5" o:spid="_x0000_s1026" o:spt="202" type="#_x0000_t202" style="position:absolute;left:0pt;margin-top:0pt;height:144pt;width:19.65pt;mso-position-horizontal:center;mso-position-horizontal-relative:margin;z-index:251660288;mso-width-relative:page;mso-height-relative:page;" filled="f" stroked="f" coordsize="21600,21600" o:gfxdata="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DEv30wAAAAQBAAAPAAAA&#10;AAAAAAEAIAAAACIAAABkcnMvZG93bnJldi54bWxQSwECFAAUAAAACACHTuJAWqHKTuEBAACxAwAA&#10;DgAAAAAAAAABACAAAAAiAQAAZHJzL2Uyb0RvYy54bWxQSwUGAAAAAAYABgBZAQAAdQUAAAAA&#10;">
              <v:fill on="f" focussize="0,0"/>
              <v:stroke on="f"/>
              <v:imagedata o:title=""/>
              <o:lock v:ext="edit" aspectratio="f"/>
              <v:textbox inset="0mm,0mm,0mm,0mm" style="mso-fit-shape-to-text:t;">
                <w:txbxContent>
                  <w:p w14:paraId="58B7A091">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47B44">
    <w:pPr>
      <w:spacing w:line="480" w:lineRule="exact"/>
      <w:jc w:val="left"/>
      <w:rPr>
        <w:rFonts w:hint="eastAsia"/>
        <w:u w: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2CE7C">
    <w:pPr>
      <w:pStyle w:val="48"/>
      <w:ind w:left="0" w:leftChars="0" w:firstLine="0" w:firstLineChars="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9F015">
    <w:pPr>
      <w:spacing w:line="480" w:lineRule="exact"/>
      <w:jc w:val="left"/>
      <w:rPr>
        <w:rFonts w:hint="eastAsia"/>
        <w:u w:val="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D3B0D">
    <w:pPr>
      <w:spacing w:line="480" w:lineRule="exact"/>
      <w:rPr>
        <w:rFonts w:hint="eastAsia" w:ascii="宋体" w:hAnsi="宋体" w:eastAsia="宋体" w:cs="宋体"/>
        <w:b/>
        <w:sz w:val="18"/>
        <w:szCs w:val="18"/>
        <w:u w:val="single"/>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68FB">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45A44E"/>
    <w:multiLevelType w:val="singleLevel"/>
    <w:tmpl w:val="C445A44E"/>
    <w:lvl w:ilvl="0" w:tentative="0">
      <w:start w:val="1"/>
      <w:numFmt w:val="chineseCounting"/>
      <w:suff w:val="space"/>
      <w:lvlText w:val="第%1章"/>
      <w:lvlJc w:val="left"/>
      <w:rPr>
        <w:rFonts w:hint="eastAsia"/>
      </w:rPr>
    </w:lvl>
  </w:abstractNum>
  <w:abstractNum w:abstractNumId="1">
    <w:nsid w:val="CAF1E840"/>
    <w:multiLevelType w:val="singleLevel"/>
    <w:tmpl w:val="CAF1E840"/>
    <w:lvl w:ilvl="0" w:tentative="0">
      <w:start w:val="1"/>
      <w:numFmt w:val="chineseCounting"/>
      <w:suff w:val="nothing"/>
      <w:lvlText w:val="%1、"/>
      <w:lvlJc w:val="left"/>
      <w:rPr>
        <w:rFonts w:hint="eastAsia"/>
      </w:rPr>
    </w:lvl>
  </w:abstractNum>
  <w:abstractNum w:abstractNumId="2">
    <w:nsid w:val="FB91BD51"/>
    <w:multiLevelType w:val="singleLevel"/>
    <w:tmpl w:val="FB91BD51"/>
    <w:lvl w:ilvl="0" w:tentative="0">
      <w:start w:val="3"/>
      <w:numFmt w:val="chineseCounting"/>
      <w:suff w:val="space"/>
      <w:lvlText w:val="第%1章"/>
      <w:lvlJc w:val="left"/>
      <w:rPr>
        <w:rFonts w:hint="eastAsia"/>
      </w:rPr>
    </w:lvl>
  </w:abstractNum>
  <w:abstractNum w:abstractNumId="3">
    <w:nsid w:val="09084DF0"/>
    <w:multiLevelType w:val="singleLevel"/>
    <w:tmpl w:val="09084DF0"/>
    <w:lvl w:ilvl="0" w:tentative="0">
      <w:start w:val="1"/>
      <w:numFmt w:val="decimal"/>
      <w:suff w:val="nothing"/>
      <w:lvlText w:val="%1、"/>
      <w:lvlJc w:val="left"/>
    </w:lvl>
  </w:abstractNum>
  <w:abstractNum w:abstractNumId="4">
    <w:nsid w:val="1695A40C"/>
    <w:multiLevelType w:val="singleLevel"/>
    <w:tmpl w:val="1695A40C"/>
    <w:lvl w:ilvl="0" w:tentative="0">
      <w:start w:val="4"/>
      <w:numFmt w:val="chineseCounting"/>
      <w:suff w:val="nothing"/>
      <w:lvlText w:val="%1、"/>
      <w:lvlJc w:val="left"/>
      <w:rPr>
        <w:rFonts w:hint="eastAsia"/>
      </w:rPr>
    </w:lvl>
  </w:abstractNum>
  <w:abstractNum w:abstractNumId="5">
    <w:nsid w:val="220058AD"/>
    <w:multiLevelType w:val="singleLevel"/>
    <w:tmpl w:val="220058AD"/>
    <w:lvl w:ilvl="0" w:tentative="0">
      <w:start w:val="4"/>
      <w:numFmt w:val="chineseCounting"/>
      <w:suff w:val="space"/>
      <w:lvlText w:val="第%1章"/>
      <w:lvlJc w:val="left"/>
      <w:rPr>
        <w:rFonts w:hint="eastAsia"/>
      </w:rPr>
    </w:lvl>
  </w:abstractNum>
  <w:abstractNum w:abstractNumId="6">
    <w:nsid w:val="579B2D63"/>
    <w:multiLevelType w:val="singleLevel"/>
    <w:tmpl w:val="579B2D63"/>
    <w:lvl w:ilvl="0" w:tentative="0">
      <w:start w:val="1"/>
      <w:numFmt w:val="decimal"/>
      <w:suff w:val="nothing"/>
      <w:lvlText w:val="（%1）"/>
      <w:lvlJc w:val="left"/>
      <w:pPr>
        <w:ind w:left="80"/>
      </w:pPr>
    </w:lvl>
  </w:abstractNum>
  <w:abstractNum w:abstractNumId="7">
    <w:nsid w:val="5D6D5049"/>
    <w:multiLevelType w:val="singleLevel"/>
    <w:tmpl w:val="5D6D5049"/>
    <w:lvl w:ilvl="0" w:tentative="0">
      <w:start w:val="1"/>
      <w:numFmt w:val="decimal"/>
      <w:suff w:val="nothing"/>
      <w:lvlText w:val="%1、"/>
      <w:lvlJc w:val="left"/>
    </w:lvl>
  </w:abstractNum>
  <w:abstractNum w:abstractNumId="8">
    <w:nsid w:val="74466E67"/>
    <w:multiLevelType w:val="singleLevel"/>
    <w:tmpl w:val="74466E67"/>
    <w:lvl w:ilvl="0" w:tentative="0">
      <w:start w:val="9"/>
      <w:numFmt w:val="decimal"/>
      <w:suff w:val="nothing"/>
      <w:lvlText w:val="（%1）"/>
      <w:lvlJc w:val="left"/>
    </w:lvl>
  </w:abstractNum>
  <w:num w:numId="1">
    <w:abstractNumId w:val="0"/>
  </w:num>
  <w:num w:numId="2">
    <w:abstractNumId w:val="3"/>
  </w:num>
  <w:num w:numId="3">
    <w:abstractNumId w:val="6"/>
  </w:num>
  <w:num w:numId="4">
    <w:abstractNumId w:val="8"/>
  </w:num>
  <w:num w:numId="5">
    <w:abstractNumId w:val="2"/>
  </w:num>
  <w:num w:numId="6">
    <w:abstractNumId w:val="5"/>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3YWUxZGEzOTdlMGRlZjAwMDk1MTNlZjNiNDg3NDgifQ=="/>
  </w:docVars>
  <w:rsids>
    <w:rsidRoot w:val="00172A27"/>
    <w:rsid w:val="000327F6"/>
    <w:rsid w:val="00045065"/>
    <w:rsid w:val="000A5622"/>
    <w:rsid w:val="000B6C73"/>
    <w:rsid w:val="000C2BD6"/>
    <w:rsid w:val="000C4415"/>
    <w:rsid w:val="00100064"/>
    <w:rsid w:val="00115AAC"/>
    <w:rsid w:val="0011644B"/>
    <w:rsid w:val="00122C37"/>
    <w:rsid w:val="00154C51"/>
    <w:rsid w:val="00171711"/>
    <w:rsid w:val="00185B7D"/>
    <w:rsid w:val="0019698F"/>
    <w:rsid w:val="001B22D4"/>
    <w:rsid w:val="001C02FB"/>
    <w:rsid w:val="001C06FB"/>
    <w:rsid w:val="001C1ABD"/>
    <w:rsid w:val="001D2BD3"/>
    <w:rsid w:val="001D426C"/>
    <w:rsid w:val="001E4660"/>
    <w:rsid w:val="0020267C"/>
    <w:rsid w:val="002033ED"/>
    <w:rsid w:val="00207591"/>
    <w:rsid w:val="00226DAE"/>
    <w:rsid w:val="002535DB"/>
    <w:rsid w:val="0027327C"/>
    <w:rsid w:val="002A34CB"/>
    <w:rsid w:val="002B4F45"/>
    <w:rsid w:val="002F0354"/>
    <w:rsid w:val="002F2353"/>
    <w:rsid w:val="003002FF"/>
    <w:rsid w:val="00327CB1"/>
    <w:rsid w:val="00343467"/>
    <w:rsid w:val="003C12E5"/>
    <w:rsid w:val="003D6B36"/>
    <w:rsid w:val="004154A2"/>
    <w:rsid w:val="0042300E"/>
    <w:rsid w:val="004240D3"/>
    <w:rsid w:val="00440BD6"/>
    <w:rsid w:val="0049673E"/>
    <w:rsid w:val="004A2CEB"/>
    <w:rsid w:val="004B0F3F"/>
    <w:rsid w:val="0050445E"/>
    <w:rsid w:val="005212ED"/>
    <w:rsid w:val="005322C2"/>
    <w:rsid w:val="005614EC"/>
    <w:rsid w:val="00561A71"/>
    <w:rsid w:val="005644F0"/>
    <w:rsid w:val="00593135"/>
    <w:rsid w:val="00593DC2"/>
    <w:rsid w:val="005D40F4"/>
    <w:rsid w:val="005D4C63"/>
    <w:rsid w:val="005E6C89"/>
    <w:rsid w:val="005E73F8"/>
    <w:rsid w:val="00696295"/>
    <w:rsid w:val="006D228F"/>
    <w:rsid w:val="006D7968"/>
    <w:rsid w:val="0071157D"/>
    <w:rsid w:val="00716C3B"/>
    <w:rsid w:val="00717621"/>
    <w:rsid w:val="00773939"/>
    <w:rsid w:val="007807AC"/>
    <w:rsid w:val="007848F5"/>
    <w:rsid w:val="0078569D"/>
    <w:rsid w:val="007F0790"/>
    <w:rsid w:val="007F728E"/>
    <w:rsid w:val="0080580E"/>
    <w:rsid w:val="00815F66"/>
    <w:rsid w:val="008233A0"/>
    <w:rsid w:val="00827953"/>
    <w:rsid w:val="00841734"/>
    <w:rsid w:val="00852266"/>
    <w:rsid w:val="008540C9"/>
    <w:rsid w:val="008624DE"/>
    <w:rsid w:val="00873D7C"/>
    <w:rsid w:val="008A5B2E"/>
    <w:rsid w:val="008C0B23"/>
    <w:rsid w:val="008C4A57"/>
    <w:rsid w:val="008F2B4E"/>
    <w:rsid w:val="0090097E"/>
    <w:rsid w:val="00910DF3"/>
    <w:rsid w:val="00953321"/>
    <w:rsid w:val="00987446"/>
    <w:rsid w:val="009C427D"/>
    <w:rsid w:val="009D02D1"/>
    <w:rsid w:val="009E2461"/>
    <w:rsid w:val="009E68AC"/>
    <w:rsid w:val="009F2E6D"/>
    <w:rsid w:val="00A3396F"/>
    <w:rsid w:val="00A33C3E"/>
    <w:rsid w:val="00A54F18"/>
    <w:rsid w:val="00A64246"/>
    <w:rsid w:val="00A77550"/>
    <w:rsid w:val="00A83DDA"/>
    <w:rsid w:val="00A948D4"/>
    <w:rsid w:val="00AB4B44"/>
    <w:rsid w:val="00AD2ECE"/>
    <w:rsid w:val="00AF4AE0"/>
    <w:rsid w:val="00AF5B67"/>
    <w:rsid w:val="00B04B38"/>
    <w:rsid w:val="00B11373"/>
    <w:rsid w:val="00B12E38"/>
    <w:rsid w:val="00B5117E"/>
    <w:rsid w:val="00B52F97"/>
    <w:rsid w:val="00B83327"/>
    <w:rsid w:val="00B8680E"/>
    <w:rsid w:val="00BA0FA9"/>
    <w:rsid w:val="00BC3A6C"/>
    <w:rsid w:val="00BC757B"/>
    <w:rsid w:val="00C45AF9"/>
    <w:rsid w:val="00C577DE"/>
    <w:rsid w:val="00C62A64"/>
    <w:rsid w:val="00CA303A"/>
    <w:rsid w:val="00CB5577"/>
    <w:rsid w:val="00CC7B04"/>
    <w:rsid w:val="00CF2944"/>
    <w:rsid w:val="00D061D0"/>
    <w:rsid w:val="00D11DA0"/>
    <w:rsid w:val="00D52F63"/>
    <w:rsid w:val="00D533F8"/>
    <w:rsid w:val="00D86811"/>
    <w:rsid w:val="00D97E9A"/>
    <w:rsid w:val="00DA2E3D"/>
    <w:rsid w:val="00DB5E90"/>
    <w:rsid w:val="00DC01F9"/>
    <w:rsid w:val="00E17760"/>
    <w:rsid w:val="00E17F64"/>
    <w:rsid w:val="00E255C8"/>
    <w:rsid w:val="00EA5DF1"/>
    <w:rsid w:val="00EB4222"/>
    <w:rsid w:val="00EC5246"/>
    <w:rsid w:val="00ED3BFA"/>
    <w:rsid w:val="00ED6E0D"/>
    <w:rsid w:val="00EF5DC7"/>
    <w:rsid w:val="00F440D8"/>
    <w:rsid w:val="00F54007"/>
    <w:rsid w:val="00F56EA8"/>
    <w:rsid w:val="00FA380A"/>
    <w:rsid w:val="00FA7B3F"/>
    <w:rsid w:val="00FA7B49"/>
    <w:rsid w:val="00FB1B0B"/>
    <w:rsid w:val="00FB2306"/>
    <w:rsid w:val="00FD1BB0"/>
    <w:rsid w:val="01021BA8"/>
    <w:rsid w:val="011B438E"/>
    <w:rsid w:val="011B6335"/>
    <w:rsid w:val="01247E92"/>
    <w:rsid w:val="01302038"/>
    <w:rsid w:val="013D01DA"/>
    <w:rsid w:val="013E61E2"/>
    <w:rsid w:val="0146666F"/>
    <w:rsid w:val="014866DE"/>
    <w:rsid w:val="0151278F"/>
    <w:rsid w:val="01537696"/>
    <w:rsid w:val="015E0FC4"/>
    <w:rsid w:val="016E2F6B"/>
    <w:rsid w:val="016E79BB"/>
    <w:rsid w:val="017579A8"/>
    <w:rsid w:val="017B0014"/>
    <w:rsid w:val="017F3B76"/>
    <w:rsid w:val="0189362A"/>
    <w:rsid w:val="01934780"/>
    <w:rsid w:val="01957E27"/>
    <w:rsid w:val="01B75576"/>
    <w:rsid w:val="01BA6963"/>
    <w:rsid w:val="01D3571A"/>
    <w:rsid w:val="01DB7EBC"/>
    <w:rsid w:val="01EE0F89"/>
    <w:rsid w:val="020E7FE4"/>
    <w:rsid w:val="021138F7"/>
    <w:rsid w:val="02330D66"/>
    <w:rsid w:val="02402483"/>
    <w:rsid w:val="02535CBD"/>
    <w:rsid w:val="02565D28"/>
    <w:rsid w:val="025F4662"/>
    <w:rsid w:val="02685C0C"/>
    <w:rsid w:val="02742095"/>
    <w:rsid w:val="02750116"/>
    <w:rsid w:val="02886058"/>
    <w:rsid w:val="028E2239"/>
    <w:rsid w:val="029929F4"/>
    <w:rsid w:val="02BA5F5E"/>
    <w:rsid w:val="02FF5E45"/>
    <w:rsid w:val="03037514"/>
    <w:rsid w:val="03116352"/>
    <w:rsid w:val="03117BB8"/>
    <w:rsid w:val="03154BFE"/>
    <w:rsid w:val="031B7704"/>
    <w:rsid w:val="03284584"/>
    <w:rsid w:val="032C7BBE"/>
    <w:rsid w:val="032F672A"/>
    <w:rsid w:val="0337542F"/>
    <w:rsid w:val="036B7036"/>
    <w:rsid w:val="03716D43"/>
    <w:rsid w:val="03791A86"/>
    <w:rsid w:val="037B2DC4"/>
    <w:rsid w:val="037D61DE"/>
    <w:rsid w:val="0384101C"/>
    <w:rsid w:val="0389225D"/>
    <w:rsid w:val="038B5BC4"/>
    <w:rsid w:val="03A21034"/>
    <w:rsid w:val="03AE6C4A"/>
    <w:rsid w:val="03E5328D"/>
    <w:rsid w:val="03F54682"/>
    <w:rsid w:val="04022BFE"/>
    <w:rsid w:val="04160FDC"/>
    <w:rsid w:val="04236CFF"/>
    <w:rsid w:val="042A2F4E"/>
    <w:rsid w:val="046C750A"/>
    <w:rsid w:val="047D0094"/>
    <w:rsid w:val="04810C66"/>
    <w:rsid w:val="049C7A2E"/>
    <w:rsid w:val="04A06914"/>
    <w:rsid w:val="04AD516D"/>
    <w:rsid w:val="04AF3C14"/>
    <w:rsid w:val="04C20084"/>
    <w:rsid w:val="04CB0091"/>
    <w:rsid w:val="04CD0710"/>
    <w:rsid w:val="04E56551"/>
    <w:rsid w:val="050665A2"/>
    <w:rsid w:val="050A3B09"/>
    <w:rsid w:val="051931EE"/>
    <w:rsid w:val="051A7389"/>
    <w:rsid w:val="05263B5D"/>
    <w:rsid w:val="052B4CCF"/>
    <w:rsid w:val="052C47CE"/>
    <w:rsid w:val="053C0C8A"/>
    <w:rsid w:val="053D6438"/>
    <w:rsid w:val="054A15F9"/>
    <w:rsid w:val="054A6CC1"/>
    <w:rsid w:val="054C2F3C"/>
    <w:rsid w:val="05757CF3"/>
    <w:rsid w:val="0583125F"/>
    <w:rsid w:val="058C5B63"/>
    <w:rsid w:val="0593682F"/>
    <w:rsid w:val="05A31106"/>
    <w:rsid w:val="05A351AD"/>
    <w:rsid w:val="05A63BA7"/>
    <w:rsid w:val="05B66C8F"/>
    <w:rsid w:val="05CF6454"/>
    <w:rsid w:val="05DA305B"/>
    <w:rsid w:val="05E63E64"/>
    <w:rsid w:val="05F93A16"/>
    <w:rsid w:val="05FC5A7E"/>
    <w:rsid w:val="060834FC"/>
    <w:rsid w:val="06107E61"/>
    <w:rsid w:val="06152050"/>
    <w:rsid w:val="061A133C"/>
    <w:rsid w:val="061B574F"/>
    <w:rsid w:val="061F027E"/>
    <w:rsid w:val="062067FE"/>
    <w:rsid w:val="062539FF"/>
    <w:rsid w:val="062E0F1B"/>
    <w:rsid w:val="06313475"/>
    <w:rsid w:val="06465301"/>
    <w:rsid w:val="064B142F"/>
    <w:rsid w:val="064D39BE"/>
    <w:rsid w:val="065456E8"/>
    <w:rsid w:val="06605533"/>
    <w:rsid w:val="06643F74"/>
    <w:rsid w:val="066B5CCB"/>
    <w:rsid w:val="06734B80"/>
    <w:rsid w:val="067F3398"/>
    <w:rsid w:val="06805006"/>
    <w:rsid w:val="068E7F6B"/>
    <w:rsid w:val="068F173C"/>
    <w:rsid w:val="06946962"/>
    <w:rsid w:val="06B44960"/>
    <w:rsid w:val="06DB6163"/>
    <w:rsid w:val="06E31D05"/>
    <w:rsid w:val="06E92D95"/>
    <w:rsid w:val="06ED0F82"/>
    <w:rsid w:val="06F84E27"/>
    <w:rsid w:val="06FA011B"/>
    <w:rsid w:val="070A0C8B"/>
    <w:rsid w:val="071F3C81"/>
    <w:rsid w:val="073B34E2"/>
    <w:rsid w:val="073F0AAA"/>
    <w:rsid w:val="0746789B"/>
    <w:rsid w:val="074958E1"/>
    <w:rsid w:val="074A2F16"/>
    <w:rsid w:val="076158D7"/>
    <w:rsid w:val="076A5EBC"/>
    <w:rsid w:val="076D638D"/>
    <w:rsid w:val="077A2252"/>
    <w:rsid w:val="07A22D90"/>
    <w:rsid w:val="07B0770E"/>
    <w:rsid w:val="07B1083A"/>
    <w:rsid w:val="07B30AD6"/>
    <w:rsid w:val="07CD6512"/>
    <w:rsid w:val="07D433FC"/>
    <w:rsid w:val="07D63C79"/>
    <w:rsid w:val="07DA257E"/>
    <w:rsid w:val="07DF5C96"/>
    <w:rsid w:val="07F615C4"/>
    <w:rsid w:val="08147C2D"/>
    <w:rsid w:val="08163393"/>
    <w:rsid w:val="08237D7E"/>
    <w:rsid w:val="08326375"/>
    <w:rsid w:val="083640B7"/>
    <w:rsid w:val="084558C8"/>
    <w:rsid w:val="08456D0A"/>
    <w:rsid w:val="08471B54"/>
    <w:rsid w:val="08477B23"/>
    <w:rsid w:val="08691F12"/>
    <w:rsid w:val="086A1FB2"/>
    <w:rsid w:val="086D2DAD"/>
    <w:rsid w:val="08972CD1"/>
    <w:rsid w:val="089820E6"/>
    <w:rsid w:val="089E3A0A"/>
    <w:rsid w:val="08A454C4"/>
    <w:rsid w:val="08B43636"/>
    <w:rsid w:val="08B5088C"/>
    <w:rsid w:val="08B81AB7"/>
    <w:rsid w:val="08BB280E"/>
    <w:rsid w:val="08BD1E5D"/>
    <w:rsid w:val="08C12B3F"/>
    <w:rsid w:val="08CE4F66"/>
    <w:rsid w:val="08E072B5"/>
    <w:rsid w:val="09077801"/>
    <w:rsid w:val="092E1B47"/>
    <w:rsid w:val="0933033E"/>
    <w:rsid w:val="093916BA"/>
    <w:rsid w:val="093C394F"/>
    <w:rsid w:val="09447444"/>
    <w:rsid w:val="09472B84"/>
    <w:rsid w:val="09473C48"/>
    <w:rsid w:val="09581E0B"/>
    <w:rsid w:val="097529BD"/>
    <w:rsid w:val="097A6225"/>
    <w:rsid w:val="097C14E4"/>
    <w:rsid w:val="097F0E7D"/>
    <w:rsid w:val="098C2909"/>
    <w:rsid w:val="09904288"/>
    <w:rsid w:val="099472E7"/>
    <w:rsid w:val="09965236"/>
    <w:rsid w:val="09991C69"/>
    <w:rsid w:val="099E02A7"/>
    <w:rsid w:val="09AB2883"/>
    <w:rsid w:val="09B13158"/>
    <w:rsid w:val="09C35018"/>
    <w:rsid w:val="09CA0D26"/>
    <w:rsid w:val="09CB04E0"/>
    <w:rsid w:val="09DE594A"/>
    <w:rsid w:val="09EA74F6"/>
    <w:rsid w:val="0A0328E2"/>
    <w:rsid w:val="0A147843"/>
    <w:rsid w:val="0A25011B"/>
    <w:rsid w:val="0A2E4D05"/>
    <w:rsid w:val="0A381EFB"/>
    <w:rsid w:val="0A39513C"/>
    <w:rsid w:val="0A411229"/>
    <w:rsid w:val="0A432A99"/>
    <w:rsid w:val="0A4A67CC"/>
    <w:rsid w:val="0A4F4254"/>
    <w:rsid w:val="0A54652A"/>
    <w:rsid w:val="0A6846F0"/>
    <w:rsid w:val="0A6F565E"/>
    <w:rsid w:val="0A704A0A"/>
    <w:rsid w:val="0A837319"/>
    <w:rsid w:val="0A97793B"/>
    <w:rsid w:val="0AA634B8"/>
    <w:rsid w:val="0AA97D04"/>
    <w:rsid w:val="0ABA1FAF"/>
    <w:rsid w:val="0AC10BCC"/>
    <w:rsid w:val="0AC567DB"/>
    <w:rsid w:val="0AD54E41"/>
    <w:rsid w:val="0AE4604C"/>
    <w:rsid w:val="0AE709DF"/>
    <w:rsid w:val="0AF7675C"/>
    <w:rsid w:val="0AF835DA"/>
    <w:rsid w:val="0AFA72AE"/>
    <w:rsid w:val="0B095AB3"/>
    <w:rsid w:val="0B0C62A2"/>
    <w:rsid w:val="0B0D2A56"/>
    <w:rsid w:val="0B0E58C2"/>
    <w:rsid w:val="0B1E5942"/>
    <w:rsid w:val="0B200E5B"/>
    <w:rsid w:val="0B6D703F"/>
    <w:rsid w:val="0B6E6D14"/>
    <w:rsid w:val="0B972A87"/>
    <w:rsid w:val="0BBD4957"/>
    <w:rsid w:val="0BCC230C"/>
    <w:rsid w:val="0BCC2F96"/>
    <w:rsid w:val="0BD94FB7"/>
    <w:rsid w:val="0BF40511"/>
    <w:rsid w:val="0BF876CE"/>
    <w:rsid w:val="0C106583"/>
    <w:rsid w:val="0C1666D9"/>
    <w:rsid w:val="0C201336"/>
    <w:rsid w:val="0C2F012D"/>
    <w:rsid w:val="0C3B56A2"/>
    <w:rsid w:val="0C3E353A"/>
    <w:rsid w:val="0C62191E"/>
    <w:rsid w:val="0C6236CC"/>
    <w:rsid w:val="0C777ECF"/>
    <w:rsid w:val="0C7B75A3"/>
    <w:rsid w:val="0CB25A78"/>
    <w:rsid w:val="0CB4281B"/>
    <w:rsid w:val="0CD96BAA"/>
    <w:rsid w:val="0D0273AB"/>
    <w:rsid w:val="0D285093"/>
    <w:rsid w:val="0D3B22CE"/>
    <w:rsid w:val="0D565170"/>
    <w:rsid w:val="0D6B4803"/>
    <w:rsid w:val="0D6D43C6"/>
    <w:rsid w:val="0D7956A0"/>
    <w:rsid w:val="0D7B1700"/>
    <w:rsid w:val="0D7E4FF4"/>
    <w:rsid w:val="0D8704F9"/>
    <w:rsid w:val="0D870F11"/>
    <w:rsid w:val="0D927FE1"/>
    <w:rsid w:val="0D933D59"/>
    <w:rsid w:val="0DA25EB9"/>
    <w:rsid w:val="0DB241E0"/>
    <w:rsid w:val="0DC20E8F"/>
    <w:rsid w:val="0DC465E5"/>
    <w:rsid w:val="0DD028B8"/>
    <w:rsid w:val="0DD136ED"/>
    <w:rsid w:val="0DE10621"/>
    <w:rsid w:val="0DE16873"/>
    <w:rsid w:val="0DE53ECB"/>
    <w:rsid w:val="0DEE56BA"/>
    <w:rsid w:val="0DEF4B48"/>
    <w:rsid w:val="0DFE11D3"/>
    <w:rsid w:val="0DFF319D"/>
    <w:rsid w:val="0E001623"/>
    <w:rsid w:val="0E2A6683"/>
    <w:rsid w:val="0E381816"/>
    <w:rsid w:val="0E3C2E78"/>
    <w:rsid w:val="0E457A83"/>
    <w:rsid w:val="0E464928"/>
    <w:rsid w:val="0E4816A8"/>
    <w:rsid w:val="0E5F3AD9"/>
    <w:rsid w:val="0E6354DA"/>
    <w:rsid w:val="0E6A6868"/>
    <w:rsid w:val="0E763266"/>
    <w:rsid w:val="0E7771D7"/>
    <w:rsid w:val="0E7E2314"/>
    <w:rsid w:val="0E861A41"/>
    <w:rsid w:val="0E930ADC"/>
    <w:rsid w:val="0E951C6F"/>
    <w:rsid w:val="0EAF71B9"/>
    <w:rsid w:val="0EB472AB"/>
    <w:rsid w:val="0EBA4655"/>
    <w:rsid w:val="0EBD3686"/>
    <w:rsid w:val="0EC9556B"/>
    <w:rsid w:val="0ED60507"/>
    <w:rsid w:val="0ED7475E"/>
    <w:rsid w:val="0ED85EC8"/>
    <w:rsid w:val="0EDF39E8"/>
    <w:rsid w:val="0EE030C6"/>
    <w:rsid w:val="0EEE110C"/>
    <w:rsid w:val="0EEF4FBF"/>
    <w:rsid w:val="0F121DFA"/>
    <w:rsid w:val="0F1A1CEB"/>
    <w:rsid w:val="0F1B4A74"/>
    <w:rsid w:val="0F227143"/>
    <w:rsid w:val="0F2E3D3A"/>
    <w:rsid w:val="0F317386"/>
    <w:rsid w:val="0F3B6457"/>
    <w:rsid w:val="0F59068B"/>
    <w:rsid w:val="0F595229"/>
    <w:rsid w:val="0F8366B0"/>
    <w:rsid w:val="0F921E5B"/>
    <w:rsid w:val="0F960548"/>
    <w:rsid w:val="0F9C51B3"/>
    <w:rsid w:val="0FA71DF7"/>
    <w:rsid w:val="0FB241F9"/>
    <w:rsid w:val="0FB80442"/>
    <w:rsid w:val="0FE16FFE"/>
    <w:rsid w:val="0FEB39C6"/>
    <w:rsid w:val="0FF24D67"/>
    <w:rsid w:val="0FFC5CEC"/>
    <w:rsid w:val="0FFF1232"/>
    <w:rsid w:val="100625C1"/>
    <w:rsid w:val="10220057"/>
    <w:rsid w:val="10280789"/>
    <w:rsid w:val="1032546D"/>
    <w:rsid w:val="103E3BC2"/>
    <w:rsid w:val="103F11B1"/>
    <w:rsid w:val="10686DD7"/>
    <w:rsid w:val="107A5A50"/>
    <w:rsid w:val="108A1AC6"/>
    <w:rsid w:val="1097352B"/>
    <w:rsid w:val="10997518"/>
    <w:rsid w:val="10B265D2"/>
    <w:rsid w:val="10D17073"/>
    <w:rsid w:val="10DC65A3"/>
    <w:rsid w:val="10E52127"/>
    <w:rsid w:val="10F16E41"/>
    <w:rsid w:val="10F171B9"/>
    <w:rsid w:val="10F5774F"/>
    <w:rsid w:val="11147358"/>
    <w:rsid w:val="112C6057"/>
    <w:rsid w:val="11410EBA"/>
    <w:rsid w:val="11427674"/>
    <w:rsid w:val="114D7EBC"/>
    <w:rsid w:val="11660E72"/>
    <w:rsid w:val="11731ED8"/>
    <w:rsid w:val="119A7465"/>
    <w:rsid w:val="119C75A5"/>
    <w:rsid w:val="119F4801"/>
    <w:rsid w:val="11AD5A49"/>
    <w:rsid w:val="11B06FEC"/>
    <w:rsid w:val="11B202C7"/>
    <w:rsid w:val="11B20C52"/>
    <w:rsid w:val="11B568C8"/>
    <w:rsid w:val="11C4650B"/>
    <w:rsid w:val="11C52622"/>
    <w:rsid w:val="11E55721"/>
    <w:rsid w:val="11F87AE5"/>
    <w:rsid w:val="11FD0FCC"/>
    <w:rsid w:val="122519E7"/>
    <w:rsid w:val="122B4561"/>
    <w:rsid w:val="12344B73"/>
    <w:rsid w:val="12443874"/>
    <w:rsid w:val="124D5887"/>
    <w:rsid w:val="126D73FC"/>
    <w:rsid w:val="127B6546"/>
    <w:rsid w:val="12836D9F"/>
    <w:rsid w:val="12890C4A"/>
    <w:rsid w:val="128A0C76"/>
    <w:rsid w:val="128E689D"/>
    <w:rsid w:val="1293075D"/>
    <w:rsid w:val="129739A4"/>
    <w:rsid w:val="12A14A7B"/>
    <w:rsid w:val="12A156A8"/>
    <w:rsid w:val="12B409A5"/>
    <w:rsid w:val="12B97435"/>
    <w:rsid w:val="12C74322"/>
    <w:rsid w:val="12DB468D"/>
    <w:rsid w:val="12E070F9"/>
    <w:rsid w:val="12F21D7C"/>
    <w:rsid w:val="1305613B"/>
    <w:rsid w:val="130F3E82"/>
    <w:rsid w:val="13193128"/>
    <w:rsid w:val="131C52B5"/>
    <w:rsid w:val="13235868"/>
    <w:rsid w:val="13346CAC"/>
    <w:rsid w:val="1336396D"/>
    <w:rsid w:val="13394A5B"/>
    <w:rsid w:val="13497394"/>
    <w:rsid w:val="134C0C32"/>
    <w:rsid w:val="135A334F"/>
    <w:rsid w:val="135E5D77"/>
    <w:rsid w:val="13643A08"/>
    <w:rsid w:val="136D627A"/>
    <w:rsid w:val="13724398"/>
    <w:rsid w:val="137E6124"/>
    <w:rsid w:val="138111EE"/>
    <w:rsid w:val="138228A6"/>
    <w:rsid w:val="138A4EA7"/>
    <w:rsid w:val="138E124B"/>
    <w:rsid w:val="13A96D9D"/>
    <w:rsid w:val="13C33F86"/>
    <w:rsid w:val="13D33102"/>
    <w:rsid w:val="13D91890"/>
    <w:rsid w:val="13E64BE3"/>
    <w:rsid w:val="13E929AC"/>
    <w:rsid w:val="13E930BA"/>
    <w:rsid w:val="13EA178A"/>
    <w:rsid w:val="13F16E5E"/>
    <w:rsid w:val="13F82B68"/>
    <w:rsid w:val="13FC5058"/>
    <w:rsid w:val="140F098B"/>
    <w:rsid w:val="1416492A"/>
    <w:rsid w:val="142C5957"/>
    <w:rsid w:val="1446686F"/>
    <w:rsid w:val="14593607"/>
    <w:rsid w:val="14660439"/>
    <w:rsid w:val="146C35B2"/>
    <w:rsid w:val="146C5222"/>
    <w:rsid w:val="146D2ACB"/>
    <w:rsid w:val="14712BD2"/>
    <w:rsid w:val="14795A57"/>
    <w:rsid w:val="1489757B"/>
    <w:rsid w:val="149C3645"/>
    <w:rsid w:val="14BF71E2"/>
    <w:rsid w:val="14C64A14"/>
    <w:rsid w:val="14CC29A0"/>
    <w:rsid w:val="15035321"/>
    <w:rsid w:val="150A2FF4"/>
    <w:rsid w:val="151117F4"/>
    <w:rsid w:val="15167956"/>
    <w:rsid w:val="15263A3E"/>
    <w:rsid w:val="154222ED"/>
    <w:rsid w:val="154D33BD"/>
    <w:rsid w:val="15500D3E"/>
    <w:rsid w:val="15512C1A"/>
    <w:rsid w:val="15690045"/>
    <w:rsid w:val="157D052D"/>
    <w:rsid w:val="15940F8F"/>
    <w:rsid w:val="15A80E00"/>
    <w:rsid w:val="15AA3F09"/>
    <w:rsid w:val="15B11243"/>
    <w:rsid w:val="15C55991"/>
    <w:rsid w:val="15C56A7A"/>
    <w:rsid w:val="15D32F45"/>
    <w:rsid w:val="15D37B32"/>
    <w:rsid w:val="15D72551"/>
    <w:rsid w:val="15DC3758"/>
    <w:rsid w:val="15EB77CB"/>
    <w:rsid w:val="15ED414A"/>
    <w:rsid w:val="15F03BC4"/>
    <w:rsid w:val="16113A6D"/>
    <w:rsid w:val="16184DFC"/>
    <w:rsid w:val="162A47DD"/>
    <w:rsid w:val="163C264A"/>
    <w:rsid w:val="16493F29"/>
    <w:rsid w:val="164A09B4"/>
    <w:rsid w:val="16554771"/>
    <w:rsid w:val="16585CCF"/>
    <w:rsid w:val="165967D8"/>
    <w:rsid w:val="16843F43"/>
    <w:rsid w:val="168A1109"/>
    <w:rsid w:val="1695469E"/>
    <w:rsid w:val="16A82624"/>
    <w:rsid w:val="16AE0DFA"/>
    <w:rsid w:val="16B14A23"/>
    <w:rsid w:val="16BA18F3"/>
    <w:rsid w:val="16BB7FDD"/>
    <w:rsid w:val="16BC1CD4"/>
    <w:rsid w:val="16C35E35"/>
    <w:rsid w:val="16C770FE"/>
    <w:rsid w:val="16C80BA2"/>
    <w:rsid w:val="16D927DD"/>
    <w:rsid w:val="16E8283F"/>
    <w:rsid w:val="16F17D8A"/>
    <w:rsid w:val="16FD38E2"/>
    <w:rsid w:val="17005FBC"/>
    <w:rsid w:val="170F4521"/>
    <w:rsid w:val="171E1B23"/>
    <w:rsid w:val="171F40CB"/>
    <w:rsid w:val="172942B2"/>
    <w:rsid w:val="17302FB6"/>
    <w:rsid w:val="1733347C"/>
    <w:rsid w:val="175005C5"/>
    <w:rsid w:val="175055D6"/>
    <w:rsid w:val="175956CC"/>
    <w:rsid w:val="176127D3"/>
    <w:rsid w:val="176302F9"/>
    <w:rsid w:val="176F07FB"/>
    <w:rsid w:val="176F3141"/>
    <w:rsid w:val="177C171E"/>
    <w:rsid w:val="178B4A91"/>
    <w:rsid w:val="17A107B7"/>
    <w:rsid w:val="17AF2C3B"/>
    <w:rsid w:val="17B13C76"/>
    <w:rsid w:val="17B40C26"/>
    <w:rsid w:val="17BC1C5C"/>
    <w:rsid w:val="17C62296"/>
    <w:rsid w:val="17CC7FFB"/>
    <w:rsid w:val="17E01221"/>
    <w:rsid w:val="17FB00E8"/>
    <w:rsid w:val="18004664"/>
    <w:rsid w:val="1807337A"/>
    <w:rsid w:val="18096C97"/>
    <w:rsid w:val="180C273E"/>
    <w:rsid w:val="18100480"/>
    <w:rsid w:val="1812319A"/>
    <w:rsid w:val="181746F0"/>
    <w:rsid w:val="181810E3"/>
    <w:rsid w:val="1819154B"/>
    <w:rsid w:val="18433922"/>
    <w:rsid w:val="18477349"/>
    <w:rsid w:val="18736C61"/>
    <w:rsid w:val="18890233"/>
    <w:rsid w:val="188C1B9A"/>
    <w:rsid w:val="189D15A6"/>
    <w:rsid w:val="18B33F11"/>
    <w:rsid w:val="18CD6371"/>
    <w:rsid w:val="18E3312B"/>
    <w:rsid w:val="18F2402A"/>
    <w:rsid w:val="18F558C8"/>
    <w:rsid w:val="19045B0B"/>
    <w:rsid w:val="19124546"/>
    <w:rsid w:val="191E39FF"/>
    <w:rsid w:val="191E489B"/>
    <w:rsid w:val="192A37C4"/>
    <w:rsid w:val="19320D13"/>
    <w:rsid w:val="19434886"/>
    <w:rsid w:val="194A24B2"/>
    <w:rsid w:val="194E797F"/>
    <w:rsid w:val="195257A2"/>
    <w:rsid w:val="199F78EA"/>
    <w:rsid w:val="19BE56ED"/>
    <w:rsid w:val="19DF68EA"/>
    <w:rsid w:val="19FC3BBB"/>
    <w:rsid w:val="19FC5530"/>
    <w:rsid w:val="1A1324AA"/>
    <w:rsid w:val="1A2226ED"/>
    <w:rsid w:val="1A2E72EB"/>
    <w:rsid w:val="1A4968EB"/>
    <w:rsid w:val="1A7F6362"/>
    <w:rsid w:val="1A8F17E2"/>
    <w:rsid w:val="1A922568"/>
    <w:rsid w:val="1A9A72C9"/>
    <w:rsid w:val="1AA67A69"/>
    <w:rsid w:val="1AA827BF"/>
    <w:rsid w:val="1AAC1492"/>
    <w:rsid w:val="1AB53561"/>
    <w:rsid w:val="1ABF12A4"/>
    <w:rsid w:val="1AC35C43"/>
    <w:rsid w:val="1AD968F1"/>
    <w:rsid w:val="1ADA0917"/>
    <w:rsid w:val="1AED191D"/>
    <w:rsid w:val="1B075D1D"/>
    <w:rsid w:val="1B0D6EF9"/>
    <w:rsid w:val="1B141CEE"/>
    <w:rsid w:val="1B1E69E8"/>
    <w:rsid w:val="1B24410A"/>
    <w:rsid w:val="1B2770C4"/>
    <w:rsid w:val="1B2D71D1"/>
    <w:rsid w:val="1B32070E"/>
    <w:rsid w:val="1B371349"/>
    <w:rsid w:val="1B487F31"/>
    <w:rsid w:val="1B542B81"/>
    <w:rsid w:val="1B634E28"/>
    <w:rsid w:val="1B68176B"/>
    <w:rsid w:val="1B6F1962"/>
    <w:rsid w:val="1B8865E6"/>
    <w:rsid w:val="1B90152F"/>
    <w:rsid w:val="1B976B3A"/>
    <w:rsid w:val="1BAA0724"/>
    <w:rsid w:val="1BAA1175"/>
    <w:rsid w:val="1BB80002"/>
    <w:rsid w:val="1BD81D53"/>
    <w:rsid w:val="1BE0584E"/>
    <w:rsid w:val="1BEE6BEA"/>
    <w:rsid w:val="1BFF3836"/>
    <w:rsid w:val="1C052A7D"/>
    <w:rsid w:val="1C2D168A"/>
    <w:rsid w:val="1C2D19DF"/>
    <w:rsid w:val="1C2E5379"/>
    <w:rsid w:val="1C457925"/>
    <w:rsid w:val="1C514B7E"/>
    <w:rsid w:val="1C5F782F"/>
    <w:rsid w:val="1C663F30"/>
    <w:rsid w:val="1C6F4E53"/>
    <w:rsid w:val="1C7B4A4F"/>
    <w:rsid w:val="1C7F5BD5"/>
    <w:rsid w:val="1C9468DC"/>
    <w:rsid w:val="1CA05B4B"/>
    <w:rsid w:val="1CA7530E"/>
    <w:rsid w:val="1CA75D01"/>
    <w:rsid w:val="1CAB2142"/>
    <w:rsid w:val="1CC42BDF"/>
    <w:rsid w:val="1CC45CDD"/>
    <w:rsid w:val="1CC950A2"/>
    <w:rsid w:val="1CE55607"/>
    <w:rsid w:val="1CE6771E"/>
    <w:rsid w:val="1CF0262F"/>
    <w:rsid w:val="1D037CB9"/>
    <w:rsid w:val="1D1553F8"/>
    <w:rsid w:val="1D223AA0"/>
    <w:rsid w:val="1D312395"/>
    <w:rsid w:val="1D36686F"/>
    <w:rsid w:val="1D396D4A"/>
    <w:rsid w:val="1D4973CD"/>
    <w:rsid w:val="1D542100"/>
    <w:rsid w:val="1D544B32"/>
    <w:rsid w:val="1D5B0857"/>
    <w:rsid w:val="1D6A3F1B"/>
    <w:rsid w:val="1D6D1775"/>
    <w:rsid w:val="1D6E4657"/>
    <w:rsid w:val="1D7005BA"/>
    <w:rsid w:val="1D8965DF"/>
    <w:rsid w:val="1D8A2A83"/>
    <w:rsid w:val="1D90722B"/>
    <w:rsid w:val="1D927929"/>
    <w:rsid w:val="1D9E02DC"/>
    <w:rsid w:val="1DAD09D5"/>
    <w:rsid w:val="1DAF4266"/>
    <w:rsid w:val="1DB23D88"/>
    <w:rsid w:val="1DB52A07"/>
    <w:rsid w:val="1DB679B6"/>
    <w:rsid w:val="1DC0379C"/>
    <w:rsid w:val="1DC67833"/>
    <w:rsid w:val="1DDE06FD"/>
    <w:rsid w:val="1DE46B66"/>
    <w:rsid w:val="1E1F6FD4"/>
    <w:rsid w:val="1E241105"/>
    <w:rsid w:val="1E283E93"/>
    <w:rsid w:val="1E2F362A"/>
    <w:rsid w:val="1E576198"/>
    <w:rsid w:val="1E776FA8"/>
    <w:rsid w:val="1E917E41"/>
    <w:rsid w:val="1E976754"/>
    <w:rsid w:val="1EA35AC9"/>
    <w:rsid w:val="1EBF325F"/>
    <w:rsid w:val="1EBF49AE"/>
    <w:rsid w:val="1EE36AF5"/>
    <w:rsid w:val="1EE66455"/>
    <w:rsid w:val="1EEB2ABC"/>
    <w:rsid w:val="1F1116D7"/>
    <w:rsid w:val="1F232988"/>
    <w:rsid w:val="1F2C1918"/>
    <w:rsid w:val="1F3200E5"/>
    <w:rsid w:val="1F39012D"/>
    <w:rsid w:val="1F3B231E"/>
    <w:rsid w:val="1F3C1B5B"/>
    <w:rsid w:val="1F501AAA"/>
    <w:rsid w:val="1F521022"/>
    <w:rsid w:val="1F616D7E"/>
    <w:rsid w:val="1F774B6C"/>
    <w:rsid w:val="1F7A665D"/>
    <w:rsid w:val="1F7D51C6"/>
    <w:rsid w:val="1F8F07D6"/>
    <w:rsid w:val="1F923E71"/>
    <w:rsid w:val="1FC76194"/>
    <w:rsid w:val="1FD61EA2"/>
    <w:rsid w:val="1FD926CB"/>
    <w:rsid w:val="1FDE0E75"/>
    <w:rsid w:val="1FE6737E"/>
    <w:rsid w:val="1FE8583F"/>
    <w:rsid w:val="1FE87B63"/>
    <w:rsid w:val="1FF12140"/>
    <w:rsid w:val="1FFE5062"/>
    <w:rsid w:val="201B41D5"/>
    <w:rsid w:val="20295438"/>
    <w:rsid w:val="2035677C"/>
    <w:rsid w:val="204A798E"/>
    <w:rsid w:val="204D4CD3"/>
    <w:rsid w:val="2059562E"/>
    <w:rsid w:val="208259E0"/>
    <w:rsid w:val="20847771"/>
    <w:rsid w:val="208C6B12"/>
    <w:rsid w:val="20B56086"/>
    <w:rsid w:val="20C216BE"/>
    <w:rsid w:val="20E467EA"/>
    <w:rsid w:val="210216F2"/>
    <w:rsid w:val="210757FE"/>
    <w:rsid w:val="210E6490"/>
    <w:rsid w:val="21113BF7"/>
    <w:rsid w:val="21262AC3"/>
    <w:rsid w:val="213E22A0"/>
    <w:rsid w:val="213E7F04"/>
    <w:rsid w:val="21465993"/>
    <w:rsid w:val="21495E9E"/>
    <w:rsid w:val="214D14EB"/>
    <w:rsid w:val="21633F88"/>
    <w:rsid w:val="216748F4"/>
    <w:rsid w:val="217869A3"/>
    <w:rsid w:val="21910644"/>
    <w:rsid w:val="21C50DFA"/>
    <w:rsid w:val="21C85928"/>
    <w:rsid w:val="21D91DC1"/>
    <w:rsid w:val="21DC1146"/>
    <w:rsid w:val="21E1488C"/>
    <w:rsid w:val="21E64000"/>
    <w:rsid w:val="220D4F50"/>
    <w:rsid w:val="221A59A6"/>
    <w:rsid w:val="222839F2"/>
    <w:rsid w:val="222F6F12"/>
    <w:rsid w:val="22333CFA"/>
    <w:rsid w:val="22356B22"/>
    <w:rsid w:val="223E5368"/>
    <w:rsid w:val="224075CC"/>
    <w:rsid w:val="224079F9"/>
    <w:rsid w:val="224A024D"/>
    <w:rsid w:val="22696476"/>
    <w:rsid w:val="22715FC0"/>
    <w:rsid w:val="22736D94"/>
    <w:rsid w:val="227975A9"/>
    <w:rsid w:val="227C3D97"/>
    <w:rsid w:val="227C4964"/>
    <w:rsid w:val="22844BA2"/>
    <w:rsid w:val="228E7026"/>
    <w:rsid w:val="228F6446"/>
    <w:rsid w:val="22904DF6"/>
    <w:rsid w:val="22952E2E"/>
    <w:rsid w:val="22BA2AC9"/>
    <w:rsid w:val="22BF62A8"/>
    <w:rsid w:val="22C97BAA"/>
    <w:rsid w:val="22CE3412"/>
    <w:rsid w:val="23031D2D"/>
    <w:rsid w:val="23037D08"/>
    <w:rsid w:val="23074C80"/>
    <w:rsid w:val="230902AD"/>
    <w:rsid w:val="23111926"/>
    <w:rsid w:val="2312593A"/>
    <w:rsid w:val="231C1863"/>
    <w:rsid w:val="231D4C95"/>
    <w:rsid w:val="23492FEA"/>
    <w:rsid w:val="235F406A"/>
    <w:rsid w:val="23653F2A"/>
    <w:rsid w:val="2371604F"/>
    <w:rsid w:val="239E692A"/>
    <w:rsid w:val="23A41F25"/>
    <w:rsid w:val="23A423C5"/>
    <w:rsid w:val="23A46882"/>
    <w:rsid w:val="23B048C6"/>
    <w:rsid w:val="23BD043D"/>
    <w:rsid w:val="23BD2833"/>
    <w:rsid w:val="23D26F32"/>
    <w:rsid w:val="23DD1CA1"/>
    <w:rsid w:val="23ED5F0E"/>
    <w:rsid w:val="23EE7EF8"/>
    <w:rsid w:val="23F24841"/>
    <w:rsid w:val="23FA1861"/>
    <w:rsid w:val="24374811"/>
    <w:rsid w:val="24423D78"/>
    <w:rsid w:val="24455865"/>
    <w:rsid w:val="244871F4"/>
    <w:rsid w:val="244B5715"/>
    <w:rsid w:val="24507E57"/>
    <w:rsid w:val="245E7725"/>
    <w:rsid w:val="248A3369"/>
    <w:rsid w:val="24942439"/>
    <w:rsid w:val="24977834"/>
    <w:rsid w:val="24AA6BDC"/>
    <w:rsid w:val="24AB32DF"/>
    <w:rsid w:val="24AF0749"/>
    <w:rsid w:val="24AF12B2"/>
    <w:rsid w:val="24BE0243"/>
    <w:rsid w:val="24C30629"/>
    <w:rsid w:val="24CC0250"/>
    <w:rsid w:val="24D13640"/>
    <w:rsid w:val="24D3608E"/>
    <w:rsid w:val="24F0333E"/>
    <w:rsid w:val="24F370CF"/>
    <w:rsid w:val="24F55290"/>
    <w:rsid w:val="24F8107D"/>
    <w:rsid w:val="252058E2"/>
    <w:rsid w:val="2554503E"/>
    <w:rsid w:val="25570F74"/>
    <w:rsid w:val="255913B1"/>
    <w:rsid w:val="2566001D"/>
    <w:rsid w:val="25665B84"/>
    <w:rsid w:val="256B741C"/>
    <w:rsid w:val="256C0FB5"/>
    <w:rsid w:val="256C234F"/>
    <w:rsid w:val="25706A02"/>
    <w:rsid w:val="257432E3"/>
    <w:rsid w:val="25755904"/>
    <w:rsid w:val="258A6494"/>
    <w:rsid w:val="25AA73F4"/>
    <w:rsid w:val="25B679B8"/>
    <w:rsid w:val="25D02FFD"/>
    <w:rsid w:val="25DB0737"/>
    <w:rsid w:val="25DF1492"/>
    <w:rsid w:val="25E76599"/>
    <w:rsid w:val="25ED7C21"/>
    <w:rsid w:val="25EF2012"/>
    <w:rsid w:val="25FC3C4D"/>
    <w:rsid w:val="260C44FB"/>
    <w:rsid w:val="260F2758"/>
    <w:rsid w:val="26137BEB"/>
    <w:rsid w:val="26554E3C"/>
    <w:rsid w:val="266046AC"/>
    <w:rsid w:val="267B565F"/>
    <w:rsid w:val="268838D8"/>
    <w:rsid w:val="26945741"/>
    <w:rsid w:val="26956887"/>
    <w:rsid w:val="269E759F"/>
    <w:rsid w:val="26A02447"/>
    <w:rsid w:val="26A2225F"/>
    <w:rsid w:val="26D03A4F"/>
    <w:rsid w:val="26D94133"/>
    <w:rsid w:val="26F431BA"/>
    <w:rsid w:val="26F44EED"/>
    <w:rsid w:val="26FE03F5"/>
    <w:rsid w:val="271E1A50"/>
    <w:rsid w:val="27263CA1"/>
    <w:rsid w:val="272A4721"/>
    <w:rsid w:val="272C0D3F"/>
    <w:rsid w:val="272D3F2A"/>
    <w:rsid w:val="272F01F7"/>
    <w:rsid w:val="27391066"/>
    <w:rsid w:val="275F43DA"/>
    <w:rsid w:val="27732C02"/>
    <w:rsid w:val="27895B59"/>
    <w:rsid w:val="279B3ADF"/>
    <w:rsid w:val="279E4EF7"/>
    <w:rsid w:val="27AE639B"/>
    <w:rsid w:val="27AF0763"/>
    <w:rsid w:val="27B079C1"/>
    <w:rsid w:val="27BA21B7"/>
    <w:rsid w:val="27D01EF5"/>
    <w:rsid w:val="27D642F4"/>
    <w:rsid w:val="27E3288F"/>
    <w:rsid w:val="27E62FAC"/>
    <w:rsid w:val="27F97FE9"/>
    <w:rsid w:val="280914C2"/>
    <w:rsid w:val="281F5DBD"/>
    <w:rsid w:val="282D0BDB"/>
    <w:rsid w:val="282F71E1"/>
    <w:rsid w:val="2852419D"/>
    <w:rsid w:val="28565744"/>
    <w:rsid w:val="28610762"/>
    <w:rsid w:val="286C41F3"/>
    <w:rsid w:val="28732366"/>
    <w:rsid w:val="287C56BE"/>
    <w:rsid w:val="28811E52"/>
    <w:rsid w:val="2883240B"/>
    <w:rsid w:val="28893937"/>
    <w:rsid w:val="28986450"/>
    <w:rsid w:val="28A91EC8"/>
    <w:rsid w:val="28AF2C05"/>
    <w:rsid w:val="28C6316C"/>
    <w:rsid w:val="28CB4DDC"/>
    <w:rsid w:val="28D862FA"/>
    <w:rsid w:val="28DA35D4"/>
    <w:rsid w:val="28DD4774"/>
    <w:rsid w:val="28E45DF1"/>
    <w:rsid w:val="28E84B02"/>
    <w:rsid w:val="28F0335B"/>
    <w:rsid w:val="28F80E75"/>
    <w:rsid w:val="28FD4B5E"/>
    <w:rsid w:val="29025905"/>
    <w:rsid w:val="290D399E"/>
    <w:rsid w:val="291E3799"/>
    <w:rsid w:val="29361D11"/>
    <w:rsid w:val="29363ABF"/>
    <w:rsid w:val="29437F8A"/>
    <w:rsid w:val="29513E9D"/>
    <w:rsid w:val="295959FF"/>
    <w:rsid w:val="296323DF"/>
    <w:rsid w:val="296E3259"/>
    <w:rsid w:val="2990381D"/>
    <w:rsid w:val="29905216"/>
    <w:rsid w:val="29B16187"/>
    <w:rsid w:val="29B35088"/>
    <w:rsid w:val="29CF2848"/>
    <w:rsid w:val="29DB3601"/>
    <w:rsid w:val="29E54E2D"/>
    <w:rsid w:val="29E67293"/>
    <w:rsid w:val="29F8108E"/>
    <w:rsid w:val="29FE3F5A"/>
    <w:rsid w:val="2A091A87"/>
    <w:rsid w:val="2A2B114A"/>
    <w:rsid w:val="2A2B739C"/>
    <w:rsid w:val="2A30670E"/>
    <w:rsid w:val="2A3A75DF"/>
    <w:rsid w:val="2A3C7518"/>
    <w:rsid w:val="2A3E2EBF"/>
    <w:rsid w:val="2A484A56"/>
    <w:rsid w:val="2A72150C"/>
    <w:rsid w:val="2A754076"/>
    <w:rsid w:val="2AE141B6"/>
    <w:rsid w:val="2AED28A3"/>
    <w:rsid w:val="2AF03B34"/>
    <w:rsid w:val="2AF0559F"/>
    <w:rsid w:val="2B0B681C"/>
    <w:rsid w:val="2B0F281A"/>
    <w:rsid w:val="2B164E19"/>
    <w:rsid w:val="2B1E2CD5"/>
    <w:rsid w:val="2B2468CA"/>
    <w:rsid w:val="2B303442"/>
    <w:rsid w:val="2B345CDB"/>
    <w:rsid w:val="2B37601D"/>
    <w:rsid w:val="2B441960"/>
    <w:rsid w:val="2B451883"/>
    <w:rsid w:val="2B4E4A8E"/>
    <w:rsid w:val="2B512E9C"/>
    <w:rsid w:val="2B5F5ABE"/>
    <w:rsid w:val="2B6228C3"/>
    <w:rsid w:val="2BAD7356"/>
    <w:rsid w:val="2BBD04C8"/>
    <w:rsid w:val="2BCA63E5"/>
    <w:rsid w:val="2BD25E8D"/>
    <w:rsid w:val="2BD44863"/>
    <w:rsid w:val="2BDF28B4"/>
    <w:rsid w:val="2BE91B3D"/>
    <w:rsid w:val="2BFA7026"/>
    <w:rsid w:val="2C0F631D"/>
    <w:rsid w:val="2C2E396A"/>
    <w:rsid w:val="2C313F6E"/>
    <w:rsid w:val="2C3A5674"/>
    <w:rsid w:val="2C3B454D"/>
    <w:rsid w:val="2C3D3EC5"/>
    <w:rsid w:val="2C412166"/>
    <w:rsid w:val="2C414C55"/>
    <w:rsid w:val="2C564D86"/>
    <w:rsid w:val="2C797B17"/>
    <w:rsid w:val="2C9224AC"/>
    <w:rsid w:val="2C96001E"/>
    <w:rsid w:val="2C9B12CE"/>
    <w:rsid w:val="2C9C632F"/>
    <w:rsid w:val="2CA8303D"/>
    <w:rsid w:val="2CA927FA"/>
    <w:rsid w:val="2CAF01C0"/>
    <w:rsid w:val="2CC17B44"/>
    <w:rsid w:val="2CC656B3"/>
    <w:rsid w:val="2CD61401"/>
    <w:rsid w:val="2CF123CB"/>
    <w:rsid w:val="2D012636"/>
    <w:rsid w:val="2D03015C"/>
    <w:rsid w:val="2D0D656C"/>
    <w:rsid w:val="2D145EC5"/>
    <w:rsid w:val="2D1732D6"/>
    <w:rsid w:val="2D1B287B"/>
    <w:rsid w:val="2D1C6DA5"/>
    <w:rsid w:val="2D211F5E"/>
    <w:rsid w:val="2D2D0D2A"/>
    <w:rsid w:val="2D2F0ED7"/>
    <w:rsid w:val="2D3452F7"/>
    <w:rsid w:val="2D404F0C"/>
    <w:rsid w:val="2D4C2BB3"/>
    <w:rsid w:val="2D60735C"/>
    <w:rsid w:val="2D641E53"/>
    <w:rsid w:val="2D6C3387"/>
    <w:rsid w:val="2D7C0D07"/>
    <w:rsid w:val="2D7C3A6A"/>
    <w:rsid w:val="2D964B2C"/>
    <w:rsid w:val="2D964DEF"/>
    <w:rsid w:val="2DCE44C2"/>
    <w:rsid w:val="2DD65871"/>
    <w:rsid w:val="2DF45CF7"/>
    <w:rsid w:val="2E151B50"/>
    <w:rsid w:val="2E1C47CC"/>
    <w:rsid w:val="2E200FA9"/>
    <w:rsid w:val="2E206AEC"/>
    <w:rsid w:val="2E257331"/>
    <w:rsid w:val="2E3256A1"/>
    <w:rsid w:val="2E370DEE"/>
    <w:rsid w:val="2E382DE5"/>
    <w:rsid w:val="2E4D6547"/>
    <w:rsid w:val="2E536EC1"/>
    <w:rsid w:val="2E6115DE"/>
    <w:rsid w:val="2E6E3CFB"/>
    <w:rsid w:val="2E74387D"/>
    <w:rsid w:val="2E7D5CEC"/>
    <w:rsid w:val="2E9109EA"/>
    <w:rsid w:val="2E9214D0"/>
    <w:rsid w:val="2E930F46"/>
    <w:rsid w:val="2E9E2C80"/>
    <w:rsid w:val="2EA57831"/>
    <w:rsid w:val="2EAE482B"/>
    <w:rsid w:val="2EB46300"/>
    <w:rsid w:val="2EB76C3D"/>
    <w:rsid w:val="2EB95320"/>
    <w:rsid w:val="2EBB4650"/>
    <w:rsid w:val="2EBD1E5E"/>
    <w:rsid w:val="2ECE640C"/>
    <w:rsid w:val="2ED85923"/>
    <w:rsid w:val="2EE356A6"/>
    <w:rsid w:val="2EEC0DD1"/>
    <w:rsid w:val="2EF24461"/>
    <w:rsid w:val="2EFD2D39"/>
    <w:rsid w:val="2EFF109D"/>
    <w:rsid w:val="2F087B7B"/>
    <w:rsid w:val="2F1523C9"/>
    <w:rsid w:val="2F324093"/>
    <w:rsid w:val="2F4D56BE"/>
    <w:rsid w:val="2F633134"/>
    <w:rsid w:val="2F6A2443"/>
    <w:rsid w:val="2F7A4D80"/>
    <w:rsid w:val="2F7B222C"/>
    <w:rsid w:val="2F8256E8"/>
    <w:rsid w:val="2F94032C"/>
    <w:rsid w:val="2FB36078"/>
    <w:rsid w:val="2FC524E1"/>
    <w:rsid w:val="2FD45DE0"/>
    <w:rsid w:val="2FDD2BAB"/>
    <w:rsid w:val="2FE0721C"/>
    <w:rsid w:val="2FE36023"/>
    <w:rsid w:val="2FEF1E38"/>
    <w:rsid w:val="300D740D"/>
    <w:rsid w:val="301047AD"/>
    <w:rsid w:val="30110DE2"/>
    <w:rsid w:val="30113E4B"/>
    <w:rsid w:val="3015291F"/>
    <w:rsid w:val="301663F8"/>
    <w:rsid w:val="3023097B"/>
    <w:rsid w:val="302B7D68"/>
    <w:rsid w:val="3036148E"/>
    <w:rsid w:val="303F0287"/>
    <w:rsid w:val="30467047"/>
    <w:rsid w:val="30567D0A"/>
    <w:rsid w:val="305B205D"/>
    <w:rsid w:val="30600615"/>
    <w:rsid w:val="306B161D"/>
    <w:rsid w:val="30700C68"/>
    <w:rsid w:val="307134C3"/>
    <w:rsid w:val="307A24E3"/>
    <w:rsid w:val="307B42B2"/>
    <w:rsid w:val="307E7949"/>
    <w:rsid w:val="308A7D8A"/>
    <w:rsid w:val="30A6777C"/>
    <w:rsid w:val="30BE41F9"/>
    <w:rsid w:val="30D02144"/>
    <w:rsid w:val="30D43C9A"/>
    <w:rsid w:val="30DF4157"/>
    <w:rsid w:val="30DF67EA"/>
    <w:rsid w:val="30EA42FD"/>
    <w:rsid w:val="30F46739"/>
    <w:rsid w:val="311E37B6"/>
    <w:rsid w:val="3126467E"/>
    <w:rsid w:val="31327262"/>
    <w:rsid w:val="31371E66"/>
    <w:rsid w:val="313A668D"/>
    <w:rsid w:val="313D179D"/>
    <w:rsid w:val="313F372D"/>
    <w:rsid w:val="3148438F"/>
    <w:rsid w:val="314F4AAE"/>
    <w:rsid w:val="3157339C"/>
    <w:rsid w:val="31641EFD"/>
    <w:rsid w:val="31796C3F"/>
    <w:rsid w:val="31810675"/>
    <w:rsid w:val="318178A1"/>
    <w:rsid w:val="318E323E"/>
    <w:rsid w:val="319637E8"/>
    <w:rsid w:val="31AC5F6D"/>
    <w:rsid w:val="31AC70E0"/>
    <w:rsid w:val="31B0187F"/>
    <w:rsid w:val="31B65AEE"/>
    <w:rsid w:val="31B732C3"/>
    <w:rsid w:val="31BC773E"/>
    <w:rsid w:val="31C003CA"/>
    <w:rsid w:val="31C31761"/>
    <w:rsid w:val="31C5610F"/>
    <w:rsid w:val="31CC63F4"/>
    <w:rsid w:val="31D523B7"/>
    <w:rsid w:val="31DA376C"/>
    <w:rsid w:val="31F77B64"/>
    <w:rsid w:val="32075FF9"/>
    <w:rsid w:val="32090E37"/>
    <w:rsid w:val="32155EF0"/>
    <w:rsid w:val="322130A9"/>
    <w:rsid w:val="322D2641"/>
    <w:rsid w:val="32313FA5"/>
    <w:rsid w:val="323B661A"/>
    <w:rsid w:val="323C3AE6"/>
    <w:rsid w:val="323E0027"/>
    <w:rsid w:val="324F174E"/>
    <w:rsid w:val="32506261"/>
    <w:rsid w:val="325925CC"/>
    <w:rsid w:val="325B01E0"/>
    <w:rsid w:val="325B7388"/>
    <w:rsid w:val="32622C94"/>
    <w:rsid w:val="326C191E"/>
    <w:rsid w:val="327620FC"/>
    <w:rsid w:val="3276317E"/>
    <w:rsid w:val="32892EB1"/>
    <w:rsid w:val="32895D67"/>
    <w:rsid w:val="32904240"/>
    <w:rsid w:val="3293193F"/>
    <w:rsid w:val="32936E35"/>
    <w:rsid w:val="32970C22"/>
    <w:rsid w:val="32B13C6D"/>
    <w:rsid w:val="32BC242C"/>
    <w:rsid w:val="32CA6456"/>
    <w:rsid w:val="32CE4D68"/>
    <w:rsid w:val="32CF18CC"/>
    <w:rsid w:val="32CF72BF"/>
    <w:rsid w:val="32E40F96"/>
    <w:rsid w:val="32EC51EE"/>
    <w:rsid w:val="32F07E9E"/>
    <w:rsid w:val="32FB2F34"/>
    <w:rsid w:val="330975F6"/>
    <w:rsid w:val="330D0BEB"/>
    <w:rsid w:val="330D25C6"/>
    <w:rsid w:val="3314149D"/>
    <w:rsid w:val="331A2870"/>
    <w:rsid w:val="331B6640"/>
    <w:rsid w:val="33287688"/>
    <w:rsid w:val="33434310"/>
    <w:rsid w:val="33451EAB"/>
    <w:rsid w:val="334B3FAB"/>
    <w:rsid w:val="3353526D"/>
    <w:rsid w:val="33585C2A"/>
    <w:rsid w:val="33596D28"/>
    <w:rsid w:val="335A2349"/>
    <w:rsid w:val="33635381"/>
    <w:rsid w:val="33730803"/>
    <w:rsid w:val="337E22EA"/>
    <w:rsid w:val="338656E4"/>
    <w:rsid w:val="338C634F"/>
    <w:rsid w:val="339133B6"/>
    <w:rsid w:val="339337F1"/>
    <w:rsid w:val="3394597F"/>
    <w:rsid w:val="339715FE"/>
    <w:rsid w:val="33A61841"/>
    <w:rsid w:val="33B50C44"/>
    <w:rsid w:val="33C07AF4"/>
    <w:rsid w:val="33C56012"/>
    <w:rsid w:val="33D53ED4"/>
    <w:rsid w:val="340D23F8"/>
    <w:rsid w:val="342015F4"/>
    <w:rsid w:val="3428494C"/>
    <w:rsid w:val="342866FA"/>
    <w:rsid w:val="342A5E41"/>
    <w:rsid w:val="3434509F"/>
    <w:rsid w:val="344B6ED4"/>
    <w:rsid w:val="344C4197"/>
    <w:rsid w:val="34673B12"/>
    <w:rsid w:val="34674ABF"/>
    <w:rsid w:val="3476002E"/>
    <w:rsid w:val="347667AF"/>
    <w:rsid w:val="34887B2C"/>
    <w:rsid w:val="349D2C44"/>
    <w:rsid w:val="34A76F0A"/>
    <w:rsid w:val="34DB2F73"/>
    <w:rsid w:val="34E03DB5"/>
    <w:rsid w:val="34E82C66"/>
    <w:rsid w:val="350807A8"/>
    <w:rsid w:val="3510672F"/>
    <w:rsid w:val="35224BBB"/>
    <w:rsid w:val="352819E8"/>
    <w:rsid w:val="352E7721"/>
    <w:rsid w:val="35450298"/>
    <w:rsid w:val="35565D17"/>
    <w:rsid w:val="355B616C"/>
    <w:rsid w:val="355B7C45"/>
    <w:rsid w:val="355D247E"/>
    <w:rsid w:val="35802D60"/>
    <w:rsid w:val="358D55F1"/>
    <w:rsid w:val="3590064E"/>
    <w:rsid w:val="35972A5A"/>
    <w:rsid w:val="35B640ED"/>
    <w:rsid w:val="35B93CDA"/>
    <w:rsid w:val="35CC5F98"/>
    <w:rsid w:val="35D02BA5"/>
    <w:rsid w:val="35DA3A24"/>
    <w:rsid w:val="35DE4D1A"/>
    <w:rsid w:val="35E61BC9"/>
    <w:rsid w:val="35EA010B"/>
    <w:rsid w:val="35F26FC0"/>
    <w:rsid w:val="36010FB1"/>
    <w:rsid w:val="36090959"/>
    <w:rsid w:val="360D1836"/>
    <w:rsid w:val="361A0C8A"/>
    <w:rsid w:val="361E4D56"/>
    <w:rsid w:val="36200F2E"/>
    <w:rsid w:val="362152FD"/>
    <w:rsid w:val="362241CC"/>
    <w:rsid w:val="36281F27"/>
    <w:rsid w:val="363A5D48"/>
    <w:rsid w:val="36527A5E"/>
    <w:rsid w:val="36675EE2"/>
    <w:rsid w:val="36712425"/>
    <w:rsid w:val="367528E0"/>
    <w:rsid w:val="369B64AE"/>
    <w:rsid w:val="369C4142"/>
    <w:rsid w:val="36A6210C"/>
    <w:rsid w:val="36BE599C"/>
    <w:rsid w:val="36C25D64"/>
    <w:rsid w:val="36C91E36"/>
    <w:rsid w:val="36DB6008"/>
    <w:rsid w:val="36E032BC"/>
    <w:rsid w:val="36E20DE2"/>
    <w:rsid w:val="36E47938"/>
    <w:rsid w:val="36EB5659"/>
    <w:rsid w:val="36F87994"/>
    <w:rsid w:val="36FD7B0D"/>
    <w:rsid w:val="3708258A"/>
    <w:rsid w:val="37082CF7"/>
    <w:rsid w:val="37102785"/>
    <w:rsid w:val="37154F64"/>
    <w:rsid w:val="37274FD9"/>
    <w:rsid w:val="37277667"/>
    <w:rsid w:val="37346646"/>
    <w:rsid w:val="373C66E6"/>
    <w:rsid w:val="37464DA1"/>
    <w:rsid w:val="376E08C8"/>
    <w:rsid w:val="37995199"/>
    <w:rsid w:val="37A12C57"/>
    <w:rsid w:val="37A83DDA"/>
    <w:rsid w:val="37B502A5"/>
    <w:rsid w:val="37D5242B"/>
    <w:rsid w:val="37FD7D7C"/>
    <w:rsid w:val="3801798E"/>
    <w:rsid w:val="381E13AC"/>
    <w:rsid w:val="38206066"/>
    <w:rsid w:val="38267191"/>
    <w:rsid w:val="382E442C"/>
    <w:rsid w:val="383704C4"/>
    <w:rsid w:val="383E64EC"/>
    <w:rsid w:val="38455ACD"/>
    <w:rsid w:val="384B29B7"/>
    <w:rsid w:val="384D4981"/>
    <w:rsid w:val="38521F98"/>
    <w:rsid w:val="38564E76"/>
    <w:rsid w:val="38782A52"/>
    <w:rsid w:val="38867B64"/>
    <w:rsid w:val="38A23BFF"/>
    <w:rsid w:val="38B70A56"/>
    <w:rsid w:val="38BB5D8F"/>
    <w:rsid w:val="38D536BD"/>
    <w:rsid w:val="38DC150C"/>
    <w:rsid w:val="38FC59F0"/>
    <w:rsid w:val="39005CE7"/>
    <w:rsid w:val="390B1242"/>
    <w:rsid w:val="393A3DBD"/>
    <w:rsid w:val="39434054"/>
    <w:rsid w:val="39461AFC"/>
    <w:rsid w:val="394E6C03"/>
    <w:rsid w:val="39602492"/>
    <w:rsid w:val="39680B72"/>
    <w:rsid w:val="398217F2"/>
    <w:rsid w:val="39916AF0"/>
    <w:rsid w:val="39981C2C"/>
    <w:rsid w:val="399E405C"/>
    <w:rsid w:val="399F745E"/>
    <w:rsid w:val="39AB5E03"/>
    <w:rsid w:val="39AE41DE"/>
    <w:rsid w:val="39D07618"/>
    <w:rsid w:val="39D36E4D"/>
    <w:rsid w:val="39D66DBF"/>
    <w:rsid w:val="39DB6ED1"/>
    <w:rsid w:val="39E62C55"/>
    <w:rsid w:val="39E6508D"/>
    <w:rsid w:val="39EB3821"/>
    <w:rsid w:val="39F50E33"/>
    <w:rsid w:val="39FA0672"/>
    <w:rsid w:val="3A030CCA"/>
    <w:rsid w:val="3A06784F"/>
    <w:rsid w:val="3A092EFA"/>
    <w:rsid w:val="3A105C66"/>
    <w:rsid w:val="3A1471D4"/>
    <w:rsid w:val="3A2B0CF2"/>
    <w:rsid w:val="3A347BA7"/>
    <w:rsid w:val="3A465B2C"/>
    <w:rsid w:val="3A576C59"/>
    <w:rsid w:val="3A59771B"/>
    <w:rsid w:val="3A5B05CE"/>
    <w:rsid w:val="3A6B6D66"/>
    <w:rsid w:val="3A7C2F10"/>
    <w:rsid w:val="3A81001B"/>
    <w:rsid w:val="3A851961"/>
    <w:rsid w:val="3A863A18"/>
    <w:rsid w:val="3A93382A"/>
    <w:rsid w:val="3AA210C4"/>
    <w:rsid w:val="3AAF3DE4"/>
    <w:rsid w:val="3AB5279B"/>
    <w:rsid w:val="3AC23405"/>
    <w:rsid w:val="3AC27A31"/>
    <w:rsid w:val="3AD51B36"/>
    <w:rsid w:val="3AE65EB9"/>
    <w:rsid w:val="3AEC54A8"/>
    <w:rsid w:val="3AF03D2B"/>
    <w:rsid w:val="3AF2458C"/>
    <w:rsid w:val="3AF30F35"/>
    <w:rsid w:val="3AF410E4"/>
    <w:rsid w:val="3B0D14D6"/>
    <w:rsid w:val="3B143534"/>
    <w:rsid w:val="3B186BAE"/>
    <w:rsid w:val="3B3F2668"/>
    <w:rsid w:val="3B415444"/>
    <w:rsid w:val="3B44499C"/>
    <w:rsid w:val="3B4E2997"/>
    <w:rsid w:val="3B4F0A10"/>
    <w:rsid w:val="3B655A3A"/>
    <w:rsid w:val="3B765F9D"/>
    <w:rsid w:val="3B784C97"/>
    <w:rsid w:val="3BBF0221"/>
    <w:rsid w:val="3BCF4AA0"/>
    <w:rsid w:val="3BD62D21"/>
    <w:rsid w:val="3BE677F1"/>
    <w:rsid w:val="3BE858FF"/>
    <w:rsid w:val="3BEA4491"/>
    <w:rsid w:val="3BF03FA1"/>
    <w:rsid w:val="3BFC2946"/>
    <w:rsid w:val="3BFF4A3E"/>
    <w:rsid w:val="3C0F1D99"/>
    <w:rsid w:val="3C117AFC"/>
    <w:rsid w:val="3C196564"/>
    <w:rsid w:val="3C1A7270"/>
    <w:rsid w:val="3C1E1F51"/>
    <w:rsid w:val="3C2D2B00"/>
    <w:rsid w:val="3C31002E"/>
    <w:rsid w:val="3C3927B0"/>
    <w:rsid w:val="3C5C33E5"/>
    <w:rsid w:val="3C626BC9"/>
    <w:rsid w:val="3C672E60"/>
    <w:rsid w:val="3C694662"/>
    <w:rsid w:val="3C7A1ABD"/>
    <w:rsid w:val="3C834E15"/>
    <w:rsid w:val="3C975A23"/>
    <w:rsid w:val="3CBF0DCB"/>
    <w:rsid w:val="3CCD7E3F"/>
    <w:rsid w:val="3CCF5D27"/>
    <w:rsid w:val="3CD127FC"/>
    <w:rsid w:val="3CDD0F17"/>
    <w:rsid w:val="3CDE0DDF"/>
    <w:rsid w:val="3CEB6971"/>
    <w:rsid w:val="3CEE62D5"/>
    <w:rsid w:val="3D031C6B"/>
    <w:rsid w:val="3D063397"/>
    <w:rsid w:val="3D1612F6"/>
    <w:rsid w:val="3D3C3AED"/>
    <w:rsid w:val="3D49491C"/>
    <w:rsid w:val="3D506198"/>
    <w:rsid w:val="3D742981"/>
    <w:rsid w:val="3D822082"/>
    <w:rsid w:val="3D8E75CE"/>
    <w:rsid w:val="3D982CB1"/>
    <w:rsid w:val="3DA51518"/>
    <w:rsid w:val="3DAA0345"/>
    <w:rsid w:val="3DB368D6"/>
    <w:rsid w:val="3DB421A0"/>
    <w:rsid w:val="3DBF5617"/>
    <w:rsid w:val="3DC01453"/>
    <w:rsid w:val="3DC9509B"/>
    <w:rsid w:val="3DD85298"/>
    <w:rsid w:val="3DE8273D"/>
    <w:rsid w:val="3DF75171"/>
    <w:rsid w:val="3DFD1F83"/>
    <w:rsid w:val="3DFE042B"/>
    <w:rsid w:val="3DFE77CF"/>
    <w:rsid w:val="3E051DE8"/>
    <w:rsid w:val="3E063608"/>
    <w:rsid w:val="3E064613"/>
    <w:rsid w:val="3E1D67D6"/>
    <w:rsid w:val="3E295173"/>
    <w:rsid w:val="3E3E516D"/>
    <w:rsid w:val="3E4A6F74"/>
    <w:rsid w:val="3E4D2EF7"/>
    <w:rsid w:val="3E4F60C2"/>
    <w:rsid w:val="3E570308"/>
    <w:rsid w:val="3E684914"/>
    <w:rsid w:val="3E6D40DE"/>
    <w:rsid w:val="3EA52AE3"/>
    <w:rsid w:val="3EB0577A"/>
    <w:rsid w:val="3EB70DA6"/>
    <w:rsid w:val="3EBC4035"/>
    <w:rsid w:val="3EC415BE"/>
    <w:rsid w:val="3ECF7E9E"/>
    <w:rsid w:val="3ED92EFE"/>
    <w:rsid w:val="3EEC33A9"/>
    <w:rsid w:val="3EF267BD"/>
    <w:rsid w:val="3EF95FFE"/>
    <w:rsid w:val="3EFC4A0B"/>
    <w:rsid w:val="3F1D7BCF"/>
    <w:rsid w:val="3F1E4982"/>
    <w:rsid w:val="3F204A99"/>
    <w:rsid w:val="3F2D7071"/>
    <w:rsid w:val="3F32132C"/>
    <w:rsid w:val="3F332837"/>
    <w:rsid w:val="3F38621C"/>
    <w:rsid w:val="3F4940F4"/>
    <w:rsid w:val="3F57699B"/>
    <w:rsid w:val="3F5E56C6"/>
    <w:rsid w:val="3F786788"/>
    <w:rsid w:val="3F8E13DE"/>
    <w:rsid w:val="3F9B2476"/>
    <w:rsid w:val="3FA13DEA"/>
    <w:rsid w:val="3FA30456"/>
    <w:rsid w:val="3FAF7CCF"/>
    <w:rsid w:val="3FB3410F"/>
    <w:rsid w:val="3FC84C9E"/>
    <w:rsid w:val="3FCA1B42"/>
    <w:rsid w:val="3FCC6AD3"/>
    <w:rsid w:val="3FD41E4F"/>
    <w:rsid w:val="3FD44C52"/>
    <w:rsid w:val="3FD85478"/>
    <w:rsid w:val="3FDF6807"/>
    <w:rsid w:val="3FF027C2"/>
    <w:rsid w:val="4008024D"/>
    <w:rsid w:val="40090017"/>
    <w:rsid w:val="40093884"/>
    <w:rsid w:val="401F6C03"/>
    <w:rsid w:val="402146F9"/>
    <w:rsid w:val="403365E8"/>
    <w:rsid w:val="40436D96"/>
    <w:rsid w:val="404B79F8"/>
    <w:rsid w:val="40684300"/>
    <w:rsid w:val="406B5C08"/>
    <w:rsid w:val="406C464C"/>
    <w:rsid w:val="406E7B8B"/>
    <w:rsid w:val="40704517"/>
    <w:rsid w:val="40840CD2"/>
    <w:rsid w:val="40880C4C"/>
    <w:rsid w:val="4096730E"/>
    <w:rsid w:val="409C70B2"/>
    <w:rsid w:val="40A02788"/>
    <w:rsid w:val="40AB0497"/>
    <w:rsid w:val="40B2779A"/>
    <w:rsid w:val="40B27A77"/>
    <w:rsid w:val="40C402B9"/>
    <w:rsid w:val="40CD59A9"/>
    <w:rsid w:val="40D74CB2"/>
    <w:rsid w:val="40DC68A2"/>
    <w:rsid w:val="40F94FF7"/>
    <w:rsid w:val="411150E1"/>
    <w:rsid w:val="41126768"/>
    <w:rsid w:val="41182D1A"/>
    <w:rsid w:val="411E0EED"/>
    <w:rsid w:val="41313092"/>
    <w:rsid w:val="41342F1C"/>
    <w:rsid w:val="413A43FF"/>
    <w:rsid w:val="41594AAB"/>
    <w:rsid w:val="416255A9"/>
    <w:rsid w:val="416408B3"/>
    <w:rsid w:val="416D7EF0"/>
    <w:rsid w:val="417B26FB"/>
    <w:rsid w:val="417E338B"/>
    <w:rsid w:val="417F12B7"/>
    <w:rsid w:val="418F600A"/>
    <w:rsid w:val="4194521D"/>
    <w:rsid w:val="41A926E2"/>
    <w:rsid w:val="41B7726E"/>
    <w:rsid w:val="41C52633"/>
    <w:rsid w:val="41C7462F"/>
    <w:rsid w:val="41DA54D8"/>
    <w:rsid w:val="41E66E11"/>
    <w:rsid w:val="41F12FE5"/>
    <w:rsid w:val="41FA4A3C"/>
    <w:rsid w:val="42312482"/>
    <w:rsid w:val="4234358D"/>
    <w:rsid w:val="423F17DF"/>
    <w:rsid w:val="42424EE2"/>
    <w:rsid w:val="42555CF4"/>
    <w:rsid w:val="425B0788"/>
    <w:rsid w:val="426E6B65"/>
    <w:rsid w:val="426F0879"/>
    <w:rsid w:val="4294451E"/>
    <w:rsid w:val="42A15FF5"/>
    <w:rsid w:val="42A25448"/>
    <w:rsid w:val="42B65C4E"/>
    <w:rsid w:val="42B75478"/>
    <w:rsid w:val="42BB0055"/>
    <w:rsid w:val="42C43F0C"/>
    <w:rsid w:val="42CD644A"/>
    <w:rsid w:val="42D737C5"/>
    <w:rsid w:val="42E419B0"/>
    <w:rsid w:val="42E8372F"/>
    <w:rsid w:val="42EB54C2"/>
    <w:rsid w:val="42F223AD"/>
    <w:rsid w:val="42F73568"/>
    <w:rsid w:val="43004A3D"/>
    <w:rsid w:val="430826C4"/>
    <w:rsid w:val="43082F31"/>
    <w:rsid w:val="430D78C6"/>
    <w:rsid w:val="431033BD"/>
    <w:rsid w:val="434B19EE"/>
    <w:rsid w:val="43584C70"/>
    <w:rsid w:val="4381785E"/>
    <w:rsid w:val="4383495D"/>
    <w:rsid w:val="438376F3"/>
    <w:rsid w:val="4387467C"/>
    <w:rsid w:val="43956DE7"/>
    <w:rsid w:val="43A538C3"/>
    <w:rsid w:val="43AC215C"/>
    <w:rsid w:val="43BD3D85"/>
    <w:rsid w:val="43CF7F44"/>
    <w:rsid w:val="43DB6D6F"/>
    <w:rsid w:val="43DE0B83"/>
    <w:rsid w:val="43DF347A"/>
    <w:rsid w:val="43E83614"/>
    <w:rsid w:val="44004F9E"/>
    <w:rsid w:val="44240331"/>
    <w:rsid w:val="4427077C"/>
    <w:rsid w:val="44343752"/>
    <w:rsid w:val="444520FD"/>
    <w:rsid w:val="444A101C"/>
    <w:rsid w:val="44526CF2"/>
    <w:rsid w:val="44556ACF"/>
    <w:rsid w:val="445E66A7"/>
    <w:rsid w:val="446852AD"/>
    <w:rsid w:val="446F759B"/>
    <w:rsid w:val="447B17CD"/>
    <w:rsid w:val="447F09DF"/>
    <w:rsid w:val="448160DE"/>
    <w:rsid w:val="44816F9D"/>
    <w:rsid w:val="44AB5D13"/>
    <w:rsid w:val="44B44858"/>
    <w:rsid w:val="44BE3E76"/>
    <w:rsid w:val="44D97CC8"/>
    <w:rsid w:val="44E26451"/>
    <w:rsid w:val="44F91551"/>
    <w:rsid w:val="45166F2D"/>
    <w:rsid w:val="452D25F5"/>
    <w:rsid w:val="45332247"/>
    <w:rsid w:val="453E7B2C"/>
    <w:rsid w:val="45423D83"/>
    <w:rsid w:val="454A0A68"/>
    <w:rsid w:val="455A248C"/>
    <w:rsid w:val="455B0481"/>
    <w:rsid w:val="45652AF8"/>
    <w:rsid w:val="45684BA8"/>
    <w:rsid w:val="45795008"/>
    <w:rsid w:val="457C0654"/>
    <w:rsid w:val="45844431"/>
    <w:rsid w:val="458E23F3"/>
    <w:rsid w:val="45A554E0"/>
    <w:rsid w:val="45B222C8"/>
    <w:rsid w:val="45C34DF0"/>
    <w:rsid w:val="45CE2A73"/>
    <w:rsid w:val="45DD15D4"/>
    <w:rsid w:val="45ED064D"/>
    <w:rsid w:val="46094EB3"/>
    <w:rsid w:val="460F14C8"/>
    <w:rsid w:val="46162E4E"/>
    <w:rsid w:val="461A17B1"/>
    <w:rsid w:val="46205E07"/>
    <w:rsid w:val="46213240"/>
    <w:rsid w:val="46252D4D"/>
    <w:rsid w:val="46334018"/>
    <w:rsid w:val="4638462A"/>
    <w:rsid w:val="46387C31"/>
    <w:rsid w:val="464E7278"/>
    <w:rsid w:val="46585DC7"/>
    <w:rsid w:val="465B53CD"/>
    <w:rsid w:val="46613679"/>
    <w:rsid w:val="4669507C"/>
    <w:rsid w:val="468518EA"/>
    <w:rsid w:val="46A613B3"/>
    <w:rsid w:val="46B207D1"/>
    <w:rsid w:val="46CE47EC"/>
    <w:rsid w:val="46DA3884"/>
    <w:rsid w:val="46DC24F1"/>
    <w:rsid w:val="46EA4DCC"/>
    <w:rsid w:val="46EC1452"/>
    <w:rsid w:val="46F96400"/>
    <w:rsid w:val="47082795"/>
    <w:rsid w:val="4712301E"/>
    <w:rsid w:val="471D19C3"/>
    <w:rsid w:val="47226130"/>
    <w:rsid w:val="4723347D"/>
    <w:rsid w:val="47410DDF"/>
    <w:rsid w:val="47460F19"/>
    <w:rsid w:val="474653BD"/>
    <w:rsid w:val="475065D5"/>
    <w:rsid w:val="476513C6"/>
    <w:rsid w:val="4778684C"/>
    <w:rsid w:val="477D70FC"/>
    <w:rsid w:val="477E4FF4"/>
    <w:rsid w:val="47891107"/>
    <w:rsid w:val="47923B78"/>
    <w:rsid w:val="47A054BC"/>
    <w:rsid w:val="47AF3744"/>
    <w:rsid w:val="47B9793D"/>
    <w:rsid w:val="47CD6B6F"/>
    <w:rsid w:val="47EB3DDE"/>
    <w:rsid w:val="47F6293F"/>
    <w:rsid w:val="47FB7F56"/>
    <w:rsid w:val="480037BE"/>
    <w:rsid w:val="48085595"/>
    <w:rsid w:val="482617AF"/>
    <w:rsid w:val="48344A52"/>
    <w:rsid w:val="48380285"/>
    <w:rsid w:val="48382F58"/>
    <w:rsid w:val="48401776"/>
    <w:rsid w:val="48546305"/>
    <w:rsid w:val="48561630"/>
    <w:rsid w:val="485F5CAF"/>
    <w:rsid w:val="488937B4"/>
    <w:rsid w:val="4889717B"/>
    <w:rsid w:val="489621A2"/>
    <w:rsid w:val="489B7650"/>
    <w:rsid w:val="48A64E73"/>
    <w:rsid w:val="48B273CB"/>
    <w:rsid w:val="48B82B95"/>
    <w:rsid w:val="48C53DC3"/>
    <w:rsid w:val="48C95729"/>
    <w:rsid w:val="48C96EBA"/>
    <w:rsid w:val="48CB08FD"/>
    <w:rsid w:val="48D61428"/>
    <w:rsid w:val="48D77B39"/>
    <w:rsid w:val="490C2DB1"/>
    <w:rsid w:val="49166B47"/>
    <w:rsid w:val="491D58A0"/>
    <w:rsid w:val="491E285E"/>
    <w:rsid w:val="492152F7"/>
    <w:rsid w:val="49246763"/>
    <w:rsid w:val="49275E34"/>
    <w:rsid w:val="493A685C"/>
    <w:rsid w:val="493E4399"/>
    <w:rsid w:val="49521CA9"/>
    <w:rsid w:val="49544A87"/>
    <w:rsid w:val="49670D3C"/>
    <w:rsid w:val="4967648B"/>
    <w:rsid w:val="496A0BF5"/>
    <w:rsid w:val="49870D1A"/>
    <w:rsid w:val="498F599D"/>
    <w:rsid w:val="49975A5C"/>
    <w:rsid w:val="499B5CB2"/>
    <w:rsid w:val="49A93BD9"/>
    <w:rsid w:val="49AD34D2"/>
    <w:rsid w:val="49D15412"/>
    <w:rsid w:val="49D22F38"/>
    <w:rsid w:val="49E37654"/>
    <w:rsid w:val="49E77726"/>
    <w:rsid w:val="49EE37B0"/>
    <w:rsid w:val="49F134DB"/>
    <w:rsid w:val="49F51EDB"/>
    <w:rsid w:val="4A0F6F03"/>
    <w:rsid w:val="4A163D85"/>
    <w:rsid w:val="4A256B80"/>
    <w:rsid w:val="4A2F6758"/>
    <w:rsid w:val="4A3724C0"/>
    <w:rsid w:val="4A417D43"/>
    <w:rsid w:val="4A4200BE"/>
    <w:rsid w:val="4A445C00"/>
    <w:rsid w:val="4A4B0B6E"/>
    <w:rsid w:val="4A600544"/>
    <w:rsid w:val="4A64489F"/>
    <w:rsid w:val="4A6B0275"/>
    <w:rsid w:val="4A7B074B"/>
    <w:rsid w:val="4A864A43"/>
    <w:rsid w:val="4A885999"/>
    <w:rsid w:val="4A92402C"/>
    <w:rsid w:val="4A9641DF"/>
    <w:rsid w:val="4A9B157C"/>
    <w:rsid w:val="4AC36B97"/>
    <w:rsid w:val="4AC668D2"/>
    <w:rsid w:val="4AD90A31"/>
    <w:rsid w:val="4AE74C1E"/>
    <w:rsid w:val="4AF018C8"/>
    <w:rsid w:val="4AFE6B89"/>
    <w:rsid w:val="4B097BAB"/>
    <w:rsid w:val="4B0A3436"/>
    <w:rsid w:val="4B181409"/>
    <w:rsid w:val="4B1D2F8C"/>
    <w:rsid w:val="4B33411D"/>
    <w:rsid w:val="4B461F2B"/>
    <w:rsid w:val="4B752EB3"/>
    <w:rsid w:val="4B771FE9"/>
    <w:rsid w:val="4B7A4E6B"/>
    <w:rsid w:val="4B8B5A92"/>
    <w:rsid w:val="4B8B5D26"/>
    <w:rsid w:val="4B8E2E8F"/>
    <w:rsid w:val="4BA14D61"/>
    <w:rsid w:val="4BA52C90"/>
    <w:rsid w:val="4BA77ED2"/>
    <w:rsid w:val="4BB1347D"/>
    <w:rsid w:val="4BBA0128"/>
    <w:rsid w:val="4BBA72B0"/>
    <w:rsid w:val="4BBD439D"/>
    <w:rsid w:val="4BC32129"/>
    <w:rsid w:val="4BC54262"/>
    <w:rsid w:val="4BCF5632"/>
    <w:rsid w:val="4BDA0ED5"/>
    <w:rsid w:val="4BDF599F"/>
    <w:rsid w:val="4BF227B8"/>
    <w:rsid w:val="4BF46E98"/>
    <w:rsid w:val="4C030443"/>
    <w:rsid w:val="4C06511B"/>
    <w:rsid w:val="4C097B79"/>
    <w:rsid w:val="4C0C0983"/>
    <w:rsid w:val="4C2F3406"/>
    <w:rsid w:val="4C3C7455"/>
    <w:rsid w:val="4C5B371A"/>
    <w:rsid w:val="4C5D40AD"/>
    <w:rsid w:val="4C6A119A"/>
    <w:rsid w:val="4C6F16A7"/>
    <w:rsid w:val="4C773B54"/>
    <w:rsid w:val="4C79769B"/>
    <w:rsid w:val="4C9C45AC"/>
    <w:rsid w:val="4CA846DC"/>
    <w:rsid w:val="4CAC4275"/>
    <w:rsid w:val="4CAF5386"/>
    <w:rsid w:val="4CBA50E3"/>
    <w:rsid w:val="4CC85386"/>
    <w:rsid w:val="4CD46FC7"/>
    <w:rsid w:val="4CDB2104"/>
    <w:rsid w:val="4D037ABE"/>
    <w:rsid w:val="4D0553D3"/>
    <w:rsid w:val="4D06044C"/>
    <w:rsid w:val="4D1E44D1"/>
    <w:rsid w:val="4D465DA8"/>
    <w:rsid w:val="4D4C6B4F"/>
    <w:rsid w:val="4D537083"/>
    <w:rsid w:val="4D557D51"/>
    <w:rsid w:val="4D5932DC"/>
    <w:rsid w:val="4D5C57A0"/>
    <w:rsid w:val="4D5E3D9C"/>
    <w:rsid w:val="4D841D87"/>
    <w:rsid w:val="4D991B96"/>
    <w:rsid w:val="4D9B33CB"/>
    <w:rsid w:val="4DA82DA2"/>
    <w:rsid w:val="4DBB14D7"/>
    <w:rsid w:val="4DC31516"/>
    <w:rsid w:val="4DD86643"/>
    <w:rsid w:val="4DF3347D"/>
    <w:rsid w:val="4DFC7D24"/>
    <w:rsid w:val="4E021CE6"/>
    <w:rsid w:val="4E0220ED"/>
    <w:rsid w:val="4E0260A9"/>
    <w:rsid w:val="4E074369"/>
    <w:rsid w:val="4E0C1593"/>
    <w:rsid w:val="4E322FBF"/>
    <w:rsid w:val="4E5D6980"/>
    <w:rsid w:val="4E604FB7"/>
    <w:rsid w:val="4E6924D8"/>
    <w:rsid w:val="4E853B08"/>
    <w:rsid w:val="4E8B2A9D"/>
    <w:rsid w:val="4E9E23DD"/>
    <w:rsid w:val="4EA07161"/>
    <w:rsid w:val="4EA20082"/>
    <w:rsid w:val="4EA23714"/>
    <w:rsid w:val="4EA54396"/>
    <w:rsid w:val="4EA62C8C"/>
    <w:rsid w:val="4EAA4484"/>
    <w:rsid w:val="4EBA52B1"/>
    <w:rsid w:val="4EC216CF"/>
    <w:rsid w:val="4EC40568"/>
    <w:rsid w:val="4ECE07DB"/>
    <w:rsid w:val="4ED908C5"/>
    <w:rsid w:val="4F0202C8"/>
    <w:rsid w:val="4F0C0C9A"/>
    <w:rsid w:val="4F115764"/>
    <w:rsid w:val="4F2204BE"/>
    <w:rsid w:val="4F371340"/>
    <w:rsid w:val="4F4727D9"/>
    <w:rsid w:val="4F493C9D"/>
    <w:rsid w:val="4F546152"/>
    <w:rsid w:val="4F5C0387"/>
    <w:rsid w:val="4F6603AB"/>
    <w:rsid w:val="4F766114"/>
    <w:rsid w:val="4F7A7412"/>
    <w:rsid w:val="4F7B2E66"/>
    <w:rsid w:val="4F7D589F"/>
    <w:rsid w:val="4F7D74A2"/>
    <w:rsid w:val="4F837021"/>
    <w:rsid w:val="4F924CE0"/>
    <w:rsid w:val="4F9E7B97"/>
    <w:rsid w:val="4FA021BE"/>
    <w:rsid w:val="4FBA3ACA"/>
    <w:rsid w:val="4FBB4517"/>
    <w:rsid w:val="4FC155E1"/>
    <w:rsid w:val="4FC261F0"/>
    <w:rsid w:val="4FCB3237"/>
    <w:rsid w:val="4FCE44B1"/>
    <w:rsid w:val="4FE007A6"/>
    <w:rsid w:val="4FF16AEC"/>
    <w:rsid w:val="50037246"/>
    <w:rsid w:val="500D2F12"/>
    <w:rsid w:val="501039DF"/>
    <w:rsid w:val="503D0A8A"/>
    <w:rsid w:val="504274B2"/>
    <w:rsid w:val="504D47CC"/>
    <w:rsid w:val="50624FF5"/>
    <w:rsid w:val="507032D0"/>
    <w:rsid w:val="50760251"/>
    <w:rsid w:val="50782CEB"/>
    <w:rsid w:val="508769D8"/>
    <w:rsid w:val="508B02F3"/>
    <w:rsid w:val="50927935"/>
    <w:rsid w:val="50A839D1"/>
    <w:rsid w:val="50AA3EE6"/>
    <w:rsid w:val="50C8299F"/>
    <w:rsid w:val="50C97249"/>
    <w:rsid w:val="50CA6717"/>
    <w:rsid w:val="50CE76FD"/>
    <w:rsid w:val="50D70E34"/>
    <w:rsid w:val="50DE31B0"/>
    <w:rsid w:val="50E269EF"/>
    <w:rsid w:val="50EC2BCA"/>
    <w:rsid w:val="50ED73C8"/>
    <w:rsid w:val="50FB25CF"/>
    <w:rsid w:val="510F5CB6"/>
    <w:rsid w:val="5126166B"/>
    <w:rsid w:val="512C2E00"/>
    <w:rsid w:val="514C175F"/>
    <w:rsid w:val="515B5BEE"/>
    <w:rsid w:val="51844B18"/>
    <w:rsid w:val="519035B6"/>
    <w:rsid w:val="5191496F"/>
    <w:rsid w:val="519B2FFB"/>
    <w:rsid w:val="519C0571"/>
    <w:rsid w:val="51AE4DB8"/>
    <w:rsid w:val="51CA1157"/>
    <w:rsid w:val="51D42C95"/>
    <w:rsid w:val="51E608FC"/>
    <w:rsid w:val="51ED4DB3"/>
    <w:rsid w:val="51F50FAE"/>
    <w:rsid w:val="51F903FC"/>
    <w:rsid w:val="51FB1986"/>
    <w:rsid w:val="520B1386"/>
    <w:rsid w:val="521D297A"/>
    <w:rsid w:val="5222639A"/>
    <w:rsid w:val="52263E21"/>
    <w:rsid w:val="52272346"/>
    <w:rsid w:val="522741A6"/>
    <w:rsid w:val="52432C25"/>
    <w:rsid w:val="52614A8E"/>
    <w:rsid w:val="52776CE2"/>
    <w:rsid w:val="527A5F1B"/>
    <w:rsid w:val="527F656A"/>
    <w:rsid w:val="52901E51"/>
    <w:rsid w:val="52913101"/>
    <w:rsid w:val="529B5B9D"/>
    <w:rsid w:val="529C0587"/>
    <w:rsid w:val="529F316A"/>
    <w:rsid w:val="529F5124"/>
    <w:rsid w:val="52A00ECB"/>
    <w:rsid w:val="52A70384"/>
    <w:rsid w:val="52AB2578"/>
    <w:rsid w:val="52AD4542"/>
    <w:rsid w:val="52B636DD"/>
    <w:rsid w:val="52C43E23"/>
    <w:rsid w:val="52C71500"/>
    <w:rsid w:val="52C8137C"/>
    <w:rsid w:val="52CE65A8"/>
    <w:rsid w:val="52CF44B9"/>
    <w:rsid w:val="52D3090B"/>
    <w:rsid w:val="52E34DBC"/>
    <w:rsid w:val="52F14884"/>
    <w:rsid w:val="532145E9"/>
    <w:rsid w:val="535733B5"/>
    <w:rsid w:val="53576453"/>
    <w:rsid w:val="53620E89"/>
    <w:rsid w:val="536275BE"/>
    <w:rsid w:val="5372614B"/>
    <w:rsid w:val="537644A3"/>
    <w:rsid w:val="5387235B"/>
    <w:rsid w:val="538C402A"/>
    <w:rsid w:val="5393457C"/>
    <w:rsid w:val="53A206C2"/>
    <w:rsid w:val="53AC1D52"/>
    <w:rsid w:val="53B05DCE"/>
    <w:rsid w:val="53B46C9D"/>
    <w:rsid w:val="53B65CA7"/>
    <w:rsid w:val="53BE210C"/>
    <w:rsid w:val="53D963A2"/>
    <w:rsid w:val="53E50B71"/>
    <w:rsid w:val="53E977FC"/>
    <w:rsid w:val="53FD32A8"/>
    <w:rsid w:val="540B5711"/>
    <w:rsid w:val="5429409D"/>
    <w:rsid w:val="542B1BC3"/>
    <w:rsid w:val="542E50F6"/>
    <w:rsid w:val="54325F10"/>
    <w:rsid w:val="543530ED"/>
    <w:rsid w:val="5440264B"/>
    <w:rsid w:val="544113E6"/>
    <w:rsid w:val="54462559"/>
    <w:rsid w:val="544B7B6F"/>
    <w:rsid w:val="545E17F4"/>
    <w:rsid w:val="546143E9"/>
    <w:rsid w:val="546B1FBF"/>
    <w:rsid w:val="546E385E"/>
    <w:rsid w:val="5475299E"/>
    <w:rsid w:val="54752E3E"/>
    <w:rsid w:val="54761801"/>
    <w:rsid w:val="547B37BB"/>
    <w:rsid w:val="54841300"/>
    <w:rsid w:val="5489250E"/>
    <w:rsid w:val="5495703C"/>
    <w:rsid w:val="54985506"/>
    <w:rsid w:val="54A11E85"/>
    <w:rsid w:val="54AB2FBA"/>
    <w:rsid w:val="54B5784B"/>
    <w:rsid w:val="54B971CF"/>
    <w:rsid w:val="54BA7EA4"/>
    <w:rsid w:val="54BF2D11"/>
    <w:rsid w:val="54C12CEA"/>
    <w:rsid w:val="54C27FF5"/>
    <w:rsid w:val="54C87412"/>
    <w:rsid w:val="54CA34E0"/>
    <w:rsid w:val="54E41CA2"/>
    <w:rsid w:val="54E921AD"/>
    <w:rsid w:val="54F10F26"/>
    <w:rsid w:val="54FF79A8"/>
    <w:rsid w:val="55056BCC"/>
    <w:rsid w:val="552B2379"/>
    <w:rsid w:val="553C7E1E"/>
    <w:rsid w:val="553D672C"/>
    <w:rsid w:val="55546CCD"/>
    <w:rsid w:val="556B0267"/>
    <w:rsid w:val="55784F70"/>
    <w:rsid w:val="558A0B6B"/>
    <w:rsid w:val="559B524A"/>
    <w:rsid w:val="55A734CB"/>
    <w:rsid w:val="55AE4B76"/>
    <w:rsid w:val="55BB5298"/>
    <w:rsid w:val="55BD52C8"/>
    <w:rsid w:val="55CC551E"/>
    <w:rsid w:val="55D94248"/>
    <w:rsid w:val="55E4027B"/>
    <w:rsid w:val="55EC390A"/>
    <w:rsid w:val="55F32475"/>
    <w:rsid w:val="55F6001A"/>
    <w:rsid w:val="55F82812"/>
    <w:rsid w:val="560839BA"/>
    <w:rsid w:val="560E1C75"/>
    <w:rsid w:val="56134213"/>
    <w:rsid w:val="56273D07"/>
    <w:rsid w:val="562A168B"/>
    <w:rsid w:val="56431446"/>
    <w:rsid w:val="564E1B99"/>
    <w:rsid w:val="565F5B54"/>
    <w:rsid w:val="566861D2"/>
    <w:rsid w:val="56890E23"/>
    <w:rsid w:val="56981066"/>
    <w:rsid w:val="5698296C"/>
    <w:rsid w:val="569B72DC"/>
    <w:rsid w:val="56A90C09"/>
    <w:rsid w:val="56AB6FEB"/>
    <w:rsid w:val="56BF08AB"/>
    <w:rsid w:val="56C63ABD"/>
    <w:rsid w:val="56D36446"/>
    <w:rsid w:val="56D402F0"/>
    <w:rsid w:val="56E16569"/>
    <w:rsid w:val="56F035F5"/>
    <w:rsid w:val="56F221ED"/>
    <w:rsid w:val="57064096"/>
    <w:rsid w:val="57106E4E"/>
    <w:rsid w:val="572D2431"/>
    <w:rsid w:val="57316FCA"/>
    <w:rsid w:val="573945F7"/>
    <w:rsid w:val="57476459"/>
    <w:rsid w:val="574C5AC3"/>
    <w:rsid w:val="57580313"/>
    <w:rsid w:val="575907F5"/>
    <w:rsid w:val="57654793"/>
    <w:rsid w:val="57743436"/>
    <w:rsid w:val="5774427A"/>
    <w:rsid w:val="577479A3"/>
    <w:rsid w:val="57753474"/>
    <w:rsid w:val="57785367"/>
    <w:rsid w:val="577D144A"/>
    <w:rsid w:val="577D428D"/>
    <w:rsid w:val="578E07D6"/>
    <w:rsid w:val="57A02FAD"/>
    <w:rsid w:val="57A35F14"/>
    <w:rsid w:val="57A61D96"/>
    <w:rsid w:val="57A95DBD"/>
    <w:rsid w:val="57AA20FA"/>
    <w:rsid w:val="57AC4BFF"/>
    <w:rsid w:val="57B10004"/>
    <w:rsid w:val="57CC4E3B"/>
    <w:rsid w:val="57E21B34"/>
    <w:rsid w:val="57E81072"/>
    <w:rsid w:val="57EB141C"/>
    <w:rsid w:val="57EE6345"/>
    <w:rsid w:val="57FE314A"/>
    <w:rsid w:val="580D1891"/>
    <w:rsid w:val="581559E9"/>
    <w:rsid w:val="582E4460"/>
    <w:rsid w:val="58454D01"/>
    <w:rsid w:val="585E53D0"/>
    <w:rsid w:val="586B07E0"/>
    <w:rsid w:val="586E26F4"/>
    <w:rsid w:val="58723C7C"/>
    <w:rsid w:val="58747421"/>
    <w:rsid w:val="587D4A6C"/>
    <w:rsid w:val="588949DD"/>
    <w:rsid w:val="5895585D"/>
    <w:rsid w:val="58A62BA4"/>
    <w:rsid w:val="58D82A10"/>
    <w:rsid w:val="58EA2684"/>
    <w:rsid w:val="58F75CB5"/>
    <w:rsid w:val="58FB6EA7"/>
    <w:rsid w:val="59012EF2"/>
    <w:rsid w:val="59126EAD"/>
    <w:rsid w:val="59145DC3"/>
    <w:rsid w:val="591744C4"/>
    <w:rsid w:val="59274A42"/>
    <w:rsid w:val="592F76F7"/>
    <w:rsid w:val="593F3293"/>
    <w:rsid w:val="59701244"/>
    <w:rsid w:val="5974265D"/>
    <w:rsid w:val="598221CE"/>
    <w:rsid w:val="598475E5"/>
    <w:rsid w:val="598B6B18"/>
    <w:rsid w:val="5996188C"/>
    <w:rsid w:val="59964116"/>
    <w:rsid w:val="59A77200"/>
    <w:rsid w:val="59AB73DE"/>
    <w:rsid w:val="59AC5554"/>
    <w:rsid w:val="59AF0404"/>
    <w:rsid w:val="59B040F9"/>
    <w:rsid w:val="59B811D2"/>
    <w:rsid w:val="59C14ADA"/>
    <w:rsid w:val="59C26B25"/>
    <w:rsid w:val="59CC1752"/>
    <w:rsid w:val="59CC52AE"/>
    <w:rsid w:val="59D92F77"/>
    <w:rsid w:val="59E7556E"/>
    <w:rsid w:val="59F276A4"/>
    <w:rsid w:val="59F835AB"/>
    <w:rsid w:val="59F92E55"/>
    <w:rsid w:val="5A01761B"/>
    <w:rsid w:val="5A0F708E"/>
    <w:rsid w:val="5A184089"/>
    <w:rsid w:val="5A201F46"/>
    <w:rsid w:val="5A324A0E"/>
    <w:rsid w:val="5A382944"/>
    <w:rsid w:val="5A3C63D1"/>
    <w:rsid w:val="5A3D7BE8"/>
    <w:rsid w:val="5A3E3CD2"/>
    <w:rsid w:val="5A3F1C9A"/>
    <w:rsid w:val="5A435B69"/>
    <w:rsid w:val="5A5974B5"/>
    <w:rsid w:val="5A5B2AD6"/>
    <w:rsid w:val="5A61633E"/>
    <w:rsid w:val="5A654727"/>
    <w:rsid w:val="5A786A3C"/>
    <w:rsid w:val="5A7F7417"/>
    <w:rsid w:val="5A985AD8"/>
    <w:rsid w:val="5AB741B0"/>
    <w:rsid w:val="5AB81209"/>
    <w:rsid w:val="5AC1599C"/>
    <w:rsid w:val="5AC54F7B"/>
    <w:rsid w:val="5AC63126"/>
    <w:rsid w:val="5ACA61DE"/>
    <w:rsid w:val="5ADA1C4D"/>
    <w:rsid w:val="5ADC3C17"/>
    <w:rsid w:val="5AE25E7F"/>
    <w:rsid w:val="5AE34FA5"/>
    <w:rsid w:val="5AEB6E3E"/>
    <w:rsid w:val="5AF2684A"/>
    <w:rsid w:val="5AFE2270"/>
    <w:rsid w:val="5B022F52"/>
    <w:rsid w:val="5B0359C4"/>
    <w:rsid w:val="5B0B44FC"/>
    <w:rsid w:val="5B1102A4"/>
    <w:rsid w:val="5B132DCD"/>
    <w:rsid w:val="5B163AB7"/>
    <w:rsid w:val="5B223D51"/>
    <w:rsid w:val="5B280C0A"/>
    <w:rsid w:val="5B340E49"/>
    <w:rsid w:val="5B3752F1"/>
    <w:rsid w:val="5B3F3E24"/>
    <w:rsid w:val="5B491B70"/>
    <w:rsid w:val="5B5C259B"/>
    <w:rsid w:val="5B684E64"/>
    <w:rsid w:val="5B747E35"/>
    <w:rsid w:val="5B791BF1"/>
    <w:rsid w:val="5B7C67B1"/>
    <w:rsid w:val="5B9D1E91"/>
    <w:rsid w:val="5BB75893"/>
    <w:rsid w:val="5BC03756"/>
    <w:rsid w:val="5BD7618C"/>
    <w:rsid w:val="5BE508A9"/>
    <w:rsid w:val="5BFF3207"/>
    <w:rsid w:val="5C063CBF"/>
    <w:rsid w:val="5C092DAD"/>
    <w:rsid w:val="5C096452"/>
    <w:rsid w:val="5C14118E"/>
    <w:rsid w:val="5C1902CA"/>
    <w:rsid w:val="5C1B4CCD"/>
    <w:rsid w:val="5C3D2493"/>
    <w:rsid w:val="5C4833FA"/>
    <w:rsid w:val="5C484BDD"/>
    <w:rsid w:val="5C760207"/>
    <w:rsid w:val="5C792732"/>
    <w:rsid w:val="5C8956D8"/>
    <w:rsid w:val="5C936557"/>
    <w:rsid w:val="5C9B135A"/>
    <w:rsid w:val="5CA009AE"/>
    <w:rsid w:val="5CBE5FD4"/>
    <w:rsid w:val="5CC02A2D"/>
    <w:rsid w:val="5CC10B53"/>
    <w:rsid w:val="5CD34A43"/>
    <w:rsid w:val="5CD52D99"/>
    <w:rsid w:val="5CF16BBD"/>
    <w:rsid w:val="5CFC40FC"/>
    <w:rsid w:val="5D0B0B11"/>
    <w:rsid w:val="5D157B4B"/>
    <w:rsid w:val="5D197C22"/>
    <w:rsid w:val="5D481DCF"/>
    <w:rsid w:val="5D506423"/>
    <w:rsid w:val="5D557CB0"/>
    <w:rsid w:val="5D5D0718"/>
    <w:rsid w:val="5D8044CD"/>
    <w:rsid w:val="5D831818"/>
    <w:rsid w:val="5D865323"/>
    <w:rsid w:val="5D8B36D2"/>
    <w:rsid w:val="5D8D2FA6"/>
    <w:rsid w:val="5D8E0ABF"/>
    <w:rsid w:val="5D912BD6"/>
    <w:rsid w:val="5DA02272"/>
    <w:rsid w:val="5DA362FB"/>
    <w:rsid w:val="5DA36E72"/>
    <w:rsid w:val="5DB209FB"/>
    <w:rsid w:val="5DBC5B7A"/>
    <w:rsid w:val="5DD44A34"/>
    <w:rsid w:val="5DEA5A02"/>
    <w:rsid w:val="5DED613B"/>
    <w:rsid w:val="5DF36809"/>
    <w:rsid w:val="5DF671F6"/>
    <w:rsid w:val="5DFF1869"/>
    <w:rsid w:val="5E115985"/>
    <w:rsid w:val="5E1C432A"/>
    <w:rsid w:val="5E3D2C1E"/>
    <w:rsid w:val="5E3E2B7D"/>
    <w:rsid w:val="5E446844"/>
    <w:rsid w:val="5E451AD3"/>
    <w:rsid w:val="5E5B4E53"/>
    <w:rsid w:val="5E5F5F04"/>
    <w:rsid w:val="5E622D62"/>
    <w:rsid w:val="5E81788F"/>
    <w:rsid w:val="5E877319"/>
    <w:rsid w:val="5E8832BB"/>
    <w:rsid w:val="5EA277F6"/>
    <w:rsid w:val="5EAC1B52"/>
    <w:rsid w:val="5EB60D10"/>
    <w:rsid w:val="5EB70430"/>
    <w:rsid w:val="5EBE2B1D"/>
    <w:rsid w:val="5ED00BDD"/>
    <w:rsid w:val="5EF56019"/>
    <w:rsid w:val="5EFD399F"/>
    <w:rsid w:val="5F301EF4"/>
    <w:rsid w:val="5F335DCF"/>
    <w:rsid w:val="5F4144FC"/>
    <w:rsid w:val="5F443B39"/>
    <w:rsid w:val="5F4A1EEF"/>
    <w:rsid w:val="5F4D50E3"/>
    <w:rsid w:val="5F69507D"/>
    <w:rsid w:val="5F7E1FCE"/>
    <w:rsid w:val="5F7F1015"/>
    <w:rsid w:val="5F7F101B"/>
    <w:rsid w:val="5F8A1C50"/>
    <w:rsid w:val="5F965F3F"/>
    <w:rsid w:val="5FA36B47"/>
    <w:rsid w:val="5FB55316"/>
    <w:rsid w:val="5FCD1325"/>
    <w:rsid w:val="5FD40E8D"/>
    <w:rsid w:val="5FD97465"/>
    <w:rsid w:val="5FF7246A"/>
    <w:rsid w:val="6005021E"/>
    <w:rsid w:val="602005D7"/>
    <w:rsid w:val="602816AC"/>
    <w:rsid w:val="603349F6"/>
    <w:rsid w:val="60373A03"/>
    <w:rsid w:val="60485260"/>
    <w:rsid w:val="604C7106"/>
    <w:rsid w:val="60531502"/>
    <w:rsid w:val="60550939"/>
    <w:rsid w:val="60636507"/>
    <w:rsid w:val="6072694E"/>
    <w:rsid w:val="60760CD7"/>
    <w:rsid w:val="607B5C80"/>
    <w:rsid w:val="607E60DD"/>
    <w:rsid w:val="608A1236"/>
    <w:rsid w:val="608A48D5"/>
    <w:rsid w:val="60912CAB"/>
    <w:rsid w:val="60AF6A08"/>
    <w:rsid w:val="60B028DC"/>
    <w:rsid w:val="60C50EA7"/>
    <w:rsid w:val="60C53F67"/>
    <w:rsid w:val="60C5514D"/>
    <w:rsid w:val="60C56EFB"/>
    <w:rsid w:val="60C702D9"/>
    <w:rsid w:val="60C90799"/>
    <w:rsid w:val="60E8781E"/>
    <w:rsid w:val="60F37822"/>
    <w:rsid w:val="61047A23"/>
    <w:rsid w:val="6110461A"/>
    <w:rsid w:val="611934DB"/>
    <w:rsid w:val="611E75B6"/>
    <w:rsid w:val="61247BC4"/>
    <w:rsid w:val="612B00AD"/>
    <w:rsid w:val="61497B2C"/>
    <w:rsid w:val="614C3178"/>
    <w:rsid w:val="61516DE0"/>
    <w:rsid w:val="615545F7"/>
    <w:rsid w:val="615C44CF"/>
    <w:rsid w:val="61660A6E"/>
    <w:rsid w:val="61677FB2"/>
    <w:rsid w:val="616B1543"/>
    <w:rsid w:val="616F1011"/>
    <w:rsid w:val="616F74D4"/>
    <w:rsid w:val="617912AD"/>
    <w:rsid w:val="61902523"/>
    <w:rsid w:val="61BE1DA1"/>
    <w:rsid w:val="61D04BB6"/>
    <w:rsid w:val="61D11C46"/>
    <w:rsid w:val="61F90087"/>
    <w:rsid w:val="61FC4B9F"/>
    <w:rsid w:val="621A7528"/>
    <w:rsid w:val="62282544"/>
    <w:rsid w:val="622F6D22"/>
    <w:rsid w:val="62361E5F"/>
    <w:rsid w:val="62552403"/>
    <w:rsid w:val="625737B6"/>
    <w:rsid w:val="628232F6"/>
    <w:rsid w:val="628B309E"/>
    <w:rsid w:val="629D16DF"/>
    <w:rsid w:val="62A3326C"/>
    <w:rsid w:val="62A52B40"/>
    <w:rsid w:val="62CD7D0E"/>
    <w:rsid w:val="62DF384D"/>
    <w:rsid w:val="62FD6A68"/>
    <w:rsid w:val="63020C6D"/>
    <w:rsid w:val="6306375E"/>
    <w:rsid w:val="63096A4E"/>
    <w:rsid w:val="63145DAC"/>
    <w:rsid w:val="633217A1"/>
    <w:rsid w:val="63491078"/>
    <w:rsid w:val="634A37D1"/>
    <w:rsid w:val="63605AB8"/>
    <w:rsid w:val="63651355"/>
    <w:rsid w:val="636D7536"/>
    <w:rsid w:val="63807109"/>
    <w:rsid w:val="639420DB"/>
    <w:rsid w:val="6397584A"/>
    <w:rsid w:val="63A86D8C"/>
    <w:rsid w:val="63B303C2"/>
    <w:rsid w:val="63B3128D"/>
    <w:rsid w:val="63B82D47"/>
    <w:rsid w:val="63BC2837"/>
    <w:rsid w:val="63D01B63"/>
    <w:rsid w:val="63D376E1"/>
    <w:rsid w:val="63D90944"/>
    <w:rsid w:val="63E560A7"/>
    <w:rsid w:val="640268FA"/>
    <w:rsid w:val="64035A9B"/>
    <w:rsid w:val="640E58D1"/>
    <w:rsid w:val="64103EEE"/>
    <w:rsid w:val="64144421"/>
    <w:rsid w:val="642D2C6F"/>
    <w:rsid w:val="64326D27"/>
    <w:rsid w:val="64374055"/>
    <w:rsid w:val="643979E4"/>
    <w:rsid w:val="64412342"/>
    <w:rsid w:val="6448099E"/>
    <w:rsid w:val="6448736A"/>
    <w:rsid w:val="64650188"/>
    <w:rsid w:val="646739F5"/>
    <w:rsid w:val="64915A72"/>
    <w:rsid w:val="64A40EDD"/>
    <w:rsid w:val="64A579FD"/>
    <w:rsid w:val="64AC4960"/>
    <w:rsid w:val="64C00105"/>
    <w:rsid w:val="64C1335B"/>
    <w:rsid w:val="64C93B35"/>
    <w:rsid w:val="64C95A80"/>
    <w:rsid w:val="64D9169E"/>
    <w:rsid w:val="64DB4F3F"/>
    <w:rsid w:val="64DD3919"/>
    <w:rsid w:val="64F41B5D"/>
    <w:rsid w:val="65154749"/>
    <w:rsid w:val="651925FD"/>
    <w:rsid w:val="652017A8"/>
    <w:rsid w:val="652F5AED"/>
    <w:rsid w:val="65381C0E"/>
    <w:rsid w:val="65426D6C"/>
    <w:rsid w:val="65462CEC"/>
    <w:rsid w:val="654B3E73"/>
    <w:rsid w:val="655B17E2"/>
    <w:rsid w:val="656755AB"/>
    <w:rsid w:val="65716C34"/>
    <w:rsid w:val="657D59D8"/>
    <w:rsid w:val="65852BD6"/>
    <w:rsid w:val="65A06CCA"/>
    <w:rsid w:val="65BA4B36"/>
    <w:rsid w:val="65BD0BB8"/>
    <w:rsid w:val="65C60C19"/>
    <w:rsid w:val="65D522B9"/>
    <w:rsid w:val="65DD37E3"/>
    <w:rsid w:val="65E7730A"/>
    <w:rsid w:val="65FE3143"/>
    <w:rsid w:val="660101C9"/>
    <w:rsid w:val="66153231"/>
    <w:rsid w:val="66261918"/>
    <w:rsid w:val="66284820"/>
    <w:rsid w:val="662B2A66"/>
    <w:rsid w:val="662C07B9"/>
    <w:rsid w:val="66402691"/>
    <w:rsid w:val="667D168A"/>
    <w:rsid w:val="668C5856"/>
    <w:rsid w:val="668F2364"/>
    <w:rsid w:val="668F4233"/>
    <w:rsid w:val="669335F3"/>
    <w:rsid w:val="66951DEB"/>
    <w:rsid w:val="66996E60"/>
    <w:rsid w:val="66A118FC"/>
    <w:rsid w:val="66AB16A8"/>
    <w:rsid w:val="66B75538"/>
    <w:rsid w:val="66BC2660"/>
    <w:rsid w:val="66BD0D09"/>
    <w:rsid w:val="66D06C26"/>
    <w:rsid w:val="66EA286B"/>
    <w:rsid w:val="66F62740"/>
    <w:rsid w:val="66F81DD8"/>
    <w:rsid w:val="670F0ED0"/>
    <w:rsid w:val="67136644"/>
    <w:rsid w:val="67441E1C"/>
    <w:rsid w:val="67535248"/>
    <w:rsid w:val="6759214B"/>
    <w:rsid w:val="675B2367"/>
    <w:rsid w:val="677127D1"/>
    <w:rsid w:val="677133A0"/>
    <w:rsid w:val="6784541A"/>
    <w:rsid w:val="678C2521"/>
    <w:rsid w:val="6791557B"/>
    <w:rsid w:val="679A2E90"/>
    <w:rsid w:val="679B287B"/>
    <w:rsid w:val="67A46D80"/>
    <w:rsid w:val="67CC4A91"/>
    <w:rsid w:val="67D276DA"/>
    <w:rsid w:val="67D64059"/>
    <w:rsid w:val="67DE35A2"/>
    <w:rsid w:val="67E34E14"/>
    <w:rsid w:val="67E46CB1"/>
    <w:rsid w:val="67FB1B8B"/>
    <w:rsid w:val="67FF5A94"/>
    <w:rsid w:val="68026C7B"/>
    <w:rsid w:val="68180529"/>
    <w:rsid w:val="681A18DB"/>
    <w:rsid w:val="6827064D"/>
    <w:rsid w:val="682B3AE8"/>
    <w:rsid w:val="68396AA2"/>
    <w:rsid w:val="685A5F86"/>
    <w:rsid w:val="685B512C"/>
    <w:rsid w:val="686C7912"/>
    <w:rsid w:val="6870599E"/>
    <w:rsid w:val="68784853"/>
    <w:rsid w:val="68792AA5"/>
    <w:rsid w:val="688866BA"/>
    <w:rsid w:val="68937E00"/>
    <w:rsid w:val="689D55EC"/>
    <w:rsid w:val="68AB6102"/>
    <w:rsid w:val="68AF6678"/>
    <w:rsid w:val="68B34466"/>
    <w:rsid w:val="68B55D06"/>
    <w:rsid w:val="68BD2630"/>
    <w:rsid w:val="68BD37F2"/>
    <w:rsid w:val="68C26C96"/>
    <w:rsid w:val="68E76E46"/>
    <w:rsid w:val="68EF0FB9"/>
    <w:rsid w:val="68FD36D6"/>
    <w:rsid w:val="690D484B"/>
    <w:rsid w:val="691D5B26"/>
    <w:rsid w:val="692A69FE"/>
    <w:rsid w:val="693764BC"/>
    <w:rsid w:val="69396506"/>
    <w:rsid w:val="69490E87"/>
    <w:rsid w:val="69500B79"/>
    <w:rsid w:val="69584526"/>
    <w:rsid w:val="69675B74"/>
    <w:rsid w:val="69730836"/>
    <w:rsid w:val="69821E2D"/>
    <w:rsid w:val="699658D9"/>
    <w:rsid w:val="699D27C3"/>
    <w:rsid w:val="69A147E3"/>
    <w:rsid w:val="69A237F1"/>
    <w:rsid w:val="69B875FD"/>
    <w:rsid w:val="69D163C0"/>
    <w:rsid w:val="69D64A51"/>
    <w:rsid w:val="69D65CD5"/>
    <w:rsid w:val="69D81A4D"/>
    <w:rsid w:val="69DC1BB5"/>
    <w:rsid w:val="69E345E8"/>
    <w:rsid w:val="69E71C90"/>
    <w:rsid w:val="69E91FA0"/>
    <w:rsid w:val="69EC3867"/>
    <w:rsid w:val="69F267A5"/>
    <w:rsid w:val="69F44980"/>
    <w:rsid w:val="69FA5E67"/>
    <w:rsid w:val="6A040A94"/>
    <w:rsid w:val="6A4031C4"/>
    <w:rsid w:val="6A5449E6"/>
    <w:rsid w:val="6A623161"/>
    <w:rsid w:val="6A6B28C1"/>
    <w:rsid w:val="6A7F33A9"/>
    <w:rsid w:val="6A8614A9"/>
    <w:rsid w:val="6A905F36"/>
    <w:rsid w:val="6A916F52"/>
    <w:rsid w:val="6A935974"/>
    <w:rsid w:val="6A97383E"/>
    <w:rsid w:val="6A9F1D97"/>
    <w:rsid w:val="6AA33E09"/>
    <w:rsid w:val="6AA933EA"/>
    <w:rsid w:val="6AB072F2"/>
    <w:rsid w:val="6AB9187F"/>
    <w:rsid w:val="6AC329A9"/>
    <w:rsid w:val="6ACE260D"/>
    <w:rsid w:val="6AD76352"/>
    <w:rsid w:val="6AE90B07"/>
    <w:rsid w:val="6B02105A"/>
    <w:rsid w:val="6B225676"/>
    <w:rsid w:val="6B241461"/>
    <w:rsid w:val="6B434A8C"/>
    <w:rsid w:val="6B525520"/>
    <w:rsid w:val="6B5C1F43"/>
    <w:rsid w:val="6B6B0204"/>
    <w:rsid w:val="6B752EC5"/>
    <w:rsid w:val="6B7D7253"/>
    <w:rsid w:val="6B83565B"/>
    <w:rsid w:val="6B87197D"/>
    <w:rsid w:val="6B8F2B5E"/>
    <w:rsid w:val="6B9E58E7"/>
    <w:rsid w:val="6B9F3924"/>
    <w:rsid w:val="6BBB2524"/>
    <w:rsid w:val="6BBC4A20"/>
    <w:rsid w:val="6BD20B98"/>
    <w:rsid w:val="6BD91E39"/>
    <w:rsid w:val="6BD9508A"/>
    <w:rsid w:val="6BEA3A67"/>
    <w:rsid w:val="6C042FCD"/>
    <w:rsid w:val="6C045B35"/>
    <w:rsid w:val="6C0B52C6"/>
    <w:rsid w:val="6C0B610A"/>
    <w:rsid w:val="6C1720CA"/>
    <w:rsid w:val="6C242181"/>
    <w:rsid w:val="6C3E1D8C"/>
    <w:rsid w:val="6C42289C"/>
    <w:rsid w:val="6C4F1D22"/>
    <w:rsid w:val="6C5B77B1"/>
    <w:rsid w:val="6C6E7361"/>
    <w:rsid w:val="6C7C7E4B"/>
    <w:rsid w:val="6C856063"/>
    <w:rsid w:val="6C9360FF"/>
    <w:rsid w:val="6C9500C9"/>
    <w:rsid w:val="6C953299"/>
    <w:rsid w:val="6C977F2F"/>
    <w:rsid w:val="6C9910E2"/>
    <w:rsid w:val="6CAE0D30"/>
    <w:rsid w:val="6CB93EE7"/>
    <w:rsid w:val="6CC12AE2"/>
    <w:rsid w:val="6CC83FFB"/>
    <w:rsid w:val="6CCD7863"/>
    <w:rsid w:val="6CD711ED"/>
    <w:rsid w:val="6CDA55DB"/>
    <w:rsid w:val="6CF5432A"/>
    <w:rsid w:val="6CF9722E"/>
    <w:rsid w:val="6D093871"/>
    <w:rsid w:val="6D0D5FE0"/>
    <w:rsid w:val="6D194C0E"/>
    <w:rsid w:val="6D1F7993"/>
    <w:rsid w:val="6D262AD0"/>
    <w:rsid w:val="6D3A754E"/>
    <w:rsid w:val="6D573318"/>
    <w:rsid w:val="6D5767B8"/>
    <w:rsid w:val="6D8E6FF3"/>
    <w:rsid w:val="6DA06D26"/>
    <w:rsid w:val="6DA562E7"/>
    <w:rsid w:val="6DAF3888"/>
    <w:rsid w:val="6DB66549"/>
    <w:rsid w:val="6DBC2EBB"/>
    <w:rsid w:val="6DE035C6"/>
    <w:rsid w:val="6DF8799B"/>
    <w:rsid w:val="6E014B77"/>
    <w:rsid w:val="6E0476FE"/>
    <w:rsid w:val="6E105C5A"/>
    <w:rsid w:val="6E1F7463"/>
    <w:rsid w:val="6E2C3AD0"/>
    <w:rsid w:val="6E4C0C5C"/>
    <w:rsid w:val="6E5024FA"/>
    <w:rsid w:val="6E5257D2"/>
    <w:rsid w:val="6E5B2C4D"/>
    <w:rsid w:val="6E601A68"/>
    <w:rsid w:val="6E602011"/>
    <w:rsid w:val="6E663ACB"/>
    <w:rsid w:val="6E743803"/>
    <w:rsid w:val="6E7770F6"/>
    <w:rsid w:val="6EA36ACE"/>
    <w:rsid w:val="6EB5235D"/>
    <w:rsid w:val="6EC802E2"/>
    <w:rsid w:val="6ED01875"/>
    <w:rsid w:val="6EE82E5B"/>
    <w:rsid w:val="6EEC7F85"/>
    <w:rsid w:val="6EF02346"/>
    <w:rsid w:val="6EF50254"/>
    <w:rsid w:val="6EF50DEC"/>
    <w:rsid w:val="6EF85645"/>
    <w:rsid w:val="6EFC14BD"/>
    <w:rsid w:val="6EFC30E9"/>
    <w:rsid w:val="6F0B58D2"/>
    <w:rsid w:val="6F0D666B"/>
    <w:rsid w:val="6F250C8F"/>
    <w:rsid w:val="6F3A63B1"/>
    <w:rsid w:val="6F4316AD"/>
    <w:rsid w:val="6F433E0D"/>
    <w:rsid w:val="6F451933"/>
    <w:rsid w:val="6F5C219B"/>
    <w:rsid w:val="6F651FD5"/>
    <w:rsid w:val="6F671BDB"/>
    <w:rsid w:val="6F6F326D"/>
    <w:rsid w:val="6F777EAE"/>
    <w:rsid w:val="6F7B6482"/>
    <w:rsid w:val="6F7B7A02"/>
    <w:rsid w:val="6F806276"/>
    <w:rsid w:val="6F906926"/>
    <w:rsid w:val="6F9D22F1"/>
    <w:rsid w:val="6FA80114"/>
    <w:rsid w:val="6FB40867"/>
    <w:rsid w:val="6FC37F08"/>
    <w:rsid w:val="6FCD1928"/>
    <w:rsid w:val="6FDB5DF3"/>
    <w:rsid w:val="6FE42753"/>
    <w:rsid w:val="6FEC08A7"/>
    <w:rsid w:val="6FFB2BC3"/>
    <w:rsid w:val="700215D2"/>
    <w:rsid w:val="703E4EF1"/>
    <w:rsid w:val="70704677"/>
    <w:rsid w:val="70747068"/>
    <w:rsid w:val="70787AE6"/>
    <w:rsid w:val="70932B72"/>
    <w:rsid w:val="7096077F"/>
    <w:rsid w:val="70990584"/>
    <w:rsid w:val="709D0CA2"/>
    <w:rsid w:val="70AE379B"/>
    <w:rsid w:val="70BE1773"/>
    <w:rsid w:val="70CE142D"/>
    <w:rsid w:val="70E826D9"/>
    <w:rsid w:val="70ED2282"/>
    <w:rsid w:val="70F9789F"/>
    <w:rsid w:val="7105445C"/>
    <w:rsid w:val="71096990"/>
    <w:rsid w:val="710A100B"/>
    <w:rsid w:val="71112066"/>
    <w:rsid w:val="71135521"/>
    <w:rsid w:val="71193077"/>
    <w:rsid w:val="711B729F"/>
    <w:rsid w:val="71216126"/>
    <w:rsid w:val="713171CD"/>
    <w:rsid w:val="71392D06"/>
    <w:rsid w:val="713A23A1"/>
    <w:rsid w:val="71517EE3"/>
    <w:rsid w:val="71560FD3"/>
    <w:rsid w:val="7172737E"/>
    <w:rsid w:val="717E2663"/>
    <w:rsid w:val="71863E99"/>
    <w:rsid w:val="718D55C8"/>
    <w:rsid w:val="719A629B"/>
    <w:rsid w:val="719E1480"/>
    <w:rsid w:val="71B0505E"/>
    <w:rsid w:val="71BE59CD"/>
    <w:rsid w:val="71C27838"/>
    <w:rsid w:val="71C61D26"/>
    <w:rsid w:val="71D90A58"/>
    <w:rsid w:val="71DF419D"/>
    <w:rsid w:val="71ED62B2"/>
    <w:rsid w:val="71FB5DE1"/>
    <w:rsid w:val="72035716"/>
    <w:rsid w:val="7207180A"/>
    <w:rsid w:val="72114785"/>
    <w:rsid w:val="72146978"/>
    <w:rsid w:val="721A7282"/>
    <w:rsid w:val="722874FA"/>
    <w:rsid w:val="72304AA0"/>
    <w:rsid w:val="723839D1"/>
    <w:rsid w:val="7238577F"/>
    <w:rsid w:val="72625DB5"/>
    <w:rsid w:val="72810791"/>
    <w:rsid w:val="72904463"/>
    <w:rsid w:val="72931749"/>
    <w:rsid w:val="72963829"/>
    <w:rsid w:val="72C72545"/>
    <w:rsid w:val="72CB65F3"/>
    <w:rsid w:val="72CD4305"/>
    <w:rsid w:val="72D27193"/>
    <w:rsid w:val="72D62627"/>
    <w:rsid w:val="72E47E1D"/>
    <w:rsid w:val="72F650B7"/>
    <w:rsid w:val="72FA2A34"/>
    <w:rsid w:val="730E0277"/>
    <w:rsid w:val="73267CCD"/>
    <w:rsid w:val="732A08A1"/>
    <w:rsid w:val="73320420"/>
    <w:rsid w:val="733817AF"/>
    <w:rsid w:val="733D059E"/>
    <w:rsid w:val="73416402"/>
    <w:rsid w:val="734939BC"/>
    <w:rsid w:val="735D61C9"/>
    <w:rsid w:val="736B1B84"/>
    <w:rsid w:val="737B26A0"/>
    <w:rsid w:val="737C169B"/>
    <w:rsid w:val="737C1B7D"/>
    <w:rsid w:val="737C5B3F"/>
    <w:rsid w:val="738670B7"/>
    <w:rsid w:val="739361C4"/>
    <w:rsid w:val="7394357D"/>
    <w:rsid w:val="739C1D3D"/>
    <w:rsid w:val="73A0012B"/>
    <w:rsid w:val="73A62BBC"/>
    <w:rsid w:val="73B21197"/>
    <w:rsid w:val="73B805C1"/>
    <w:rsid w:val="73BA0747"/>
    <w:rsid w:val="73E51333"/>
    <w:rsid w:val="73E613F5"/>
    <w:rsid w:val="73EB05CF"/>
    <w:rsid w:val="73F97190"/>
    <w:rsid w:val="73F97679"/>
    <w:rsid w:val="74025CA1"/>
    <w:rsid w:val="740369F3"/>
    <w:rsid w:val="740F0863"/>
    <w:rsid w:val="741445C2"/>
    <w:rsid w:val="7419315D"/>
    <w:rsid w:val="74287801"/>
    <w:rsid w:val="744C64FD"/>
    <w:rsid w:val="745B7503"/>
    <w:rsid w:val="746B1F62"/>
    <w:rsid w:val="74716BB5"/>
    <w:rsid w:val="747D3BF3"/>
    <w:rsid w:val="7481692F"/>
    <w:rsid w:val="74856C75"/>
    <w:rsid w:val="749420DC"/>
    <w:rsid w:val="749B402B"/>
    <w:rsid w:val="74A96AE7"/>
    <w:rsid w:val="74AE6FA0"/>
    <w:rsid w:val="74D527BF"/>
    <w:rsid w:val="74FB01D1"/>
    <w:rsid w:val="74FC6F38"/>
    <w:rsid w:val="74FD05BA"/>
    <w:rsid w:val="74FE7827"/>
    <w:rsid w:val="753603B2"/>
    <w:rsid w:val="755E7B87"/>
    <w:rsid w:val="75614FED"/>
    <w:rsid w:val="756D0BFC"/>
    <w:rsid w:val="757A3FB0"/>
    <w:rsid w:val="758A6ABD"/>
    <w:rsid w:val="758B6411"/>
    <w:rsid w:val="7599721F"/>
    <w:rsid w:val="759C2559"/>
    <w:rsid w:val="75AA5940"/>
    <w:rsid w:val="75AB0AA6"/>
    <w:rsid w:val="75BC61A1"/>
    <w:rsid w:val="75C4732A"/>
    <w:rsid w:val="75C839E5"/>
    <w:rsid w:val="75CE593C"/>
    <w:rsid w:val="75D51537"/>
    <w:rsid w:val="75D9535A"/>
    <w:rsid w:val="75E7607C"/>
    <w:rsid w:val="75FB71EF"/>
    <w:rsid w:val="75FF0362"/>
    <w:rsid w:val="76040BF4"/>
    <w:rsid w:val="762C626B"/>
    <w:rsid w:val="764C63FC"/>
    <w:rsid w:val="76553EEB"/>
    <w:rsid w:val="767A1407"/>
    <w:rsid w:val="76831738"/>
    <w:rsid w:val="768A78DE"/>
    <w:rsid w:val="7692546B"/>
    <w:rsid w:val="769258FF"/>
    <w:rsid w:val="76960CC6"/>
    <w:rsid w:val="76A21126"/>
    <w:rsid w:val="76B70F18"/>
    <w:rsid w:val="76C232D1"/>
    <w:rsid w:val="76CA684A"/>
    <w:rsid w:val="76CD04E1"/>
    <w:rsid w:val="76D4359C"/>
    <w:rsid w:val="76D65566"/>
    <w:rsid w:val="76D87B0D"/>
    <w:rsid w:val="76EC6B38"/>
    <w:rsid w:val="770D338F"/>
    <w:rsid w:val="77171366"/>
    <w:rsid w:val="77172B25"/>
    <w:rsid w:val="771D2B87"/>
    <w:rsid w:val="771F2069"/>
    <w:rsid w:val="771F5DAD"/>
    <w:rsid w:val="771F6F0D"/>
    <w:rsid w:val="77471FC0"/>
    <w:rsid w:val="775765E4"/>
    <w:rsid w:val="77754D7F"/>
    <w:rsid w:val="779E208D"/>
    <w:rsid w:val="779F420C"/>
    <w:rsid w:val="77AD276B"/>
    <w:rsid w:val="77B45455"/>
    <w:rsid w:val="77B83E65"/>
    <w:rsid w:val="77C3668D"/>
    <w:rsid w:val="77C6382D"/>
    <w:rsid w:val="77DE0B76"/>
    <w:rsid w:val="77E912C9"/>
    <w:rsid w:val="77FB0A5B"/>
    <w:rsid w:val="780305DD"/>
    <w:rsid w:val="780E2EA7"/>
    <w:rsid w:val="7819395D"/>
    <w:rsid w:val="78287F4D"/>
    <w:rsid w:val="782B18E2"/>
    <w:rsid w:val="78323777"/>
    <w:rsid w:val="78402DE3"/>
    <w:rsid w:val="784B2DB5"/>
    <w:rsid w:val="785768CA"/>
    <w:rsid w:val="786100F2"/>
    <w:rsid w:val="78622141"/>
    <w:rsid w:val="786E00B9"/>
    <w:rsid w:val="7882385F"/>
    <w:rsid w:val="788E574F"/>
    <w:rsid w:val="78986E25"/>
    <w:rsid w:val="78B404DC"/>
    <w:rsid w:val="78CD7DE0"/>
    <w:rsid w:val="78D02831"/>
    <w:rsid w:val="78E107E8"/>
    <w:rsid w:val="78F35A32"/>
    <w:rsid w:val="78F90A0C"/>
    <w:rsid w:val="78F92969"/>
    <w:rsid w:val="790311D7"/>
    <w:rsid w:val="792D123F"/>
    <w:rsid w:val="793622EC"/>
    <w:rsid w:val="795135CA"/>
    <w:rsid w:val="79524DA4"/>
    <w:rsid w:val="796432FD"/>
    <w:rsid w:val="79711576"/>
    <w:rsid w:val="79766B8D"/>
    <w:rsid w:val="79796CE2"/>
    <w:rsid w:val="798017B9"/>
    <w:rsid w:val="79812BB1"/>
    <w:rsid w:val="7984196A"/>
    <w:rsid w:val="798C5A9C"/>
    <w:rsid w:val="79A72DAD"/>
    <w:rsid w:val="79B320C8"/>
    <w:rsid w:val="79D833A4"/>
    <w:rsid w:val="7A261C3A"/>
    <w:rsid w:val="7A2F5B83"/>
    <w:rsid w:val="7A475B7A"/>
    <w:rsid w:val="7A4D387C"/>
    <w:rsid w:val="7A4E5D81"/>
    <w:rsid w:val="7A6E10EA"/>
    <w:rsid w:val="7A9A5781"/>
    <w:rsid w:val="7A9C2623"/>
    <w:rsid w:val="7AA37C6A"/>
    <w:rsid w:val="7AA62D8E"/>
    <w:rsid w:val="7ABA52F4"/>
    <w:rsid w:val="7ABB519F"/>
    <w:rsid w:val="7AC2422A"/>
    <w:rsid w:val="7AC46224"/>
    <w:rsid w:val="7AD3235D"/>
    <w:rsid w:val="7AD445A1"/>
    <w:rsid w:val="7AE3103E"/>
    <w:rsid w:val="7AED3A31"/>
    <w:rsid w:val="7AF24A8F"/>
    <w:rsid w:val="7AF66ABB"/>
    <w:rsid w:val="7AF71938"/>
    <w:rsid w:val="7B0501C8"/>
    <w:rsid w:val="7B09415C"/>
    <w:rsid w:val="7B105B71"/>
    <w:rsid w:val="7B157BF2"/>
    <w:rsid w:val="7B1A261A"/>
    <w:rsid w:val="7B2368A0"/>
    <w:rsid w:val="7B241EFA"/>
    <w:rsid w:val="7B255511"/>
    <w:rsid w:val="7B2C7E4B"/>
    <w:rsid w:val="7B3C3442"/>
    <w:rsid w:val="7B3F25A3"/>
    <w:rsid w:val="7B433220"/>
    <w:rsid w:val="7B462B56"/>
    <w:rsid w:val="7B5C7E9F"/>
    <w:rsid w:val="7B5F5E64"/>
    <w:rsid w:val="7B746733"/>
    <w:rsid w:val="7B791FBE"/>
    <w:rsid w:val="7B7A78AA"/>
    <w:rsid w:val="7B7E5ABE"/>
    <w:rsid w:val="7B896288"/>
    <w:rsid w:val="7BB51EF2"/>
    <w:rsid w:val="7BBA6099"/>
    <w:rsid w:val="7BBB5161"/>
    <w:rsid w:val="7BBC4E09"/>
    <w:rsid w:val="7BC11BFB"/>
    <w:rsid w:val="7BD14D95"/>
    <w:rsid w:val="7BD34D19"/>
    <w:rsid w:val="7BD83B2F"/>
    <w:rsid w:val="7BE9066A"/>
    <w:rsid w:val="7BEB3800"/>
    <w:rsid w:val="7BFB1E88"/>
    <w:rsid w:val="7C035163"/>
    <w:rsid w:val="7C054384"/>
    <w:rsid w:val="7C0B3DB1"/>
    <w:rsid w:val="7C2F3340"/>
    <w:rsid w:val="7C3A6597"/>
    <w:rsid w:val="7C3D4512"/>
    <w:rsid w:val="7C472FA6"/>
    <w:rsid w:val="7C480CB4"/>
    <w:rsid w:val="7C4C6036"/>
    <w:rsid w:val="7C5B09E8"/>
    <w:rsid w:val="7C5B65CD"/>
    <w:rsid w:val="7C5F1687"/>
    <w:rsid w:val="7C650823"/>
    <w:rsid w:val="7C6E25C8"/>
    <w:rsid w:val="7C730367"/>
    <w:rsid w:val="7C8C5A43"/>
    <w:rsid w:val="7CAA1027"/>
    <w:rsid w:val="7CDF366F"/>
    <w:rsid w:val="7CE374B4"/>
    <w:rsid w:val="7CFF64A5"/>
    <w:rsid w:val="7D0A41BC"/>
    <w:rsid w:val="7D0F3586"/>
    <w:rsid w:val="7D1D3160"/>
    <w:rsid w:val="7D242E7E"/>
    <w:rsid w:val="7D2F59D0"/>
    <w:rsid w:val="7D3A7A3D"/>
    <w:rsid w:val="7D567401"/>
    <w:rsid w:val="7D6353C5"/>
    <w:rsid w:val="7D6E5996"/>
    <w:rsid w:val="7D85681A"/>
    <w:rsid w:val="7DA10183"/>
    <w:rsid w:val="7DA4016C"/>
    <w:rsid w:val="7DDF61F2"/>
    <w:rsid w:val="7DE81ADB"/>
    <w:rsid w:val="7DF72FDB"/>
    <w:rsid w:val="7DF842F7"/>
    <w:rsid w:val="7DFB3C5A"/>
    <w:rsid w:val="7E132BFC"/>
    <w:rsid w:val="7E1B73A7"/>
    <w:rsid w:val="7E1D666F"/>
    <w:rsid w:val="7E4C0500"/>
    <w:rsid w:val="7E5A6A7D"/>
    <w:rsid w:val="7E853322"/>
    <w:rsid w:val="7E8F58CE"/>
    <w:rsid w:val="7E9958A6"/>
    <w:rsid w:val="7EB74AC2"/>
    <w:rsid w:val="7EB96B62"/>
    <w:rsid w:val="7ECD0781"/>
    <w:rsid w:val="7EEA7E01"/>
    <w:rsid w:val="7EF52AA1"/>
    <w:rsid w:val="7EF94661"/>
    <w:rsid w:val="7F115112"/>
    <w:rsid w:val="7F1C2A22"/>
    <w:rsid w:val="7F2469A7"/>
    <w:rsid w:val="7F3E014D"/>
    <w:rsid w:val="7F3E1F53"/>
    <w:rsid w:val="7F3E6020"/>
    <w:rsid w:val="7F434318"/>
    <w:rsid w:val="7F522778"/>
    <w:rsid w:val="7F542F27"/>
    <w:rsid w:val="7F5C5679"/>
    <w:rsid w:val="7F635392"/>
    <w:rsid w:val="7F645E05"/>
    <w:rsid w:val="7F771520"/>
    <w:rsid w:val="7F7B6B6B"/>
    <w:rsid w:val="7F840255"/>
    <w:rsid w:val="7F9935D5"/>
    <w:rsid w:val="7FB43907"/>
    <w:rsid w:val="7FBB79EF"/>
    <w:rsid w:val="7FC20EB5"/>
    <w:rsid w:val="7FC22B2C"/>
    <w:rsid w:val="7FC407E2"/>
    <w:rsid w:val="7FCA19E0"/>
    <w:rsid w:val="7FDD37E9"/>
    <w:rsid w:val="7FE744F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lang w:val="en-US" w:eastAsia="zh-CN" w:bidi="ar-SA"/>
    </w:rPr>
  </w:style>
  <w:style w:type="paragraph" w:styleId="2">
    <w:name w:val="heading 1"/>
    <w:basedOn w:val="1"/>
    <w:next w:val="1"/>
    <w:autoRedefine/>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autoRedefine/>
    <w:qFormat/>
    <w:uiPriority w:val="0"/>
    <w:pPr>
      <w:keepNext/>
      <w:keepLines/>
      <w:spacing w:before="260" w:beforeLines="0" w:after="260" w:afterLines="0" w:line="413" w:lineRule="auto"/>
      <w:outlineLvl w:val="1"/>
    </w:pPr>
    <w:rPr>
      <w:rFonts w:ascii="Arial" w:hAnsi="Arial" w:eastAsia="黑体"/>
      <w:b/>
      <w:sz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character" w:default="1" w:styleId="28">
    <w:name w:val="Default Paragraph Font"/>
    <w:link w:val="29"/>
    <w:autoRedefine/>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7">
    <w:name w:val="Normal Indent"/>
    <w:basedOn w:val="1"/>
    <w:next w:val="8"/>
    <w:autoRedefine/>
    <w:qFormat/>
    <w:uiPriority w:val="0"/>
    <w:pPr>
      <w:ind w:firstLine="420"/>
    </w:pPr>
  </w:style>
  <w:style w:type="paragraph" w:styleId="8">
    <w:name w:val="toc 4"/>
    <w:basedOn w:val="1"/>
    <w:next w:val="1"/>
    <w:autoRedefine/>
    <w:qFormat/>
    <w:uiPriority w:val="39"/>
    <w:pPr>
      <w:ind w:left="630"/>
      <w:jc w:val="left"/>
    </w:pPr>
    <w:rPr>
      <w:rFonts w:ascii="Calibri" w:hAnsi="Calibri" w:cs="Calibri"/>
      <w:sz w:val="18"/>
      <w:szCs w:val="18"/>
    </w:rPr>
  </w:style>
  <w:style w:type="paragraph" w:styleId="9">
    <w:name w:val="Salutation"/>
    <w:basedOn w:val="1"/>
    <w:next w:val="1"/>
    <w:autoRedefine/>
    <w:qFormat/>
    <w:uiPriority w:val="0"/>
  </w:style>
  <w:style w:type="paragraph" w:styleId="10">
    <w:name w:val="Body Text"/>
    <w:basedOn w:val="1"/>
    <w:autoRedefine/>
    <w:qFormat/>
    <w:uiPriority w:val="0"/>
    <w:pPr>
      <w:spacing w:after="120" w:afterLines="0"/>
    </w:pPr>
  </w:style>
  <w:style w:type="paragraph" w:styleId="11">
    <w:name w:val="Body Text Indent"/>
    <w:basedOn w:val="1"/>
    <w:autoRedefine/>
    <w:qFormat/>
    <w:uiPriority w:val="0"/>
    <w:pPr>
      <w:widowControl/>
      <w:ind w:left="426" w:hanging="426" w:hangingChars="152"/>
      <w:jc w:val="left"/>
    </w:pPr>
    <w:rPr>
      <w:rFonts w:ascii="宋体"/>
      <w:kern w:val="0"/>
    </w:rPr>
  </w:style>
  <w:style w:type="paragraph" w:styleId="12">
    <w:name w:val="Plain Text"/>
    <w:basedOn w:val="1"/>
    <w:autoRedefine/>
    <w:qFormat/>
    <w:uiPriority w:val="0"/>
    <w:rPr>
      <w:rFonts w:ascii="宋体" w:hAnsi="Courier New"/>
      <w:szCs w:val="20"/>
    </w:rPr>
  </w:style>
  <w:style w:type="paragraph" w:styleId="13">
    <w:name w:val="Date"/>
    <w:basedOn w:val="1"/>
    <w:next w:val="1"/>
    <w:link w:val="69"/>
    <w:autoRedefine/>
    <w:qFormat/>
    <w:uiPriority w:val="0"/>
  </w:style>
  <w:style w:type="paragraph" w:styleId="14">
    <w:name w:val="Body Text Indent 2"/>
    <w:basedOn w:val="1"/>
    <w:autoRedefine/>
    <w:qFormat/>
    <w:uiPriority w:val="0"/>
    <w:pPr>
      <w:spacing w:after="120" w:line="480" w:lineRule="auto"/>
      <w:ind w:left="420" w:leftChars="200"/>
    </w:pPr>
  </w:style>
  <w:style w:type="paragraph" w:styleId="15">
    <w:name w:val="footer"/>
    <w:basedOn w:val="1"/>
    <w:link w:val="67"/>
    <w:autoRedefine/>
    <w:qFormat/>
    <w:uiPriority w:val="99"/>
    <w:pPr>
      <w:tabs>
        <w:tab w:val="center" w:pos="4153"/>
        <w:tab w:val="right" w:pos="8306"/>
      </w:tabs>
      <w:snapToGrid w:val="0"/>
      <w:jc w:val="left"/>
    </w:pPr>
    <w:rPr>
      <w:sz w:val="18"/>
      <w:szCs w:val="18"/>
    </w:rPr>
  </w:style>
  <w:style w:type="paragraph" w:styleId="16">
    <w:name w:val="envelope return"/>
    <w:basedOn w:val="1"/>
    <w:autoRedefine/>
    <w:qFormat/>
    <w:uiPriority w:val="0"/>
    <w:pPr>
      <w:snapToGrid w:val="0"/>
    </w:pPr>
    <w:rPr>
      <w:rFonts w:ascii="Arial" w:hAnsi="Arial"/>
    </w:rPr>
  </w:style>
  <w:style w:type="paragraph" w:styleId="17">
    <w:name w:val="header"/>
    <w:basedOn w:val="1"/>
    <w:link w:val="72"/>
    <w:autoRedefine/>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0"/>
  </w:style>
  <w:style w:type="paragraph" w:styleId="19">
    <w:name w:val="Body Text Indent 3"/>
    <w:basedOn w:val="1"/>
    <w:autoRedefine/>
    <w:qFormat/>
    <w:uiPriority w:val="0"/>
    <w:pPr>
      <w:spacing w:line="440" w:lineRule="exact"/>
      <w:ind w:firstLine="480" w:firstLineChars="200"/>
    </w:pPr>
    <w:rPr>
      <w:rFonts w:ascii="宋体" w:hAnsi="宋体" w:cs="Times New Roman"/>
      <w:color w:val="000000"/>
      <w:sz w:val="24"/>
    </w:rPr>
  </w:style>
  <w:style w:type="paragraph" w:styleId="20">
    <w:name w:val="Body Text 2"/>
    <w:basedOn w:val="1"/>
    <w:autoRedefine/>
    <w:unhideWhenUsed/>
    <w:qFormat/>
    <w:uiPriority w:val="99"/>
    <w:rPr>
      <w:rFonts w:ascii="楷体_GB2312" w:hAnsi="Copperplate Gothic Bold" w:eastAsia="楷体_GB2312"/>
      <w:sz w:val="28"/>
    </w:rPr>
  </w:style>
  <w:style w:type="paragraph" w:styleId="21">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2">
    <w:name w:val="Normal (Web)"/>
    <w:basedOn w:val="1"/>
    <w:autoRedefine/>
    <w:qFormat/>
    <w:uiPriority w:val="99"/>
    <w:pPr>
      <w:widowControl/>
      <w:spacing w:before="100" w:beforeLines="0" w:beforeAutospacing="1" w:after="100" w:afterLines="0" w:afterAutospacing="1"/>
      <w:jc w:val="left"/>
    </w:pPr>
    <w:rPr>
      <w:rFonts w:ascii="宋体" w:hAnsi="宋体" w:cs="宋体"/>
      <w:kern w:val="0"/>
      <w:sz w:val="24"/>
      <w:szCs w:val="24"/>
    </w:rPr>
  </w:style>
  <w:style w:type="paragraph" w:styleId="23">
    <w:name w:val="Title"/>
    <w:basedOn w:val="1"/>
    <w:next w:val="1"/>
    <w:autoRedefine/>
    <w:qFormat/>
    <w:uiPriority w:val="0"/>
    <w:pPr>
      <w:widowControl/>
      <w:spacing w:before="240" w:after="60"/>
      <w:jc w:val="center"/>
      <w:outlineLvl w:val="0"/>
    </w:pPr>
    <w:rPr>
      <w:rFonts w:ascii="Cambria" w:hAnsi="Cambria" w:cs="Times New Roman"/>
      <w:b/>
      <w:bCs/>
      <w:kern w:val="28"/>
      <w:sz w:val="32"/>
      <w:szCs w:val="32"/>
    </w:rPr>
  </w:style>
  <w:style w:type="paragraph" w:styleId="24">
    <w:name w:val="Body Text First Indent"/>
    <w:basedOn w:val="10"/>
    <w:next w:val="25"/>
    <w:autoRedefine/>
    <w:qFormat/>
    <w:uiPriority w:val="0"/>
    <w:pPr>
      <w:ind w:firstLine="420" w:firstLineChars="100"/>
    </w:pPr>
    <w:rPr>
      <w:rFonts w:eastAsia="仿宋_GB2312"/>
      <w:sz w:val="28"/>
    </w:rPr>
  </w:style>
  <w:style w:type="paragraph" w:styleId="25">
    <w:name w:val="Body Text First Indent 2"/>
    <w:basedOn w:val="11"/>
    <w:next w:val="24"/>
    <w:autoRedefine/>
    <w:qFormat/>
    <w:uiPriority w:val="0"/>
    <w:pPr>
      <w:ind w:firstLine="420" w:firstLineChars="200"/>
    </w:pPr>
  </w:style>
  <w:style w:type="table" w:styleId="27">
    <w:name w:val="Table Grid"/>
    <w:basedOn w:val="2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默认段落字体 Para Char Char Char Char"/>
    <w:basedOn w:val="1"/>
    <w:link w:val="28"/>
    <w:autoRedefine/>
    <w:qFormat/>
    <w:uiPriority w:val="0"/>
  </w:style>
  <w:style w:type="character" w:styleId="30">
    <w:name w:val="Strong"/>
    <w:basedOn w:val="28"/>
    <w:autoRedefine/>
    <w:qFormat/>
    <w:uiPriority w:val="0"/>
    <w:rPr>
      <w:b/>
      <w:bCs/>
    </w:rPr>
  </w:style>
  <w:style w:type="character" w:styleId="31">
    <w:name w:val="page number"/>
    <w:basedOn w:val="28"/>
    <w:autoRedefine/>
    <w:qFormat/>
    <w:uiPriority w:val="0"/>
  </w:style>
  <w:style w:type="character" w:styleId="32">
    <w:name w:val="FollowedHyperlink"/>
    <w:basedOn w:val="28"/>
    <w:autoRedefine/>
    <w:qFormat/>
    <w:uiPriority w:val="0"/>
    <w:rPr>
      <w:color w:val="333333"/>
      <w:u w:val="none"/>
    </w:rPr>
  </w:style>
  <w:style w:type="character" w:styleId="33">
    <w:name w:val="Emphasis"/>
    <w:basedOn w:val="28"/>
    <w:autoRedefine/>
    <w:qFormat/>
    <w:uiPriority w:val="0"/>
  </w:style>
  <w:style w:type="character" w:styleId="34">
    <w:name w:val="HTML Definition"/>
    <w:basedOn w:val="28"/>
    <w:autoRedefine/>
    <w:qFormat/>
    <w:uiPriority w:val="0"/>
    <w:rPr>
      <w:i/>
      <w:iCs/>
      <w:color w:val="0082DF"/>
      <w:bdr w:val="single" w:color="0082DF" w:sz="4" w:space="0"/>
    </w:rPr>
  </w:style>
  <w:style w:type="character" w:styleId="35">
    <w:name w:val="HTML Typewriter"/>
    <w:basedOn w:val="28"/>
    <w:autoRedefine/>
    <w:qFormat/>
    <w:uiPriority w:val="0"/>
    <w:rPr>
      <w:rFonts w:hint="default" w:ascii="monospace" w:hAnsi="monospace" w:eastAsia="monospace" w:cs="monospace"/>
      <w:sz w:val="20"/>
    </w:rPr>
  </w:style>
  <w:style w:type="character" w:styleId="36">
    <w:name w:val="HTML Acronym"/>
    <w:basedOn w:val="28"/>
    <w:autoRedefine/>
    <w:qFormat/>
    <w:uiPriority w:val="0"/>
    <w:rPr>
      <w:vanish/>
    </w:rPr>
  </w:style>
  <w:style w:type="character" w:styleId="37">
    <w:name w:val="HTML Variable"/>
    <w:basedOn w:val="28"/>
    <w:autoRedefine/>
    <w:qFormat/>
    <w:uiPriority w:val="0"/>
  </w:style>
  <w:style w:type="character" w:styleId="38">
    <w:name w:val="Hyperlink"/>
    <w:autoRedefine/>
    <w:qFormat/>
    <w:uiPriority w:val="0"/>
    <w:rPr>
      <w:color w:val="0000FF"/>
      <w:u w:val="single"/>
    </w:rPr>
  </w:style>
  <w:style w:type="character" w:styleId="39">
    <w:name w:val="HTML Code"/>
    <w:basedOn w:val="28"/>
    <w:autoRedefine/>
    <w:qFormat/>
    <w:uiPriority w:val="0"/>
    <w:rPr>
      <w:rFonts w:hint="default" w:ascii="Consolas" w:hAnsi="Consolas" w:eastAsia="Consolas" w:cs="Consolas"/>
      <w:color w:val="C7254E"/>
      <w:sz w:val="21"/>
      <w:szCs w:val="21"/>
      <w:shd w:val="clear" w:fill="F9F2F4"/>
    </w:rPr>
  </w:style>
  <w:style w:type="character" w:styleId="40">
    <w:name w:val="HTML Cite"/>
    <w:basedOn w:val="28"/>
    <w:autoRedefine/>
    <w:qFormat/>
    <w:uiPriority w:val="0"/>
  </w:style>
  <w:style w:type="character" w:styleId="41">
    <w:name w:val="HTML Keyboard"/>
    <w:basedOn w:val="28"/>
    <w:autoRedefine/>
    <w:qFormat/>
    <w:uiPriority w:val="0"/>
    <w:rPr>
      <w:rFonts w:ascii="Consolas" w:hAnsi="Consolas" w:eastAsia="Consolas" w:cs="Consolas"/>
      <w:color w:val="FFFFFF"/>
      <w:sz w:val="21"/>
      <w:szCs w:val="21"/>
      <w:shd w:val="clear" w:fill="333333"/>
    </w:rPr>
  </w:style>
  <w:style w:type="character" w:styleId="42">
    <w:name w:val="HTML Sample"/>
    <w:basedOn w:val="28"/>
    <w:autoRedefine/>
    <w:qFormat/>
    <w:uiPriority w:val="0"/>
    <w:rPr>
      <w:rFonts w:hint="default" w:ascii="Consolas" w:hAnsi="Consolas" w:eastAsia="Consolas" w:cs="Consolas"/>
      <w:sz w:val="21"/>
      <w:szCs w:val="21"/>
    </w:rPr>
  </w:style>
  <w:style w:type="paragraph" w:styleId="43">
    <w:name w:val="Quote"/>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44">
    <w:name w:val="正文缩进1"/>
    <w:basedOn w:val="1"/>
    <w:autoRedefine/>
    <w:qFormat/>
    <w:uiPriority w:val="0"/>
    <w:pPr>
      <w:ind w:firstLine="420" w:firstLineChars="200"/>
    </w:pPr>
  </w:style>
  <w:style w:type="paragraph" w:customStyle="1" w:styleId="45">
    <w:name w:val="09正文_wh"/>
    <w:autoRedefine/>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46">
    <w:name w:val="xl48"/>
    <w:basedOn w:val="1"/>
    <w:autoRedefine/>
    <w:qFormat/>
    <w:uiPriority w:val="0"/>
    <w:pPr>
      <w:widowControl/>
      <w:pBdr>
        <w:bottom w:val="single" w:color="auto" w:sz="4" w:space="0"/>
      </w:pBdr>
      <w:spacing w:before="100" w:beforeLines="0" w:beforeAutospacing="1" w:after="100" w:afterLines="0" w:afterAutospacing="1"/>
      <w:jc w:val="center"/>
    </w:pPr>
    <w:rPr>
      <w:rFonts w:eastAsia="Arial Unicode MS"/>
      <w:kern w:val="0"/>
      <w:sz w:val="24"/>
      <w:szCs w:val="24"/>
    </w:rPr>
  </w:style>
  <w:style w:type="paragraph" w:customStyle="1" w:styleId="47">
    <w:name w:val="（符号）二标题总则"/>
    <w:basedOn w:val="1"/>
    <w:autoRedefine/>
    <w:qFormat/>
    <w:uiPriority w:val="0"/>
    <w:pPr>
      <w:spacing w:before="312" w:beforeLines="100" w:line="500" w:lineRule="atLeast"/>
      <w:jc w:val="center"/>
      <w:outlineLvl w:val="1"/>
    </w:pPr>
    <w:rPr>
      <w:rFonts w:ascii="华文中宋" w:hAnsi="华文中宋" w:eastAsia="华文中宋"/>
      <w:b/>
      <w:bCs/>
      <w:sz w:val="32"/>
      <w:szCs w:val="32"/>
    </w:rPr>
  </w:style>
  <w:style w:type="paragraph" w:customStyle="1" w:styleId="48">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49">
    <w:name w:val="(符号)四标题1.1"/>
    <w:basedOn w:val="1"/>
    <w:autoRedefine/>
    <w:qFormat/>
    <w:uiPriority w:val="0"/>
    <w:pPr>
      <w:tabs>
        <w:tab w:val="left" w:pos="700"/>
      </w:tabs>
      <w:spacing w:line="500" w:lineRule="atLeast"/>
      <w:ind w:left="700" w:hanging="700"/>
    </w:pPr>
    <w:rPr>
      <w:rFonts w:ascii="宋体" w:hAnsi="宋体"/>
      <w:color w:val="000000"/>
      <w:kern w:val="0"/>
      <w:sz w:val="24"/>
    </w:rPr>
  </w:style>
  <w:style w:type="paragraph" w:customStyle="1" w:styleId="50">
    <w:name w:val="目录"/>
    <w:basedOn w:val="1"/>
    <w:autoRedefine/>
    <w:qFormat/>
    <w:uiPriority w:val="0"/>
    <w:pPr>
      <w:widowControl/>
      <w:jc w:val="center"/>
    </w:pPr>
    <w:rPr>
      <w:rFonts w:ascii="宋体"/>
      <w:b/>
      <w:kern w:val="0"/>
      <w:sz w:val="36"/>
      <w:szCs w:val="20"/>
    </w:rPr>
  </w:style>
  <w:style w:type="paragraph" w:customStyle="1" w:styleId="51">
    <w:name w:val="目录文字"/>
    <w:basedOn w:val="1"/>
    <w:autoRedefine/>
    <w:qFormat/>
    <w:uiPriority w:val="0"/>
    <w:pPr>
      <w:widowControl/>
      <w:spacing w:line="480" w:lineRule="auto"/>
      <w:jc w:val="left"/>
    </w:pPr>
    <w:rPr>
      <w:rFonts w:ascii="宋体" w:hAnsi="宋体"/>
      <w:kern w:val="0"/>
      <w:sz w:val="24"/>
      <w:szCs w:val="20"/>
    </w:rPr>
  </w:style>
  <w:style w:type="paragraph" w:customStyle="1" w:styleId="52">
    <w:name w:val="p0"/>
    <w:basedOn w:val="1"/>
    <w:autoRedefine/>
    <w:qFormat/>
    <w:uiPriority w:val="0"/>
    <w:pPr>
      <w:widowControl/>
    </w:pPr>
    <w:rPr>
      <w:kern w:val="0"/>
      <w:szCs w:val="21"/>
    </w:rPr>
  </w:style>
  <w:style w:type="paragraph" w:customStyle="1" w:styleId="53">
    <w:name w:val="List Paragraph"/>
    <w:basedOn w:val="1"/>
    <w:autoRedefine/>
    <w:qFormat/>
    <w:uiPriority w:val="0"/>
    <w:pPr>
      <w:ind w:firstLine="420" w:firstLineChars="200"/>
    </w:pPr>
    <w:rPr>
      <w:rFonts w:ascii="宋体"/>
      <w:kern w:val="0"/>
      <w:sz w:val="24"/>
    </w:rPr>
  </w:style>
  <w:style w:type="paragraph" w:customStyle="1" w:styleId="54">
    <w:name w:val="Table Paragraph"/>
    <w:basedOn w:val="1"/>
    <w:autoRedefine/>
    <w:qFormat/>
    <w:uiPriority w:val="99"/>
    <w:pPr>
      <w:spacing w:before="13" w:line="192" w:lineRule="exact"/>
      <w:ind w:left="20"/>
      <w:jc w:val="center"/>
    </w:pPr>
    <w:rPr>
      <w:rFonts w:ascii="微软雅黑" w:hAnsi="微软雅黑" w:eastAsia="微软雅黑" w:cs="微软雅黑"/>
      <w:lang w:val="pt-PT" w:eastAsia="pt-PT"/>
    </w:rPr>
  </w:style>
  <w:style w:type="paragraph" w:customStyle="1" w:styleId="55">
    <w:name w:val="标书"/>
    <w:basedOn w:val="1"/>
    <w:autoRedefine/>
    <w:qFormat/>
    <w:uiPriority w:val="0"/>
    <w:pPr>
      <w:shd w:val="clear" w:color="auto" w:fill="FFFFFF"/>
      <w:spacing w:line="360" w:lineRule="auto"/>
      <w:ind w:firstLine="480"/>
      <w:jc w:val="left"/>
    </w:pPr>
    <w:rPr>
      <w:rFonts w:ascii="宋体" w:hAnsi="宋体"/>
      <w:sz w:val="24"/>
      <w:shd w:val="clear" w:color="auto" w:fill="FFFFFF"/>
    </w:rPr>
  </w:style>
  <w:style w:type="paragraph" w:customStyle="1" w:styleId="56">
    <w:name w:val="表 靠左"/>
    <w:basedOn w:val="1"/>
    <w:autoRedefine/>
    <w:qFormat/>
    <w:uiPriority w:val="0"/>
    <w:pPr>
      <w:widowControl w:val="0"/>
      <w:adjustRightInd/>
      <w:snapToGrid/>
      <w:spacing w:after="0"/>
    </w:pPr>
    <w:rPr>
      <w:rFonts w:ascii="宋体" w:hAnsi="宋体" w:eastAsia="宋体"/>
      <w:kern w:val="2"/>
      <w:sz w:val="21"/>
      <w:szCs w:val="21"/>
    </w:rPr>
  </w:style>
  <w:style w:type="paragraph" w:customStyle="1" w:styleId="57">
    <w:name w:val="(符号)三标题1."/>
    <w:basedOn w:val="1"/>
    <w:autoRedefine/>
    <w:qFormat/>
    <w:uiPriority w:val="0"/>
    <w:pPr>
      <w:tabs>
        <w:tab w:val="left" w:pos="420"/>
      </w:tabs>
      <w:spacing w:before="140" w:beforeLines="0" w:after="140" w:afterLines="0" w:line="500" w:lineRule="atLeast"/>
      <w:ind w:left="430" w:hanging="430"/>
      <w:outlineLvl w:val="2"/>
    </w:pPr>
    <w:rPr>
      <w:rFonts w:ascii="楷体_GB2312" w:hAnsi="宋体" w:eastAsia="楷体_GB2312"/>
      <w:b/>
      <w:bCs/>
    </w:rPr>
  </w:style>
  <w:style w:type="paragraph" w:customStyle="1" w:styleId="58">
    <w:name w:val="xl36"/>
    <w:basedOn w:val="1"/>
    <w:autoRedefine/>
    <w:qFormat/>
    <w:uiPriority w:val="0"/>
    <w:pPr>
      <w:widowControl/>
      <w:spacing w:before="100" w:beforeLines="0" w:after="100" w:afterLines="0"/>
      <w:jc w:val="center"/>
    </w:pPr>
    <w:rPr>
      <w:rFonts w:hint="eastAsia" w:ascii="宋体" w:hAnsi="宋体"/>
      <w:kern w:val="0"/>
      <w:sz w:val="24"/>
    </w:rPr>
  </w:style>
  <w:style w:type="paragraph" w:customStyle="1" w:styleId="59">
    <w:name w:val="p15"/>
    <w:basedOn w:val="1"/>
    <w:autoRedefine/>
    <w:qFormat/>
    <w:uiPriority w:val="99"/>
    <w:pPr>
      <w:widowControl/>
    </w:pPr>
    <w:rPr>
      <w:kern w:val="0"/>
      <w:szCs w:val="21"/>
    </w:rPr>
  </w:style>
  <w:style w:type="paragraph" w:customStyle="1" w:styleId="60">
    <w:name w:val="Heading 1"/>
    <w:basedOn w:val="1"/>
    <w:autoRedefine/>
    <w:qFormat/>
    <w:uiPriority w:val="0"/>
    <w:pPr>
      <w:autoSpaceDE w:val="0"/>
      <w:autoSpaceDN w:val="0"/>
      <w:adjustRightInd w:val="0"/>
      <w:ind w:left="1704"/>
      <w:jc w:val="left"/>
      <w:outlineLvl w:val="0"/>
    </w:pPr>
    <w:rPr>
      <w:rFonts w:ascii="黑体" w:eastAsia="黑体" w:cs="黑体"/>
      <w:b/>
      <w:bCs/>
      <w:kern w:val="0"/>
      <w:sz w:val="32"/>
      <w:szCs w:val="32"/>
    </w:rPr>
  </w:style>
  <w:style w:type="character" w:customStyle="1" w:styleId="61">
    <w:name w:val="font12"/>
    <w:basedOn w:val="28"/>
    <w:autoRedefine/>
    <w:qFormat/>
    <w:uiPriority w:val="0"/>
    <w:rPr>
      <w:rFonts w:ascii="Calibri" w:hAnsi="Calibri" w:cs="Calibri"/>
      <w:color w:val="000000"/>
      <w:sz w:val="21"/>
      <w:szCs w:val="21"/>
      <w:u w:val="none"/>
    </w:rPr>
  </w:style>
  <w:style w:type="character" w:customStyle="1" w:styleId="62">
    <w:name w:val="font81"/>
    <w:basedOn w:val="28"/>
    <w:autoRedefine/>
    <w:qFormat/>
    <w:uiPriority w:val="0"/>
    <w:rPr>
      <w:rFonts w:hint="eastAsia" w:ascii="宋体" w:hAnsi="宋体" w:eastAsia="宋体" w:cs="宋体"/>
      <w:color w:val="0070C0"/>
      <w:sz w:val="20"/>
      <w:szCs w:val="20"/>
      <w:u w:val="none"/>
    </w:rPr>
  </w:style>
  <w:style w:type="character" w:customStyle="1" w:styleId="63">
    <w:name w:val="font11"/>
    <w:autoRedefine/>
    <w:qFormat/>
    <w:uiPriority w:val="0"/>
    <w:rPr>
      <w:rFonts w:hint="eastAsia" w:ascii="宋体" w:hAnsi="宋体" w:eastAsia="宋体" w:cs="宋体"/>
      <w:color w:val="000000"/>
      <w:sz w:val="24"/>
      <w:szCs w:val="24"/>
      <w:u w:val="none"/>
    </w:rPr>
  </w:style>
  <w:style w:type="character" w:customStyle="1" w:styleId="64">
    <w:name w:val="font41"/>
    <w:autoRedefine/>
    <w:qFormat/>
    <w:uiPriority w:val="0"/>
    <w:rPr>
      <w:rFonts w:hint="eastAsia" w:ascii="仿宋" w:hAnsi="仿宋" w:eastAsia="仿宋" w:cs="仿宋"/>
      <w:color w:val="000000"/>
      <w:sz w:val="24"/>
      <w:szCs w:val="24"/>
      <w:u w:val="none"/>
    </w:rPr>
  </w:style>
  <w:style w:type="character" w:customStyle="1" w:styleId="65">
    <w:name w:val="font71"/>
    <w:autoRedefine/>
    <w:qFormat/>
    <w:uiPriority w:val="0"/>
    <w:rPr>
      <w:rFonts w:hint="eastAsia" w:ascii="宋体" w:hAnsi="宋体" w:eastAsia="宋体" w:cs="宋体"/>
      <w:color w:val="000000"/>
      <w:sz w:val="20"/>
      <w:szCs w:val="20"/>
      <w:u w:val="none"/>
    </w:rPr>
  </w:style>
  <w:style w:type="character" w:customStyle="1" w:styleId="66">
    <w:name w:val="font131"/>
    <w:basedOn w:val="28"/>
    <w:autoRedefine/>
    <w:qFormat/>
    <w:uiPriority w:val="0"/>
    <w:rPr>
      <w:rFonts w:hint="eastAsia" w:ascii="宋体" w:hAnsi="宋体" w:eastAsia="宋体" w:cs="宋体"/>
      <w:color w:val="000000"/>
      <w:sz w:val="20"/>
      <w:szCs w:val="20"/>
      <w:u w:val="none"/>
    </w:rPr>
  </w:style>
  <w:style w:type="character" w:customStyle="1" w:styleId="67">
    <w:name w:val="页脚 Char"/>
    <w:link w:val="15"/>
    <w:autoRedefine/>
    <w:qFormat/>
    <w:uiPriority w:val="99"/>
    <w:rPr>
      <w:rFonts w:eastAsia="宋体"/>
      <w:kern w:val="2"/>
      <w:sz w:val="18"/>
      <w:szCs w:val="18"/>
      <w:lang w:val="en-US" w:eastAsia="zh-CN" w:bidi="ar-SA"/>
    </w:rPr>
  </w:style>
  <w:style w:type="character" w:customStyle="1" w:styleId="68">
    <w:name w:val="font31"/>
    <w:basedOn w:val="28"/>
    <w:autoRedefine/>
    <w:qFormat/>
    <w:uiPriority w:val="0"/>
    <w:rPr>
      <w:rFonts w:hint="default" w:ascii="等线" w:hAnsi="等线" w:eastAsia="等线" w:cs="等线"/>
      <w:b/>
      <w:color w:val="000000"/>
      <w:sz w:val="20"/>
      <w:szCs w:val="20"/>
      <w:u w:val="none"/>
    </w:rPr>
  </w:style>
  <w:style w:type="character" w:customStyle="1" w:styleId="69">
    <w:name w:val="日期 Char"/>
    <w:link w:val="13"/>
    <w:autoRedefine/>
    <w:qFormat/>
    <w:locked/>
    <w:uiPriority w:val="0"/>
    <w:rPr>
      <w:kern w:val="2"/>
      <w:sz w:val="28"/>
    </w:rPr>
  </w:style>
  <w:style w:type="character" w:customStyle="1" w:styleId="70">
    <w:name w:val="font51"/>
    <w:autoRedefine/>
    <w:qFormat/>
    <w:uiPriority w:val="0"/>
    <w:rPr>
      <w:rFonts w:hint="eastAsia" w:ascii="宋体" w:hAnsi="宋体" w:eastAsia="宋体" w:cs="宋体"/>
      <w:color w:val="000000"/>
      <w:sz w:val="18"/>
      <w:szCs w:val="18"/>
      <w:u w:val="none"/>
    </w:rPr>
  </w:style>
  <w:style w:type="character" w:customStyle="1" w:styleId="71">
    <w:name w:val="font61"/>
    <w:autoRedefine/>
    <w:qFormat/>
    <w:uiPriority w:val="0"/>
    <w:rPr>
      <w:rFonts w:hint="eastAsia" w:ascii="宋体" w:hAnsi="宋体" w:eastAsia="宋体" w:cs="宋体"/>
      <w:b/>
      <w:color w:val="000000"/>
      <w:sz w:val="28"/>
      <w:szCs w:val="28"/>
      <w:u w:val="none"/>
    </w:rPr>
  </w:style>
  <w:style w:type="character" w:customStyle="1" w:styleId="72">
    <w:name w:val="页眉 Char"/>
    <w:link w:val="17"/>
    <w:autoRedefine/>
    <w:qFormat/>
    <w:uiPriority w:val="0"/>
    <w:rPr>
      <w:kern w:val="2"/>
      <w:sz w:val="18"/>
      <w:szCs w:val="18"/>
    </w:rPr>
  </w:style>
  <w:style w:type="character" w:customStyle="1" w:styleId="73">
    <w:name w:val="font141"/>
    <w:basedOn w:val="28"/>
    <w:autoRedefine/>
    <w:qFormat/>
    <w:uiPriority w:val="0"/>
    <w:rPr>
      <w:rFonts w:hint="eastAsia" w:ascii="宋体" w:hAnsi="宋体" w:eastAsia="宋体" w:cs="宋体"/>
      <w:color w:val="FF0000"/>
      <w:sz w:val="20"/>
      <w:szCs w:val="20"/>
      <w:u w:val="none"/>
    </w:rPr>
  </w:style>
  <w:style w:type="character" w:customStyle="1" w:styleId="74">
    <w:name w:val="page number"/>
    <w:basedOn w:val="28"/>
    <w:autoRedefine/>
    <w:qFormat/>
    <w:uiPriority w:val="0"/>
  </w:style>
  <w:style w:type="character" w:customStyle="1" w:styleId="75">
    <w:name w:val="font01"/>
    <w:basedOn w:val="28"/>
    <w:autoRedefine/>
    <w:qFormat/>
    <w:uiPriority w:val="0"/>
    <w:rPr>
      <w:rFonts w:hint="default" w:ascii="等线" w:hAnsi="等线" w:eastAsia="等线" w:cs="等线"/>
      <w:b/>
      <w:color w:val="FF0000"/>
      <w:sz w:val="20"/>
      <w:szCs w:val="20"/>
      <w:u w:val="none"/>
    </w:rPr>
  </w:style>
  <w:style w:type="paragraph" w:customStyle="1" w:styleId="76">
    <w:name w:val="列出段落1"/>
    <w:basedOn w:val="1"/>
    <w:autoRedefine/>
    <w:qFormat/>
    <w:uiPriority w:val="34"/>
    <w:pPr>
      <w:ind w:firstLine="420" w:firstLineChars="200"/>
      <w:jc w:val="left"/>
    </w:pPr>
    <w:rPr>
      <w:rFonts w:ascii="Times New Roman" w:hAnsi="Times New Roman" w:eastAsia="宋体" w:cs="Times New Roman"/>
      <w:szCs w:val="24"/>
    </w:rPr>
  </w:style>
  <w:style w:type="paragraph" w:customStyle="1" w:styleId="77">
    <w:name w:val="12 Table Text"/>
    <w:basedOn w:val="1"/>
    <w:autoRedefine/>
    <w:qFormat/>
    <w:uiPriority w:val="0"/>
    <w:pPr>
      <w:spacing w:beforeLines="10" w:afterLines="10"/>
      <w:jc w:val="left"/>
    </w:pPr>
    <w:rPr>
      <w:rFonts w:ascii="Calibri" w:hAnsi="Calibri" w:eastAsia="宋体" w:cs="Times New Roman"/>
      <w:szCs w:val="24"/>
    </w:rPr>
  </w:style>
  <w:style w:type="character" w:customStyle="1" w:styleId="78">
    <w:name w:val="button"/>
    <w:basedOn w:val="28"/>
    <w:autoRedefine/>
    <w:qFormat/>
    <w:uiPriority w:val="0"/>
  </w:style>
  <w:style w:type="character" w:customStyle="1" w:styleId="79">
    <w:name w:val="indent"/>
    <w:basedOn w:val="28"/>
    <w:autoRedefine/>
    <w:qFormat/>
    <w:uiPriority w:val="0"/>
  </w:style>
  <w:style w:type="character" w:customStyle="1" w:styleId="80">
    <w:name w:val="old"/>
    <w:basedOn w:val="28"/>
    <w:autoRedefine/>
    <w:qFormat/>
    <w:uiPriority w:val="0"/>
    <w:rPr>
      <w:color w:val="999999"/>
    </w:rPr>
  </w:style>
  <w:style w:type="character" w:customStyle="1" w:styleId="81">
    <w:name w:val="hour_am"/>
    <w:basedOn w:val="28"/>
    <w:autoRedefine/>
    <w:qFormat/>
    <w:uiPriority w:val="0"/>
  </w:style>
  <w:style w:type="character" w:customStyle="1" w:styleId="82">
    <w:name w:val="hover3"/>
    <w:basedOn w:val="28"/>
    <w:autoRedefine/>
    <w:qFormat/>
    <w:uiPriority w:val="0"/>
    <w:rPr>
      <w:shd w:val="clear" w:fill="EEEEEE"/>
    </w:rPr>
  </w:style>
  <w:style w:type="character" w:customStyle="1" w:styleId="83">
    <w:name w:val="glyphicon4"/>
    <w:basedOn w:val="28"/>
    <w:autoRedefine/>
    <w:qFormat/>
    <w:uiPriority w:val="0"/>
  </w:style>
  <w:style w:type="character" w:customStyle="1" w:styleId="84">
    <w:name w:val="hour_pm"/>
    <w:basedOn w:val="28"/>
    <w:autoRedefine/>
    <w:qFormat/>
    <w:uiPriority w:val="0"/>
  </w:style>
  <w:style w:type="character" w:customStyle="1" w:styleId="85">
    <w:name w:val="tmpztreemove_arrow"/>
    <w:basedOn w:val="28"/>
    <w:autoRedefine/>
    <w:qFormat/>
    <w:uiPriority w:val="0"/>
    <w:rPr>
      <w:shd w:val="clear" w:fill="FFFFFF"/>
    </w:rPr>
  </w:style>
  <w:style w:type="character" w:customStyle="1" w:styleId="86">
    <w:name w:val="proollist"/>
    <w:basedOn w:val="28"/>
    <w:autoRedefine/>
    <w:qFormat/>
    <w:uiPriority w:val="0"/>
  </w:style>
  <w:style w:type="character" w:customStyle="1" w:styleId="87">
    <w:name w:val="input-direction"/>
    <w:basedOn w:val="28"/>
    <w:autoRedefine/>
    <w:qFormat/>
    <w:uiPriority w:val="0"/>
    <w:rPr>
      <w:color w:val="FF6600"/>
    </w:rPr>
  </w:style>
  <w:style w:type="character" w:customStyle="1" w:styleId="88">
    <w:name w:val="span-long"/>
    <w:basedOn w:val="28"/>
    <w:autoRedefine/>
    <w:qFormat/>
    <w:uiPriority w:val="0"/>
  </w:style>
  <w:style w:type="character" w:customStyle="1" w:styleId="89">
    <w:name w:val="beforeinfotext"/>
    <w:basedOn w:val="28"/>
    <w:autoRedefine/>
    <w:qFormat/>
    <w:uiPriority w:val="0"/>
    <w:rPr>
      <w:color w:val="666666"/>
    </w:rPr>
  </w:style>
  <w:style w:type="character" w:customStyle="1" w:styleId="90">
    <w:name w:val="phone"/>
    <w:basedOn w:val="28"/>
    <w:autoRedefine/>
    <w:qFormat/>
    <w:uiPriority w:val="0"/>
    <w:rPr>
      <w:color w:val="FF8833"/>
      <w:sz w:val="18"/>
      <w:szCs w:val="18"/>
    </w:rPr>
  </w:style>
  <w:style w:type="character" w:customStyle="1" w:styleId="91">
    <w:name w:val="stclosebtn"/>
    <w:basedOn w:val="28"/>
    <w:autoRedefine/>
    <w:qFormat/>
    <w:uiPriority w:val="0"/>
  </w:style>
  <w:style w:type="character" w:customStyle="1" w:styleId="92">
    <w:name w:val="number"/>
    <w:basedOn w:val="28"/>
    <w:autoRedefine/>
    <w:qFormat/>
    <w:uiPriority w:val="0"/>
    <w:rPr>
      <w:color w:val="FF8833"/>
      <w:sz w:val="18"/>
      <w:szCs w:val="18"/>
    </w:rPr>
  </w:style>
  <w:style w:type="character" w:customStyle="1" w:styleId="93">
    <w:name w:val="hilite6"/>
    <w:basedOn w:val="28"/>
    <w:autoRedefine/>
    <w:qFormat/>
    <w:uiPriority w:val="0"/>
    <w:rPr>
      <w:color w:val="FFFFFF"/>
      <w:shd w:val="clear" w:fill="666677"/>
    </w:rPr>
  </w:style>
  <w:style w:type="character" w:customStyle="1" w:styleId="94">
    <w:name w:val="active6"/>
    <w:basedOn w:val="28"/>
    <w:autoRedefine/>
    <w:qFormat/>
    <w:uiPriority w:val="0"/>
    <w:rPr>
      <w:color w:val="00FF00"/>
      <w:shd w:val="clear" w:fill="000000"/>
    </w:rPr>
  </w:style>
  <w:style w:type="character" w:customStyle="1" w:styleId="95">
    <w:name w:val="hilite"/>
    <w:basedOn w:val="28"/>
    <w:autoRedefine/>
    <w:qFormat/>
    <w:uiPriority w:val="0"/>
    <w:rPr>
      <w:color w:val="FFFFFF"/>
      <w:shd w:val="clear" w:fill="666677"/>
    </w:rPr>
  </w:style>
  <w:style w:type="character" w:customStyle="1" w:styleId="96">
    <w:name w:val="button2"/>
    <w:basedOn w:val="28"/>
    <w:autoRedefine/>
    <w:qFormat/>
    <w:uiPriority w:val="0"/>
  </w:style>
  <w:style w:type="character" w:customStyle="1" w:styleId="97">
    <w:name w:val="hilite5"/>
    <w:basedOn w:val="28"/>
    <w:autoRedefine/>
    <w:qFormat/>
    <w:uiPriority w:val="0"/>
    <w:rPr>
      <w:color w:val="FFFFFF"/>
      <w:shd w:val="clear" w:fill="666677"/>
    </w:rPr>
  </w:style>
  <w:style w:type="character" w:customStyle="1" w:styleId="98">
    <w:name w:val="active4"/>
    <w:basedOn w:val="28"/>
    <w:autoRedefine/>
    <w:qFormat/>
    <w:uiPriority w:val="0"/>
    <w:rPr>
      <w:color w:val="00FF00"/>
      <w:shd w:val="clear" w:fill="000000"/>
    </w:rPr>
  </w:style>
  <w:style w:type="character" w:customStyle="1" w:styleId="99">
    <w:name w:val="hilite4"/>
    <w:basedOn w:val="28"/>
    <w:autoRedefine/>
    <w:qFormat/>
    <w:uiPriority w:val="0"/>
    <w:rPr>
      <w:color w:val="FFFFFF"/>
      <w:shd w:val="clear" w:fill="666677"/>
    </w:rPr>
  </w:style>
  <w:style w:type="paragraph" w:customStyle="1" w:styleId="100">
    <w:name w:val="title1"/>
    <w:basedOn w:val="1"/>
    <w:autoRedefine/>
    <w:qFormat/>
    <w:uiPriority w:val="0"/>
    <w:pPr>
      <w:spacing w:before="120" w:beforeAutospacing="0" w:after="0" w:afterAutospacing="0" w:line="360" w:lineRule="atLeast"/>
      <w:ind w:left="0" w:right="0"/>
      <w:jc w:val="left"/>
    </w:pPr>
    <w:rPr>
      <w:b/>
      <w:bCs/>
      <w:kern w:val="0"/>
      <w:sz w:val="19"/>
      <w:szCs w:val="19"/>
      <w:lang w:val="en-US" w:eastAsia="zh-CN" w:bidi="ar"/>
    </w:rPr>
  </w:style>
  <w:style w:type="character" w:customStyle="1" w:styleId="101">
    <w:name w:val="hover"/>
    <w:basedOn w:val="28"/>
    <w:autoRedefine/>
    <w:qFormat/>
    <w:uiPriority w:val="0"/>
    <w:rPr>
      <w:shd w:val="clear" w:fill="EEEEEE"/>
    </w:rPr>
  </w:style>
  <w:style w:type="paragraph" w:customStyle="1" w:styleId="102">
    <w:name w:val="无间隔1"/>
    <w:autoRedefine/>
    <w:qFormat/>
    <w:uiPriority w:val="1"/>
    <w:pPr>
      <w:widowControl w:val="0"/>
    </w:pPr>
    <w:rPr>
      <w:rFonts w:ascii="Calibri" w:hAnsi="Calibri" w:eastAsia="宋体" w:cs="Times New Roman"/>
      <w:kern w:val="2"/>
      <w:sz w:val="21"/>
      <w:szCs w:val="22"/>
      <w:lang w:val="en-US" w:eastAsia="zh-CN" w:bidi="ar-SA"/>
    </w:rPr>
  </w:style>
  <w:style w:type="character" w:customStyle="1" w:styleId="103">
    <w:name w:val="font21"/>
    <w:basedOn w:val="28"/>
    <w:qFormat/>
    <w:uiPriority w:val="0"/>
    <w:rPr>
      <w:rFonts w:hint="eastAsia" w:ascii="宋体" w:hAnsi="宋体" w:eastAsia="宋体" w:cs="宋体"/>
      <w:color w:val="000000"/>
      <w:sz w:val="20"/>
      <w:szCs w:val="20"/>
      <w:u w:val="none"/>
    </w:rPr>
  </w:style>
  <w:style w:type="character" w:customStyle="1" w:styleId="104">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8706</Words>
  <Characters>9612</Characters>
  <Lines>394</Lines>
  <Paragraphs>111</Paragraphs>
  <TotalTime>4</TotalTime>
  <ScaleCrop>false</ScaleCrop>
  <LinksUpToDate>false</LinksUpToDate>
  <CharactersWithSpaces>9750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2019-10-09T01:56:00Z</dcterms:created>
  <dc:creator>MC SYSTEM</dc:creator>
  <cp:lastModifiedBy>大药瓶子</cp:lastModifiedBy>
  <cp:lastPrinted>2025-12-03T10:17:00Z</cp:lastPrinted>
  <dcterms:modified xsi:type="dcterms:W3CDTF">2026-01-30T08:42:42Z</dcterms:modified>
  <dc:title>政 府 采 购</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FE06E40E455A4211A47010181F952532_13</vt:lpwstr>
  </property>
  <property fmtid="{D5CDD505-2E9C-101B-9397-08002B2CF9AE}" pid="4" name="KSOTemplateDocerSaveRecord">
    <vt:lpwstr>eyJoZGlkIjoiMzlhNjBmYzE2N2M2NjI4ZmQxZGQ4NWFjOGE0NWZlYzUiLCJ1c2VySWQiOiI1MzA2NTc5NjcifQ==</vt:lpwstr>
  </property>
</Properties>
</file>