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FDC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440" w:lineRule="exact"/>
        <w:ind w:firstLine="562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20"/>
          <w:szCs w:val="20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sz w:val="28"/>
          <w:lang w:eastAsia="zh-CN"/>
        </w:rPr>
        <w:t>曲江新区政务服务中心物业服务项目</w:t>
      </w: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采购需求</w:t>
      </w:r>
    </w:p>
    <w:p w14:paraId="04D3E3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440" w:lineRule="exact"/>
        <w:ind w:firstLine="4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2"/>
          <w:szCs w:val="22"/>
          <w:highlight w:val="none"/>
        </w:rPr>
      </w:pPr>
      <w:bookmarkStart w:id="1" w:name="_GoBack"/>
      <w:r>
        <w:rPr>
          <w:rFonts w:hint="eastAsia" w:ascii="仿宋_GB2312" w:hAnsi="仿宋_GB2312" w:eastAsia="仿宋_GB2312" w:cs="仿宋_GB2312"/>
          <w:b/>
          <w:bCs/>
          <w:kern w:val="2"/>
          <w:sz w:val="22"/>
          <w:szCs w:val="2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2"/>
          <w:sz w:val="22"/>
          <w:szCs w:val="2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2"/>
          <w:sz w:val="22"/>
          <w:szCs w:val="22"/>
          <w:highlight w:val="none"/>
        </w:rPr>
        <w:t>项目基本情况</w:t>
      </w:r>
    </w:p>
    <w:tbl>
      <w:tblPr>
        <w:tblStyle w:val="5"/>
        <w:tblpPr w:leftFromText="180" w:rightFromText="180" w:vertAnchor="text" w:horzAnchor="page" w:tblpXSpec="center" w:tblpY="332"/>
        <w:tblOverlap w:val="never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4"/>
        <w:gridCol w:w="3935"/>
      </w:tblGrid>
      <w:tr w14:paraId="2106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575" w:type="dxa"/>
            <w:noWrap w:val="0"/>
            <w:vAlign w:val="center"/>
          </w:tcPr>
          <w:p w14:paraId="221FF134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</w:rPr>
              <w:t>物业名称</w:t>
            </w:r>
          </w:p>
        </w:tc>
        <w:tc>
          <w:tcPr>
            <w:tcW w:w="4326" w:type="dxa"/>
            <w:noWrap w:val="0"/>
            <w:vAlign w:val="center"/>
          </w:tcPr>
          <w:p w14:paraId="16C49585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</w:rPr>
              <w:t>物业地址</w:t>
            </w:r>
          </w:p>
        </w:tc>
      </w:tr>
      <w:tr w14:paraId="0429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75" w:type="dxa"/>
            <w:noWrap w:val="0"/>
            <w:vAlign w:val="center"/>
          </w:tcPr>
          <w:p w14:paraId="27957FD0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eastAsia="zh-CN"/>
              </w:rPr>
              <w:t>曲江新区政务服务中心</w:t>
            </w:r>
          </w:p>
        </w:tc>
        <w:tc>
          <w:tcPr>
            <w:tcW w:w="4326" w:type="dxa"/>
            <w:noWrap w:val="0"/>
            <w:vAlign w:val="center"/>
          </w:tcPr>
          <w:p w14:paraId="1BC25853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西安市曲江新区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eastAsia="zh-CN"/>
              </w:rPr>
              <w:t>雁翔路2600号</w:t>
            </w:r>
          </w:p>
        </w:tc>
      </w:tr>
    </w:tbl>
    <w:p w14:paraId="56656C9E">
      <w:pPr>
        <w:pStyle w:val="3"/>
        <w:pageBreakBefore w:val="0"/>
        <w:kinsoku/>
        <w:wordWrap/>
        <w:overflowPunct/>
        <w:topLinePunct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</w:rPr>
      </w:pPr>
    </w:p>
    <w:p w14:paraId="2A615DDB">
      <w:pPr>
        <w:pStyle w:val="3"/>
        <w:pageBreakBefore w:val="0"/>
        <w:kinsoku/>
        <w:wordWrap/>
        <w:overflowPunct/>
        <w:topLinePunct w:val="0"/>
        <w:bidi w:val="0"/>
        <w:adjustRightInd/>
        <w:snapToGrid w:val="0"/>
        <w:spacing w:line="440" w:lineRule="exact"/>
        <w:ind w:left="0" w:leftChars="0" w:firstLine="442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1.1物业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情况</w:t>
      </w:r>
    </w:p>
    <w:p w14:paraId="3ABF8369">
      <w:pPr>
        <w:pageBreakBefore w:val="0"/>
        <w:kinsoku/>
        <w:wordWrap/>
        <w:overflowPunct/>
        <w:topLinePunct w:val="0"/>
        <w:bidi w:val="0"/>
        <w:adjustRightInd/>
        <w:snapToGrid w:val="0"/>
        <w:spacing w:line="440" w:lineRule="exact"/>
        <w:ind w:firstLine="4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2"/>
          <w:szCs w:val="2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2"/>
          <w:szCs w:val="22"/>
          <w:highlight w:val="none"/>
          <w:u w:val="none"/>
          <w:lang w:val="en-US" w:eastAsia="zh-CN" w:bidi="ar-SA"/>
        </w:rPr>
        <w:t>西安曲江新区政务服务中心是用以履行政府职能、展示曲江形象的窗口，位于雁翔路2600号，</w:t>
      </w:r>
      <w:r>
        <w:rPr>
          <w:rFonts w:hint="eastAsia" w:ascii="仿宋_GB2312" w:hAnsi="仿宋_GB2312" w:eastAsia="仿宋_GB2312" w:cs="仿宋_GB2312"/>
          <w:color w:val="000000"/>
          <w:kern w:val="2"/>
          <w:sz w:val="22"/>
          <w:szCs w:val="22"/>
          <w:highlight w:val="none"/>
          <w:u w:val="none"/>
          <w:lang w:val="zh-CN" w:eastAsia="zh-CN" w:bidi="ar-SA"/>
        </w:rPr>
        <w:t>建筑设计为地下两层、地上九层，由三个主要建筑体构成，总建筑面积65437.65平方米。</w:t>
      </w:r>
      <w:r>
        <w:rPr>
          <w:rFonts w:hint="eastAsia" w:ascii="仿宋_GB2312" w:hAnsi="仿宋_GB2312" w:eastAsia="仿宋_GB2312" w:cs="仿宋_GB2312"/>
          <w:color w:val="000000"/>
          <w:kern w:val="2"/>
          <w:sz w:val="22"/>
          <w:szCs w:val="22"/>
          <w:highlight w:val="none"/>
          <w:u w:val="none"/>
          <w:lang w:val="en-US" w:eastAsia="zh-CN" w:bidi="ar-SA"/>
        </w:rPr>
        <w:t>采购需求的物业费收费面积36764.74</w:t>
      </w:r>
      <w:r>
        <w:rPr>
          <w:rFonts w:hint="eastAsia" w:ascii="仿宋_GB2312" w:hAnsi="仿宋_GB2312" w:eastAsia="仿宋_GB2312" w:cs="仿宋_GB2312"/>
          <w:color w:val="000000"/>
          <w:kern w:val="2"/>
          <w:sz w:val="22"/>
          <w:szCs w:val="22"/>
          <w:highlight w:val="none"/>
          <w:u w:val="none"/>
          <w:lang w:val="zh-CN" w:eastAsia="zh-CN" w:bidi="ar-SA"/>
        </w:rPr>
        <w:t>平方米</w:t>
      </w:r>
      <w:r>
        <w:rPr>
          <w:rFonts w:hint="eastAsia" w:ascii="仿宋_GB2312" w:hAnsi="仿宋_GB2312" w:eastAsia="仿宋_GB2312" w:cs="仿宋_GB2312"/>
          <w:color w:val="000000"/>
          <w:kern w:val="2"/>
          <w:sz w:val="22"/>
          <w:szCs w:val="22"/>
          <w:highlight w:val="none"/>
          <w:u w:val="none"/>
          <w:lang w:val="en-US" w:eastAsia="zh-CN" w:bidi="ar-SA"/>
        </w:rPr>
        <w:t>。</w:t>
      </w:r>
    </w:p>
    <w:p w14:paraId="527D0A12">
      <w:pPr>
        <w:pStyle w:val="2"/>
        <w:pageBreakBefore w:val="0"/>
        <w:kinsoku/>
        <w:wordWrap/>
        <w:overflowPunct/>
        <w:topLinePunct w:val="0"/>
        <w:bidi w:val="0"/>
        <w:adjustRightInd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2.物业服务范围</w:t>
      </w:r>
    </w:p>
    <w:p w14:paraId="23406B54">
      <w:pPr>
        <w:pStyle w:val="3"/>
        <w:pageBreakBefore w:val="0"/>
        <w:kinsoku/>
        <w:wordWrap/>
        <w:overflowPunct/>
        <w:topLinePunct w:val="0"/>
        <w:bidi w:val="0"/>
        <w:adjustRightInd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（1）物业管理（建筑物）</w:t>
      </w:r>
    </w:p>
    <w:p w14:paraId="1BFBAE14">
      <w:pPr>
        <w:pageBreakBefore w:val="0"/>
        <w:kinsoku/>
        <w:wordWrap/>
        <w:overflowPunct/>
        <w:topLinePunct w:val="0"/>
        <w:bidi w:val="0"/>
        <w:adjustRightInd/>
        <w:snapToGrid w:val="0"/>
        <w:spacing w:line="440" w:lineRule="exact"/>
        <w:ind w:firstLine="4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2"/>
          <w:szCs w:val="2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2"/>
          <w:szCs w:val="22"/>
          <w:highlight w:val="none"/>
          <w:u w:val="none"/>
          <w:lang w:val="en-US" w:eastAsia="zh-CN" w:bidi="ar-SA"/>
        </w:rPr>
        <w:t>西安曲江新区政务服务中心是用以履行政府职能、展示曲江形象的窗口，位于雁翔路2600号，建筑设计为地下两层、地上九层，由三个主要建筑体构成，总建筑面积65437.65平方米。采购需求的物业费收费面积36764.74平方米。</w:t>
      </w:r>
    </w:p>
    <w:p w14:paraId="3E80C133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物业管理（室外）</w:t>
      </w:r>
    </w:p>
    <w:p w14:paraId="35AA14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44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室外面积11985.98平米、绿化6300平米、广场7119.51平米、路灯50个、草坪灯58个。</w:t>
      </w:r>
      <w:bookmarkEnd w:id="0"/>
    </w:p>
    <w:bookmarkEnd w:id="1"/>
    <w:p w14:paraId="29AC3B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E9442"/>
    <w:multiLevelType w:val="singleLevel"/>
    <w:tmpl w:val="BCAE944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7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Calibri" w:hAnsi="Calibri"/>
      <w:b/>
      <w:bCs/>
      <w:szCs w:val="32"/>
    </w:rPr>
  </w:style>
  <w:style w:type="paragraph" w:styleId="3">
    <w:name w:val="heading 3"/>
    <w:basedOn w:val="1"/>
    <w:next w:val="1"/>
    <w:unhideWhenUsed/>
    <w:qFormat/>
    <w:uiPriority w:val="0"/>
    <w:pPr>
      <w:widowControl/>
      <w:autoSpaceDE w:val="0"/>
      <w:autoSpaceDN w:val="0"/>
      <w:snapToGrid w:val="0"/>
      <w:spacing w:line="300" w:lineRule="auto"/>
      <w:ind w:firstLine="200" w:firstLineChars="200"/>
      <w:outlineLvl w:val="2"/>
    </w:pPr>
    <w:rPr>
      <w:rFonts w:ascii="Calibri" w:hAnsi="Calibri"/>
      <w:b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2026-02-13T11:31:52Z</dcterms:created>
  <dc:creator>lenovo</dc:creator>
  <cp:lastModifiedBy>钟声</cp:lastModifiedBy>
  <dcterms:modified xsi:type="dcterms:W3CDTF">2026-02-13T11:32:21Z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eyJoZGlkIjoiN2U5MWE4OGRiNWMzMTMyZDU0ZDZhNTNjN2NmNDJiNjUiLCJ1c2VySWQiOiI2Nzc2MzQ0MTQifQ==</vt:lpwstr>
  </property>
  <property fmtid="{D5CDD505-2E9C-101B-9397-08002B2CF9AE}" pid="4" name="ICV">
    <vt:lpwstr>AD465051575A49A5B9E1B8CE9C1B2601_12</vt:lpwstr>
  </property>
</Properties>
</file>