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2B2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近年来，随着城市建设不断发展，城市公共空间秩序的不断提升，我县部分街道还存在通信光缆随意架设等现象，由于人员维护不及时，导致部分线缆凌乱和掉落现象时有发生，再加之部分过街线缆高度不够，存在一定安全隐患，为切实改善城区架空线缆凌乱情况，2026年12月底实施城区部分道路架空弱电光缆及电杆拆除工程，彻底改善通信光缆随意架设、杂乱无章等现象，净化城市公共空间秩序。</w:t>
      </w:r>
    </w:p>
    <w:p w14:paraId="4C0862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人员工资最高限价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8"/>
        <w:gridCol w:w="1220"/>
        <w:gridCol w:w="2441"/>
        <w:gridCol w:w="2034"/>
      </w:tblGrid>
      <w:tr w14:paraId="5269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59C41C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功能配置描述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5B9D56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数量</w:t>
            </w:r>
          </w:p>
        </w:tc>
        <w:tc>
          <w:tcPr>
            <w:tcW w:w="14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0331C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限价（元）</w:t>
            </w:r>
          </w:p>
        </w:tc>
        <w:tc>
          <w:tcPr>
            <w:tcW w:w="11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6D1E8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448D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5E144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大工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4E29B1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1天</w:t>
            </w:r>
          </w:p>
        </w:tc>
        <w:tc>
          <w:tcPr>
            <w:tcW w:w="14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0070B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350</w:t>
            </w:r>
          </w:p>
        </w:tc>
        <w:tc>
          <w:tcPr>
            <w:tcW w:w="11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27825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据实结算</w:t>
            </w:r>
          </w:p>
        </w:tc>
      </w:tr>
      <w:tr w14:paraId="6C54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2CDD2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小工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5EB0D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1天</w:t>
            </w:r>
          </w:p>
        </w:tc>
        <w:tc>
          <w:tcPr>
            <w:tcW w:w="14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5B9411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260</w:t>
            </w:r>
          </w:p>
        </w:tc>
        <w:tc>
          <w:tcPr>
            <w:tcW w:w="11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7B71F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据实结算</w:t>
            </w:r>
          </w:p>
        </w:tc>
      </w:tr>
      <w:tr w14:paraId="2128A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3F2F7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电工（高空）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0990A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1天</w:t>
            </w:r>
          </w:p>
        </w:tc>
        <w:tc>
          <w:tcPr>
            <w:tcW w:w="14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3491B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400</w:t>
            </w:r>
          </w:p>
        </w:tc>
        <w:tc>
          <w:tcPr>
            <w:tcW w:w="11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1A3C8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据实结算</w:t>
            </w:r>
          </w:p>
        </w:tc>
      </w:tr>
      <w:tr w14:paraId="712A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28BB5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屈臂车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158D1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1天</w:t>
            </w:r>
          </w:p>
        </w:tc>
        <w:tc>
          <w:tcPr>
            <w:tcW w:w="14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1BD44F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1100</w:t>
            </w:r>
          </w:p>
        </w:tc>
        <w:tc>
          <w:tcPr>
            <w:tcW w:w="11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6DD9A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据实结算</w:t>
            </w:r>
          </w:p>
        </w:tc>
      </w:tr>
      <w:tr w14:paraId="2182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27BA2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吊车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52872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1天</w:t>
            </w:r>
          </w:p>
        </w:tc>
        <w:tc>
          <w:tcPr>
            <w:tcW w:w="14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6880D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1000</w:t>
            </w:r>
          </w:p>
        </w:tc>
        <w:tc>
          <w:tcPr>
            <w:tcW w:w="11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1405F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据实结算</w:t>
            </w:r>
          </w:p>
        </w:tc>
      </w:tr>
      <w:tr w14:paraId="53C5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0858D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单价合计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436B7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1天</w:t>
            </w:r>
          </w:p>
        </w:tc>
        <w:tc>
          <w:tcPr>
            <w:tcW w:w="14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18FDF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3110</w:t>
            </w:r>
          </w:p>
        </w:tc>
        <w:tc>
          <w:tcPr>
            <w:tcW w:w="11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2BED5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3193E9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注：单项报价不得高于单项最高限价</w:t>
      </w:r>
    </w:p>
    <w:p w14:paraId="38694868">
      <w:pPr>
        <w:rPr>
          <w:color w:val="auto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A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2026-02-24T07:40:39Z</dcterms:created>
  <dc:creator>Administrator</dc:creator>
  <cp:lastModifiedBy>123</cp:lastModifiedBy>
  <dcterms:modified xsi:type="dcterms:W3CDTF">2026-02-24T07:41:05Z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eyJoZGlkIjoiOGQ3ODNlYjZjZWMzNDM3YjRkMjE4MzBmODAzNWZiY2UiLCJ1c2VySWQiOiI0NDQ4NzkxMjQifQ==</vt:lpwstr>
  </property>
  <property fmtid="{D5CDD505-2E9C-101B-9397-08002B2CF9AE}" pid="4" name="ICV">
    <vt:lpwstr>11756215854F4232A6BB73582E74C2FB_12</vt:lpwstr>
  </property>
</Properties>
</file>