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B3AD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6BB9A4FF">
      <w:pPr>
        <w:numPr>
          <w:ilvl w:val="0"/>
          <w:numId w:val="0"/>
        </w:numPr>
        <w:spacing w:line="360" w:lineRule="auto"/>
        <w:ind w:firstLine="723" w:firstLineChars="200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</w:p>
    <w:p w14:paraId="6B1B4B90">
      <w:pPr>
        <w:numPr>
          <w:ilvl w:val="0"/>
          <w:numId w:val="0"/>
        </w:numPr>
        <w:spacing w:line="360" w:lineRule="auto"/>
        <w:ind w:firstLine="3253" w:firstLineChars="900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  <w:t>采购需求</w:t>
      </w:r>
    </w:p>
    <w:p w14:paraId="3187297B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408D9C07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Hans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Hans"/>
        </w:rPr>
        <w:t>项目内容</w:t>
      </w:r>
    </w:p>
    <w:p w14:paraId="0B6A075C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Hans"/>
        </w:rPr>
        <w:t>《陕西工运》杂志由陕西省总工会主办，旨在帮助全省各级工会和广大职工及时掌握全总工作精神，了解兄弟省市经验做法，展示交流优秀调研成果，不断提高理论素养和业务能力，提升工会工作整体水平。</w:t>
      </w:r>
    </w:p>
    <w:p w14:paraId="6896A336">
      <w:pPr>
        <w:pStyle w:val="2"/>
        <w:ind w:firstLine="480" w:firstLineChars="200"/>
        <w:rPr>
          <w:rFonts w:hint="default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《陕西工运》杂志全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年共6期，双月出版，每期9300册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8253A"/>
    <w:rsid w:val="34211E1F"/>
    <w:rsid w:val="68191920"/>
    <w:rsid w:val="709F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Calibri" w:hAnsi="Calibri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458</Characters>
  <Lines>0</Lines>
  <Paragraphs>0</Paragraphs>
  <TotalTime>0</TotalTime>
  <ScaleCrop>false</ScaleCrop>
  <LinksUpToDate>false</LinksUpToDate>
  <CharactersWithSpaces>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2025-11-25T09:38:00Z</dcterms:created>
  <dc:creator>张</dc:creator>
  <cp:lastModifiedBy>饣耳</cp:lastModifiedBy>
  <dcterms:modified xsi:type="dcterms:W3CDTF">2026-02-26T03:50:24Z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eyJoZGlkIjoiYTBmYWMxNDVhNGUzMTU5ODhhMjYyNDg4MWIwMzBiNGYiLCJ1c2VySWQiOiI2MTQ1NzE3NTUifQ==</vt:lpwstr>
  </property>
  <property fmtid="{D5CDD505-2E9C-101B-9397-08002B2CF9AE}" pid="4" name="ICV">
    <vt:lpwstr>F8DE16A4A2F54326AF930CA32AEF7FD7_13</vt:lpwstr>
  </property>
</Properties>
</file>