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32"/>
          <w:szCs w:val="40"/>
        </w:rPr>
      </w:pPr>
      <w:r>
        <w:rPr>
          <w:rFonts w:hint="eastAsia" w:ascii="宋体" w:hAnsi="宋体" w:eastAsia="宋体" w:cs="宋体"/>
          <w:b/>
          <w:bCs/>
          <w:sz w:val="32"/>
          <w:szCs w:val="40"/>
        </w:rPr>
        <w:t>项目编号：CY2025-020</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4"/>
          <w:szCs w:val="44"/>
        </w:rPr>
      </w:pPr>
      <w:r>
        <w:rPr>
          <w:rFonts w:hint="eastAsia" w:ascii="宋体" w:hAnsi="宋体" w:eastAsia="宋体" w:cs="宋体"/>
          <w:b/>
          <w:bCs/>
          <w:sz w:val="44"/>
          <w:szCs w:val="44"/>
        </w:rPr>
        <w:t>延安市考试管理中心高考综合改革信息化管理平台建设项目招标文件</w:t>
      </w:r>
    </w:p>
    <w:p>
      <w:pPr>
        <w:jc w:val="center"/>
        <w:rPr>
          <w:rFonts w:hint="eastAsia" w:ascii="宋体" w:hAnsi="宋体" w:eastAsia="宋体" w:cs="宋体"/>
          <w:b/>
          <w:bCs/>
          <w:sz w:val="72"/>
          <w:szCs w:val="144"/>
        </w:rPr>
      </w:pPr>
    </w:p>
    <w:p>
      <w:pPr>
        <w:jc w:val="center"/>
        <w:rPr>
          <w:rFonts w:hint="eastAsia" w:ascii="宋体" w:hAnsi="宋体" w:eastAsia="宋体" w:cs="宋体"/>
          <w:b/>
          <w:bCs/>
          <w:sz w:val="72"/>
          <w:szCs w:val="144"/>
        </w:rPr>
      </w:pPr>
    </w:p>
    <w:p>
      <w:pPr>
        <w:jc w:val="center"/>
        <w:rPr>
          <w:rFonts w:hint="eastAsia" w:ascii="宋体" w:hAnsi="宋体" w:eastAsia="宋体" w:cs="宋体"/>
          <w:b/>
          <w:bCs/>
          <w:sz w:val="72"/>
          <w:szCs w:val="144"/>
        </w:rPr>
      </w:pPr>
    </w:p>
    <w:p>
      <w:pPr>
        <w:jc w:val="center"/>
        <w:rPr>
          <w:rFonts w:hint="eastAsia" w:ascii="宋体" w:hAnsi="宋体" w:eastAsia="宋体" w:cs="宋体"/>
          <w:b/>
          <w:bCs/>
          <w:sz w:val="72"/>
          <w:szCs w:val="144"/>
        </w:rPr>
      </w:pPr>
    </w:p>
    <w:p>
      <w:pPr>
        <w:ind w:firstLine="1063" w:firstLineChars="331"/>
        <w:rPr>
          <w:rFonts w:hint="eastAsia" w:ascii="宋体" w:hAnsi="宋体" w:eastAsia="宋体" w:cs="宋体"/>
          <w:b/>
          <w:bCs/>
          <w:sz w:val="32"/>
          <w:szCs w:val="32"/>
        </w:rPr>
      </w:pPr>
    </w:p>
    <w:p>
      <w:pPr>
        <w:ind w:firstLine="1063" w:firstLineChars="331"/>
        <w:rPr>
          <w:rFonts w:hint="eastAsia" w:ascii="宋体" w:hAnsi="宋体" w:eastAsia="宋体" w:cs="宋体"/>
          <w:b/>
          <w:bCs/>
          <w:sz w:val="32"/>
          <w:szCs w:val="32"/>
        </w:rPr>
      </w:pPr>
    </w:p>
    <w:p>
      <w:pPr>
        <w:ind w:firstLine="1063" w:firstLineChars="331"/>
        <w:rPr>
          <w:rFonts w:hint="eastAsia" w:ascii="宋体" w:hAnsi="宋体" w:eastAsia="宋体" w:cs="宋体"/>
          <w:b/>
          <w:bCs/>
          <w:sz w:val="32"/>
          <w:szCs w:val="32"/>
          <w:lang w:val="en-US" w:eastAsia="zh-CN"/>
        </w:rPr>
      </w:pPr>
      <w:r>
        <w:rPr>
          <w:rFonts w:hint="eastAsia" w:ascii="宋体" w:hAnsi="宋体" w:eastAsia="宋体" w:cs="宋体"/>
          <w:b/>
          <w:bCs/>
          <w:sz w:val="32"/>
          <w:szCs w:val="32"/>
        </w:rPr>
        <w:t>采   购   人：延安市考试管理中心</w:t>
      </w:r>
    </w:p>
    <w:p>
      <w:pPr>
        <w:ind w:firstLine="1063" w:firstLineChars="331"/>
        <w:rPr>
          <w:rFonts w:hint="eastAsia" w:ascii="宋体" w:hAnsi="宋体" w:eastAsia="宋体" w:cs="宋体"/>
          <w:b/>
          <w:bCs/>
          <w:sz w:val="32"/>
          <w:szCs w:val="32"/>
        </w:rPr>
      </w:pPr>
      <w:r>
        <w:rPr>
          <w:rFonts w:hint="eastAsia" w:ascii="宋体" w:hAnsi="宋体" w:eastAsia="宋体" w:cs="宋体"/>
          <w:b/>
          <w:bCs/>
          <w:sz w:val="32"/>
          <w:szCs w:val="32"/>
        </w:rPr>
        <w:t xml:space="preserve">采购代理机构：陕西楚元项目管理有限公司     </w:t>
      </w:r>
    </w:p>
    <w:p>
      <w:pPr>
        <w:ind w:firstLine="1063" w:firstLineChars="331"/>
        <w:rPr>
          <w:rFonts w:hint="eastAsia" w:ascii="宋体" w:hAnsi="宋体" w:eastAsia="宋体" w:cs="宋体"/>
          <w:u w:val="single"/>
        </w:rPr>
        <w:sectPr>
          <w:footerReference r:id="rId4" w:type="first"/>
          <w:footerReference r:id="rId3" w:type="default"/>
          <w:pgSz w:w="11906" w:h="16838"/>
          <w:pgMar w:top="1417" w:right="1417" w:bottom="1417" w:left="1417" w:header="851" w:footer="850" w:gutter="0"/>
          <w:cols w:space="425" w:num="1"/>
          <w:docGrid w:type="lines" w:linePitch="312" w:charSpace="0"/>
        </w:sectPr>
      </w:pPr>
      <w:r>
        <w:rPr>
          <w:rFonts w:hint="eastAsia" w:ascii="宋体" w:hAnsi="宋体" w:eastAsia="宋体" w:cs="宋体"/>
          <w:b/>
          <w:bCs/>
          <w:sz w:val="32"/>
          <w:szCs w:val="40"/>
        </w:rPr>
        <w:t>日        期：</w:t>
      </w:r>
      <w:r>
        <w:rPr>
          <w:rFonts w:hint="eastAsia" w:ascii="宋体" w:hAnsi="宋体" w:eastAsia="宋体" w:cs="宋体"/>
          <w:b/>
          <w:bCs/>
          <w:sz w:val="32"/>
          <w:szCs w:val="32"/>
        </w:rPr>
        <w:t xml:space="preserve">2026年1月   </w:t>
      </w:r>
      <w:r>
        <w:rPr>
          <w:rFonts w:hint="eastAsia" w:ascii="宋体" w:hAnsi="宋体" w:eastAsia="宋体" w:cs="宋体"/>
          <w:b/>
          <w:bCs/>
          <w:sz w:val="32"/>
          <w:szCs w:val="40"/>
        </w:rPr>
        <w:t xml:space="preserve">           </w:t>
      </w:r>
    </w:p>
    <w:sdt>
      <w:sdtPr>
        <w:rPr>
          <w:rFonts w:hint="eastAsia" w:ascii="宋体" w:hAnsi="宋体" w:eastAsia="宋体" w:cs="宋体"/>
          <w:sz w:val="32"/>
          <w:szCs w:val="32"/>
        </w:rPr>
        <w:id w:val="147475210"/>
        <w15:color w:val="DBDBDB"/>
      </w:sdtPr>
      <w:sdtEndPr>
        <w:rPr>
          <w:rFonts w:hint="eastAsia" w:ascii="宋体" w:hAnsi="宋体" w:eastAsia="宋体" w:cs="宋体"/>
          <w:bCs/>
          <w:sz w:val="21"/>
          <w:szCs w:val="32"/>
        </w:rPr>
      </w:sdtEndPr>
      <w:sdt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32"/>
              <w:szCs w:val="32"/>
            </w:rPr>
          </w:pPr>
          <w:r>
            <w:rPr>
              <w:rFonts w:hint="eastAsia" w:ascii="宋体" w:hAnsi="宋体" w:eastAsia="宋体" w:cs="宋体"/>
              <w:b/>
              <w:bCs/>
              <w:sz w:val="32"/>
              <w:szCs w:val="32"/>
            </w:rPr>
            <w:t>目 录</w:t>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_Toc29449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第一部分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_Toc29449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_Toc32142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第二部分 投标须知前附表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_Toc32142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_Toc15586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_Toc15586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_Toc25200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rPr>
            <w:t>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_Toc1690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rPr>
            <w:t>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_Toc23884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3.</w:t>
          </w:r>
          <w:r>
            <w:rPr>
              <w:rFonts w:hint="eastAsia" w:ascii="宋体" w:hAnsi="宋体" w:eastAsia="宋体" w:cs="宋体"/>
              <w:sz w:val="24"/>
              <w:szCs w:val="24"/>
            </w:rPr>
            <w:t>合格投标人的范围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_Toc19089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4.</w:t>
          </w:r>
          <w:r>
            <w:rPr>
              <w:rFonts w:hint="eastAsia" w:ascii="宋体" w:hAnsi="宋体" w:eastAsia="宋体" w:cs="宋体"/>
              <w:sz w:val="24"/>
              <w:szCs w:val="24"/>
            </w:rPr>
            <w:t>投标人代表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_Toc19089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_Toc15843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5.</w:t>
          </w:r>
          <w:r>
            <w:rPr>
              <w:rFonts w:hint="eastAsia" w:ascii="宋体" w:hAnsi="宋体" w:eastAsia="宋体" w:cs="宋体"/>
              <w:sz w:val="24"/>
              <w:szCs w:val="24"/>
            </w:rPr>
            <w:t>费用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_Toc15843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_Toc17656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6.</w:t>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_Toc17656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_Toc5451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7.</w:t>
          </w:r>
          <w:r>
            <w:rPr>
              <w:rFonts w:hint="eastAsia" w:ascii="宋体" w:hAnsi="宋体" w:eastAsia="宋体" w:cs="宋体"/>
              <w:sz w:val="24"/>
              <w:szCs w:val="24"/>
            </w:rPr>
            <w:t>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_Toc5451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_Toc6542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8.</w:t>
          </w:r>
          <w:r>
            <w:rPr>
              <w:rFonts w:hint="eastAsia" w:ascii="宋体" w:hAnsi="宋体" w:eastAsia="宋体" w:cs="宋体"/>
              <w:sz w:val="24"/>
              <w:szCs w:val="24"/>
            </w:rPr>
            <w:t>评审内容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_Toc6542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_Toc31549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9.</w:t>
          </w:r>
          <w:r>
            <w:rPr>
              <w:rFonts w:hint="eastAsia" w:ascii="宋体" w:hAnsi="宋体" w:eastAsia="宋体" w:cs="宋体"/>
              <w:sz w:val="24"/>
              <w:szCs w:val="24"/>
            </w:rPr>
            <w:t>评审工作程序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_Toc24636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10.</w:t>
          </w:r>
          <w:r>
            <w:rPr>
              <w:rFonts w:hint="eastAsia" w:ascii="宋体" w:hAnsi="宋体" w:eastAsia="宋体" w:cs="宋体"/>
              <w:sz w:val="24"/>
              <w:szCs w:val="24"/>
            </w:rPr>
            <w:t>评审原则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_Toc24636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_Toc21193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11.</w:t>
          </w:r>
          <w:r>
            <w:rPr>
              <w:rFonts w:hint="eastAsia" w:ascii="宋体" w:hAnsi="宋体" w:eastAsia="宋体" w:cs="宋体"/>
              <w:sz w:val="24"/>
              <w:szCs w:val="24"/>
            </w:rPr>
            <w:t>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_Toc21193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_Toc6000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12.</w:t>
          </w:r>
          <w:r>
            <w:rPr>
              <w:rFonts w:hint="eastAsia" w:ascii="宋体" w:hAnsi="宋体" w:eastAsia="宋体" w:cs="宋体"/>
              <w:sz w:val="24"/>
              <w:szCs w:val="24"/>
            </w:rPr>
            <w:t>评标委员会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_Toc6000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_Toc12738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13.</w:t>
          </w:r>
          <w:r>
            <w:rPr>
              <w:rFonts w:hint="eastAsia" w:ascii="宋体" w:hAnsi="宋体" w:eastAsia="宋体" w:cs="宋体"/>
              <w:sz w:val="24"/>
              <w:szCs w:val="24"/>
            </w:rPr>
            <w:t>评审纪律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_Toc12738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_Toc12904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14.</w:t>
          </w:r>
          <w:r>
            <w:rPr>
              <w:rFonts w:hint="eastAsia" w:ascii="宋体" w:hAnsi="宋体" w:eastAsia="宋体" w:cs="宋体"/>
              <w:sz w:val="24"/>
              <w:szCs w:val="24"/>
            </w:rPr>
            <w:t>无效投标文件情况说明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_Toc12904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_Toc26713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15.</w:t>
          </w:r>
          <w:r>
            <w:rPr>
              <w:rFonts w:hint="eastAsia" w:ascii="宋体" w:hAnsi="宋体" w:eastAsia="宋体" w:cs="宋体"/>
              <w:sz w:val="24"/>
              <w:szCs w:val="24"/>
            </w:rPr>
            <w:t>对投标文件的修正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_Toc26713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_Toc27343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16.</w:t>
          </w:r>
          <w:r>
            <w:rPr>
              <w:rFonts w:hint="eastAsia" w:ascii="宋体" w:hAnsi="宋体" w:eastAsia="宋体" w:cs="宋体"/>
              <w:sz w:val="24"/>
              <w:szCs w:val="24"/>
            </w:rPr>
            <w:t>确定中标人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_Toc27343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_Toc21184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17.</w:t>
          </w:r>
          <w:r>
            <w:rPr>
              <w:rFonts w:hint="eastAsia" w:ascii="宋体" w:hAnsi="宋体" w:eastAsia="宋体" w:cs="宋体"/>
              <w:sz w:val="24"/>
              <w:szCs w:val="24"/>
            </w:rPr>
            <w:t>中标通知书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_Toc21184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_Toc30815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18.</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_Toc30815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_Toc11479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19.</w:t>
          </w:r>
          <w:r>
            <w:rPr>
              <w:rFonts w:hint="eastAsia" w:ascii="宋体" w:hAnsi="宋体" w:eastAsia="宋体" w:cs="宋体"/>
              <w:sz w:val="24"/>
              <w:szCs w:val="24"/>
            </w:rPr>
            <w:t>投标文件有效期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_Toc11479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_Toc9824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20.</w:t>
          </w:r>
          <w:r>
            <w:rPr>
              <w:rFonts w:hint="eastAsia" w:ascii="宋体" w:hAnsi="宋体" w:eastAsia="宋体" w:cs="宋体"/>
              <w:sz w:val="24"/>
              <w:szCs w:val="24"/>
            </w:rPr>
            <w:t>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_Toc9824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_Toc8227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21.</w:t>
          </w:r>
          <w:r>
            <w:rPr>
              <w:rFonts w:hint="eastAsia" w:ascii="宋体" w:hAnsi="宋体" w:eastAsia="宋体" w:cs="宋体"/>
              <w:sz w:val="24"/>
              <w:szCs w:val="24"/>
            </w:rPr>
            <w:t>采购代理服务费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_Toc8227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_Toc15925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22.</w:t>
          </w:r>
          <w:r>
            <w:rPr>
              <w:rFonts w:hint="eastAsia" w:ascii="宋体" w:hAnsi="宋体" w:eastAsia="宋体" w:cs="宋体"/>
              <w:sz w:val="24"/>
              <w:szCs w:val="24"/>
            </w:rPr>
            <w:t>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_Toc15925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_Toc18081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23.</w:t>
          </w:r>
          <w:r>
            <w:rPr>
              <w:rFonts w:hint="eastAsia" w:ascii="宋体" w:hAnsi="宋体" w:eastAsia="宋体" w:cs="宋体"/>
              <w:sz w:val="24"/>
              <w:szCs w:val="24"/>
            </w:rPr>
            <w:t>需要落实的政府采购政策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_Toc18081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_Toc14177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_Toc28995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一、项目简介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_Toc24745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二、采购内容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_Toc24745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_Toc14084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三、技术要求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_Toc14084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9"/>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_Toc4920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四、其他要求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_Toc4920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_Toc14848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第五部分 拟签订合同文本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_Toc14848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_Toc18416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第六部分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_Toc18416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2"/>
            </w:rPr>
            <w:sectPr>
              <w:headerReference r:id="rId5" w:type="default"/>
              <w:pgSz w:w="11906" w:h="16838"/>
              <w:pgMar w:top="1417" w:right="1417" w:bottom="1417" w:left="1417" w:header="851" w:footer="992" w:gutter="0"/>
              <w:cols w:space="425" w:num="1"/>
              <w:docGrid w:type="lines" w:linePitch="312" w:charSpace="0"/>
            </w:sectPr>
          </w:pPr>
          <w:r>
            <w:rPr>
              <w:rFonts w:hint="eastAsia" w:ascii="宋体" w:hAnsi="宋体" w:eastAsia="宋体" w:cs="宋体"/>
              <w:bCs/>
              <w:sz w:val="24"/>
              <w:szCs w:val="24"/>
            </w:rPr>
            <w:fldChar w:fldCharType="end"/>
          </w:r>
        </w:p>
      </w:sdtContent>
    </w:sdt>
    <w:p>
      <w:pPr>
        <w:spacing w:line="548" w:lineRule="exact"/>
        <w:jc w:val="center"/>
        <w:outlineLvl w:val="0"/>
        <w:rPr>
          <w:rFonts w:hint="eastAsia" w:ascii="宋体" w:hAnsi="宋体" w:eastAsia="宋体" w:cs="宋体"/>
          <w:b/>
          <w:sz w:val="32"/>
          <w:szCs w:val="32"/>
        </w:rPr>
      </w:pPr>
      <w:bookmarkStart w:id="0" w:name="_Toc29449"/>
      <w:bookmarkStart w:id="1" w:name="_Toc75259334"/>
      <w:r>
        <w:rPr>
          <w:rFonts w:hint="eastAsia" w:ascii="宋体" w:hAnsi="宋体" w:eastAsia="宋体" w:cs="宋体"/>
          <w:b/>
          <w:sz w:val="32"/>
          <w:szCs w:val="32"/>
        </w:rPr>
        <w:t>第一部分 招标公告</w:t>
      </w:r>
      <w:bookmarkEnd w:id="0"/>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高考综合改革信息化管理平台建设招标项目的潜在投标人应在全国公共资源交易平台 （陕西省·延安市）获取招标文件，并于2026年02月25日 09时00分（北京时间）前递交投标文件。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项目编号：CY2025-020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项目名称：高考综合改革信息化管理平台建设</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预算金额：7,405,354.30元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合同包1(延安市考试管理中心高考综合改革信息化管理平台建设项目):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合同包预算金额：7,405,354.30元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合同包最高限价：7,405,354.30元</w:t>
      </w:r>
    </w:p>
    <w:tbl>
      <w:tblPr>
        <w:tblStyle w:val="2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8"/>
        <w:gridCol w:w="1248"/>
        <w:gridCol w:w="2656"/>
        <w:gridCol w:w="1236"/>
        <w:gridCol w:w="1750"/>
        <w:gridCol w:w="1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延安市高考综合改革信息化管理平台建设</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7,405,354.30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合同履行期限：合同签订之日起90个日历天完成建设及平台部署，并提供运维服务三年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合同包1(延安市考试管理中心高考综合改革信息化管理平台建设项目)落实政府采购政策需满足的资格要求如下: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（2）《财政部、民政部、中国残疾人联合会关于促进残疾人就业政府采购政策的通知》（财库〔2017〕141号）；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（4）《关于运用政府采购政策支持乡村产业振兴的通知》（财库〔2021〕19号）；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（5）《政府采购促进中小企业发展管理办法》（财库〔2020〕46号）；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（7）陕西省财政厅《关于进一步加强政府绿色采购有关问题的通知》（陕财办采〔2021〕29号）；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（8）《关于进一步加大政府采购支持中小企业力度的通知》（财库〔2022〕19号）；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（9）《财政部 国务院扶贫办关于运用政府采购政策支持脱贫攻坚的通知》（财库〔2019〕27号）；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（10）其他需要落实的政府采购政策，或如有最新颁布的政府采购政策，按最新的文件执行。</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合同包1(延安市考试管理中心高考综合改革信息化管理平台建设项目)特定资格要求如下: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（1）具有独立承担民事责任能力的法人或其他组织，提供合法有效的统一社会信用代码的营业执照或事业单位法人证书等国家规定的相关证明，自然人参与的提供其身份证明；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（2）法定代表人直接参加投标须出具身份证，非法定代表人参加投标，须出具法定代表人授权书及被授权人身份证；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（3）投标人应出具参加政府采购活动前3年内在经营活动中没有重大违法记录的书面声明；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（4）税收缴纳证明：提供2025年5月至今已缴存的至少一个月的纳税证明或完税证明，纳税证明或完税证明上应有代收机构或税务机关的公章。依法免税的供应商应提供相关文件证明；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（5）社会保障资金缴纳证明：提供2025年5月至今已缴存的至少一个月的社会保障资金缴存单据或社保机构开具的社会保险参保缴费情况证明，依法不需要缴纳社会保障资金的供应商应提供相关文件证明；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（7）供应商未被列入“信用中国”网站严重失信主体名单和重大税收违法失信主体；中国政府采购网政府采购严重违法失信行为记录名单中被财政部门禁止参加政府采购活动的供应商；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（8）中小企业执行情况：本项目专门面向中小企业采购。</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注：单位负责人为同一人或者存在直接控股、管理关系的不同供应商，不得参加同一合同项下的政府采购活动。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时间：2026年02月03日至2026年02月09日，每天上午08:00:00至12:00:00，下午14:00:00至17:30:00（北京时间）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 （陕西省·延安市）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bookmarkStart w:id="2" w:name="OLE_LINK15"/>
      <w:r>
        <w:rPr>
          <w:rFonts w:hint="eastAsia" w:ascii="宋体" w:hAnsi="宋体" w:eastAsia="宋体" w:cs="宋体"/>
          <w:i w:val="0"/>
          <w:iCs w:val="0"/>
          <w:caps w:val="0"/>
          <w:color w:val="333333"/>
          <w:spacing w:val="0"/>
          <w:sz w:val="24"/>
          <w:szCs w:val="24"/>
          <w:shd w:val="clear" w:fill="FFFFFF"/>
        </w:rPr>
        <w:t>时间：2026年02月25日 09时00分00秒（北京时间）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提交投标文件地点：全国公共资源交易平台 （陕西省·延安市）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w:t>
      </w:r>
      <w:bookmarkStart w:id="3" w:name="OLE_LINK14"/>
      <w:r>
        <w:rPr>
          <w:rFonts w:hint="eastAsia" w:ascii="宋体" w:hAnsi="宋体" w:eastAsia="宋体" w:cs="宋体"/>
          <w:i w:val="0"/>
          <w:iCs w:val="0"/>
          <w:caps w:val="0"/>
          <w:color w:val="333333"/>
          <w:spacing w:val="0"/>
          <w:sz w:val="24"/>
          <w:szCs w:val="24"/>
          <w:shd w:val="clear" w:fill="FFFFFF"/>
        </w:rPr>
        <w:t>延安市公共资源交易中心</w:t>
      </w:r>
      <w:bookmarkEnd w:id="3"/>
      <w:r>
        <w:rPr>
          <w:rFonts w:hint="eastAsia" w:ascii="宋体" w:hAnsi="宋体" w:eastAsia="宋体" w:cs="宋体"/>
          <w:i w:val="0"/>
          <w:iCs w:val="0"/>
          <w:caps w:val="0"/>
          <w:color w:val="333333"/>
          <w:spacing w:val="0"/>
          <w:sz w:val="24"/>
          <w:szCs w:val="24"/>
          <w:shd w:val="clear" w:fill="FFFFFF"/>
        </w:rPr>
        <w:t>交易四厅</w:t>
      </w:r>
    </w:p>
    <w:bookmarkEnd w:id="2"/>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000000"/>
          <w:spacing w:val="0"/>
          <w:sz w:val="24"/>
          <w:szCs w:val="24"/>
          <w:shd w:val="clear" w:fill="FFFFFF"/>
        </w:rPr>
        <w:t>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2、请供应商按照陕西省财政厅关于政府采购供应商注册登记有关事项的通知中的要求，通过陕西省政府采购网注册登记加入陕西省政府采购供应商库。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3、本次开标采用线上不见面开标模式，电子文件上传递交；供应商需在开标前登录政府采购不见面开标大厅进行签到、解密。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4、本次招标公告在《陕西省政府采购网》和《全国公共资源交易平台（陕西省·延安市）》媒介上发布。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名称：延安市考试管理中心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地址：延安市宝塔区北大街3号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联系方式：0911-2118088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名称：陕西楚元项目管理有限公司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地址：延安市新区鼎盛豪庭公寓4号楼201室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联系方式：0911-8899222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项目联系人：姚方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电话：17809112100</w:t>
      </w:r>
    </w:p>
    <w:p>
      <w:pPr>
        <w:keepNext w:val="0"/>
        <w:keepLines w:val="0"/>
        <w:pageBreakBefore w:val="0"/>
        <w:widowControl/>
        <w:kinsoku/>
        <w:wordWrap w:val="0"/>
        <w:overflowPunct/>
        <w:topLinePunct w:val="0"/>
        <w:autoSpaceDE/>
        <w:autoSpaceDN/>
        <w:bidi w:val="0"/>
        <w:adjustRightInd/>
        <w:snapToGrid/>
        <w:spacing w:line="500" w:lineRule="exact"/>
        <w:textAlignment w:val="auto"/>
        <w:rPr>
          <w:rFonts w:hint="eastAsia" w:ascii="宋体" w:hAnsi="宋体" w:eastAsia="宋体" w:cs="宋体"/>
          <w:sz w:val="24"/>
          <w:szCs w:val="24"/>
        </w:rPr>
      </w:pPr>
    </w:p>
    <w:p>
      <w:pPr>
        <w:rPr>
          <w:rFonts w:hint="eastAsia" w:ascii="宋体" w:hAnsi="宋体" w:eastAsia="宋体" w:cs="宋体"/>
          <w:b/>
          <w:sz w:val="32"/>
          <w:szCs w:val="32"/>
        </w:rPr>
      </w:pPr>
      <w:r>
        <w:rPr>
          <w:rFonts w:hint="eastAsia" w:ascii="宋体" w:hAnsi="宋体" w:eastAsia="宋体" w:cs="宋体"/>
          <w:b/>
          <w:sz w:val="32"/>
          <w:szCs w:val="32"/>
        </w:rPr>
        <w:br w:type="page"/>
      </w:r>
    </w:p>
    <w:p>
      <w:pPr>
        <w:jc w:val="center"/>
        <w:outlineLvl w:val="0"/>
        <w:rPr>
          <w:rFonts w:hint="eastAsia" w:ascii="宋体" w:hAnsi="宋体" w:eastAsia="宋体" w:cs="宋体"/>
          <w:b/>
          <w:sz w:val="32"/>
          <w:szCs w:val="32"/>
        </w:rPr>
      </w:pPr>
      <w:bookmarkStart w:id="4" w:name="_Toc32142"/>
      <w:bookmarkStart w:id="5" w:name="_Toc75259335"/>
      <w:r>
        <w:rPr>
          <w:rFonts w:hint="eastAsia" w:ascii="宋体" w:hAnsi="宋体" w:eastAsia="宋体" w:cs="宋体"/>
          <w:b/>
          <w:sz w:val="32"/>
          <w:szCs w:val="32"/>
        </w:rPr>
        <w:t>第二部分 投标须知前附表</w:t>
      </w:r>
      <w:bookmarkEnd w:id="4"/>
    </w:p>
    <w:tbl>
      <w:tblPr>
        <w:tblStyle w:val="26"/>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条款</w:t>
            </w:r>
          </w:p>
        </w:tc>
        <w:tc>
          <w:tcPr>
            <w:tcW w:w="677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编 列 内 容</w:t>
            </w:r>
          </w:p>
        </w:tc>
      </w:tr>
      <w:tr>
        <w:tblPrEx>
          <w:tblCellMar>
            <w:top w:w="0" w:type="dxa"/>
            <w:left w:w="28" w:type="dxa"/>
            <w:bottom w:w="0" w:type="dxa"/>
            <w:right w:w="28" w:type="dxa"/>
          </w:tblCellMar>
        </w:tblPrEx>
        <w:trPr>
          <w:trHeight w:val="10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sz w:val="24"/>
              </w:rPr>
            </w:pPr>
            <w:r>
              <w:rPr>
                <w:rFonts w:hint="eastAsia" w:ascii="宋体" w:hAnsi="宋体" w:eastAsia="宋体" w:cs="宋体"/>
                <w:sz w:val="24"/>
                <w:lang w:val="zh-CN"/>
              </w:rPr>
              <w:t>延安市考试管理中心高考综合改革信息化管理平台建设项目</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采购人</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采购人名称：延安市考试管理中心</w:t>
            </w:r>
          </w:p>
          <w:p>
            <w:pPr>
              <w:spacing w:line="360" w:lineRule="auto"/>
              <w:ind w:firstLine="436" w:firstLineChars="200"/>
              <w:jc w:val="left"/>
              <w:rPr>
                <w:rFonts w:hint="eastAsia" w:ascii="宋体" w:hAnsi="宋体" w:eastAsia="宋体" w:cs="宋体"/>
                <w:spacing w:val="-6"/>
                <w:sz w:val="24"/>
                <w:lang w:val="zh-CN"/>
              </w:rPr>
            </w:pPr>
            <w:r>
              <w:rPr>
                <w:rFonts w:hint="eastAsia" w:ascii="宋体" w:hAnsi="宋体" w:eastAsia="宋体" w:cs="宋体"/>
                <w:spacing w:val="-11"/>
                <w:sz w:val="24"/>
                <w:lang w:val="zh-CN"/>
              </w:rPr>
              <w:t>地址：</w:t>
            </w:r>
            <w:r>
              <w:rPr>
                <w:rFonts w:hint="eastAsia" w:eastAsia="宋体" w:cs="宋体"/>
                <w:color w:val="333333"/>
                <w:sz w:val="24"/>
                <w:shd w:val="clear" w:color="auto" w:fill="FFFFFF"/>
              </w:rPr>
              <w:t>延安市宝塔区北大街3号</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联系人：</w:t>
            </w:r>
            <w:r>
              <w:rPr>
                <w:rFonts w:hint="eastAsia" w:ascii="宋体" w:hAnsi="宋体" w:eastAsia="宋体" w:cs="宋体"/>
                <w:sz w:val="24"/>
              </w:rPr>
              <w:t>李老师</w:t>
            </w:r>
          </w:p>
          <w:p>
            <w:pPr>
              <w:pStyle w:val="21"/>
              <w:wordWrap w:val="0"/>
              <w:spacing w:before="0" w:beforeAutospacing="0" w:after="0" w:afterAutospacing="0" w:line="360" w:lineRule="auto"/>
              <w:ind w:firstLine="480"/>
              <w:jc w:val="both"/>
              <w:rPr>
                <w:rFonts w:hint="eastAsia" w:ascii="宋体" w:hAnsi="宋体" w:eastAsia="宋体" w:cs="宋体"/>
                <w:sz w:val="24"/>
              </w:rPr>
            </w:pPr>
            <w:r>
              <w:rPr>
                <w:rFonts w:hint="eastAsia" w:ascii="宋体" w:hAnsi="宋体" w:eastAsia="宋体" w:cs="宋体"/>
                <w:sz w:val="24"/>
                <w:lang w:val="zh-CN"/>
              </w:rPr>
              <w:t>电  话：</w:t>
            </w:r>
            <w:r>
              <w:rPr>
                <w:rFonts w:hint="eastAsia" w:eastAsia="宋体" w:cs="宋体"/>
                <w:color w:val="333333"/>
                <w:shd w:val="clear" w:color="auto" w:fill="FFFFFF"/>
                <w:lang w:eastAsia="zh-CN"/>
              </w:rPr>
              <w:t>0911</w:t>
            </w:r>
            <w:r>
              <w:rPr>
                <w:rFonts w:hint="eastAsia" w:eastAsia="宋体" w:cs="宋体"/>
                <w:color w:val="333333"/>
                <w:shd w:val="clear" w:color="auto" w:fill="FFFFFF"/>
                <w:lang w:val="en-US" w:eastAsia="zh-CN"/>
              </w:rPr>
              <w:t>-</w:t>
            </w:r>
            <w:r>
              <w:rPr>
                <w:rFonts w:hint="eastAsia" w:eastAsia="宋体" w:cs="宋体"/>
                <w:color w:val="333333"/>
                <w:shd w:val="clear" w:color="auto" w:fill="FFFFFF"/>
                <w:lang w:eastAsia="zh-CN"/>
              </w:rPr>
              <w:t>2118088</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采购代理</w:t>
            </w:r>
          </w:p>
          <w:p>
            <w:pPr>
              <w:spacing w:line="360" w:lineRule="auto"/>
              <w:jc w:val="center"/>
              <w:rPr>
                <w:rFonts w:hint="eastAsia" w:ascii="宋体" w:hAnsi="宋体" w:eastAsia="宋体" w:cs="宋体"/>
                <w:sz w:val="24"/>
              </w:rPr>
            </w:pPr>
            <w:r>
              <w:rPr>
                <w:rFonts w:hint="eastAsia" w:ascii="宋体" w:hAnsi="宋体" w:eastAsia="宋体" w:cs="宋体"/>
                <w:sz w:val="24"/>
              </w:rPr>
              <w:t>机构</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采购代理机构：陕西楚元项目管理有限公司</w:t>
            </w:r>
          </w:p>
          <w:p>
            <w:pPr>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地址：延安市新区鼎盛豪庭公寓4号楼201室</w:t>
            </w:r>
          </w:p>
          <w:p>
            <w:pPr>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联系人：</w:t>
            </w:r>
            <w:r>
              <w:rPr>
                <w:rFonts w:hint="eastAsia" w:ascii="宋体" w:hAnsi="宋体" w:eastAsia="宋体" w:cs="宋体"/>
                <w:sz w:val="24"/>
              </w:rPr>
              <w:t>姚方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电  话：</w:t>
            </w:r>
            <w:r>
              <w:rPr>
                <w:rFonts w:hint="eastAsia" w:ascii="宋体" w:hAnsi="宋体" w:eastAsia="宋体" w:cs="宋体"/>
                <w:sz w:val="24"/>
              </w:rPr>
              <w:t>17809112100</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527" w:type="dxa"/>
            <w:tcBorders>
              <w:top w:val="single" w:color="auto" w:sz="4" w:space="0"/>
              <w:left w:val="nil"/>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采购标的对应所属行业</w:t>
            </w:r>
          </w:p>
        </w:tc>
        <w:tc>
          <w:tcPr>
            <w:tcW w:w="6771" w:type="dxa"/>
            <w:tcBorders>
              <w:top w:val="single" w:color="auto" w:sz="4" w:space="0"/>
              <w:left w:val="nil"/>
              <w:right w:val="single" w:color="auto" w:sz="4" w:space="0"/>
            </w:tcBorders>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软件和信息技术服务业</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527" w:type="dxa"/>
            <w:tcBorders>
              <w:top w:val="single" w:color="auto" w:sz="4" w:space="0"/>
              <w:left w:val="nil"/>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落实政府采购支持中小企业政策</w:t>
            </w:r>
          </w:p>
        </w:tc>
        <w:tc>
          <w:tcPr>
            <w:tcW w:w="6771" w:type="dxa"/>
            <w:tcBorders>
              <w:top w:val="single" w:color="auto" w:sz="4" w:space="0"/>
              <w:left w:val="nil"/>
              <w:right w:val="single" w:color="auto" w:sz="4" w:space="0"/>
            </w:tcBorders>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5"/>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 xml:space="preserve">面向中小企业采购 </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 xml:space="preserve">面向小微企业采购 </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 xml:space="preserve"> 不专门面向</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勘踏现场</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 xml:space="preserve">     否</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进口产品</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 xml:space="preserve">     否</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样品</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 xml:space="preserve">     否</w:t>
            </w: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p>
        </w:tc>
      </w:tr>
      <w:tr>
        <w:tblPrEx>
          <w:tblCellMar>
            <w:top w:w="0" w:type="dxa"/>
            <w:left w:w="28" w:type="dxa"/>
            <w:bottom w:w="0" w:type="dxa"/>
            <w:right w:w="28" w:type="dxa"/>
          </w:tblCellMar>
        </w:tblPrEx>
        <w:trPr>
          <w:trHeight w:val="119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9</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备选方案</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不允许提供</w:t>
            </w:r>
          </w:p>
        </w:tc>
      </w:tr>
      <w:tr>
        <w:tblPrEx>
          <w:tblCellMar>
            <w:top w:w="0" w:type="dxa"/>
            <w:left w:w="28" w:type="dxa"/>
            <w:bottom w:w="0" w:type="dxa"/>
            <w:right w:w="28" w:type="dxa"/>
          </w:tblCellMar>
        </w:tblPrEx>
        <w:trPr>
          <w:trHeight w:val="55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10</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投标人特定资格要求</w:t>
            </w:r>
          </w:p>
        </w:tc>
        <w:tc>
          <w:tcPr>
            <w:tcW w:w="6771" w:type="dxa"/>
            <w:tcBorders>
              <w:top w:val="single" w:color="auto" w:sz="4" w:space="0"/>
              <w:left w:val="nil"/>
              <w:bottom w:val="single" w:color="auto" w:sz="4" w:space="0"/>
              <w:right w:val="single" w:color="auto" w:sz="4" w:space="0"/>
            </w:tcBorders>
            <w:vAlign w:val="center"/>
          </w:tcPr>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（1）具有独立承担民事责任能力的法人或其他组织，提供合法有效的统一社会信用代码的营业执照或事业单位法人证书等国家规定的相关证明，自然人参与的提供其身份证明；</w:t>
            </w:r>
          </w:p>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（2）法定代表人直接参加投标须出具身份证，非法定代表人参加投标，须出具法定代表人授权书及被授权人身份证；</w:t>
            </w:r>
          </w:p>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（3）</w:t>
            </w:r>
            <w:bookmarkStart w:id="6" w:name="OLE_LINK9"/>
            <w:r>
              <w:rPr>
                <w:rFonts w:hint="eastAsia" w:eastAsia="宋体" w:cs="宋体"/>
                <w:color w:val="333333"/>
                <w:shd w:val="clear" w:color="auto" w:fill="FFFFFF"/>
              </w:rPr>
              <w:t>投标人应出具参加政府采购活动前3年内在经营活动中没有重大违法记录的书面声明；</w:t>
            </w:r>
          </w:p>
          <w:bookmarkEnd w:id="6"/>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（4）税收缴纳证明：提供2025年5月至今已缴存的至少一个月的纳税证明或完税证明，纳税证明或完税证明上应有代收机构或税务机关的公章。依法免税的供应商应提供相关文件证明；</w:t>
            </w:r>
          </w:p>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（5）</w:t>
            </w:r>
            <w:bookmarkStart w:id="7" w:name="OLE_LINK10"/>
            <w:r>
              <w:rPr>
                <w:rFonts w:hint="eastAsia" w:eastAsia="宋体" w:cs="宋体"/>
                <w:color w:val="333333"/>
                <w:shd w:val="clear" w:color="auto" w:fill="FFFFFF"/>
              </w:rPr>
              <w:t>社会保障资金缴纳证明：提供2025年5月至今已缴存的至少一个月的社会保障资金缴存单据或社保机构开具的社会保险参保缴费情况证明，依法不需要缴纳社会保障资金的供应商应提供相关文件证明；</w:t>
            </w:r>
          </w:p>
          <w:bookmarkEnd w:id="7"/>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6）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（7）供应商未被列入“信用中国”网站严重失信主体名单和重大税收违法失信主体；中国政府采购网政府采购严重违法失信行为记录名单中被财政部门禁止参加政府采购活动的供应商；</w:t>
            </w:r>
          </w:p>
          <w:p>
            <w:pPr>
              <w:pStyle w:val="21"/>
              <w:wordWrap w:val="0"/>
              <w:spacing w:before="0" w:beforeAutospacing="0" w:after="0" w:afterAutospacing="0" w:line="480" w:lineRule="atLeast"/>
              <w:ind w:firstLine="480" w:firstLineChars="200"/>
              <w:rPr>
                <w:rFonts w:hint="eastAsia" w:eastAsia="宋体" w:cs="宋体"/>
                <w:color w:val="333333"/>
                <w:shd w:val="clear" w:color="auto" w:fill="FFFFFF"/>
              </w:rPr>
            </w:pPr>
            <w:r>
              <w:rPr>
                <w:rFonts w:hint="eastAsia" w:eastAsia="宋体" w:cs="宋体"/>
                <w:color w:val="333333"/>
                <w:shd w:val="clear" w:color="auto" w:fill="FFFFFF"/>
              </w:rPr>
              <w:t>（8）中小企业执行情况：本项目专门面向中小企业采购。</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投标保证金</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投标保证金金额：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壹拾万元整（￥100,000.00元）</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投标保证金缴纳账户信息：</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开户单位：陕西楚元项目管理有限公司</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开户行名称：西安银行股份有限公司延安分行</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账      号：371011510000019626</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注：第三部分 投标保证金7.2保证金缴纳方式，应注明“项目编号和名称”</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投标文件有效期</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highlight w:val="none"/>
              </w:rPr>
              <w:t>投标文件从递交截止之日起，有效期为</w:t>
            </w:r>
            <w:r>
              <w:rPr>
                <w:rFonts w:hint="eastAsia" w:ascii="宋体" w:hAnsi="宋体" w:eastAsia="宋体" w:cs="宋体"/>
                <w:sz w:val="24"/>
                <w:highlight w:val="none"/>
                <w:lang w:val="en-US" w:eastAsia="zh-CN"/>
              </w:rPr>
              <w:t>120个</w:t>
            </w:r>
            <w:r>
              <w:rPr>
                <w:rFonts w:hint="eastAsia" w:ascii="宋体" w:hAnsi="宋体" w:eastAsia="宋体" w:cs="宋体"/>
                <w:color w:val="000000" w:themeColor="text1"/>
                <w:sz w:val="24"/>
                <w:highlight w:val="none"/>
                <w14:textFill>
                  <w14:solidFill>
                    <w14:schemeClr w14:val="tx1"/>
                  </w14:solidFill>
                </w14:textFill>
              </w:rPr>
              <w:t>日历天。</w:t>
            </w:r>
          </w:p>
        </w:tc>
      </w:tr>
      <w:tr>
        <w:tblPrEx>
          <w:tblCellMar>
            <w:top w:w="0" w:type="dxa"/>
            <w:left w:w="28" w:type="dxa"/>
            <w:bottom w:w="0" w:type="dxa"/>
            <w:right w:w="28" w:type="dxa"/>
          </w:tblCellMar>
        </w:tblPrEx>
        <w:trPr>
          <w:trHeight w:val="11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13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投标文件递交</w:t>
            </w:r>
          </w:p>
        </w:tc>
        <w:tc>
          <w:tcPr>
            <w:tcW w:w="6771" w:type="dxa"/>
            <w:tcBorders>
              <w:top w:val="single" w:color="auto" w:sz="4" w:space="0"/>
              <w:left w:val="nil"/>
              <w:bottom w:val="single" w:color="auto" w:sz="4" w:space="0"/>
              <w:right w:val="single" w:color="auto" w:sz="4" w:space="0"/>
            </w:tcBorders>
            <w:vAlign w:val="center"/>
          </w:tcPr>
          <w:p>
            <w:pPr>
              <w:pStyle w:val="21"/>
              <w:wordWrap w:val="0"/>
              <w:spacing w:before="0" w:beforeAutospacing="0" w:after="0" w:afterAutospacing="0" w:line="542" w:lineRule="exact"/>
              <w:ind w:firstLine="480"/>
              <w:jc w:val="both"/>
              <w:rPr>
                <w:rFonts w:hint="eastAsia" w:eastAsia="宋体" w:cs="宋体"/>
              </w:rPr>
            </w:pPr>
            <w:r>
              <w:rPr>
                <w:rFonts w:hint="eastAsia" w:eastAsia="宋体" w:cs="宋体"/>
              </w:rPr>
              <w:t>加密电子版：加密电子版（SXSTF格式）需在提交投标文件截止时间前上传至全国公共资源交易平台（</w:t>
            </w:r>
            <w:r>
              <w:rPr>
                <w:rFonts w:hint="eastAsia" w:eastAsia="宋体" w:cs="宋体"/>
                <w:lang w:eastAsia="zh-CN"/>
              </w:rPr>
              <w:t>陕西省·延安市</w:t>
            </w:r>
            <w:r>
              <w:rPr>
                <w:rFonts w:hint="eastAsia" w:eastAsia="宋体" w:cs="宋体"/>
              </w:rPr>
              <w:t>）；纸质版：1正1副发顺丰到代理公司，邮费自付。（</w:t>
            </w:r>
            <w:r>
              <w:rPr>
                <w:rFonts w:hint="eastAsia" w:eastAsia="宋体" w:cs="宋体"/>
                <w:color w:val="000000" w:themeColor="text1"/>
                <w:shd w:val="clear" w:color="auto" w:fill="FFFFFF"/>
                <w14:textFill>
                  <w14:solidFill>
                    <w14:schemeClr w14:val="tx1"/>
                  </w14:solidFill>
                </w14:textFill>
              </w:rPr>
              <w:t>延安市新区鼎盛豪庭公寓4号楼201室</w:t>
            </w:r>
            <w:r>
              <w:rPr>
                <w:rFonts w:hint="eastAsia" w:eastAsia="宋体" w:cs="宋体"/>
              </w:rPr>
              <w:t>）</w:t>
            </w:r>
          </w:p>
        </w:tc>
      </w:tr>
      <w:tr>
        <w:tblPrEx>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14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评审办法</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综合评分法（详见第三部分）。</w:t>
            </w:r>
          </w:p>
        </w:tc>
      </w:tr>
      <w:tr>
        <w:tblPrEx>
          <w:tblCellMar>
            <w:top w:w="0" w:type="dxa"/>
            <w:left w:w="28" w:type="dxa"/>
            <w:bottom w:w="0" w:type="dxa"/>
            <w:right w:w="28" w:type="dxa"/>
          </w:tblCellMar>
        </w:tblPrEx>
        <w:trPr>
          <w:trHeight w:val="175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履约保证金</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中标人在与采购人签订合同之前，</w:t>
            </w:r>
            <w:r>
              <w:rPr>
                <w:rFonts w:hint="eastAsia" w:ascii="宋体" w:hAnsi="宋体" w:eastAsia="宋体" w:cs="宋体"/>
                <w:sz w:val="24"/>
                <w:highlight w:val="none"/>
              </w:rPr>
              <w:t>采购人有权要求中标人缴纳合同价的5%作为履约保证金，履约</w:t>
            </w:r>
            <w:r>
              <w:rPr>
                <w:rFonts w:hint="eastAsia" w:ascii="宋体" w:hAnsi="宋体" w:eastAsia="宋体" w:cs="宋体"/>
                <w:sz w:val="24"/>
              </w:rPr>
              <w:t>保证金在政府采购合同履行完毕，且采购人验收通过后，以银行转账的方式无息退还给中标人。</w:t>
            </w:r>
          </w:p>
        </w:tc>
      </w:tr>
      <w:tr>
        <w:tblPrEx>
          <w:tblCellMar>
            <w:top w:w="0" w:type="dxa"/>
            <w:left w:w="28" w:type="dxa"/>
            <w:bottom w:w="0" w:type="dxa"/>
            <w:right w:w="28" w:type="dxa"/>
          </w:tblCellMar>
        </w:tblPrEx>
        <w:trPr>
          <w:trHeight w:val="167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16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bCs/>
                <w:sz w:val="24"/>
              </w:rPr>
              <w:t>重新采购或者变更采购方式</w:t>
            </w:r>
          </w:p>
        </w:tc>
        <w:tc>
          <w:tcPr>
            <w:tcW w:w="6771"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重新采购或转变采购方式情形须按照《中华人民共和国政府采购法》及其实施条例、《政府采购货物和服务招标投标管理办法》</w:t>
            </w:r>
            <w:r>
              <w:rPr>
                <w:rFonts w:hint="eastAsia" w:ascii="宋体" w:hAnsi="宋体" w:eastAsia="宋体" w:cs="宋体"/>
                <w:sz w:val="24"/>
                <w:lang w:eastAsia="zh-CN"/>
              </w:rPr>
              <w:t>（</w:t>
            </w:r>
            <w:r>
              <w:rPr>
                <w:rFonts w:hint="eastAsia" w:ascii="宋体" w:hAnsi="宋体" w:eastAsia="宋体" w:cs="宋体"/>
                <w:sz w:val="24"/>
              </w:rPr>
              <w:t>财政部第87号令）</w:t>
            </w:r>
            <w:r>
              <w:rPr>
                <w:rFonts w:hint="eastAsia" w:ascii="宋体" w:hAnsi="宋体" w:eastAsia="宋体" w:cs="宋体"/>
                <w:spacing w:val="-4"/>
                <w:sz w:val="24"/>
              </w:rPr>
              <w:t>相关规定处理。</w:t>
            </w:r>
          </w:p>
        </w:tc>
      </w:tr>
    </w:tbl>
    <w:p>
      <w:pPr>
        <w:rPr>
          <w:rFonts w:hint="eastAsia" w:ascii="宋体" w:hAnsi="宋体" w:eastAsia="宋体" w:cs="宋体"/>
        </w:rPr>
      </w:pPr>
      <w:r>
        <w:rPr>
          <w:rFonts w:hint="eastAsia" w:ascii="宋体" w:hAnsi="宋体" w:eastAsia="宋体" w:cs="宋体"/>
        </w:rPr>
        <w:br w:type="page"/>
      </w:r>
    </w:p>
    <w:p>
      <w:pPr>
        <w:pStyle w:val="20"/>
        <w:adjustRightInd/>
        <w:snapToGrid/>
        <w:spacing w:line="240" w:lineRule="auto"/>
        <w:jc w:val="center"/>
        <w:outlineLvl w:val="0"/>
        <w:rPr>
          <w:rFonts w:hint="eastAsia" w:eastAsia="宋体" w:cs="宋体"/>
          <w:b/>
          <w:sz w:val="32"/>
          <w:szCs w:val="32"/>
        </w:rPr>
      </w:pPr>
      <w:bookmarkStart w:id="8" w:name="_Toc15586"/>
      <w:r>
        <w:rPr>
          <w:rFonts w:hint="eastAsia" w:eastAsia="宋体" w:cs="宋体"/>
          <w:b/>
          <w:sz w:val="32"/>
          <w:szCs w:val="32"/>
        </w:rPr>
        <w:t>第三部分 投标须知</w:t>
      </w:r>
      <w:bookmarkEnd w:id="5"/>
      <w:bookmarkEnd w:id="8"/>
    </w:p>
    <w:p>
      <w:pPr>
        <w:pStyle w:val="20"/>
        <w:adjustRightInd/>
        <w:snapToGrid/>
        <w:spacing w:line="360" w:lineRule="auto"/>
        <w:ind w:firstLine="482" w:firstLineChars="200"/>
        <w:outlineLvl w:val="1"/>
        <w:rPr>
          <w:rFonts w:hint="eastAsia" w:eastAsia="宋体" w:cs="宋体"/>
          <w:b/>
          <w:sz w:val="24"/>
        </w:rPr>
      </w:pPr>
      <w:bookmarkStart w:id="9" w:name="_Toc25200"/>
      <w:bookmarkStart w:id="10" w:name="_Toc75259336"/>
      <w:r>
        <w:rPr>
          <w:rFonts w:hint="eastAsia" w:eastAsia="宋体" w:cs="宋体"/>
          <w:b/>
          <w:sz w:val="24"/>
          <w:lang w:eastAsia="zh-CN"/>
        </w:rPr>
        <w:t>1.</w:t>
      </w:r>
      <w:r>
        <w:rPr>
          <w:rFonts w:hint="eastAsia" w:eastAsia="宋体" w:cs="宋体"/>
          <w:b/>
          <w:sz w:val="24"/>
        </w:rPr>
        <w:t>适用范围</w:t>
      </w:r>
      <w:bookmarkEnd w:id="9"/>
      <w:bookmarkEnd w:id="10"/>
    </w:p>
    <w:p>
      <w:pPr>
        <w:pStyle w:val="20"/>
        <w:adjustRightInd/>
        <w:snapToGrid/>
        <w:spacing w:line="360" w:lineRule="auto"/>
        <w:ind w:firstLine="480" w:firstLineChars="200"/>
        <w:rPr>
          <w:rFonts w:hint="eastAsia" w:eastAsia="宋体" w:cs="宋体"/>
          <w:sz w:val="24"/>
        </w:rPr>
      </w:pPr>
      <w:r>
        <w:rPr>
          <w:rFonts w:hint="eastAsia" w:eastAsia="宋体" w:cs="宋体"/>
          <w:sz w:val="24"/>
        </w:rPr>
        <w:t>1</w:t>
      </w:r>
      <w:r>
        <w:rPr>
          <w:rFonts w:hint="eastAsia" w:eastAsia="宋体" w:cs="宋体"/>
          <w:bCs/>
          <w:sz w:val="24"/>
        </w:rPr>
        <w:t>.</w:t>
      </w:r>
      <w:r>
        <w:rPr>
          <w:rFonts w:hint="eastAsia" w:eastAsia="宋体" w:cs="宋体"/>
          <w:sz w:val="24"/>
        </w:rPr>
        <w:t>1本招标文件仅适用于本次招标所叙述的延安市考试管理中心高考综合改革信息化管理平台建设项目。</w:t>
      </w:r>
    </w:p>
    <w:p>
      <w:pPr>
        <w:pStyle w:val="20"/>
        <w:adjustRightInd/>
        <w:snapToGrid/>
        <w:spacing w:line="360" w:lineRule="auto"/>
        <w:ind w:firstLine="482" w:firstLineChars="200"/>
        <w:outlineLvl w:val="1"/>
        <w:rPr>
          <w:rFonts w:hint="eastAsia" w:eastAsia="宋体" w:cs="宋体"/>
          <w:b/>
          <w:sz w:val="24"/>
        </w:rPr>
      </w:pPr>
      <w:bookmarkStart w:id="11" w:name="_Toc75259337"/>
      <w:bookmarkStart w:id="12" w:name="_Toc1690"/>
      <w:r>
        <w:rPr>
          <w:rFonts w:hint="eastAsia" w:eastAsia="宋体" w:cs="宋体"/>
          <w:b/>
          <w:sz w:val="24"/>
          <w:lang w:eastAsia="zh-CN"/>
        </w:rPr>
        <w:t>2.</w:t>
      </w:r>
      <w:r>
        <w:rPr>
          <w:rFonts w:hint="eastAsia" w:eastAsia="宋体" w:cs="宋体"/>
          <w:b/>
          <w:sz w:val="24"/>
        </w:rPr>
        <w:t>定义</w:t>
      </w:r>
      <w:bookmarkEnd w:id="11"/>
      <w:bookmarkEnd w:id="12"/>
    </w:p>
    <w:p>
      <w:pPr>
        <w:pStyle w:val="20"/>
        <w:adjustRightInd/>
        <w:snapToGrid/>
        <w:spacing w:line="360" w:lineRule="auto"/>
        <w:ind w:firstLine="480" w:firstLineChars="200"/>
        <w:rPr>
          <w:rFonts w:hint="eastAsia" w:eastAsia="宋体" w:cs="宋体"/>
          <w:sz w:val="24"/>
        </w:rPr>
      </w:pPr>
      <w:r>
        <w:rPr>
          <w:rFonts w:hint="eastAsia" w:eastAsia="宋体" w:cs="宋体"/>
          <w:sz w:val="24"/>
        </w:rPr>
        <w:t>2</w:t>
      </w:r>
      <w:r>
        <w:rPr>
          <w:rFonts w:hint="eastAsia" w:eastAsia="宋体" w:cs="宋体"/>
          <w:bCs/>
          <w:sz w:val="24"/>
        </w:rPr>
        <w:t>.</w:t>
      </w:r>
      <w:r>
        <w:rPr>
          <w:rFonts w:hint="eastAsia" w:eastAsia="宋体" w:cs="宋体"/>
          <w:sz w:val="24"/>
        </w:rPr>
        <w:t>1“采购人”系指延安市考试管理中心。</w:t>
      </w:r>
    </w:p>
    <w:p>
      <w:pPr>
        <w:pStyle w:val="20"/>
        <w:adjustRightInd/>
        <w:snapToGrid/>
        <w:spacing w:line="360" w:lineRule="auto"/>
        <w:ind w:firstLine="480" w:firstLineChars="200"/>
        <w:rPr>
          <w:rFonts w:hint="eastAsia" w:eastAsia="宋体" w:cs="宋体"/>
          <w:sz w:val="24"/>
        </w:rPr>
      </w:pPr>
      <w:r>
        <w:rPr>
          <w:rFonts w:hint="eastAsia" w:eastAsia="宋体" w:cs="宋体"/>
          <w:sz w:val="24"/>
        </w:rPr>
        <w:t>2</w:t>
      </w:r>
      <w:r>
        <w:rPr>
          <w:rFonts w:hint="eastAsia" w:eastAsia="宋体" w:cs="宋体"/>
          <w:bCs/>
          <w:sz w:val="24"/>
        </w:rPr>
        <w:t>.</w:t>
      </w:r>
      <w:r>
        <w:rPr>
          <w:rFonts w:hint="eastAsia" w:eastAsia="宋体" w:cs="宋体"/>
          <w:sz w:val="24"/>
        </w:rPr>
        <w:t>2“采购代理机构”系指组织本次招标活动的陕西楚元项目管理有限公司。</w:t>
      </w:r>
    </w:p>
    <w:p>
      <w:pPr>
        <w:pStyle w:val="20"/>
        <w:adjustRightInd/>
        <w:snapToGrid/>
        <w:spacing w:line="360" w:lineRule="auto"/>
        <w:ind w:firstLine="480" w:firstLineChars="200"/>
        <w:rPr>
          <w:rFonts w:hint="eastAsia" w:eastAsia="宋体" w:cs="宋体"/>
          <w:sz w:val="24"/>
        </w:rPr>
      </w:pPr>
      <w:r>
        <w:rPr>
          <w:rFonts w:hint="eastAsia" w:eastAsia="宋体" w:cs="宋体"/>
          <w:sz w:val="24"/>
        </w:rPr>
        <w:t>2</w:t>
      </w:r>
      <w:r>
        <w:rPr>
          <w:rFonts w:hint="eastAsia" w:eastAsia="宋体" w:cs="宋体"/>
          <w:bCs/>
          <w:sz w:val="24"/>
        </w:rPr>
        <w:t>.</w:t>
      </w:r>
      <w:r>
        <w:rPr>
          <w:rFonts w:hint="eastAsia" w:eastAsia="宋体" w:cs="宋体"/>
          <w:sz w:val="24"/>
        </w:rPr>
        <w:t>3“投标人”系指无条件接受招标文件的各项要求，具备相应履约能力、具有《中华人民共和国政府采购法》第二十二条规定的相关条件并向采购人提交投标文件的投标人。</w:t>
      </w:r>
    </w:p>
    <w:p>
      <w:pPr>
        <w:pStyle w:val="20"/>
        <w:adjustRightInd/>
        <w:snapToGrid/>
        <w:spacing w:line="360" w:lineRule="auto"/>
        <w:ind w:firstLine="482" w:firstLineChars="200"/>
        <w:outlineLvl w:val="1"/>
        <w:rPr>
          <w:rFonts w:hint="eastAsia" w:eastAsia="宋体" w:cs="宋体"/>
          <w:b/>
          <w:sz w:val="24"/>
        </w:rPr>
      </w:pPr>
      <w:bookmarkStart w:id="13" w:name="_Toc23884"/>
      <w:bookmarkStart w:id="14" w:name="_Toc75259338"/>
      <w:r>
        <w:rPr>
          <w:rFonts w:hint="eastAsia" w:eastAsia="宋体" w:cs="宋体"/>
          <w:b/>
          <w:sz w:val="24"/>
          <w:lang w:eastAsia="zh-CN"/>
        </w:rPr>
        <w:t>3.</w:t>
      </w:r>
      <w:r>
        <w:rPr>
          <w:rFonts w:hint="eastAsia" w:eastAsia="宋体" w:cs="宋体"/>
          <w:b/>
          <w:sz w:val="24"/>
        </w:rPr>
        <w:t>合格投标人的范围</w:t>
      </w:r>
      <w:bookmarkEnd w:id="13"/>
      <w:bookmarkEnd w:id="14"/>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3.1具有独立承担民事责任的能力；</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3.2具有良好的商业信誉和健全的财务会计制度；</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3.3具有履行合同所必需的设备和专业技术能力；</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3.4 有依法缴纳税收和社会保障资金的良好记录；</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3.5参加政府采购活动前三年内，在经营活动中没有重大违法记录；</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3.6具备法律行政法规规定的其他条件；</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3.7完全满足招标文件的实质性要求；</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3.8凡具备招标文件要求资格，有服务能力的投标人均可参加。</w:t>
      </w:r>
    </w:p>
    <w:p>
      <w:pPr>
        <w:pStyle w:val="20"/>
        <w:adjustRightInd/>
        <w:snapToGrid/>
        <w:spacing w:line="360" w:lineRule="auto"/>
        <w:ind w:firstLine="482" w:firstLineChars="200"/>
        <w:outlineLvl w:val="1"/>
        <w:rPr>
          <w:rFonts w:hint="eastAsia" w:eastAsia="宋体" w:cs="宋体"/>
          <w:b/>
          <w:sz w:val="24"/>
        </w:rPr>
      </w:pPr>
      <w:bookmarkStart w:id="15" w:name="_Toc19089"/>
      <w:bookmarkStart w:id="16" w:name="_Toc75259339"/>
      <w:r>
        <w:rPr>
          <w:rFonts w:hint="eastAsia" w:eastAsia="宋体" w:cs="宋体"/>
          <w:b/>
          <w:sz w:val="24"/>
          <w:lang w:eastAsia="zh-CN"/>
        </w:rPr>
        <w:t>4.</w:t>
      </w:r>
      <w:r>
        <w:rPr>
          <w:rFonts w:hint="eastAsia" w:eastAsia="宋体" w:cs="宋体"/>
          <w:b/>
          <w:sz w:val="24"/>
        </w:rPr>
        <w:t>投标人代表</w:t>
      </w:r>
      <w:bookmarkEnd w:id="15"/>
      <w:bookmarkEnd w:id="16"/>
    </w:p>
    <w:p>
      <w:pPr>
        <w:pStyle w:val="20"/>
        <w:adjustRightInd/>
        <w:snapToGrid/>
        <w:spacing w:line="360" w:lineRule="auto"/>
        <w:ind w:firstLine="480" w:firstLineChars="200"/>
        <w:rPr>
          <w:rFonts w:hint="eastAsia" w:eastAsia="宋体" w:cs="宋体"/>
          <w:b/>
          <w:sz w:val="24"/>
        </w:rPr>
      </w:pPr>
      <w:r>
        <w:rPr>
          <w:rFonts w:hint="eastAsia" w:eastAsia="宋体" w:cs="宋体"/>
          <w:sz w:val="24"/>
        </w:rPr>
        <w:t>投标人代表必须是法定代表人或持有《法定代表人授权委托书》的被授权代表人。</w:t>
      </w:r>
    </w:p>
    <w:p>
      <w:pPr>
        <w:pStyle w:val="20"/>
        <w:adjustRightInd/>
        <w:snapToGrid/>
        <w:spacing w:line="360" w:lineRule="auto"/>
        <w:ind w:firstLine="482" w:firstLineChars="200"/>
        <w:outlineLvl w:val="1"/>
        <w:rPr>
          <w:rFonts w:hint="eastAsia" w:eastAsia="宋体" w:cs="宋体"/>
          <w:b/>
          <w:sz w:val="24"/>
        </w:rPr>
      </w:pPr>
      <w:bookmarkStart w:id="17" w:name="_Toc15843"/>
      <w:bookmarkStart w:id="18" w:name="_Toc75259340"/>
      <w:r>
        <w:rPr>
          <w:rFonts w:hint="eastAsia" w:eastAsia="宋体" w:cs="宋体"/>
          <w:b/>
          <w:sz w:val="24"/>
          <w:lang w:eastAsia="zh-CN"/>
        </w:rPr>
        <w:t>5.</w:t>
      </w:r>
      <w:r>
        <w:rPr>
          <w:rFonts w:hint="eastAsia" w:eastAsia="宋体" w:cs="宋体"/>
          <w:b/>
          <w:sz w:val="24"/>
        </w:rPr>
        <w:t>费用</w:t>
      </w:r>
      <w:bookmarkEnd w:id="17"/>
      <w:bookmarkEnd w:id="18"/>
    </w:p>
    <w:p>
      <w:pPr>
        <w:pStyle w:val="20"/>
        <w:adjustRightInd/>
        <w:snapToGrid/>
        <w:spacing w:line="360" w:lineRule="auto"/>
        <w:ind w:firstLine="480" w:firstLineChars="200"/>
        <w:rPr>
          <w:rFonts w:hint="eastAsia" w:eastAsia="宋体" w:cs="宋体"/>
          <w:b/>
          <w:sz w:val="24"/>
        </w:rPr>
      </w:pPr>
      <w:r>
        <w:rPr>
          <w:rFonts w:hint="eastAsia" w:eastAsia="宋体" w:cs="宋体"/>
          <w:sz w:val="24"/>
        </w:rPr>
        <w:t>无论招标结果如何，投标人自行承担所有与参加招标活动有关的全部费用。</w:t>
      </w:r>
    </w:p>
    <w:p>
      <w:pPr>
        <w:pStyle w:val="20"/>
        <w:adjustRightInd/>
        <w:snapToGrid/>
        <w:spacing w:line="360" w:lineRule="auto"/>
        <w:ind w:firstLine="482" w:firstLineChars="200"/>
        <w:outlineLvl w:val="1"/>
        <w:rPr>
          <w:rFonts w:hint="eastAsia" w:eastAsia="宋体" w:cs="宋体"/>
          <w:b/>
          <w:sz w:val="24"/>
        </w:rPr>
      </w:pPr>
      <w:bookmarkStart w:id="19" w:name="_Toc17656"/>
      <w:bookmarkStart w:id="20" w:name="_Toc75259341"/>
      <w:r>
        <w:rPr>
          <w:rFonts w:hint="eastAsia" w:eastAsia="宋体" w:cs="宋体"/>
          <w:b/>
          <w:sz w:val="24"/>
          <w:lang w:eastAsia="zh-CN"/>
        </w:rPr>
        <w:t>6.</w:t>
      </w:r>
      <w:r>
        <w:rPr>
          <w:rFonts w:hint="eastAsia" w:eastAsia="宋体" w:cs="宋体"/>
          <w:b/>
          <w:sz w:val="24"/>
        </w:rPr>
        <w:t>投标文件</w:t>
      </w:r>
      <w:bookmarkEnd w:id="19"/>
      <w:bookmarkEnd w:id="20"/>
    </w:p>
    <w:p>
      <w:pPr>
        <w:pStyle w:val="20"/>
        <w:adjustRightInd/>
        <w:snapToGrid/>
        <w:spacing w:line="360" w:lineRule="auto"/>
        <w:ind w:firstLine="480" w:firstLineChars="200"/>
        <w:rPr>
          <w:rFonts w:hint="eastAsia" w:eastAsia="宋体" w:cs="宋体"/>
          <w:sz w:val="24"/>
        </w:rPr>
      </w:pPr>
      <w:r>
        <w:rPr>
          <w:rFonts w:hint="eastAsia" w:eastAsia="宋体" w:cs="宋体"/>
          <w:sz w:val="24"/>
        </w:rPr>
        <w:t>6.1投标文件的组成</w:t>
      </w:r>
    </w:p>
    <w:p>
      <w:pPr>
        <w:pStyle w:val="20"/>
        <w:adjustRightInd/>
        <w:snapToGrid/>
        <w:spacing w:line="360" w:lineRule="auto"/>
        <w:ind w:firstLine="480" w:firstLineChars="200"/>
        <w:rPr>
          <w:rFonts w:hint="eastAsia" w:eastAsia="宋体" w:cs="宋体"/>
          <w:sz w:val="24"/>
        </w:rPr>
      </w:pPr>
      <w:bookmarkStart w:id="21" w:name="_Hlk63272456"/>
      <w:r>
        <w:rPr>
          <w:rFonts w:hint="eastAsia" w:eastAsia="宋体" w:cs="宋体"/>
          <w:sz w:val="24"/>
        </w:rPr>
        <w:t>（1）投标响应函；</w:t>
      </w:r>
    </w:p>
    <w:p>
      <w:pPr>
        <w:pStyle w:val="20"/>
        <w:adjustRightInd/>
        <w:snapToGrid/>
        <w:spacing w:line="360" w:lineRule="auto"/>
        <w:ind w:firstLine="480" w:firstLineChars="200"/>
        <w:rPr>
          <w:rFonts w:hint="eastAsia" w:eastAsia="宋体" w:cs="宋体"/>
          <w:sz w:val="24"/>
        </w:rPr>
      </w:pPr>
      <w:r>
        <w:rPr>
          <w:rFonts w:hint="eastAsia" w:eastAsia="宋体" w:cs="宋体"/>
          <w:sz w:val="24"/>
        </w:rPr>
        <w:t>（2）开标一览表；</w:t>
      </w:r>
    </w:p>
    <w:p>
      <w:pPr>
        <w:pStyle w:val="20"/>
        <w:adjustRightInd/>
        <w:snapToGrid/>
        <w:spacing w:line="360" w:lineRule="auto"/>
        <w:ind w:firstLine="480" w:firstLineChars="200"/>
        <w:rPr>
          <w:rFonts w:hint="eastAsia" w:eastAsia="宋体" w:cs="宋体"/>
          <w:sz w:val="24"/>
        </w:rPr>
      </w:pPr>
      <w:r>
        <w:rPr>
          <w:rFonts w:hint="eastAsia" w:eastAsia="宋体" w:cs="宋体"/>
          <w:sz w:val="24"/>
        </w:rPr>
        <w:t>（3）法定代表人（自然人）身份证明或法定代表人授权委托书；</w:t>
      </w:r>
    </w:p>
    <w:p>
      <w:pPr>
        <w:pStyle w:val="20"/>
        <w:adjustRightInd/>
        <w:snapToGrid/>
        <w:spacing w:line="360" w:lineRule="auto"/>
        <w:ind w:firstLine="480" w:firstLineChars="200"/>
        <w:rPr>
          <w:rFonts w:hint="eastAsia" w:eastAsia="宋体" w:cs="宋体"/>
          <w:sz w:val="24"/>
        </w:rPr>
      </w:pPr>
      <w:r>
        <w:rPr>
          <w:rFonts w:hint="eastAsia" w:eastAsia="宋体" w:cs="宋体"/>
          <w:sz w:val="24"/>
        </w:rPr>
        <w:t>（4）资格证明文件；</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（5）投标保证金缴纳凭证；</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（6）商务部分；</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（7）技术部分；</w:t>
      </w:r>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（8）其他材料；</w:t>
      </w:r>
    </w:p>
    <w:bookmarkEnd w:id="21"/>
    <w:p>
      <w:pPr>
        <w:pStyle w:val="20"/>
        <w:adjustRightInd/>
        <w:snapToGrid/>
        <w:spacing w:line="360" w:lineRule="auto"/>
        <w:ind w:firstLine="480" w:firstLineChars="200"/>
        <w:rPr>
          <w:rFonts w:hint="eastAsia" w:eastAsia="宋体" w:cs="宋体"/>
          <w:sz w:val="24"/>
        </w:rPr>
      </w:pPr>
      <w:r>
        <w:rPr>
          <w:rFonts w:hint="eastAsia" w:eastAsia="宋体" w:cs="宋体"/>
          <w:sz w:val="24"/>
        </w:rPr>
        <w:t xml:space="preserve"> 6.2投标文件编制要求</w:t>
      </w:r>
    </w:p>
    <w:p>
      <w:pPr>
        <w:pStyle w:val="20"/>
        <w:adjustRightInd/>
        <w:snapToGrid/>
        <w:spacing w:line="360" w:lineRule="auto"/>
        <w:ind w:firstLine="480" w:firstLineChars="200"/>
        <w:rPr>
          <w:rFonts w:hint="eastAsia" w:eastAsia="宋体" w:cs="宋体"/>
          <w:sz w:val="24"/>
        </w:rPr>
      </w:pPr>
      <w:r>
        <w:rPr>
          <w:rFonts w:hint="eastAsia" w:eastAsia="宋体" w:cs="宋体"/>
          <w:sz w:val="24"/>
        </w:rPr>
        <w:t>（1）投标文件按6.1顺序组成，</w:t>
      </w:r>
      <w:r>
        <w:rPr>
          <w:rFonts w:hint="eastAsia" w:eastAsia="宋体" w:cs="宋体"/>
          <w:b/>
          <w:sz w:val="24"/>
        </w:rPr>
        <w:t>投标人应</w:t>
      </w:r>
      <w:bookmarkStart w:id="22" w:name="_Hlk74733354"/>
      <w:r>
        <w:rPr>
          <w:rFonts w:hint="eastAsia" w:eastAsia="宋体" w:cs="宋体"/>
          <w:b/>
          <w:sz w:val="24"/>
        </w:rPr>
        <w:t>按标段（合同包）分别制作投标文件</w:t>
      </w:r>
      <w:bookmarkEnd w:id="22"/>
      <w:r>
        <w:rPr>
          <w:rFonts w:hint="eastAsia" w:eastAsia="宋体" w:cs="宋体"/>
          <w:sz w:val="24"/>
        </w:rPr>
        <w:t>。</w:t>
      </w:r>
    </w:p>
    <w:p>
      <w:pPr>
        <w:pStyle w:val="20"/>
        <w:adjustRightInd/>
        <w:snapToGrid/>
        <w:spacing w:line="360" w:lineRule="auto"/>
        <w:ind w:firstLine="480" w:firstLineChars="200"/>
        <w:rPr>
          <w:rFonts w:hint="eastAsia" w:eastAsia="宋体" w:cs="宋体"/>
          <w:sz w:val="24"/>
        </w:rPr>
      </w:pPr>
      <w:r>
        <w:rPr>
          <w:rFonts w:hint="eastAsia" w:eastAsia="宋体" w:cs="宋体"/>
          <w:sz w:val="24"/>
        </w:rPr>
        <w:t>（2）投标文件应字迹清楚、内容齐全、数字准确、不应有涂改增删处。如修改时，修改处须有法定代表人或授权代表签字并加盖投标人公章。</w:t>
      </w:r>
    </w:p>
    <w:p>
      <w:pPr>
        <w:pStyle w:val="20"/>
        <w:adjustRightInd/>
        <w:snapToGrid/>
        <w:spacing w:line="360" w:lineRule="auto"/>
        <w:ind w:firstLine="480" w:firstLineChars="200"/>
        <w:rPr>
          <w:rFonts w:hint="eastAsia" w:eastAsia="宋体" w:cs="宋体"/>
          <w:sz w:val="24"/>
        </w:rPr>
      </w:pPr>
      <w:r>
        <w:rPr>
          <w:rFonts w:hint="eastAsia" w:eastAsia="宋体" w:cs="宋体"/>
          <w:sz w:val="24"/>
        </w:rPr>
        <w:t>（3）投标文件必须在需要签字处签字及加盖公章处加盖投标人红色公章。</w:t>
      </w:r>
    </w:p>
    <w:p>
      <w:pPr>
        <w:pStyle w:val="20"/>
        <w:adjustRightInd/>
        <w:snapToGrid/>
        <w:spacing w:line="360" w:lineRule="auto"/>
        <w:ind w:firstLine="480" w:firstLineChars="200"/>
        <w:rPr>
          <w:rFonts w:hint="eastAsia" w:eastAsia="宋体" w:cs="宋体"/>
          <w:sz w:val="24"/>
        </w:rPr>
      </w:pPr>
      <w:r>
        <w:rPr>
          <w:rFonts w:hint="eastAsia" w:eastAsia="宋体" w:cs="宋体"/>
          <w:sz w:val="24"/>
        </w:rPr>
        <w:t>（4）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20"/>
        <w:adjustRightInd/>
        <w:snapToGrid/>
        <w:spacing w:line="360" w:lineRule="auto"/>
        <w:ind w:firstLine="480" w:firstLineChars="200"/>
        <w:rPr>
          <w:rFonts w:hint="eastAsia" w:eastAsia="宋体" w:cs="宋体"/>
          <w:sz w:val="24"/>
        </w:rPr>
      </w:pPr>
      <w:r>
        <w:rPr>
          <w:rFonts w:hint="eastAsia" w:eastAsia="宋体" w:cs="宋体"/>
          <w:sz w:val="24"/>
        </w:rPr>
        <w:t>6.3</w:t>
      </w:r>
      <w:r>
        <w:rPr>
          <w:rFonts w:hint="eastAsia" w:eastAsia="宋体" w:cs="宋体"/>
          <w:b/>
          <w:sz w:val="24"/>
        </w:rPr>
        <w:t>开标时提供的资格证明文件应包括：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见第一部分 招标公告 二、申请人的资格要求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需在投标文件中提供清晰、可见的资格证明材料，以便采购人进行资格审查，若材料内容模糊不清造成对投标人不利的后果由投标人自负，若投标人资格证明材料不符合要求，将按无效投标处理，不进入下一评审环节。</w:t>
      </w:r>
    </w:p>
    <w:p>
      <w:pPr>
        <w:pStyle w:val="20"/>
        <w:adjustRightInd/>
        <w:snapToGrid/>
        <w:spacing w:line="360" w:lineRule="auto"/>
        <w:ind w:firstLine="482" w:firstLineChars="200"/>
        <w:outlineLvl w:val="1"/>
        <w:rPr>
          <w:rFonts w:hint="eastAsia" w:eastAsia="宋体" w:cs="宋体"/>
          <w:b/>
          <w:sz w:val="24"/>
        </w:rPr>
      </w:pPr>
      <w:bookmarkStart w:id="23" w:name="_Toc5451"/>
      <w:bookmarkStart w:id="24" w:name="_Toc75259342"/>
      <w:r>
        <w:rPr>
          <w:rFonts w:hint="eastAsia" w:eastAsia="宋体" w:cs="宋体"/>
          <w:b/>
          <w:sz w:val="24"/>
          <w:lang w:eastAsia="zh-CN"/>
        </w:rPr>
        <w:t>7.</w:t>
      </w:r>
      <w:r>
        <w:rPr>
          <w:rFonts w:hint="eastAsia" w:eastAsia="宋体" w:cs="宋体"/>
          <w:b/>
          <w:sz w:val="24"/>
        </w:rPr>
        <w:t>投标保证金</w:t>
      </w:r>
      <w:bookmarkEnd w:id="23"/>
      <w:bookmarkEnd w:id="24"/>
    </w:p>
    <w:p>
      <w:pPr>
        <w:spacing w:line="360" w:lineRule="auto"/>
        <w:ind w:firstLine="480" w:firstLineChars="200"/>
        <w:rPr>
          <w:rFonts w:hint="eastAsia" w:ascii="宋体" w:hAnsi="宋体" w:eastAsia="宋体" w:cs="宋体"/>
          <w:color w:val="FF0000"/>
          <w:sz w:val="24"/>
        </w:rPr>
      </w:pPr>
      <w:r>
        <w:rPr>
          <w:rFonts w:hint="eastAsia" w:ascii="宋体" w:hAnsi="宋体" w:eastAsia="宋体" w:cs="宋体"/>
          <w:kern w:val="0"/>
          <w:sz w:val="24"/>
        </w:rPr>
        <w:t>7.1 投标保证金金额：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壹拾万元整（￥100,000.00元）</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7.2 投标保证金缴纳方式：支票、汇票、本票或者金融机构、担保机构出具的保函等非现金形式提交。除保函外，其他形式提交的投标保证金应从投标人</w:t>
      </w:r>
      <w:r>
        <w:rPr>
          <w:rFonts w:hint="eastAsia" w:ascii="宋体" w:hAnsi="宋体" w:eastAsia="宋体" w:cs="宋体"/>
          <w:b/>
          <w:kern w:val="0"/>
          <w:sz w:val="24"/>
        </w:rPr>
        <w:t>账户</w:t>
      </w:r>
      <w:r>
        <w:rPr>
          <w:rFonts w:hint="eastAsia" w:ascii="宋体" w:hAnsi="宋体" w:eastAsia="宋体" w:cs="宋体"/>
          <w:kern w:val="0"/>
          <w:sz w:val="24"/>
        </w:rPr>
        <w:t>转出，投标人须将缴款凭证复印件（电汇或转账回单）装订在投标文件中，以银行保函方式递交保证金的，出具保函的银行须为其账户开户银行（若其账户开户银行没有出具保函的权限，可由该银行的上一级银行出具保函，并做出相应说明）。</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7.3 投标保证金缴纳账户信息：</w:t>
      </w:r>
    </w:p>
    <w:p>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收款单位：陕西楚元项目管理有限公司</w:t>
      </w:r>
    </w:p>
    <w:p>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开户行名称：西安银行股份有限公司延安分行</w:t>
      </w:r>
    </w:p>
    <w:p>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账      号：371011510000019626</w:t>
      </w:r>
    </w:p>
    <w:p>
      <w:pPr>
        <w:pStyle w:val="20"/>
        <w:adjustRightInd/>
        <w:snapToGrid/>
        <w:spacing w:line="360" w:lineRule="auto"/>
        <w:ind w:firstLine="480" w:firstLineChars="200"/>
        <w:rPr>
          <w:rFonts w:hint="eastAsia" w:eastAsia="宋体" w:cs="宋体"/>
          <w:sz w:val="24"/>
        </w:rPr>
      </w:pPr>
      <w:r>
        <w:rPr>
          <w:rFonts w:hint="eastAsia" w:eastAsia="宋体" w:cs="宋体"/>
          <w:sz w:val="24"/>
        </w:rPr>
        <w:t>7.4 投标人不按要求提交投标保证金的，按无效投标处理。</w:t>
      </w:r>
    </w:p>
    <w:p>
      <w:pPr>
        <w:pStyle w:val="20"/>
        <w:adjustRightInd/>
        <w:snapToGrid/>
        <w:spacing w:line="360" w:lineRule="auto"/>
        <w:ind w:firstLine="480" w:firstLineChars="200"/>
        <w:rPr>
          <w:rFonts w:hint="eastAsia" w:eastAsia="宋体" w:cs="宋体"/>
          <w:sz w:val="24"/>
        </w:rPr>
      </w:pPr>
      <w:r>
        <w:rPr>
          <w:rFonts w:hint="eastAsia" w:eastAsia="宋体" w:cs="宋体"/>
          <w:sz w:val="24"/>
        </w:rPr>
        <w:t>7.5 自中标通知书发出之日起5个工作日内退还未中标投标人的投标保证金，自政府采购合同签订之日起5个工作日内退还中标人的投标保证金。</w:t>
      </w:r>
    </w:p>
    <w:p>
      <w:pPr>
        <w:pStyle w:val="20"/>
        <w:adjustRightInd/>
        <w:snapToGrid/>
        <w:spacing w:line="360" w:lineRule="auto"/>
        <w:ind w:firstLine="480" w:firstLineChars="200"/>
        <w:rPr>
          <w:rFonts w:hint="eastAsia" w:eastAsia="宋体" w:cs="宋体"/>
          <w:sz w:val="24"/>
        </w:rPr>
      </w:pPr>
      <w:r>
        <w:rPr>
          <w:rFonts w:hint="eastAsia" w:eastAsia="宋体" w:cs="宋体"/>
          <w:sz w:val="24"/>
        </w:rPr>
        <w:t>7.6 有下列情形之一的，投标保证金将不予退还：</w:t>
      </w:r>
    </w:p>
    <w:p>
      <w:pPr>
        <w:pStyle w:val="20"/>
        <w:adjustRightInd/>
        <w:snapToGrid/>
        <w:spacing w:line="360" w:lineRule="auto"/>
        <w:ind w:firstLine="480" w:firstLineChars="200"/>
        <w:rPr>
          <w:rFonts w:hint="eastAsia" w:eastAsia="宋体" w:cs="宋体"/>
          <w:sz w:val="24"/>
        </w:rPr>
      </w:pPr>
      <w:r>
        <w:rPr>
          <w:rFonts w:hint="eastAsia" w:eastAsia="宋体" w:cs="宋体"/>
          <w:sz w:val="24"/>
        </w:rPr>
        <w:t>（1）投标人在提交投标文件截止时间后撤回投标文件的；</w:t>
      </w:r>
    </w:p>
    <w:p>
      <w:pPr>
        <w:pStyle w:val="20"/>
        <w:adjustRightInd/>
        <w:snapToGrid/>
        <w:spacing w:line="360" w:lineRule="auto"/>
        <w:ind w:firstLine="480" w:firstLineChars="200"/>
        <w:rPr>
          <w:rFonts w:hint="eastAsia" w:eastAsia="宋体" w:cs="宋体"/>
          <w:sz w:val="24"/>
        </w:rPr>
      </w:pPr>
      <w:r>
        <w:rPr>
          <w:rFonts w:hint="eastAsia" w:eastAsia="宋体" w:cs="宋体"/>
          <w:sz w:val="24"/>
        </w:rPr>
        <w:t>（2）投标人在投标文件中提供虚假材料的；</w:t>
      </w:r>
    </w:p>
    <w:p>
      <w:pPr>
        <w:pStyle w:val="20"/>
        <w:adjustRightInd/>
        <w:snapToGrid/>
        <w:spacing w:line="360" w:lineRule="auto"/>
        <w:ind w:firstLine="480" w:firstLineChars="200"/>
        <w:rPr>
          <w:rFonts w:hint="eastAsia" w:eastAsia="宋体" w:cs="宋体"/>
          <w:sz w:val="24"/>
        </w:rPr>
      </w:pPr>
      <w:r>
        <w:rPr>
          <w:rFonts w:hint="eastAsia" w:eastAsia="宋体" w:cs="宋体"/>
          <w:sz w:val="24"/>
        </w:rPr>
        <w:t>（3）中标人不与采购人签订合同的，除因不可抗力或招标文件认可的情形以外；</w:t>
      </w:r>
    </w:p>
    <w:p>
      <w:pPr>
        <w:pStyle w:val="20"/>
        <w:adjustRightInd/>
        <w:snapToGrid/>
        <w:spacing w:line="360" w:lineRule="auto"/>
        <w:ind w:firstLine="480" w:firstLineChars="200"/>
        <w:rPr>
          <w:rFonts w:hint="eastAsia" w:eastAsia="宋体" w:cs="宋体"/>
          <w:sz w:val="24"/>
        </w:rPr>
      </w:pPr>
      <w:r>
        <w:rPr>
          <w:rFonts w:hint="eastAsia" w:eastAsia="宋体" w:cs="宋体"/>
          <w:sz w:val="24"/>
        </w:rPr>
        <w:t>（4）投标人与采购人、其他投标人或者采购代理机构恶意串通的；</w:t>
      </w:r>
    </w:p>
    <w:p>
      <w:pPr>
        <w:pStyle w:val="20"/>
        <w:adjustRightInd/>
        <w:snapToGrid/>
        <w:spacing w:line="360" w:lineRule="auto"/>
        <w:ind w:firstLine="480" w:firstLineChars="200"/>
        <w:rPr>
          <w:rFonts w:hint="eastAsia" w:eastAsia="宋体" w:cs="宋体"/>
          <w:sz w:val="24"/>
        </w:rPr>
      </w:pPr>
      <w:r>
        <w:rPr>
          <w:rFonts w:hint="eastAsia" w:eastAsia="宋体" w:cs="宋体"/>
          <w:sz w:val="24"/>
        </w:rPr>
        <w:t>（5）未按招标文件规定缴纳招标代理服务费。</w:t>
      </w:r>
    </w:p>
    <w:p>
      <w:pPr>
        <w:pStyle w:val="20"/>
        <w:adjustRightInd/>
        <w:snapToGrid/>
        <w:spacing w:line="360" w:lineRule="auto"/>
        <w:ind w:firstLine="482" w:firstLineChars="200"/>
        <w:outlineLvl w:val="1"/>
        <w:rPr>
          <w:rFonts w:hint="eastAsia" w:eastAsia="宋体" w:cs="宋体"/>
          <w:b/>
          <w:sz w:val="24"/>
        </w:rPr>
      </w:pPr>
      <w:bookmarkStart w:id="25" w:name="_Toc6542"/>
      <w:bookmarkStart w:id="26" w:name="_Toc75259344"/>
      <w:bookmarkStart w:id="27" w:name="_Toc75259343"/>
      <w:r>
        <w:rPr>
          <w:rFonts w:hint="eastAsia" w:eastAsia="宋体" w:cs="宋体"/>
          <w:b/>
          <w:sz w:val="24"/>
          <w:lang w:eastAsia="zh-CN"/>
        </w:rPr>
        <w:t>8.</w:t>
      </w:r>
      <w:r>
        <w:rPr>
          <w:rFonts w:hint="eastAsia" w:eastAsia="宋体" w:cs="宋体"/>
          <w:b/>
          <w:sz w:val="24"/>
        </w:rPr>
        <w:t>评审内容</w:t>
      </w:r>
      <w:bookmarkEnd w:id="25"/>
      <w:bookmarkEnd w:id="26"/>
    </w:p>
    <w:p>
      <w:pPr>
        <w:pStyle w:val="20"/>
        <w:adjustRightInd/>
        <w:snapToGrid/>
        <w:spacing w:line="360" w:lineRule="auto"/>
        <w:ind w:firstLine="480" w:firstLineChars="200"/>
        <w:rPr>
          <w:rFonts w:hint="eastAsia" w:eastAsia="宋体" w:cs="宋体"/>
          <w:sz w:val="24"/>
        </w:rPr>
      </w:pPr>
      <w:r>
        <w:rPr>
          <w:rFonts w:hint="eastAsia" w:eastAsia="宋体" w:cs="宋体"/>
          <w:sz w:val="24"/>
        </w:rPr>
        <w:t>8.1投标人的投标报价、商务部分、技术部分、服务承诺等内容。</w:t>
      </w:r>
    </w:p>
    <w:p>
      <w:pPr>
        <w:pStyle w:val="20"/>
        <w:adjustRightInd/>
        <w:snapToGrid/>
        <w:spacing w:line="360" w:lineRule="auto"/>
        <w:ind w:firstLine="482" w:firstLineChars="200"/>
        <w:outlineLvl w:val="1"/>
        <w:rPr>
          <w:rFonts w:hint="eastAsia" w:eastAsia="宋体" w:cs="宋体"/>
          <w:b/>
          <w:sz w:val="24"/>
        </w:rPr>
      </w:pPr>
      <w:bookmarkStart w:id="28" w:name="_Toc31549"/>
      <w:r>
        <w:rPr>
          <w:rFonts w:hint="eastAsia" w:eastAsia="宋体" w:cs="宋体"/>
          <w:b/>
          <w:sz w:val="24"/>
          <w:lang w:eastAsia="zh-CN"/>
        </w:rPr>
        <w:t>9.</w:t>
      </w:r>
      <w:r>
        <w:rPr>
          <w:rFonts w:hint="eastAsia" w:eastAsia="宋体" w:cs="宋体"/>
          <w:b/>
          <w:sz w:val="24"/>
        </w:rPr>
        <w:t>评审工作程序</w:t>
      </w:r>
      <w:bookmarkEnd w:id="27"/>
      <w:bookmarkEnd w:id="2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9.1主持人按下列程序进行开标：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（1）采购代理机构按招标文件规定的时间、方式组织开标；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（2）开标由采购代理机构主持，采购人代表及有关人员参加；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（3）投标人应有法定代表人或其授权代表参加开标并签到，解密投标文件；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（4）公布投标人的名称及报价；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（5）资格审查；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（7）评审；</w:t>
      </w:r>
    </w:p>
    <w:p>
      <w:pPr>
        <w:pStyle w:val="20"/>
        <w:adjustRightInd/>
        <w:snapToGrid/>
        <w:spacing w:line="360" w:lineRule="auto"/>
        <w:ind w:firstLine="480" w:firstLineChars="200"/>
        <w:rPr>
          <w:rFonts w:hint="eastAsia" w:eastAsia="宋体" w:cs="宋体"/>
          <w:sz w:val="24"/>
        </w:rPr>
      </w:pPr>
      <w:r>
        <w:rPr>
          <w:rFonts w:hint="eastAsia" w:eastAsia="宋体" w:cs="宋体"/>
          <w:sz w:val="24"/>
        </w:rPr>
        <w:t>（8）会议结束。</w:t>
      </w:r>
    </w:p>
    <w:p>
      <w:pPr>
        <w:pStyle w:val="20"/>
        <w:adjustRightInd/>
        <w:snapToGrid/>
        <w:spacing w:line="360" w:lineRule="auto"/>
        <w:ind w:firstLine="480" w:firstLineChars="200"/>
        <w:rPr>
          <w:rFonts w:hint="eastAsia" w:eastAsia="宋体" w:cs="宋体"/>
          <w:sz w:val="24"/>
          <w:lang w:val="zh-CN"/>
        </w:rPr>
      </w:pPr>
      <w:r>
        <w:rPr>
          <w:rFonts w:hint="eastAsia" w:eastAsia="宋体" w:cs="宋体"/>
          <w:sz w:val="24"/>
        </w:rPr>
        <w:t>评标委员会</w:t>
      </w:r>
      <w:r>
        <w:rPr>
          <w:rFonts w:hint="eastAsia" w:eastAsia="宋体" w:cs="宋体"/>
          <w:sz w:val="24"/>
          <w:lang w:val="zh-CN"/>
        </w:rPr>
        <w:t>依据招标文件的规定，对</w:t>
      </w:r>
      <w:r>
        <w:rPr>
          <w:rFonts w:hint="eastAsia" w:eastAsia="宋体" w:cs="宋体"/>
          <w:sz w:val="24"/>
        </w:rPr>
        <w:t>投标</w:t>
      </w:r>
      <w:r>
        <w:rPr>
          <w:rFonts w:hint="eastAsia" w:eastAsia="宋体" w:cs="宋体"/>
          <w:sz w:val="24"/>
          <w:lang w:val="zh-CN"/>
        </w:rPr>
        <w:t>文件的</w:t>
      </w:r>
      <w:r>
        <w:rPr>
          <w:rFonts w:hint="eastAsia" w:eastAsia="宋体" w:cs="宋体"/>
          <w:sz w:val="24"/>
        </w:rPr>
        <w:t>符合性</w:t>
      </w:r>
      <w:r>
        <w:rPr>
          <w:rFonts w:hint="eastAsia" w:eastAsia="宋体" w:cs="宋体"/>
          <w:sz w:val="24"/>
          <w:lang w:val="zh-CN"/>
        </w:rPr>
        <w:t>进行审查，以确定是否对招标文件的要求做出实质性响应。未对招标文件做实质性响应的投标人，不得进入具体</w:t>
      </w:r>
      <w:r>
        <w:rPr>
          <w:rFonts w:hint="eastAsia" w:eastAsia="宋体" w:cs="宋体"/>
          <w:sz w:val="24"/>
        </w:rPr>
        <w:t>评标</w:t>
      </w:r>
      <w:r>
        <w:rPr>
          <w:rFonts w:hint="eastAsia" w:eastAsia="宋体" w:cs="宋体"/>
          <w:sz w:val="24"/>
          <w:lang w:val="zh-CN"/>
        </w:rPr>
        <w:t>程序。</w:t>
      </w:r>
    </w:p>
    <w:p>
      <w:pPr>
        <w:pStyle w:val="20"/>
        <w:adjustRightInd/>
        <w:snapToGrid/>
        <w:spacing w:line="360" w:lineRule="auto"/>
        <w:ind w:firstLine="482" w:firstLineChars="200"/>
        <w:outlineLvl w:val="1"/>
        <w:rPr>
          <w:rFonts w:hint="eastAsia" w:eastAsia="宋体" w:cs="宋体"/>
          <w:b/>
          <w:sz w:val="24"/>
        </w:rPr>
      </w:pPr>
      <w:bookmarkStart w:id="29" w:name="_Toc24636"/>
      <w:bookmarkStart w:id="30" w:name="_Toc75259345"/>
      <w:r>
        <w:rPr>
          <w:rFonts w:hint="eastAsia" w:eastAsia="宋体" w:cs="宋体"/>
          <w:b/>
          <w:sz w:val="24"/>
          <w:lang w:eastAsia="zh-CN"/>
        </w:rPr>
        <w:t>10.</w:t>
      </w:r>
      <w:r>
        <w:rPr>
          <w:rFonts w:hint="eastAsia" w:eastAsia="宋体" w:cs="宋体"/>
          <w:b/>
          <w:sz w:val="24"/>
        </w:rPr>
        <w:t>评审原则</w:t>
      </w:r>
      <w:bookmarkEnd w:id="29"/>
      <w:bookmarkEnd w:id="30"/>
    </w:p>
    <w:p>
      <w:pPr>
        <w:pStyle w:val="20"/>
        <w:adjustRightInd/>
        <w:snapToGrid/>
        <w:spacing w:line="360" w:lineRule="auto"/>
        <w:ind w:firstLine="480" w:firstLineChars="200"/>
        <w:rPr>
          <w:rFonts w:hint="eastAsia" w:eastAsia="宋体" w:cs="宋体"/>
          <w:sz w:val="24"/>
        </w:rPr>
      </w:pPr>
      <w:r>
        <w:rPr>
          <w:rFonts w:hint="eastAsia" w:eastAsia="宋体" w:cs="宋体"/>
          <w:sz w:val="24"/>
        </w:rPr>
        <w:t>（1）本次招标遵循公开透明、公平竞争、公正和诚实信用的原则。评标委员会成员按照客观、公正、审慎的原则，根据招标文件规定的评审程序、评审方法和评审标准进行独立评审。未实质性响应招标文件要求的投标文件按无效投标处理。</w:t>
      </w:r>
    </w:p>
    <w:p>
      <w:pPr>
        <w:pStyle w:val="20"/>
        <w:adjustRightInd/>
        <w:snapToGrid/>
        <w:spacing w:line="360" w:lineRule="auto"/>
        <w:ind w:firstLine="480" w:firstLineChars="200"/>
        <w:rPr>
          <w:rFonts w:hint="eastAsia" w:eastAsia="宋体" w:cs="宋体"/>
          <w:sz w:val="24"/>
          <w:lang w:val="zh-CN"/>
        </w:rPr>
      </w:pPr>
      <w:r>
        <w:rPr>
          <w:rFonts w:hint="eastAsia" w:eastAsia="宋体" w:cs="宋体"/>
          <w:sz w:val="24"/>
          <w:lang w:val="zh-CN"/>
        </w:rPr>
        <w:t>（2）</w:t>
      </w:r>
      <w:r>
        <w:rPr>
          <w:rFonts w:hint="eastAsia" w:eastAsia="宋体" w:cs="宋体"/>
          <w:sz w:val="24"/>
        </w:rPr>
        <w:t>评标委员会</w:t>
      </w:r>
      <w:r>
        <w:rPr>
          <w:rFonts w:hint="eastAsia" w:eastAsia="宋体" w:cs="宋体"/>
          <w:sz w:val="24"/>
          <w:lang w:val="zh-CN"/>
        </w:rPr>
        <w:t>应当根据综合评分情况，按照评审得分由高到低顺序推荐3名</w:t>
      </w:r>
      <w:r>
        <w:rPr>
          <w:rFonts w:hint="eastAsia" w:eastAsia="宋体" w:cs="宋体"/>
          <w:sz w:val="24"/>
        </w:rPr>
        <w:t>中标候选</w:t>
      </w:r>
      <w:r>
        <w:rPr>
          <w:rFonts w:hint="eastAsia" w:eastAsia="宋体" w:cs="宋体"/>
          <w:sz w:val="24"/>
          <w:lang w:val="zh-CN"/>
        </w:rPr>
        <w:t>人，并编写评</w:t>
      </w:r>
      <w:r>
        <w:rPr>
          <w:rFonts w:hint="eastAsia" w:eastAsia="宋体" w:cs="宋体"/>
          <w:sz w:val="24"/>
        </w:rPr>
        <w:t>标</w:t>
      </w:r>
      <w:r>
        <w:rPr>
          <w:rFonts w:hint="eastAsia" w:eastAsia="宋体" w:cs="宋体"/>
          <w:sz w:val="24"/>
          <w:lang w:val="zh-CN"/>
        </w:rPr>
        <w:t>报告。评审得分相同的，按照</w:t>
      </w:r>
      <w:r>
        <w:rPr>
          <w:rFonts w:hint="eastAsia" w:eastAsia="宋体" w:cs="宋体"/>
          <w:sz w:val="24"/>
        </w:rPr>
        <w:t>投标</w:t>
      </w:r>
      <w:r>
        <w:rPr>
          <w:rFonts w:hint="eastAsia" w:eastAsia="宋体" w:cs="宋体"/>
          <w:sz w:val="24"/>
          <w:lang w:val="zh-CN"/>
        </w:rPr>
        <w:t>报价由低到高的顺序推荐。评审得分且</w:t>
      </w:r>
      <w:r>
        <w:rPr>
          <w:rFonts w:hint="eastAsia" w:eastAsia="宋体" w:cs="宋体"/>
          <w:sz w:val="24"/>
        </w:rPr>
        <w:t>投标</w:t>
      </w:r>
      <w:r>
        <w:rPr>
          <w:rFonts w:hint="eastAsia" w:eastAsia="宋体" w:cs="宋体"/>
          <w:sz w:val="24"/>
          <w:lang w:val="zh-CN"/>
        </w:rPr>
        <w:t>报价相同的，按照</w:t>
      </w:r>
      <w:r>
        <w:rPr>
          <w:rFonts w:hint="eastAsia" w:eastAsia="宋体" w:cs="宋体"/>
          <w:sz w:val="24"/>
        </w:rPr>
        <w:t>技术</w:t>
      </w:r>
      <w:r>
        <w:rPr>
          <w:rFonts w:hint="eastAsia" w:eastAsia="宋体" w:cs="宋体"/>
          <w:sz w:val="24"/>
          <w:lang w:val="zh-CN"/>
        </w:rPr>
        <w:t>方案优劣顺序推荐，</w:t>
      </w:r>
      <w:r>
        <w:rPr>
          <w:rFonts w:hint="eastAsia" w:eastAsia="宋体" w:cs="宋体"/>
          <w:sz w:val="24"/>
        </w:rPr>
        <w:t>评标委员会</w:t>
      </w:r>
      <w:r>
        <w:rPr>
          <w:rFonts w:hint="eastAsia" w:eastAsia="宋体" w:cs="宋体"/>
          <w:sz w:val="24"/>
          <w:lang w:val="zh-CN"/>
        </w:rPr>
        <w:t>认为投标人的报价明显低于其他通过符合性审查投标人的报价，有可能影响项目质量或者不能诚信履约的，应当要求其在</w:t>
      </w:r>
      <w:r>
        <w:rPr>
          <w:rFonts w:hint="eastAsia" w:eastAsia="宋体" w:cs="宋体"/>
          <w:sz w:val="24"/>
        </w:rPr>
        <w:t>评标</w:t>
      </w:r>
      <w:r>
        <w:rPr>
          <w:rFonts w:hint="eastAsia" w:eastAsia="宋体" w:cs="宋体"/>
          <w:sz w:val="24"/>
          <w:lang w:val="zh-CN"/>
        </w:rPr>
        <w:t>现场合理的时间内提供书面说明，必要时提交相关证明材料，投标人不能证明其报价合理性的，</w:t>
      </w:r>
      <w:r>
        <w:rPr>
          <w:rFonts w:hint="eastAsia" w:eastAsia="宋体" w:cs="宋体"/>
          <w:sz w:val="24"/>
        </w:rPr>
        <w:t>评标委员会</w:t>
      </w:r>
      <w:r>
        <w:rPr>
          <w:rFonts w:hint="eastAsia" w:eastAsia="宋体" w:cs="宋体"/>
          <w:sz w:val="24"/>
          <w:lang w:val="zh-CN"/>
        </w:rPr>
        <w:t>应当将其作为无效</w:t>
      </w:r>
      <w:r>
        <w:rPr>
          <w:rFonts w:hint="eastAsia" w:eastAsia="宋体" w:cs="宋体"/>
          <w:sz w:val="24"/>
        </w:rPr>
        <w:t>投标</w:t>
      </w:r>
      <w:r>
        <w:rPr>
          <w:rFonts w:hint="eastAsia" w:eastAsia="宋体" w:cs="宋体"/>
          <w:sz w:val="24"/>
          <w:lang w:val="zh-CN"/>
        </w:rPr>
        <w:t>文件处理。</w:t>
      </w:r>
    </w:p>
    <w:p>
      <w:pPr>
        <w:spacing w:line="360" w:lineRule="auto"/>
        <w:ind w:firstLine="480" w:firstLineChars="200"/>
        <w:jc w:val="left"/>
        <w:rPr>
          <w:rFonts w:hint="eastAsia" w:ascii="宋体" w:hAnsi="宋体" w:eastAsia="宋体" w:cs="宋体"/>
          <w:bCs/>
          <w:sz w:val="24"/>
          <w:lang w:val="zh-CN"/>
        </w:rPr>
      </w:pPr>
      <w:r>
        <w:rPr>
          <w:rFonts w:hint="eastAsia" w:ascii="宋体" w:hAnsi="宋体" w:eastAsia="宋体" w:cs="宋体"/>
          <w:sz w:val="24"/>
          <w:lang w:val="zh-CN"/>
        </w:rPr>
        <w:t>（3）</w:t>
      </w:r>
      <w:r>
        <w:rPr>
          <w:rFonts w:hint="eastAsia" w:ascii="宋体" w:hAnsi="宋体" w:eastAsia="宋体" w:cs="宋体"/>
          <w:bCs/>
          <w:sz w:val="24"/>
          <w:lang w:val="zh-CN"/>
        </w:rPr>
        <w:t>评</w:t>
      </w:r>
      <w:r>
        <w:rPr>
          <w:rFonts w:hint="eastAsia" w:ascii="宋体" w:hAnsi="宋体" w:eastAsia="宋体" w:cs="宋体"/>
          <w:bCs/>
          <w:sz w:val="24"/>
        </w:rPr>
        <w:t>标</w:t>
      </w:r>
      <w:r>
        <w:rPr>
          <w:rFonts w:hint="eastAsia" w:ascii="宋体" w:hAnsi="宋体" w:eastAsia="宋体" w:cs="宋体"/>
          <w:bCs/>
          <w:sz w:val="24"/>
          <w:lang w:val="zh-CN"/>
        </w:rPr>
        <w:t>报告应当由</w:t>
      </w:r>
      <w:r>
        <w:rPr>
          <w:rFonts w:hint="eastAsia" w:ascii="宋体" w:hAnsi="宋体" w:eastAsia="宋体" w:cs="宋体"/>
          <w:bCs/>
          <w:sz w:val="24"/>
        </w:rPr>
        <w:t>评标委员会</w:t>
      </w:r>
      <w:r>
        <w:rPr>
          <w:rFonts w:hint="eastAsia" w:ascii="宋体" w:hAnsi="宋体" w:eastAsia="宋体" w:cs="宋体"/>
          <w:bCs/>
          <w:sz w:val="24"/>
          <w:lang w:val="zh-CN"/>
        </w:rPr>
        <w:t>全体人员签字认可。</w:t>
      </w:r>
      <w:r>
        <w:rPr>
          <w:rFonts w:hint="eastAsia" w:ascii="宋体" w:hAnsi="宋体" w:eastAsia="宋体" w:cs="宋体"/>
          <w:bCs/>
          <w:sz w:val="24"/>
        </w:rPr>
        <w:t>评标委员会</w:t>
      </w:r>
      <w:r>
        <w:rPr>
          <w:rFonts w:hint="eastAsia" w:ascii="宋体" w:hAnsi="宋体" w:eastAsia="宋体" w:cs="宋体"/>
          <w:bCs/>
          <w:sz w:val="24"/>
          <w:lang w:val="zh-CN"/>
        </w:rPr>
        <w:t>成员对评</w:t>
      </w:r>
      <w:r>
        <w:rPr>
          <w:rFonts w:hint="eastAsia" w:ascii="宋体" w:hAnsi="宋体" w:eastAsia="宋体" w:cs="宋体"/>
          <w:bCs/>
          <w:sz w:val="24"/>
        </w:rPr>
        <w:t>标</w:t>
      </w:r>
      <w:r>
        <w:rPr>
          <w:rFonts w:hint="eastAsia" w:ascii="宋体" w:hAnsi="宋体" w:eastAsia="宋体" w:cs="宋体"/>
          <w:bCs/>
          <w:sz w:val="24"/>
          <w:lang w:val="zh-CN"/>
        </w:rPr>
        <w:t>报告有异议的，</w:t>
      </w:r>
      <w:r>
        <w:rPr>
          <w:rFonts w:hint="eastAsia" w:ascii="宋体" w:hAnsi="宋体" w:eastAsia="宋体" w:cs="宋体"/>
          <w:bCs/>
          <w:sz w:val="24"/>
        </w:rPr>
        <w:t>评标委员会</w:t>
      </w:r>
      <w:r>
        <w:rPr>
          <w:rFonts w:hint="eastAsia" w:ascii="宋体" w:hAnsi="宋体" w:eastAsia="宋体" w:cs="宋体"/>
          <w:bCs/>
          <w:sz w:val="24"/>
          <w:lang w:val="zh-CN"/>
        </w:rPr>
        <w:t>按照少数服从多数的原则</w:t>
      </w:r>
      <w:r>
        <w:rPr>
          <w:rFonts w:hint="eastAsia" w:ascii="宋体" w:hAnsi="宋体" w:eastAsia="宋体" w:cs="宋体"/>
          <w:bCs/>
          <w:sz w:val="24"/>
        </w:rPr>
        <w:t>中标候选</w:t>
      </w:r>
      <w:r>
        <w:rPr>
          <w:rFonts w:hint="eastAsia" w:ascii="宋体" w:hAnsi="宋体" w:eastAsia="宋体" w:cs="宋体"/>
          <w:bCs/>
          <w:sz w:val="24"/>
          <w:lang w:val="zh-CN"/>
        </w:rPr>
        <w:t>人，</w:t>
      </w:r>
      <w:r>
        <w:rPr>
          <w:rFonts w:hint="eastAsia" w:ascii="宋体" w:hAnsi="宋体" w:eastAsia="宋体" w:cs="宋体"/>
          <w:bCs/>
          <w:sz w:val="24"/>
        </w:rPr>
        <w:t>评标</w:t>
      </w:r>
      <w:r>
        <w:rPr>
          <w:rFonts w:hint="eastAsia" w:ascii="宋体" w:hAnsi="宋体" w:eastAsia="宋体" w:cs="宋体"/>
          <w:bCs/>
          <w:sz w:val="24"/>
          <w:lang w:val="zh-CN"/>
        </w:rPr>
        <w:t>程序继续进行。对评</w:t>
      </w:r>
      <w:r>
        <w:rPr>
          <w:rFonts w:hint="eastAsia" w:ascii="宋体" w:hAnsi="宋体" w:eastAsia="宋体" w:cs="宋体"/>
          <w:bCs/>
          <w:sz w:val="24"/>
        </w:rPr>
        <w:t>标</w:t>
      </w:r>
      <w:r>
        <w:rPr>
          <w:rFonts w:hint="eastAsia" w:ascii="宋体" w:hAnsi="宋体" w:eastAsia="宋体" w:cs="宋体"/>
          <w:bCs/>
          <w:sz w:val="24"/>
          <w:lang w:val="zh-CN"/>
        </w:rPr>
        <w:t>报告有异议的</w:t>
      </w:r>
      <w:r>
        <w:rPr>
          <w:rFonts w:hint="eastAsia" w:ascii="宋体" w:hAnsi="宋体" w:eastAsia="宋体" w:cs="宋体"/>
          <w:bCs/>
          <w:sz w:val="24"/>
        </w:rPr>
        <w:t>评标委员会</w:t>
      </w:r>
      <w:r>
        <w:rPr>
          <w:rFonts w:hint="eastAsia" w:ascii="宋体" w:hAnsi="宋体" w:eastAsia="宋体" w:cs="宋体"/>
          <w:bCs/>
          <w:sz w:val="24"/>
          <w:lang w:val="zh-CN"/>
        </w:rPr>
        <w:t>成员，应当在报告上签署不同意见并说明理由，由</w:t>
      </w:r>
      <w:r>
        <w:rPr>
          <w:rFonts w:hint="eastAsia" w:ascii="宋体" w:hAnsi="宋体" w:eastAsia="宋体" w:cs="宋体"/>
          <w:bCs/>
          <w:sz w:val="24"/>
        </w:rPr>
        <w:t>评标委员会</w:t>
      </w:r>
      <w:r>
        <w:rPr>
          <w:rFonts w:hint="eastAsia" w:ascii="宋体" w:hAnsi="宋体" w:eastAsia="宋体" w:cs="宋体"/>
          <w:bCs/>
          <w:sz w:val="24"/>
          <w:lang w:val="zh-CN"/>
        </w:rPr>
        <w:t>书面记录相关情况。</w:t>
      </w:r>
      <w:r>
        <w:rPr>
          <w:rFonts w:hint="eastAsia" w:ascii="宋体" w:hAnsi="宋体" w:eastAsia="宋体" w:cs="宋体"/>
          <w:bCs/>
          <w:sz w:val="24"/>
        </w:rPr>
        <w:t>评标委员会</w:t>
      </w:r>
      <w:r>
        <w:rPr>
          <w:rFonts w:hint="eastAsia" w:ascii="宋体" w:hAnsi="宋体" w:eastAsia="宋体" w:cs="宋体"/>
          <w:bCs/>
          <w:sz w:val="24"/>
          <w:lang w:val="zh-CN"/>
        </w:rPr>
        <w:t>成员拒绝在报告上签字又不书面说明其不同意见和理由的，视为同意评</w:t>
      </w:r>
      <w:r>
        <w:rPr>
          <w:rFonts w:hint="eastAsia" w:ascii="宋体" w:hAnsi="宋体" w:eastAsia="宋体" w:cs="宋体"/>
          <w:bCs/>
          <w:sz w:val="24"/>
        </w:rPr>
        <w:t>标</w:t>
      </w:r>
      <w:r>
        <w:rPr>
          <w:rFonts w:hint="eastAsia" w:ascii="宋体" w:hAnsi="宋体" w:eastAsia="宋体" w:cs="宋体"/>
          <w:bCs/>
          <w:sz w:val="24"/>
          <w:lang w:val="zh-CN"/>
        </w:rPr>
        <w:t>报告。</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（4）本次综合评分的主要因素是：</w:t>
      </w:r>
      <w:bookmarkStart w:id="31" w:name="_Hlk74319622"/>
      <w:r>
        <w:rPr>
          <w:rFonts w:hint="eastAsia" w:ascii="宋体" w:hAnsi="宋体" w:eastAsia="宋体" w:cs="宋体"/>
          <w:sz w:val="24"/>
        </w:rPr>
        <w:t>投标报价、商务部分、技术部分、服务承诺</w:t>
      </w:r>
      <w:bookmarkEnd w:id="31"/>
      <w:r>
        <w:rPr>
          <w:rFonts w:hint="eastAsia" w:ascii="宋体" w:hAnsi="宋体" w:eastAsia="宋体" w:cs="宋体"/>
          <w:sz w:val="24"/>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财政部关于调整优化节能产品、环境标志产品政府采购执行机制的通知中品目清单中的产品。）</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（5）各</w:t>
      </w:r>
      <w:r>
        <w:rPr>
          <w:rFonts w:hint="eastAsia" w:ascii="宋体" w:hAnsi="宋体" w:eastAsia="宋体" w:cs="宋体"/>
          <w:b/>
          <w:sz w:val="24"/>
        </w:rPr>
        <w:t>投标人</w:t>
      </w:r>
      <w:r>
        <w:rPr>
          <w:rFonts w:hint="eastAsia" w:ascii="宋体" w:hAnsi="宋体" w:eastAsia="宋体" w:cs="宋体"/>
          <w:b/>
          <w:bCs/>
          <w:sz w:val="24"/>
        </w:rPr>
        <w:t>应按照招标文件要求报出投标总报价，投标总报价不得超过项目（合同包）预算和相应的最高限价（如有）。</w:t>
      </w:r>
    </w:p>
    <w:p>
      <w:pPr>
        <w:pStyle w:val="20"/>
        <w:adjustRightInd/>
        <w:snapToGrid/>
        <w:spacing w:line="360" w:lineRule="auto"/>
        <w:ind w:firstLine="482" w:firstLineChars="200"/>
        <w:outlineLvl w:val="1"/>
        <w:rPr>
          <w:rFonts w:hint="eastAsia" w:eastAsia="宋体" w:cs="宋体"/>
          <w:b/>
          <w:sz w:val="24"/>
        </w:rPr>
      </w:pPr>
      <w:bookmarkStart w:id="32" w:name="_Toc21193"/>
      <w:bookmarkStart w:id="33" w:name="_Toc75259346"/>
      <w:r>
        <w:rPr>
          <w:rFonts w:hint="eastAsia" w:eastAsia="宋体" w:cs="宋体"/>
          <w:b/>
          <w:sz w:val="24"/>
          <w:lang w:eastAsia="zh-CN"/>
        </w:rPr>
        <w:t>11.</w:t>
      </w:r>
      <w:r>
        <w:rPr>
          <w:rFonts w:hint="eastAsia" w:eastAsia="宋体" w:cs="宋体"/>
          <w:b/>
          <w:sz w:val="24"/>
        </w:rPr>
        <w:t>评审标准</w:t>
      </w:r>
      <w:bookmarkEnd w:id="32"/>
      <w:bookmarkEnd w:id="3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根据《中华人民共和国政府采购法</w:t>
      </w:r>
      <w:r>
        <w:rPr>
          <w:rFonts w:hint="eastAsia" w:ascii="宋体" w:hAnsi="宋体" w:eastAsia="宋体" w:cs="宋体"/>
          <w:sz w:val="24"/>
          <w:lang w:eastAsia="zh-CN"/>
        </w:rPr>
        <w:t>》《</w:t>
      </w:r>
      <w:r>
        <w:rPr>
          <w:rFonts w:hint="eastAsia" w:ascii="宋体" w:hAnsi="宋体" w:eastAsia="宋体" w:cs="宋体"/>
          <w:sz w:val="24"/>
        </w:rPr>
        <w:t>政府采购货物和服务招标投标管理办法》</w:t>
      </w:r>
      <w:r>
        <w:rPr>
          <w:rFonts w:hint="eastAsia" w:ascii="宋体" w:hAnsi="宋体" w:eastAsia="宋体" w:cs="宋体"/>
          <w:sz w:val="24"/>
          <w:lang w:eastAsia="zh-CN"/>
        </w:rPr>
        <w:t>（</w:t>
      </w:r>
      <w:r>
        <w:rPr>
          <w:rFonts w:hint="eastAsia" w:ascii="宋体" w:hAnsi="宋体" w:eastAsia="宋体" w:cs="宋体"/>
          <w:sz w:val="24"/>
        </w:rPr>
        <w:t>财政部第87号令）及省、市有关规定，评标委员会成员按照客观、公正、谨慎的原则，根据招标文件规定的评审程序、评审方法和评审标准进行独立评审并根据排名先后确定中标候选人。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有下列情形之一的，采购人将重新招标：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（l）投标文件递交截止时间止，递交投标文件的投标人少于3个的；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（2）通过资格审查的投标人少于3个的；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（2）经评标委员会评审后，合格的投标人少于3个的。</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11.1资格审查</w:t>
      </w:r>
    </w:p>
    <w:p>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投标人需在投标文件中提供清晰、可见的资格证明材料，以便采购人进行资格审查，若材料内容模糊不清造成对投标人不利的后果由投标人自负，若投标人资格证明材料不符合要求，将按无效投标处理，不进入下一评审环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11.2符合性审查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下述内容凡有一项不合格的即作为无效投标处理，不再进入详细评审：</w:t>
      </w:r>
    </w:p>
    <w:tbl>
      <w:tblPr>
        <w:tblStyle w:val="2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8072" w:type="dxa"/>
            <w:gridSpan w:val="2"/>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bCs/>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806"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投标报价</w:t>
            </w:r>
          </w:p>
        </w:tc>
        <w:tc>
          <w:tcPr>
            <w:tcW w:w="6266" w:type="dxa"/>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内容无缺漏项，报价唯一，且没有超过采购预算和相应的最高限价；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806"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技术标准和商务要求</w:t>
            </w:r>
          </w:p>
        </w:tc>
        <w:tc>
          <w:tcPr>
            <w:tcW w:w="6266" w:type="dxa"/>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投标文件满足招标文件要求的技术标准和商务要求；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806" w:type="dxa"/>
            <w:vAlign w:val="center"/>
          </w:tcPr>
          <w:p>
            <w:pPr>
              <w:widowControl/>
              <w:spacing w:line="360" w:lineRule="auto"/>
              <w:jc w:val="center"/>
              <w:rPr>
                <w:rFonts w:hint="eastAsia" w:ascii="宋体" w:hAnsi="宋体" w:eastAsia="宋体" w:cs="宋体"/>
                <w:kern w:val="0"/>
                <w:sz w:val="24"/>
              </w:rPr>
            </w:pPr>
            <w:bookmarkStart w:id="34" w:name="OLE_LINK1"/>
            <w:r>
              <w:rPr>
                <w:rFonts w:hint="eastAsia" w:ascii="宋体" w:hAnsi="宋体" w:eastAsia="宋体" w:cs="宋体"/>
                <w:kern w:val="0"/>
                <w:sz w:val="24"/>
              </w:rPr>
              <w:t>投标文件有效性</w:t>
            </w:r>
            <w:bookmarkEnd w:id="34"/>
          </w:p>
        </w:tc>
        <w:tc>
          <w:tcPr>
            <w:tcW w:w="6266" w:type="dxa"/>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法定代表人或授权代表签字和投标人公章是否齐全、有效；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1806" w:type="dxa"/>
            <w:vAlign w:val="center"/>
          </w:tcPr>
          <w:p>
            <w:pPr>
              <w:widowControl/>
              <w:spacing w:line="360" w:lineRule="auto"/>
              <w:jc w:val="center"/>
              <w:rPr>
                <w:rFonts w:hint="eastAsia" w:ascii="宋体" w:hAnsi="宋体" w:eastAsia="宋体" w:cs="宋体"/>
                <w:kern w:val="0"/>
                <w:sz w:val="24"/>
              </w:rPr>
            </w:pPr>
            <w:bookmarkStart w:id="35" w:name="OLE_LINK7"/>
            <w:r>
              <w:rPr>
                <w:rFonts w:hint="eastAsia" w:ascii="宋体" w:hAnsi="宋体" w:eastAsia="宋体" w:cs="宋体"/>
                <w:kern w:val="0"/>
                <w:sz w:val="24"/>
              </w:rPr>
              <w:t>投标保证金</w:t>
            </w:r>
            <w:bookmarkEnd w:id="35"/>
          </w:p>
        </w:tc>
        <w:tc>
          <w:tcPr>
            <w:tcW w:w="6266" w:type="dxa"/>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投标保证金是否按招标文件要求缴纳；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1806"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投标有效期</w:t>
            </w:r>
          </w:p>
        </w:tc>
        <w:tc>
          <w:tcPr>
            <w:tcW w:w="6266" w:type="dxa"/>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sz w:val="24"/>
                <w:highlight w:val="none"/>
              </w:rPr>
              <w:t>投标文件从递交截止之日起，有效期为</w:t>
            </w:r>
            <w:r>
              <w:rPr>
                <w:rFonts w:hint="eastAsia" w:ascii="宋体" w:hAnsi="宋体" w:eastAsia="宋体" w:cs="宋体"/>
                <w:sz w:val="24"/>
                <w:highlight w:val="none"/>
                <w:lang w:val="en-US" w:eastAsia="zh-CN"/>
              </w:rPr>
              <w:t>120个</w:t>
            </w:r>
            <w:r>
              <w:rPr>
                <w:rFonts w:hint="eastAsia" w:ascii="宋体" w:hAnsi="宋体" w:eastAsia="宋体" w:cs="宋体"/>
                <w:sz w:val="24"/>
                <w:highlight w:val="none"/>
              </w:rPr>
              <w:t>日</w:t>
            </w:r>
            <w:r>
              <w:rPr>
                <w:rFonts w:hint="eastAsia" w:ascii="宋体" w:hAnsi="宋体" w:eastAsia="宋体" w:cs="宋体"/>
                <w:color w:val="000000" w:themeColor="text1"/>
                <w:sz w:val="24"/>
                <w:highlight w:val="none"/>
                <w14:textFill>
                  <w14:solidFill>
                    <w14:schemeClr w14:val="tx1"/>
                  </w14:solidFill>
                </w14:textFill>
              </w:rPr>
              <w:t>历天</w:t>
            </w:r>
            <w:r>
              <w:rPr>
                <w:rFonts w:hint="eastAsia" w:ascii="宋体" w:hAnsi="宋体" w:eastAsia="宋体" w:cs="宋体"/>
                <w:sz w:val="24"/>
                <w:highlight w:val="none"/>
              </w:rPr>
              <w:t>。</w:t>
            </w:r>
          </w:p>
        </w:tc>
      </w:tr>
    </w:tbl>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11.3评审方法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各评审专家在充分审阅投标文件的基础上，按照评审标准对每个合格投标人的投标文件进行评分，评委评分算术平均值为各投标人的评审得分（小数点后保留2位有效数字），按评审得分由高到低顺序，推荐前三名为本项目（合同包）中标候选人（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11.3.1详细评审因素：</w:t>
      </w:r>
    </w:p>
    <w:tbl>
      <w:tblPr>
        <w:tblStyle w:val="27"/>
        <w:tblpPr w:leftFromText="180" w:rightFromText="180" w:vertAnchor="text" w:horzAnchor="page" w:tblpX="1609" w:tblpY="466"/>
        <w:tblOverlap w:val="never"/>
        <w:tblW w:w="47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187"/>
        <w:gridCol w:w="105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序号</w:t>
            </w:r>
          </w:p>
        </w:tc>
        <w:tc>
          <w:tcPr>
            <w:tcW w:w="666"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评分因素及权重</w:t>
            </w:r>
          </w:p>
        </w:tc>
        <w:tc>
          <w:tcPr>
            <w:tcW w:w="589"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分值</w:t>
            </w:r>
          </w:p>
        </w:tc>
        <w:tc>
          <w:tcPr>
            <w:tcW w:w="3278"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评分标准与办法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1</w:t>
            </w:r>
          </w:p>
        </w:tc>
        <w:tc>
          <w:tcPr>
            <w:tcW w:w="666"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投标报价（30分）</w:t>
            </w:r>
          </w:p>
        </w:tc>
        <w:tc>
          <w:tcPr>
            <w:tcW w:w="589"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30分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rPr>
              <w:t>有效的投标报价中的最低价为评标基准价，其价格分为满分。其他投标人的价格分统一按照下列公式计算：</w:t>
            </w:r>
          </w:p>
          <w:p>
            <w:pPr>
              <w:spacing w:line="360" w:lineRule="auto"/>
              <w:rPr>
                <w:rFonts w:hint="eastAsia" w:ascii="宋体" w:hAnsi="宋体" w:eastAsia="宋体" w:cs="宋体"/>
                <w:szCs w:val="22"/>
              </w:rPr>
            </w:pPr>
            <w:r>
              <w:rPr>
                <w:rFonts w:hint="eastAsia" w:ascii="宋体" w:hAnsi="宋体" w:eastAsia="宋体" w:cs="宋体"/>
                <w:szCs w:val="22"/>
              </w:rPr>
              <w:t>投标报价得分＝（评标基准价/投标报价）×价格权重×100。</w:t>
            </w:r>
          </w:p>
          <w:p>
            <w:pPr>
              <w:spacing w:line="360" w:lineRule="auto"/>
              <w:rPr>
                <w:rFonts w:hint="eastAsia" w:ascii="宋体" w:hAnsi="宋体" w:eastAsia="宋体" w:cs="宋体"/>
                <w:szCs w:val="22"/>
              </w:rPr>
            </w:pPr>
            <w:r>
              <w:rPr>
                <w:rFonts w:hint="eastAsia" w:ascii="宋体" w:hAnsi="宋体" w:eastAsia="宋体" w:cs="宋体"/>
                <w:szCs w:val="22"/>
              </w:rPr>
              <w:t>注：计算分数时四舍五入取小数点后两位。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2</w:t>
            </w:r>
          </w:p>
        </w:tc>
        <w:tc>
          <w:tcPr>
            <w:tcW w:w="666" w:type="pct"/>
            <w:vMerge w:val="restar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技术部分（52分）</w:t>
            </w:r>
          </w:p>
        </w:tc>
        <w:tc>
          <w:tcPr>
            <w:tcW w:w="589" w:type="pct"/>
            <w:vAlign w:val="center"/>
          </w:tcPr>
          <w:p>
            <w:pPr>
              <w:spacing w:line="360" w:lineRule="auto"/>
              <w:jc w:val="center"/>
              <w:rPr>
                <w:rFonts w:hint="eastAsia" w:ascii="宋体" w:hAnsi="宋体" w:eastAsia="宋体" w:cs="宋体"/>
                <w:szCs w:val="22"/>
              </w:rPr>
            </w:pPr>
            <w:bookmarkStart w:id="36" w:name="OLE_LINK12"/>
            <w:r>
              <w:rPr>
                <w:rFonts w:hint="eastAsia" w:ascii="宋体" w:hAnsi="宋体" w:eastAsia="宋体" w:cs="宋体"/>
                <w:szCs w:val="22"/>
              </w:rPr>
              <w:t>技术参数响应</w:t>
            </w:r>
          </w:p>
          <w:bookmarkEnd w:id="36"/>
          <w:p>
            <w:pPr>
              <w:spacing w:line="360" w:lineRule="auto"/>
              <w:jc w:val="center"/>
              <w:rPr>
                <w:rFonts w:hint="eastAsia" w:ascii="宋体" w:hAnsi="宋体" w:eastAsia="宋体" w:cs="宋体"/>
                <w:szCs w:val="22"/>
              </w:rPr>
            </w:pPr>
            <w:r>
              <w:rPr>
                <w:rFonts w:hint="eastAsia" w:ascii="宋体" w:hAnsi="宋体" w:eastAsia="宋体" w:cs="宋体"/>
                <w:szCs w:val="22"/>
              </w:rPr>
              <w:t>（28分）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rPr>
              <w:t>依据投标人提供的功能需求参数，以及招标文件技术要求的响应程度打分，满分28分。</w:t>
            </w:r>
          </w:p>
          <w:p>
            <w:pPr>
              <w:spacing w:line="360" w:lineRule="auto"/>
              <w:rPr>
                <w:rFonts w:hint="eastAsia" w:ascii="宋体" w:hAnsi="宋体" w:eastAsia="宋体" w:cs="宋体"/>
                <w:szCs w:val="22"/>
              </w:rPr>
            </w:pPr>
            <w:r>
              <w:rPr>
                <w:rFonts w:hint="eastAsia" w:ascii="宋体" w:hAnsi="宋体" w:eastAsia="宋体" w:cs="宋体"/>
                <w:szCs w:val="22"/>
                <w:lang w:eastAsia="zh-CN"/>
              </w:rPr>
              <w:t>1.</w:t>
            </w:r>
            <w:r>
              <w:rPr>
                <w:rFonts w:hint="eastAsia" w:ascii="宋体" w:hAnsi="宋体" w:eastAsia="宋体" w:cs="宋体"/>
                <w:szCs w:val="22"/>
              </w:rPr>
              <w:t>标“▲”项共36项，为重要技术指标，每负偏离一项扣0.5分，满分18分，扣完为止。【若参数规定需要提供相关证明材料，投标人未能提供的，则该条参数视为负偏离；</w:t>
            </w:r>
          </w:p>
          <w:p>
            <w:pPr>
              <w:spacing w:line="360" w:lineRule="auto"/>
              <w:rPr>
                <w:rFonts w:hint="eastAsia" w:ascii="宋体" w:hAnsi="宋体" w:eastAsia="宋体" w:cs="宋体"/>
                <w:szCs w:val="22"/>
              </w:rPr>
            </w:pPr>
            <w:r>
              <w:rPr>
                <w:rFonts w:hint="eastAsia" w:ascii="宋体" w:hAnsi="宋体" w:eastAsia="宋体" w:cs="宋体"/>
                <w:szCs w:val="22"/>
              </w:rPr>
              <w:t>根据投标人提供的技术偏离表与相关证明材料进行评分。软件测试报告（如提供）需与软件著作权登记证书的系统名称及版本保持一致，原件备查</w:t>
            </w:r>
            <w:r>
              <w:rPr>
                <w:rFonts w:hint="eastAsia" w:ascii="宋体" w:hAnsi="宋体" w:eastAsia="宋体" w:cs="宋体"/>
                <w:szCs w:val="22"/>
                <w:lang w:eastAsia="zh-CN"/>
              </w:rPr>
              <w:t>】</w:t>
            </w:r>
          </w:p>
          <w:p>
            <w:pPr>
              <w:spacing w:line="360" w:lineRule="auto"/>
              <w:rPr>
                <w:rFonts w:hint="eastAsia" w:ascii="宋体" w:hAnsi="宋体" w:eastAsia="宋体" w:cs="宋体"/>
                <w:szCs w:val="22"/>
              </w:rPr>
            </w:pPr>
            <w:r>
              <w:rPr>
                <w:rFonts w:hint="eastAsia" w:ascii="宋体" w:hAnsi="宋体" w:eastAsia="宋体" w:cs="宋体"/>
                <w:szCs w:val="22"/>
                <w:lang w:eastAsia="zh-CN"/>
              </w:rPr>
              <w:t>2.</w:t>
            </w:r>
            <w:r>
              <w:rPr>
                <w:rFonts w:hint="eastAsia" w:ascii="宋体" w:hAnsi="宋体" w:eastAsia="宋体" w:cs="宋体"/>
                <w:szCs w:val="22"/>
              </w:rPr>
              <w:t>非标“▲”项每负偏离一项扣0.5分，满分10分，扣完为止。【根据投标人提供的技术偏离表进行评分】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3</w:t>
            </w:r>
          </w:p>
        </w:tc>
        <w:tc>
          <w:tcPr>
            <w:tcW w:w="666" w:type="pct"/>
            <w:vMerge w:val="continue"/>
            <w:vAlign w:val="center"/>
          </w:tcPr>
          <w:p>
            <w:pPr>
              <w:spacing w:line="360" w:lineRule="auto"/>
              <w:rPr>
                <w:rFonts w:hint="eastAsia" w:ascii="宋体" w:hAnsi="宋体" w:eastAsia="宋体" w:cs="宋体"/>
                <w:szCs w:val="22"/>
              </w:rPr>
            </w:pPr>
          </w:p>
        </w:tc>
        <w:tc>
          <w:tcPr>
            <w:tcW w:w="589"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整体技术方案</w:t>
            </w:r>
          </w:p>
          <w:p>
            <w:pPr>
              <w:spacing w:line="360" w:lineRule="auto"/>
              <w:jc w:val="center"/>
              <w:rPr>
                <w:rFonts w:hint="eastAsia" w:ascii="宋体" w:hAnsi="宋体" w:eastAsia="宋体" w:cs="宋体"/>
                <w:szCs w:val="22"/>
              </w:rPr>
            </w:pPr>
            <w:r>
              <w:rPr>
                <w:rFonts w:hint="eastAsia" w:ascii="宋体" w:hAnsi="宋体" w:eastAsia="宋体" w:cs="宋体"/>
                <w:szCs w:val="22"/>
              </w:rPr>
              <w:t>（8分）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rPr>
              <w:t>能够充分理解项目建设背景，对需求有深入分析，技术方案思路清晰，整体解决方案合理，系统整体架构设计先进、可行，内容应包括但不限于：①项目背景、②项目需求分析、③项目设计原则与技术架构、④功能技术方案，根据各投标供应商的方案进行综合评比打分：</w:t>
            </w:r>
          </w:p>
          <w:p>
            <w:pPr>
              <w:spacing w:line="360" w:lineRule="auto"/>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满足以上4项要素要求不缺项，且每一项要素描述内容齐全、紧贴采购需求、详尽合理、针对性强、逻辑合理得8分；（2）以上要素内容每缺少一项扣2分；（3）每项中每有一处存在缺陷或不足、内容不完整或不符合项目实际情况的扣1分，每一项要素内容最多扣2分，扣完为止。</w:t>
            </w:r>
          </w:p>
          <w:p>
            <w:pPr>
              <w:spacing w:line="360" w:lineRule="auto"/>
              <w:rPr>
                <w:rFonts w:hint="eastAsia" w:ascii="宋体" w:hAnsi="宋体" w:eastAsia="宋体" w:cs="宋体"/>
              </w:rPr>
            </w:pPr>
            <w:r>
              <w:rPr>
                <w:rFonts w:hint="eastAsia" w:ascii="宋体" w:hAnsi="宋体" w:eastAsia="宋体" w:cs="宋体"/>
                <w:b/>
                <w:bCs/>
                <w:kern w:val="0"/>
                <w:szCs w:val="21"/>
                <w:lang w:bidi="ar"/>
              </w:rPr>
              <w:t>注</w:t>
            </w:r>
            <w:r>
              <w:rPr>
                <w:rFonts w:hint="eastAsia" w:ascii="宋体" w:hAnsi="宋体" w:eastAsia="宋体" w:cs="宋体"/>
                <w:b/>
                <w:bCs/>
                <w:kern w:val="0"/>
                <w:szCs w:val="21"/>
                <w:lang w:eastAsia="zh-CN" w:bidi="ar"/>
              </w:rPr>
              <w:t>：</w:t>
            </w:r>
            <w:r>
              <w:rPr>
                <w:rFonts w:hint="eastAsia" w:ascii="宋体" w:hAnsi="宋体" w:eastAsia="宋体" w:cs="宋体"/>
                <w:b/>
                <w:bCs/>
                <w:kern w:val="0"/>
                <w:szCs w:val="21"/>
                <w:lang w:bidi="ar"/>
              </w:rPr>
              <w:t>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4</w:t>
            </w:r>
          </w:p>
        </w:tc>
        <w:tc>
          <w:tcPr>
            <w:tcW w:w="666" w:type="pct"/>
            <w:vMerge w:val="continue"/>
            <w:vAlign w:val="center"/>
          </w:tcPr>
          <w:p>
            <w:pPr>
              <w:spacing w:line="360" w:lineRule="auto"/>
              <w:rPr>
                <w:rFonts w:hint="eastAsia" w:ascii="宋体" w:hAnsi="宋体" w:eastAsia="宋体" w:cs="宋体"/>
                <w:szCs w:val="22"/>
              </w:rPr>
            </w:pPr>
          </w:p>
        </w:tc>
        <w:tc>
          <w:tcPr>
            <w:tcW w:w="589" w:type="pct"/>
            <w:vAlign w:val="center"/>
          </w:tcPr>
          <w:p>
            <w:pPr>
              <w:spacing w:line="360" w:lineRule="auto"/>
              <w:jc w:val="center"/>
              <w:rPr>
                <w:rFonts w:hint="eastAsia" w:ascii="宋体" w:hAnsi="宋体" w:eastAsia="宋体" w:cs="宋体"/>
                <w:szCs w:val="22"/>
              </w:rPr>
            </w:pPr>
          </w:p>
          <w:p>
            <w:pPr>
              <w:spacing w:line="360" w:lineRule="auto"/>
              <w:jc w:val="center"/>
              <w:rPr>
                <w:rFonts w:hint="eastAsia" w:ascii="宋体" w:hAnsi="宋体" w:eastAsia="宋体" w:cs="宋体"/>
                <w:szCs w:val="22"/>
              </w:rPr>
            </w:pPr>
            <w:r>
              <w:rPr>
                <w:rFonts w:hint="eastAsia" w:ascii="宋体" w:hAnsi="宋体" w:eastAsia="宋体" w:cs="宋体"/>
                <w:szCs w:val="22"/>
              </w:rPr>
              <w:t>项目实施方案</w:t>
            </w:r>
          </w:p>
          <w:p>
            <w:pPr>
              <w:spacing w:line="360" w:lineRule="auto"/>
              <w:jc w:val="center"/>
              <w:rPr>
                <w:rFonts w:hint="eastAsia" w:ascii="宋体" w:hAnsi="宋体" w:eastAsia="宋体" w:cs="宋体"/>
                <w:szCs w:val="22"/>
              </w:rPr>
            </w:pPr>
            <w:r>
              <w:rPr>
                <w:rFonts w:hint="eastAsia" w:ascii="宋体" w:hAnsi="宋体" w:eastAsia="宋体" w:cs="宋体"/>
                <w:szCs w:val="22"/>
              </w:rPr>
              <w:t>（8分）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rPr>
              <w:t>能够全面理解项目建设要求，并提出合理的实施方案，提出合理的项目实施流程、方法和建议，能保障项目实施质量和进度要求。要求实施方案思路清晰合理、全面可行，内容应包含但不限于：①项目进度计划管理、②项目质量保障措施、③项目人员配置、④项目风险管理；根据各投标供应商的方案进行综合评比打分：</w:t>
            </w:r>
          </w:p>
          <w:p>
            <w:pPr>
              <w:spacing w:line="360" w:lineRule="auto"/>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满足以上4项要素要求不缺项，且每一项要素描述内容齐全、紧贴采购需求、详尽合理、针对性强、逻辑合理得8分；（2）以上要素内容每缺少一项扣2分；（3）每项中每有一处存在缺陷或不足、内容不完整或不符合项目实际情况的扣1分，每一项要素内容最多扣2分，扣完为止。</w:t>
            </w:r>
          </w:p>
          <w:p>
            <w:pPr>
              <w:pStyle w:val="2"/>
              <w:spacing w:line="360" w:lineRule="auto"/>
              <w:rPr>
                <w:rFonts w:hint="eastAsia" w:ascii="宋体" w:hAnsi="宋体" w:eastAsia="宋体" w:cs="宋体"/>
                <w:szCs w:val="22"/>
              </w:rPr>
            </w:pPr>
            <w:r>
              <w:rPr>
                <w:rFonts w:hint="eastAsia" w:ascii="宋体" w:hAnsi="宋体" w:eastAsia="宋体" w:cs="宋体"/>
                <w:b/>
                <w:bCs/>
                <w:kern w:val="0"/>
                <w:szCs w:val="21"/>
                <w:lang w:bidi="ar"/>
              </w:rPr>
              <w:t>注</w:t>
            </w:r>
            <w:r>
              <w:rPr>
                <w:rFonts w:hint="eastAsia" w:ascii="宋体" w:hAnsi="宋体" w:eastAsia="宋体" w:cs="宋体"/>
                <w:b/>
                <w:bCs/>
                <w:kern w:val="0"/>
                <w:szCs w:val="21"/>
                <w:lang w:eastAsia="zh-CN" w:bidi="ar"/>
              </w:rPr>
              <w:t>：</w:t>
            </w:r>
            <w:r>
              <w:rPr>
                <w:rFonts w:hint="eastAsia" w:ascii="宋体" w:hAnsi="宋体" w:eastAsia="宋体" w:cs="宋体"/>
                <w:b/>
                <w:bCs/>
                <w:kern w:val="0"/>
                <w:szCs w:val="21"/>
                <w:lang w:bidi="ar"/>
              </w:rPr>
              <w:t>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5</w:t>
            </w:r>
          </w:p>
        </w:tc>
        <w:tc>
          <w:tcPr>
            <w:tcW w:w="666" w:type="pct"/>
            <w:vMerge w:val="continue"/>
            <w:vAlign w:val="center"/>
          </w:tcPr>
          <w:p>
            <w:pPr>
              <w:spacing w:line="360" w:lineRule="auto"/>
              <w:rPr>
                <w:rFonts w:hint="eastAsia" w:ascii="宋体" w:hAnsi="宋体" w:eastAsia="宋体" w:cs="宋体"/>
                <w:szCs w:val="22"/>
              </w:rPr>
            </w:pPr>
          </w:p>
        </w:tc>
        <w:tc>
          <w:tcPr>
            <w:tcW w:w="589"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应急与安全保障方案</w:t>
            </w:r>
          </w:p>
          <w:p>
            <w:pPr>
              <w:spacing w:line="360" w:lineRule="auto"/>
              <w:jc w:val="center"/>
              <w:rPr>
                <w:rFonts w:hint="eastAsia" w:ascii="宋体" w:hAnsi="宋体" w:eastAsia="宋体" w:cs="宋体"/>
                <w:szCs w:val="22"/>
              </w:rPr>
            </w:pPr>
            <w:r>
              <w:rPr>
                <w:rFonts w:hint="eastAsia" w:ascii="宋体" w:hAnsi="宋体" w:eastAsia="宋体" w:cs="宋体"/>
                <w:szCs w:val="22"/>
              </w:rPr>
              <w:t>（8分）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rPr>
              <w:t>能够对平台故障应急提供全面保障措施，提供紧急支援保障方案；能够对平台信息安全提供完善的保障措施，提供服务保障承诺。要求方案思路清晰合理、全面可行，内容应包含但不限于：①响应时间与流程、②各方职责、③应急预案、④应急保障措施；根据各投标供应商的方案进行综合评比打分：</w:t>
            </w:r>
          </w:p>
          <w:p>
            <w:pPr>
              <w:spacing w:line="360" w:lineRule="auto"/>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（1）满足以上4项要素要求不缺项，且每一项要素描述内容齐全、紧贴采购需求、详尽合理、针对性强、逻辑合理得8分；（2）以上要素内容每缺少一项扣</w:t>
            </w:r>
            <w:r>
              <w:rPr>
                <w:rFonts w:hint="eastAsia" w:ascii="宋体" w:hAnsi="宋体" w:eastAsia="宋体" w:cs="宋体"/>
                <w:kern w:val="0"/>
                <w:szCs w:val="21"/>
                <w:lang w:val="en-US" w:eastAsia="zh-CN" w:bidi="ar"/>
              </w:rPr>
              <w:t>2</w:t>
            </w:r>
            <w:r>
              <w:rPr>
                <w:rFonts w:hint="eastAsia" w:ascii="宋体" w:hAnsi="宋体" w:eastAsia="宋体" w:cs="宋体"/>
                <w:kern w:val="0"/>
                <w:szCs w:val="21"/>
                <w:lang w:bidi="ar"/>
              </w:rPr>
              <w:t>分；（3）每项中每有一处存在缺陷或不足、内容不完整或不符合项目实际情况的扣1分，每一项要素内容最多扣</w:t>
            </w:r>
            <w:r>
              <w:rPr>
                <w:rFonts w:hint="eastAsia" w:ascii="宋体" w:hAnsi="宋体" w:eastAsia="宋体" w:cs="宋体"/>
                <w:kern w:val="0"/>
                <w:szCs w:val="21"/>
                <w:lang w:val="en-US" w:eastAsia="zh-CN" w:bidi="ar"/>
              </w:rPr>
              <w:t>2</w:t>
            </w:r>
            <w:r>
              <w:rPr>
                <w:rFonts w:hint="eastAsia" w:ascii="宋体" w:hAnsi="宋体" w:eastAsia="宋体" w:cs="宋体"/>
                <w:kern w:val="0"/>
                <w:szCs w:val="21"/>
                <w:lang w:bidi="ar"/>
              </w:rPr>
              <w:t>分，扣完为止。</w:t>
            </w:r>
          </w:p>
          <w:p>
            <w:pPr>
              <w:spacing w:line="360" w:lineRule="auto"/>
              <w:rPr>
                <w:rFonts w:hint="eastAsia" w:ascii="宋体" w:hAnsi="宋体" w:eastAsia="宋体" w:cs="宋体"/>
              </w:rPr>
            </w:pPr>
            <w:r>
              <w:rPr>
                <w:rFonts w:hint="eastAsia" w:ascii="宋体" w:hAnsi="宋体" w:eastAsia="宋体" w:cs="宋体"/>
                <w:b/>
                <w:bCs/>
                <w:kern w:val="0"/>
                <w:szCs w:val="21"/>
                <w:lang w:bidi="ar"/>
              </w:rPr>
              <w:t>注</w:t>
            </w:r>
            <w:r>
              <w:rPr>
                <w:rFonts w:hint="eastAsia" w:ascii="宋体" w:hAnsi="宋体" w:eastAsia="宋体" w:cs="宋体"/>
                <w:b/>
                <w:bCs/>
                <w:kern w:val="0"/>
                <w:szCs w:val="21"/>
                <w:lang w:eastAsia="zh-CN" w:bidi="ar"/>
              </w:rPr>
              <w:t>：</w:t>
            </w:r>
            <w:r>
              <w:rPr>
                <w:rFonts w:hint="eastAsia" w:ascii="宋体" w:hAnsi="宋体" w:eastAsia="宋体" w:cs="宋体"/>
                <w:b/>
                <w:bCs/>
                <w:kern w:val="0"/>
                <w:szCs w:val="21"/>
                <w:lang w:bidi="ar"/>
              </w:rPr>
              <w:t>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6</w:t>
            </w:r>
          </w:p>
        </w:tc>
        <w:tc>
          <w:tcPr>
            <w:tcW w:w="666" w:type="pct"/>
            <w:vMerge w:val="restart"/>
            <w:vAlign w:val="center"/>
          </w:tcPr>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rPr>
              <w:t>商务部分</w:t>
            </w:r>
          </w:p>
          <w:p>
            <w:pPr>
              <w:pStyle w:val="2"/>
              <w:jc w:val="center"/>
              <w:rPr>
                <w:rFonts w:hint="eastAsia" w:ascii="宋体" w:hAnsi="宋体" w:eastAsia="宋体" w:cs="宋体"/>
              </w:rPr>
            </w:pPr>
            <w:r>
              <w:rPr>
                <w:rFonts w:hint="eastAsia" w:ascii="宋体" w:hAnsi="宋体" w:eastAsia="宋体" w:cs="宋体"/>
                <w:szCs w:val="22"/>
              </w:rPr>
              <w:t>（18分）</w:t>
            </w:r>
          </w:p>
        </w:tc>
        <w:tc>
          <w:tcPr>
            <w:tcW w:w="589"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产品成熟度</w:t>
            </w:r>
          </w:p>
          <w:p>
            <w:pPr>
              <w:spacing w:line="360" w:lineRule="auto"/>
              <w:jc w:val="center"/>
              <w:rPr>
                <w:rFonts w:hint="eastAsia" w:ascii="宋体" w:hAnsi="宋体" w:eastAsia="宋体" w:cs="宋体"/>
                <w:szCs w:val="22"/>
              </w:rPr>
            </w:pPr>
            <w:r>
              <w:rPr>
                <w:rFonts w:hint="eastAsia" w:ascii="宋体" w:hAnsi="宋体" w:eastAsia="宋体" w:cs="宋体"/>
                <w:szCs w:val="22"/>
              </w:rPr>
              <w:t>（3分）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highlight w:val="none"/>
                <w:shd w:val="clear"/>
              </w:rPr>
              <w:t>投标人所投系统软件应成熟可靠，并对所投系统软件具有自主或合法来源的知识产权，针对以下模块提供软件著作权证书复印件：①区域资源评估分析子系统、②区域选科统计分析子系统、③区域分班排课统计分析子系统、④区域生涯规划统计分析子系统、⑤区域联考阅卷子系统、⑥区域成绩管理子系统、⑦区域大数据驾驶舱子系统、⑧学校资源评估子系统、⑨学校选科子系统、⑩学校智能分班子系统、⑪学校智能排课子系统、⑫学校学生生涯探索子系统、⑬学校阅卷子系统、⑭学校成绩管理子系统、⑮学校大数据汇总与分析子系统；每提供1个得0.2分，该项最高得3分；（同类</w:t>
            </w:r>
            <w:r>
              <w:rPr>
                <w:rFonts w:hint="eastAsia" w:ascii="宋体" w:hAnsi="宋体" w:eastAsia="宋体" w:cs="宋体"/>
                <w:color w:val="auto"/>
                <w:szCs w:val="22"/>
                <w:highlight w:val="none"/>
                <w:shd w:val="clear"/>
                <w:lang w:val="en-US" w:eastAsia="zh-CN"/>
              </w:rPr>
              <w:t>软件著作权登记证书</w:t>
            </w:r>
            <w:r>
              <w:rPr>
                <w:rFonts w:hint="eastAsia" w:ascii="宋体" w:hAnsi="宋体" w:eastAsia="宋体" w:cs="宋体"/>
                <w:color w:val="auto"/>
                <w:szCs w:val="22"/>
                <w:highlight w:val="none"/>
                <w:shd w:val="clear"/>
              </w:rPr>
              <w:t>名</w:t>
            </w:r>
            <w:r>
              <w:rPr>
                <w:rFonts w:hint="eastAsia" w:ascii="宋体" w:hAnsi="宋体" w:eastAsia="宋体" w:cs="宋体"/>
                <w:szCs w:val="22"/>
                <w:highlight w:val="none"/>
                <w:shd w:val="clear"/>
              </w:rPr>
              <w:t>称按1份计算，如“阅卷系统”和“智能阅卷系统”）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7</w:t>
            </w:r>
          </w:p>
        </w:tc>
        <w:tc>
          <w:tcPr>
            <w:tcW w:w="666" w:type="pct"/>
            <w:vMerge w:val="continue"/>
            <w:vAlign w:val="center"/>
          </w:tcPr>
          <w:p>
            <w:pPr>
              <w:spacing w:line="360" w:lineRule="auto"/>
              <w:rPr>
                <w:rFonts w:hint="eastAsia" w:ascii="宋体" w:hAnsi="宋体" w:eastAsia="宋体" w:cs="宋体"/>
                <w:szCs w:val="22"/>
              </w:rPr>
            </w:pPr>
          </w:p>
        </w:tc>
        <w:tc>
          <w:tcPr>
            <w:tcW w:w="589"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业绩案例（3分）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rPr>
              <w:t>投标人或所投产品制造商具有类似项目业绩案例的，提供自2023年至开标之日的类似项目合同复印件，建设内容须含有与本项目采购的相关系统模块，每提供1个得1分，最高得3分。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8</w:t>
            </w:r>
          </w:p>
        </w:tc>
        <w:tc>
          <w:tcPr>
            <w:tcW w:w="666" w:type="pct"/>
            <w:vMerge w:val="continue"/>
            <w:vAlign w:val="center"/>
          </w:tcPr>
          <w:p>
            <w:pPr>
              <w:spacing w:line="360" w:lineRule="auto"/>
              <w:rPr>
                <w:rFonts w:hint="eastAsia" w:ascii="宋体" w:hAnsi="宋体" w:eastAsia="宋体" w:cs="宋体"/>
                <w:szCs w:val="22"/>
              </w:rPr>
            </w:pPr>
          </w:p>
        </w:tc>
        <w:tc>
          <w:tcPr>
            <w:tcW w:w="589" w:type="pct"/>
            <w:vAlign w:val="center"/>
          </w:tcPr>
          <w:p>
            <w:pPr>
              <w:spacing w:line="360" w:lineRule="auto"/>
              <w:jc w:val="center"/>
              <w:rPr>
                <w:rFonts w:hint="eastAsia" w:ascii="宋体" w:hAnsi="宋体" w:eastAsia="宋体" w:cs="宋体"/>
                <w:szCs w:val="22"/>
              </w:rPr>
            </w:pPr>
            <w:r>
              <w:rPr>
                <w:rFonts w:hint="eastAsia" w:ascii="宋体" w:hAnsi="宋体" w:eastAsia="宋体" w:cs="宋体"/>
                <w:szCs w:val="22"/>
              </w:rPr>
              <w:t>售后服务及培训方案</w:t>
            </w:r>
          </w:p>
          <w:p>
            <w:pPr>
              <w:spacing w:line="360" w:lineRule="auto"/>
              <w:jc w:val="center"/>
              <w:rPr>
                <w:rFonts w:hint="eastAsia" w:ascii="宋体" w:hAnsi="宋体" w:eastAsia="宋体" w:cs="宋体"/>
                <w:szCs w:val="22"/>
              </w:rPr>
            </w:pPr>
            <w:r>
              <w:rPr>
                <w:rFonts w:hint="eastAsia" w:ascii="宋体" w:hAnsi="宋体" w:eastAsia="宋体" w:cs="宋体"/>
                <w:szCs w:val="22"/>
              </w:rPr>
              <w:t>（12分）</w:t>
            </w:r>
          </w:p>
        </w:tc>
        <w:tc>
          <w:tcPr>
            <w:tcW w:w="3278" w:type="pct"/>
            <w:vAlign w:val="center"/>
          </w:tcPr>
          <w:p>
            <w:pPr>
              <w:spacing w:line="360" w:lineRule="auto"/>
              <w:rPr>
                <w:rFonts w:hint="eastAsia" w:ascii="宋体" w:hAnsi="宋体" w:eastAsia="宋体" w:cs="宋体"/>
                <w:szCs w:val="22"/>
              </w:rPr>
            </w:pPr>
            <w:r>
              <w:rPr>
                <w:rFonts w:hint="eastAsia" w:ascii="宋体" w:hAnsi="宋体" w:eastAsia="宋体" w:cs="宋体"/>
                <w:szCs w:val="22"/>
              </w:rPr>
              <w:t>根据投标人提供的售后服务方案及后期运行培训服务进行综合评审，内容需包含但不限于</w:t>
            </w:r>
            <w:r>
              <w:rPr>
                <w:rFonts w:hint="eastAsia" w:ascii="宋体" w:hAnsi="宋体" w:eastAsia="宋体" w:cs="宋体"/>
                <w:szCs w:val="22"/>
                <w:lang w:eastAsia="zh-CN"/>
              </w:rPr>
              <w:t>：</w:t>
            </w:r>
            <w:r>
              <w:rPr>
                <w:rFonts w:hint="eastAsia" w:ascii="宋体" w:hAnsi="宋体" w:eastAsia="宋体" w:cs="宋体"/>
                <w:szCs w:val="22"/>
              </w:rPr>
              <w:t>①售后服务方案及维护措施、②售后人员配置、③培训方案等内容进行综合评审。</w:t>
            </w:r>
          </w:p>
          <w:p>
            <w:pPr>
              <w:spacing w:line="360" w:lineRule="auto"/>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满足以上3项要素要求不缺项，且每一项要素描述内容齐全、紧贴采购需求、详尽合理、针对性强、逻辑合理得12分；（2）以上要素内容每缺少一项扣4分；（3）每项中每有一处存在缺陷或不足、内容不完整或不符合项目实际情况的扣1分，每一项要素内容最多扣4分，扣完为止。</w:t>
            </w:r>
          </w:p>
          <w:p>
            <w:pPr>
              <w:pStyle w:val="2"/>
              <w:spacing w:line="360" w:lineRule="auto"/>
              <w:rPr>
                <w:rFonts w:hint="eastAsia" w:ascii="宋体" w:hAnsi="宋体" w:eastAsia="宋体" w:cs="宋体"/>
              </w:rPr>
            </w:pPr>
            <w:r>
              <w:rPr>
                <w:rFonts w:hint="eastAsia" w:ascii="宋体" w:hAnsi="宋体" w:eastAsia="宋体" w:cs="宋体"/>
                <w:b/>
                <w:bCs/>
                <w:kern w:val="0"/>
                <w:szCs w:val="21"/>
                <w:lang w:bidi="ar"/>
              </w:rPr>
              <w:t>注</w:t>
            </w:r>
            <w:r>
              <w:rPr>
                <w:rFonts w:hint="eastAsia" w:ascii="宋体" w:hAnsi="宋体" w:eastAsia="宋体" w:cs="宋体"/>
                <w:b/>
                <w:bCs/>
                <w:kern w:val="0"/>
                <w:szCs w:val="21"/>
                <w:lang w:eastAsia="zh-CN" w:bidi="ar"/>
              </w:rPr>
              <w:t>：</w:t>
            </w:r>
            <w:r>
              <w:rPr>
                <w:rFonts w:hint="eastAsia" w:ascii="宋体" w:hAnsi="宋体" w:eastAsia="宋体" w:cs="宋体"/>
                <w:b/>
                <w:bCs/>
                <w:kern w:val="0"/>
                <w:szCs w:val="21"/>
                <w:lang w:bidi="ar"/>
              </w:rPr>
              <w:t>缺陷或不足是指内容逻辑混乱，不符合相关的国家、行业标准；不完整指内容具有明显缺陷，前后内容无法连贯，不符合项目实际情况（内容脱离了实际采购情况）不利于采购人依照方案实施项目。</w:t>
            </w:r>
          </w:p>
        </w:tc>
      </w:tr>
    </w:tbl>
    <w:p>
      <w:pPr>
        <w:spacing w:line="360" w:lineRule="auto"/>
        <w:rPr>
          <w:rFonts w:hint="eastAsia" w:ascii="宋体" w:hAnsi="宋体" w:eastAsia="宋体" w:cs="宋体"/>
          <w:b/>
          <w:bCs/>
          <w:sz w:val="24"/>
        </w:rPr>
      </w:pPr>
    </w:p>
    <w:p>
      <w:pPr>
        <w:pStyle w:val="20"/>
        <w:adjustRightInd/>
        <w:snapToGrid/>
        <w:spacing w:line="360" w:lineRule="auto"/>
        <w:ind w:firstLine="482" w:firstLineChars="200"/>
        <w:outlineLvl w:val="1"/>
        <w:rPr>
          <w:rFonts w:hint="eastAsia" w:eastAsia="宋体" w:cs="宋体"/>
          <w:b/>
          <w:sz w:val="24"/>
        </w:rPr>
      </w:pPr>
      <w:bookmarkStart w:id="37" w:name="_Toc75259347"/>
      <w:bookmarkStart w:id="38" w:name="_Toc6000"/>
      <w:r>
        <w:rPr>
          <w:rFonts w:hint="eastAsia" w:eastAsia="宋体" w:cs="宋体"/>
          <w:b/>
          <w:sz w:val="24"/>
          <w:lang w:eastAsia="zh-CN"/>
        </w:rPr>
        <w:t>12.</w:t>
      </w:r>
      <w:bookmarkEnd w:id="37"/>
      <w:r>
        <w:rPr>
          <w:rFonts w:hint="eastAsia" w:eastAsia="宋体" w:cs="宋体"/>
          <w:b/>
          <w:sz w:val="24"/>
        </w:rPr>
        <w:t>评标委员会</w:t>
      </w:r>
      <w:bookmarkEnd w:id="38"/>
    </w:p>
    <w:p>
      <w:pPr>
        <w:pStyle w:val="20"/>
        <w:adjustRightInd/>
        <w:snapToGrid/>
        <w:spacing w:line="360" w:lineRule="auto"/>
        <w:ind w:firstLine="480" w:firstLineChars="200"/>
        <w:rPr>
          <w:rFonts w:hint="eastAsia" w:eastAsia="宋体" w:cs="宋体"/>
          <w:sz w:val="24"/>
          <w:lang w:val="zh-CN"/>
        </w:rPr>
      </w:pPr>
      <w:r>
        <w:rPr>
          <w:rFonts w:hint="eastAsia" w:eastAsia="宋体" w:cs="宋体"/>
          <w:sz w:val="24"/>
        </w:rPr>
        <w:t>评标委员会</w:t>
      </w:r>
      <w:r>
        <w:rPr>
          <w:rFonts w:hint="eastAsia" w:eastAsia="宋体" w:cs="宋体"/>
          <w:sz w:val="24"/>
          <w:lang w:val="zh-CN"/>
        </w:rPr>
        <w:t>由采购人代表和评审专家共同组成，评审专家应当从政府采购评审专家库内相关专业的专家名单中随机抽取，专家比例不少于评标委员会成员总数的三分之二。</w:t>
      </w:r>
    </w:p>
    <w:p>
      <w:pPr>
        <w:pStyle w:val="20"/>
        <w:adjustRightInd/>
        <w:snapToGrid/>
        <w:spacing w:line="360" w:lineRule="auto"/>
        <w:ind w:firstLine="482" w:firstLineChars="200"/>
        <w:outlineLvl w:val="1"/>
        <w:rPr>
          <w:rFonts w:hint="eastAsia" w:eastAsia="宋体" w:cs="宋体"/>
          <w:b/>
          <w:sz w:val="24"/>
        </w:rPr>
      </w:pPr>
      <w:bookmarkStart w:id="39" w:name="_Toc12738"/>
      <w:bookmarkStart w:id="40" w:name="_Toc75259348"/>
      <w:r>
        <w:rPr>
          <w:rFonts w:hint="eastAsia" w:eastAsia="宋体" w:cs="宋体"/>
          <w:b/>
          <w:sz w:val="24"/>
          <w:lang w:eastAsia="zh-CN"/>
        </w:rPr>
        <w:t>13.</w:t>
      </w:r>
      <w:r>
        <w:rPr>
          <w:rFonts w:hint="eastAsia" w:eastAsia="宋体" w:cs="宋体"/>
          <w:b/>
          <w:sz w:val="24"/>
        </w:rPr>
        <w:t>评审纪律</w:t>
      </w:r>
      <w:bookmarkEnd w:id="39"/>
      <w:bookmarkEnd w:id="40"/>
    </w:p>
    <w:p>
      <w:pPr>
        <w:pStyle w:val="20"/>
        <w:adjustRightInd/>
        <w:snapToGrid/>
        <w:spacing w:line="360" w:lineRule="auto"/>
        <w:ind w:firstLine="480" w:firstLineChars="200"/>
        <w:rPr>
          <w:rFonts w:hint="eastAsia" w:eastAsia="宋体" w:cs="宋体"/>
          <w:sz w:val="24"/>
          <w:lang w:val="zh-CN"/>
        </w:rPr>
      </w:pPr>
      <w:r>
        <w:rPr>
          <w:rFonts w:hint="eastAsia" w:eastAsia="宋体" w:cs="宋体"/>
          <w:sz w:val="24"/>
        </w:rPr>
        <w:t>13.1评标委员会成员</w:t>
      </w:r>
      <w:r>
        <w:rPr>
          <w:rFonts w:hint="eastAsia" w:eastAsia="宋体" w:cs="宋体"/>
          <w:sz w:val="24"/>
          <w:lang w:val="zh-CN"/>
        </w:rPr>
        <w:t>内部讨论的情况和意见必须保密，任何人不得以任何形式透露给投标人或与投标人有关的单位或个人；</w:t>
      </w:r>
    </w:p>
    <w:p>
      <w:pPr>
        <w:pStyle w:val="20"/>
        <w:adjustRightInd/>
        <w:snapToGrid/>
        <w:spacing w:line="360" w:lineRule="auto"/>
        <w:ind w:firstLine="480" w:firstLineChars="200"/>
        <w:rPr>
          <w:rFonts w:hint="eastAsia" w:eastAsia="宋体" w:cs="宋体"/>
          <w:sz w:val="24"/>
          <w:lang w:val="zh-CN"/>
        </w:rPr>
      </w:pPr>
      <w:r>
        <w:rPr>
          <w:rFonts w:hint="eastAsia" w:eastAsia="宋体" w:cs="宋体"/>
          <w:sz w:val="24"/>
        </w:rPr>
        <w:t>13.2</w:t>
      </w:r>
      <w:r>
        <w:rPr>
          <w:rFonts w:hint="eastAsia" w:eastAsia="宋体" w:cs="宋体"/>
          <w:sz w:val="24"/>
          <w:lang w:val="zh-CN"/>
        </w:rPr>
        <w:t>在招标过程中，投标人不得以任何形式对</w:t>
      </w:r>
      <w:r>
        <w:rPr>
          <w:rFonts w:hint="eastAsia" w:eastAsia="宋体" w:cs="宋体"/>
          <w:sz w:val="24"/>
        </w:rPr>
        <w:t>评标委员会</w:t>
      </w:r>
      <w:r>
        <w:rPr>
          <w:rFonts w:hint="eastAsia" w:eastAsia="宋体" w:cs="宋体"/>
          <w:sz w:val="24"/>
          <w:lang w:val="zh-CN"/>
        </w:rPr>
        <w:t>成员进行旨在影响招标结果的私下接触，否则取消其</w:t>
      </w:r>
      <w:r>
        <w:rPr>
          <w:rFonts w:hint="eastAsia" w:eastAsia="宋体" w:cs="宋体"/>
          <w:sz w:val="24"/>
        </w:rPr>
        <w:t>投标</w:t>
      </w:r>
      <w:r>
        <w:rPr>
          <w:rFonts w:hint="eastAsia" w:eastAsia="宋体" w:cs="宋体"/>
          <w:sz w:val="24"/>
          <w:lang w:val="zh-CN"/>
        </w:rPr>
        <w:t>资格；</w:t>
      </w:r>
    </w:p>
    <w:p>
      <w:pPr>
        <w:pStyle w:val="20"/>
        <w:adjustRightInd/>
        <w:snapToGrid/>
        <w:spacing w:line="360" w:lineRule="auto"/>
        <w:ind w:firstLine="480" w:firstLineChars="200"/>
        <w:rPr>
          <w:rFonts w:hint="eastAsia" w:eastAsia="宋体" w:cs="宋体"/>
          <w:sz w:val="24"/>
          <w:lang w:val="zh-CN"/>
        </w:rPr>
      </w:pPr>
      <w:r>
        <w:rPr>
          <w:rFonts w:hint="eastAsia" w:eastAsia="宋体" w:cs="宋体"/>
          <w:sz w:val="24"/>
        </w:rPr>
        <w:t>13.3评标委员会</w:t>
      </w:r>
      <w:r>
        <w:rPr>
          <w:rFonts w:hint="eastAsia" w:eastAsia="宋体" w:cs="宋体"/>
          <w:sz w:val="24"/>
          <w:lang w:val="zh-CN"/>
        </w:rPr>
        <w:t>以及与招标有关的人员应当对评审情况和评审过程中获悉的国家秘密、商业秘密予以保密。</w:t>
      </w:r>
    </w:p>
    <w:p>
      <w:pPr>
        <w:pStyle w:val="20"/>
        <w:adjustRightInd/>
        <w:snapToGrid/>
        <w:spacing w:line="360" w:lineRule="auto"/>
        <w:ind w:firstLine="482" w:firstLineChars="200"/>
        <w:outlineLvl w:val="1"/>
        <w:rPr>
          <w:rFonts w:hint="eastAsia" w:eastAsia="宋体" w:cs="宋体"/>
          <w:b/>
          <w:sz w:val="24"/>
        </w:rPr>
      </w:pPr>
      <w:bookmarkStart w:id="41" w:name="_Toc75259349"/>
      <w:bookmarkStart w:id="42" w:name="_Toc12904"/>
      <w:r>
        <w:rPr>
          <w:rFonts w:hint="eastAsia" w:eastAsia="宋体" w:cs="宋体"/>
          <w:b/>
          <w:sz w:val="24"/>
          <w:lang w:eastAsia="zh-CN"/>
        </w:rPr>
        <w:t>14.</w:t>
      </w:r>
      <w:r>
        <w:rPr>
          <w:rFonts w:hint="eastAsia" w:eastAsia="宋体" w:cs="宋体"/>
          <w:b/>
          <w:sz w:val="24"/>
        </w:rPr>
        <w:t>无效投标文件情况说明</w:t>
      </w:r>
      <w:bookmarkEnd w:id="41"/>
      <w:bookmarkEnd w:id="42"/>
    </w:p>
    <w:p>
      <w:pPr>
        <w:pStyle w:val="20"/>
        <w:adjustRightInd/>
        <w:snapToGrid/>
        <w:spacing w:line="360" w:lineRule="auto"/>
        <w:ind w:firstLine="480" w:firstLineChars="200"/>
        <w:rPr>
          <w:rFonts w:hint="eastAsia" w:eastAsia="宋体" w:cs="宋体"/>
          <w:bCs/>
          <w:sz w:val="24"/>
        </w:rPr>
      </w:pPr>
      <w:r>
        <w:rPr>
          <w:rFonts w:hint="eastAsia" w:eastAsia="宋体" w:cs="宋体"/>
          <w:bCs/>
          <w:sz w:val="24"/>
        </w:rPr>
        <w:t xml:space="preserve">投标文件有下列情形之一的，应当按照无效投标文件处理：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14.1未按招标文件规定要求签署、盖章的；</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14.2不具备招标文件中规定的资格要求的；</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14.3报价超过采购预算的；</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14.4未完全响应招标文件规定的实质性要求的；</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14.5不符合法律、法规规定的其他情形；</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14.6投标人没有经过正常渠道获取招标文件；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14.7投标文件无有效期或有效期达不到招标文件的要求；</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14.8投标人针对同一项目递交两份或多份内容不同的投标文件，未书面声明哪一份是有效的；出现选择性报价的；</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14.9提供虚假资质证明，除按无效投标文件处理外，并进行相应的处罚；</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14.10单位负责人为同一人或者存在直接控股、管理关系的不同单位不得同时参加投标。</w:t>
      </w:r>
    </w:p>
    <w:p>
      <w:pPr>
        <w:spacing w:line="360" w:lineRule="auto"/>
        <w:ind w:firstLine="480" w:firstLineChars="200"/>
        <w:rPr>
          <w:rFonts w:hint="eastAsia" w:ascii="宋体" w:hAnsi="宋体" w:eastAsia="宋体" w:cs="宋体"/>
          <w:bCs/>
          <w:color w:val="FF0000"/>
          <w:kern w:val="0"/>
          <w:sz w:val="24"/>
        </w:rPr>
      </w:pPr>
      <w:r>
        <w:rPr>
          <w:rFonts w:hint="eastAsia" w:ascii="宋体" w:hAnsi="宋体" w:eastAsia="宋体" w:cs="宋体"/>
          <w:bCs/>
          <w:sz w:val="24"/>
        </w:rPr>
        <w:t>14.11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0"/>
        <w:adjustRightInd/>
        <w:snapToGrid/>
        <w:spacing w:line="360" w:lineRule="auto"/>
        <w:ind w:firstLine="482" w:firstLineChars="200"/>
        <w:outlineLvl w:val="1"/>
        <w:rPr>
          <w:rFonts w:hint="eastAsia" w:eastAsia="宋体" w:cs="宋体"/>
          <w:b/>
          <w:sz w:val="24"/>
        </w:rPr>
      </w:pPr>
      <w:bookmarkStart w:id="43" w:name="_Toc26713"/>
      <w:bookmarkStart w:id="44" w:name="_Toc75259350"/>
      <w:r>
        <w:rPr>
          <w:rFonts w:hint="eastAsia" w:eastAsia="宋体" w:cs="宋体"/>
          <w:b/>
          <w:sz w:val="24"/>
          <w:lang w:eastAsia="zh-CN"/>
        </w:rPr>
        <w:t>15.</w:t>
      </w:r>
      <w:r>
        <w:rPr>
          <w:rFonts w:hint="eastAsia" w:eastAsia="宋体" w:cs="宋体"/>
          <w:b/>
          <w:sz w:val="24"/>
        </w:rPr>
        <w:t>对投标文件的修正</w:t>
      </w:r>
      <w:bookmarkEnd w:id="43"/>
      <w:bookmarkEnd w:id="44"/>
    </w:p>
    <w:p>
      <w:pPr>
        <w:pStyle w:val="20"/>
        <w:adjustRightInd/>
        <w:snapToGrid/>
        <w:spacing w:line="360" w:lineRule="auto"/>
        <w:ind w:firstLine="480" w:firstLineChars="200"/>
        <w:rPr>
          <w:rFonts w:hint="eastAsia" w:eastAsia="宋体" w:cs="宋体"/>
          <w:sz w:val="24"/>
        </w:rPr>
      </w:pPr>
      <w:r>
        <w:rPr>
          <w:rFonts w:hint="eastAsia" w:eastAsia="宋体" w:cs="宋体"/>
          <w:sz w:val="24"/>
        </w:rPr>
        <w:t>15.1评审中，对价格的计算错误按下述原则修正：</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（1）投标文件正本与副本不一致的，以正本为准。</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 xml:space="preserve">（2）投标文件的大写金额和小写金额不一致的，以大写金额为准； </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（3）总价金额与按单价汇总金额不一致的，以单价金额汇总计算结果为准；</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（4）单价金额小数点有明显错位的，应以总价为准，并修改单价；</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（5）对不同文字文本响应文件的解释发生异议的，以中文文本为准；</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（6）投标人不同意以上修正，则其投标文件将被拒绝。</w:t>
      </w:r>
    </w:p>
    <w:p>
      <w:pPr>
        <w:pStyle w:val="20"/>
        <w:adjustRightInd/>
        <w:snapToGrid/>
        <w:spacing w:line="360" w:lineRule="auto"/>
        <w:ind w:firstLine="482" w:firstLineChars="200"/>
        <w:outlineLvl w:val="1"/>
        <w:rPr>
          <w:rFonts w:hint="eastAsia" w:eastAsia="宋体" w:cs="宋体"/>
          <w:b/>
          <w:sz w:val="24"/>
        </w:rPr>
      </w:pPr>
      <w:bookmarkStart w:id="45" w:name="_Toc75259351"/>
      <w:bookmarkStart w:id="46" w:name="_Toc27343"/>
      <w:r>
        <w:rPr>
          <w:rFonts w:hint="eastAsia" w:eastAsia="宋体" w:cs="宋体"/>
          <w:b/>
          <w:sz w:val="24"/>
          <w:lang w:eastAsia="zh-CN"/>
        </w:rPr>
        <w:t>16.</w:t>
      </w:r>
      <w:bookmarkEnd w:id="45"/>
      <w:r>
        <w:rPr>
          <w:rFonts w:hint="eastAsia" w:eastAsia="宋体" w:cs="宋体"/>
          <w:b/>
          <w:sz w:val="24"/>
        </w:rPr>
        <w:t>确定中标人</w:t>
      </w:r>
      <w:bookmarkEnd w:id="46"/>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16.1采购代理机构在评审结束后2个工作日内将评标报告送采购人确认。采购人在收到评标报告后5个工作日内，从评标报告提出的中标候选人中，按照排序由高到低的原则确定中标人。采购人逾期未确定中标人且不提出异议的，视为确定评标报告提出的排序第一的投标人为中标人。</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16.2排序第一的投标人无故放弃中标资格的，没收其投标保证金，并报监督部门</w:t>
      </w:r>
      <w:r>
        <w:rPr>
          <w:rFonts w:hint="eastAsia" w:eastAsia="宋体" w:cs="宋体"/>
          <w:kern w:val="0"/>
          <w:sz w:val="24"/>
          <w:lang w:eastAsia="zh-CN"/>
        </w:rPr>
        <w:t>作出</w:t>
      </w:r>
      <w:r>
        <w:rPr>
          <w:rFonts w:hint="eastAsia" w:eastAsia="宋体" w:cs="宋体"/>
          <w:kern w:val="0"/>
          <w:sz w:val="24"/>
        </w:rPr>
        <w:t>处罚。</w:t>
      </w:r>
    </w:p>
    <w:p>
      <w:pPr>
        <w:pStyle w:val="20"/>
        <w:adjustRightInd/>
        <w:snapToGrid/>
        <w:spacing w:line="360" w:lineRule="auto"/>
        <w:ind w:firstLine="480" w:firstLineChars="200"/>
        <w:rPr>
          <w:rFonts w:hint="eastAsia" w:eastAsia="宋体" w:cs="宋体"/>
          <w:kern w:val="0"/>
          <w:sz w:val="24"/>
        </w:rPr>
      </w:pPr>
      <w:r>
        <w:rPr>
          <w:rFonts w:hint="eastAsia" w:eastAsia="宋体" w:cs="宋体"/>
          <w:kern w:val="0"/>
          <w:sz w:val="24"/>
        </w:rPr>
        <w:t>16.3排序第一的投标人放弃中标资格后，采购人可以确定排序第二的投标人为中标人，也可以重新组织采购。</w:t>
      </w:r>
    </w:p>
    <w:p>
      <w:pPr>
        <w:pStyle w:val="20"/>
        <w:adjustRightInd/>
        <w:snapToGrid/>
        <w:spacing w:line="360" w:lineRule="auto"/>
        <w:ind w:firstLine="482" w:firstLineChars="200"/>
        <w:outlineLvl w:val="1"/>
        <w:rPr>
          <w:rFonts w:hint="eastAsia" w:eastAsia="宋体" w:cs="宋体"/>
          <w:b/>
          <w:sz w:val="24"/>
        </w:rPr>
      </w:pPr>
      <w:bookmarkStart w:id="47" w:name="_Toc75259352"/>
      <w:bookmarkStart w:id="48" w:name="_Toc21184"/>
      <w:r>
        <w:rPr>
          <w:rFonts w:hint="eastAsia" w:eastAsia="宋体" w:cs="宋体"/>
          <w:b/>
          <w:sz w:val="24"/>
          <w:lang w:eastAsia="zh-CN"/>
        </w:rPr>
        <w:t>17.</w:t>
      </w:r>
      <w:r>
        <w:rPr>
          <w:rFonts w:hint="eastAsia" w:eastAsia="宋体" w:cs="宋体"/>
          <w:b/>
          <w:sz w:val="24"/>
        </w:rPr>
        <w:t>中标通知</w:t>
      </w:r>
      <w:bookmarkEnd w:id="47"/>
      <w:r>
        <w:rPr>
          <w:rFonts w:hint="eastAsia" w:eastAsia="宋体" w:cs="宋体"/>
          <w:b/>
          <w:sz w:val="24"/>
        </w:rPr>
        <w:t>书</w:t>
      </w:r>
      <w:bookmarkEnd w:id="48"/>
      <w:r>
        <w:rPr>
          <w:rFonts w:hint="eastAsia" w:eastAsia="宋体" w:cs="宋体"/>
          <w:b/>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17.1采购人或者采购代理机构应当在中标人确定后2个工作日内，在省级以上财政部门指定的政府采购信息发布媒体上公告采购结果，同时向中标人发出中标通知书。</w:t>
      </w:r>
    </w:p>
    <w:p>
      <w:pPr>
        <w:pStyle w:val="20"/>
        <w:adjustRightInd/>
        <w:snapToGrid/>
        <w:spacing w:line="360" w:lineRule="auto"/>
        <w:ind w:firstLine="480" w:firstLineChars="200"/>
        <w:rPr>
          <w:rFonts w:hint="eastAsia" w:eastAsia="宋体" w:cs="宋体"/>
          <w:sz w:val="24"/>
        </w:rPr>
      </w:pPr>
      <w:r>
        <w:rPr>
          <w:rFonts w:hint="eastAsia" w:eastAsia="宋体" w:cs="宋体"/>
          <w:sz w:val="24"/>
        </w:rPr>
        <w:t>17.2中标通知书将是合同的一个组成部分。</w:t>
      </w:r>
    </w:p>
    <w:p>
      <w:pPr>
        <w:pStyle w:val="20"/>
        <w:adjustRightInd/>
        <w:snapToGrid/>
        <w:spacing w:line="360" w:lineRule="auto"/>
        <w:ind w:firstLine="482" w:firstLineChars="200"/>
        <w:outlineLvl w:val="1"/>
        <w:rPr>
          <w:rFonts w:hint="eastAsia" w:eastAsia="宋体" w:cs="宋体"/>
          <w:b/>
          <w:sz w:val="24"/>
        </w:rPr>
      </w:pPr>
      <w:bookmarkStart w:id="49" w:name="_Toc30815"/>
      <w:bookmarkStart w:id="50" w:name="_Toc75259353"/>
      <w:r>
        <w:rPr>
          <w:rFonts w:hint="eastAsia" w:eastAsia="宋体" w:cs="宋体"/>
          <w:b/>
          <w:sz w:val="24"/>
          <w:lang w:eastAsia="zh-CN"/>
        </w:rPr>
        <w:t>18.</w:t>
      </w:r>
      <w:r>
        <w:rPr>
          <w:rFonts w:hint="eastAsia" w:eastAsia="宋体" w:cs="宋体"/>
          <w:b/>
          <w:sz w:val="24"/>
        </w:rPr>
        <w:t>合同授予</w:t>
      </w:r>
      <w:bookmarkEnd w:id="49"/>
      <w:bookmarkEnd w:id="5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18.1 招标文件、投标文件及招标过程中有关补充文件均作为合同附件，并与合同具有相同的法律效力。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18.2未经采购人同意，中标人不得向他人转让中标项目。</w:t>
      </w:r>
    </w:p>
    <w:p>
      <w:pPr>
        <w:pStyle w:val="20"/>
        <w:adjustRightInd/>
        <w:snapToGrid/>
        <w:spacing w:line="360" w:lineRule="auto"/>
        <w:ind w:firstLine="482" w:firstLineChars="200"/>
        <w:outlineLvl w:val="1"/>
        <w:rPr>
          <w:rFonts w:hint="eastAsia" w:eastAsia="宋体" w:cs="宋体"/>
          <w:b/>
          <w:sz w:val="24"/>
        </w:rPr>
      </w:pPr>
      <w:bookmarkStart w:id="51" w:name="_Toc11479"/>
      <w:bookmarkStart w:id="52" w:name="_Toc75259354"/>
      <w:r>
        <w:rPr>
          <w:rFonts w:hint="eastAsia" w:eastAsia="宋体" w:cs="宋体"/>
          <w:b/>
          <w:sz w:val="24"/>
          <w:lang w:eastAsia="zh-CN"/>
        </w:rPr>
        <w:t>19.</w:t>
      </w:r>
      <w:r>
        <w:rPr>
          <w:rFonts w:hint="eastAsia" w:eastAsia="宋体" w:cs="宋体"/>
          <w:b/>
          <w:sz w:val="24"/>
        </w:rPr>
        <w:t>投标文件有效期</w:t>
      </w:r>
      <w:bookmarkEnd w:id="51"/>
      <w:bookmarkEnd w:id="52"/>
    </w:p>
    <w:p>
      <w:pPr>
        <w:pStyle w:val="20"/>
        <w:adjustRightInd/>
        <w:snapToGrid/>
        <w:spacing w:line="360" w:lineRule="auto"/>
        <w:ind w:firstLine="482" w:firstLineChars="200"/>
        <w:rPr>
          <w:rFonts w:hint="eastAsia" w:eastAsia="宋体" w:cs="宋体"/>
          <w:b/>
          <w:sz w:val="24"/>
        </w:rPr>
      </w:pPr>
      <w:r>
        <w:rPr>
          <w:rFonts w:hint="eastAsia" w:eastAsia="宋体" w:cs="宋体"/>
          <w:b/>
          <w:sz w:val="24"/>
        </w:rPr>
        <w:t>本项目</w:t>
      </w:r>
      <w:r>
        <w:rPr>
          <w:rFonts w:hint="eastAsia" w:eastAsia="宋体" w:cs="宋体"/>
          <w:b/>
          <w:bCs/>
          <w:sz w:val="24"/>
        </w:rPr>
        <w:t>投标文件</w:t>
      </w:r>
      <w:r>
        <w:rPr>
          <w:rFonts w:hint="eastAsia" w:eastAsia="宋体" w:cs="宋体"/>
          <w:b/>
          <w:sz w:val="24"/>
        </w:rPr>
        <w:t>有效期为投标文件递交截止之日后</w:t>
      </w:r>
      <w:r>
        <w:rPr>
          <w:rFonts w:hint="eastAsia" w:eastAsia="宋体" w:cs="宋体"/>
          <w:b/>
          <w:sz w:val="24"/>
          <w:lang w:val="en-US" w:eastAsia="zh-CN"/>
        </w:rPr>
        <w:t>120</w:t>
      </w:r>
      <w:r>
        <w:rPr>
          <w:rFonts w:hint="eastAsia" w:eastAsia="宋体" w:cs="宋体"/>
          <w:b/>
          <w:sz w:val="24"/>
        </w:rPr>
        <w:t>日历日。</w:t>
      </w:r>
      <w:r>
        <w:rPr>
          <w:rFonts w:hint="eastAsia" w:eastAsia="宋体" w:cs="宋体"/>
          <w:sz w:val="24"/>
        </w:rPr>
        <w:t>在此期限内，凡符合本招标文件要求的投标文件均保持有效。</w:t>
      </w:r>
    </w:p>
    <w:p>
      <w:pPr>
        <w:pStyle w:val="20"/>
        <w:adjustRightInd/>
        <w:snapToGrid/>
        <w:spacing w:line="360" w:lineRule="auto"/>
        <w:ind w:firstLine="482" w:firstLineChars="200"/>
        <w:outlineLvl w:val="1"/>
        <w:rPr>
          <w:rFonts w:hint="eastAsia" w:eastAsia="宋体" w:cs="宋体"/>
          <w:b/>
          <w:sz w:val="24"/>
        </w:rPr>
      </w:pPr>
      <w:bookmarkStart w:id="53" w:name="_Toc9824"/>
      <w:bookmarkStart w:id="54" w:name="_Toc75259355"/>
      <w:r>
        <w:rPr>
          <w:rFonts w:hint="eastAsia" w:eastAsia="宋体" w:cs="宋体"/>
          <w:b/>
          <w:sz w:val="24"/>
          <w:lang w:eastAsia="zh-CN"/>
        </w:rPr>
        <w:t>20.</w:t>
      </w:r>
      <w:r>
        <w:rPr>
          <w:rFonts w:hint="eastAsia" w:eastAsia="宋体" w:cs="宋体"/>
          <w:b/>
          <w:sz w:val="24"/>
        </w:rPr>
        <w:t>签订合同</w:t>
      </w:r>
      <w:bookmarkEnd w:id="53"/>
      <w:bookmarkEnd w:id="54"/>
    </w:p>
    <w:p>
      <w:pPr>
        <w:pStyle w:val="20"/>
        <w:adjustRightInd/>
        <w:snapToGrid/>
        <w:spacing w:line="360" w:lineRule="auto"/>
        <w:ind w:firstLine="480" w:firstLineChars="200"/>
        <w:rPr>
          <w:rFonts w:hint="eastAsia" w:eastAsia="宋体" w:cs="宋体"/>
          <w:sz w:val="24"/>
        </w:rPr>
      </w:pPr>
      <w:r>
        <w:rPr>
          <w:rFonts w:hint="eastAsia" w:eastAsia="宋体" w:cs="宋体"/>
          <w:sz w:val="24"/>
        </w:rPr>
        <w:t>20.1中标人应自收到中标通知书之日起25日内与采购人签订合同。</w:t>
      </w:r>
    </w:p>
    <w:p>
      <w:pPr>
        <w:pStyle w:val="20"/>
        <w:adjustRightInd/>
        <w:snapToGrid/>
        <w:spacing w:line="360" w:lineRule="auto"/>
        <w:ind w:firstLine="480" w:firstLineChars="200"/>
        <w:rPr>
          <w:rFonts w:hint="eastAsia" w:eastAsia="宋体" w:cs="宋体"/>
          <w:sz w:val="24"/>
        </w:rPr>
      </w:pPr>
      <w:r>
        <w:rPr>
          <w:rFonts w:hint="eastAsia" w:eastAsia="宋体" w:cs="宋体"/>
          <w:sz w:val="24"/>
        </w:rPr>
        <w:t>20.2中标人应按中标通知书中规定的时间与采购人签订合同，否则按中标人违约处理，没收中标人的投标保证金。</w:t>
      </w:r>
    </w:p>
    <w:p>
      <w:pPr>
        <w:pStyle w:val="20"/>
        <w:adjustRightInd/>
        <w:snapToGrid/>
        <w:spacing w:line="360" w:lineRule="auto"/>
        <w:ind w:firstLine="480" w:firstLineChars="200"/>
        <w:rPr>
          <w:rFonts w:hint="eastAsia" w:eastAsia="宋体" w:cs="宋体"/>
          <w:sz w:val="24"/>
        </w:rPr>
      </w:pPr>
      <w:r>
        <w:rPr>
          <w:rFonts w:hint="eastAsia" w:eastAsia="宋体" w:cs="宋体"/>
          <w:sz w:val="24"/>
        </w:rPr>
        <w:t>20.3招标文件、中标人的报价文件及评审过程中有关澄清文件均应作为合同附件，并与合同具有相同的法律效力。</w:t>
      </w:r>
    </w:p>
    <w:p>
      <w:pPr>
        <w:pStyle w:val="20"/>
        <w:adjustRightInd/>
        <w:snapToGrid/>
        <w:spacing w:line="360" w:lineRule="auto"/>
        <w:ind w:firstLine="482" w:firstLineChars="200"/>
        <w:outlineLvl w:val="1"/>
        <w:rPr>
          <w:rFonts w:hint="eastAsia" w:eastAsia="宋体" w:cs="宋体"/>
          <w:b/>
          <w:sz w:val="24"/>
        </w:rPr>
      </w:pPr>
      <w:bookmarkStart w:id="55" w:name="_Toc8227"/>
      <w:bookmarkStart w:id="56" w:name="_Toc75259356"/>
      <w:r>
        <w:rPr>
          <w:rFonts w:hint="eastAsia" w:eastAsia="宋体" w:cs="宋体"/>
          <w:b/>
          <w:sz w:val="24"/>
          <w:lang w:eastAsia="zh-CN"/>
        </w:rPr>
        <w:t>21.</w:t>
      </w:r>
      <w:r>
        <w:rPr>
          <w:rFonts w:hint="eastAsia" w:eastAsia="宋体" w:cs="宋体"/>
          <w:b/>
          <w:sz w:val="24"/>
        </w:rPr>
        <w:t>采购代理服务费</w:t>
      </w:r>
      <w:bookmarkEnd w:id="55"/>
      <w:bookmarkEnd w:id="56"/>
    </w:p>
    <w:p>
      <w:pPr>
        <w:spacing w:line="360" w:lineRule="auto"/>
        <w:ind w:firstLine="480" w:firstLineChars="200"/>
        <w:rPr>
          <w:rFonts w:hint="eastAsia" w:ascii="宋体" w:hAnsi="宋体" w:eastAsia="宋体" w:cs="宋体"/>
          <w:sz w:val="24"/>
        </w:rPr>
      </w:pPr>
      <w:bookmarkStart w:id="57" w:name="_Hlk63417944"/>
      <w:r>
        <w:rPr>
          <w:rFonts w:hint="eastAsia" w:ascii="宋体" w:hAnsi="宋体" w:eastAsia="宋体" w:cs="宋体"/>
          <w:sz w:val="24"/>
        </w:rPr>
        <w:t>21.1采购代理服务费参照《国家计委关于印发</w:t>
      </w:r>
      <w:r>
        <w:rPr>
          <w:rFonts w:hint="eastAsia" w:ascii="宋体" w:hAnsi="宋体" w:eastAsia="宋体" w:cs="宋体"/>
          <w:sz w:val="24"/>
          <w:lang w:eastAsia="zh-CN"/>
        </w:rPr>
        <w:t>〈</w:t>
      </w:r>
      <w:r>
        <w:rPr>
          <w:rFonts w:hint="eastAsia" w:ascii="宋体" w:hAnsi="宋体" w:eastAsia="宋体" w:cs="宋体"/>
          <w:sz w:val="24"/>
        </w:rPr>
        <w:t>招标代理服务收费管理暂行办法</w:t>
      </w:r>
      <w:r>
        <w:rPr>
          <w:rFonts w:hint="eastAsia" w:ascii="宋体" w:hAnsi="宋体" w:eastAsia="宋体" w:cs="宋体"/>
          <w:sz w:val="24"/>
          <w:lang w:eastAsia="zh-CN"/>
        </w:rPr>
        <w:t>〉的通知》</w:t>
      </w:r>
      <w:r>
        <w:rPr>
          <w:rFonts w:hint="eastAsia" w:ascii="宋体" w:hAnsi="宋体" w:eastAsia="宋体" w:cs="宋体"/>
          <w:sz w:val="24"/>
        </w:rPr>
        <w:t>（计价格</w:t>
      </w:r>
      <w:r>
        <w:rPr>
          <w:rFonts w:hint="eastAsia" w:ascii="宋体" w:hAnsi="宋体" w:eastAsia="宋体" w:cs="宋体"/>
          <w:sz w:val="24"/>
          <w:lang w:eastAsia="zh-CN"/>
        </w:rPr>
        <w:t>〔2002〕1980号</w:t>
      </w:r>
      <w:r>
        <w:rPr>
          <w:rFonts w:hint="eastAsia" w:ascii="宋体" w:hAnsi="宋体" w:eastAsia="宋体" w:cs="宋体"/>
          <w:sz w:val="24"/>
        </w:rPr>
        <w:t>）中规定的差额定律累进法计取。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21.2成交（中标）供应商向采购代理机构缴纳采购代理服务费。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21.3采购代理服务费以转账或现金形式缴纳。</w:t>
      </w:r>
      <w:bookmarkStart w:id="155" w:name="_GoBack"/>
      <w:bookmarkEnd w:id="155"/>
    </w:p>
    <w:bookmarkEnd w:id="57"/>
    <w:p>
      <w:pPr>
        <w:pStyle w:val="20"/>
        <w:adjustRightInd/>
        <w:snapToGrid/>
        <w:spacing w:line="360" w:lineRule="auto"/>
        <w:ind w:firstLine="482" w:firstLineChars="200"/>
        <w:outlineLvl w:val="1"/>
        <w:rPr>
          <w:rFonts w:hint="eastAsia" w:eastAsia="宋体" w:cs="宋体"/>
          <w:b/>
          <w:sz w:val="24"/>
        </w:rPr>
      </w:pPr>
      <w:bookmarkStart w:id="58" w:name="_Toc15925"/>
      <w:bookmarkStart w:id="59" w:name="_Toc75259357"/>
      <w:r>
        <w:rPr>
          <w:rFonts w:hint="eastAsia" w:eastAsia="宋体" w:cs="宋体"/>
          <w:b/>
          <w:sz w:val="24"/>
          <w:lang w:eastAsia="zh-CN"/>
        </w:rPr>
        <w:t>22.</w:t>
      </w:r>
      <w:r>
        <w:rPr>
          <w:rFonts w:hint="eastAsia" w:eastAsia="宋体" w:cs="宋体"/>
          <w:b/>
          <w:sz w:val="24"/>
        </w:rPr>
        <w:t>质疑</w:t>
      </w:r>
      <w:bookmarkEnd w:id="58"/>
      <w:bookmarkEnd w:id="5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22.1 投标人可以在知道或者应知其权益受到损害之日起7个工作日内，以书面形式向采购人、采购代理机构提出质疑。投标人提出质疑应当提交质疑函和必要的证明材料。</w:t>
      </w:r>
    </w:p>
    <w:p>
      <w:pPr>
        <w:pStyle w:val="21"/>
        <w:wordWrap w:val="0"/>
        <w:spacing w:before="0" w:beforeAutospacing="0" w:after="0" w:afterAutospacing="0" w:line="520" w:lineRule="exact"/>
        <w:ind w:firstLine="480"/>
        <w:jc w:val="both"/>
        <w:rPr>
          <w:rFonts w:hint="eastAsia" w:eastAsia="宋体" w:cs="宋体"/>
        </w:rPr>
      </w:pPr>
      <w:r>
        <w:rPr>
          <w:rFonts w:hint="eastAsia" w:eastAsia="宋体" w:cs="宋体"/>
        </w:rPr>
        <w:t>22.2 项目联系人：姚方；联系电话：17809112100；地址：延安市新区鼎盛豪庭公寓4号楼201室。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22.3 质疑函应当包括下列内容：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（一）投标人的姓名或者名称、地址、邮编、联系人及联系电话；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（二）质疑项目的名称、编号；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（三）具体、明确的质疑事项和与质疑事项相关的请求；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（四）事实依据；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（五）必要的法律依据；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（六）提出质疑的日期。</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投标人为自然人的应当由本人签字；投标人为法人或者其他组织的，应当由法定代表人或其授权代表签字或盖章，并加盖公章。</w:t>
      </w:r>
      <w:r>
        <w:rPr>
          <w:rFonts w:hint="eastAsia" w:ascii="宋体" w:hAnsi="宋体" w:eastAsia="宋体" w:cs="宋体"/>
          <w:b/>
          <w:bCs/>
          <w:sz w:val="24"/>
        </w:rPr>
        <w:t>招标文件要求投标人在法定质疑期内一次性提出针对同一采购程序环节的质疑。</w:t>
      </w:r>
    </w:p>
    <w:p>
      <w:pPr>
        <w:pStyle w:val="20"/>
        <w:adjustRightInd/>
        <w:snapToGrid/>
        <w:spacing w:line="360" w:lineRule="auto"/>
        <w:ind w:firstLine="482" w:firstLineChars="200"/>
        <w:outlineLvl w:val="1"/>
        <w:rPr>
          <w:rFonts w:hint="eastAsia" w:eastAsia="宋体" w:cs="宋体"/>
          <w:b/>
          <w:sz w:val="24"/>
        </w:rPr>
      </w:pPr>
      <w:bookmarkStart w:id="60" w:name="_Toc75259358"/>
      <w:bookmarkStart w:id="61" w:name="_Toc18081"/>
      <w:r>
        <w:rPr>
          <w:rFonts w:hint="eastAsia" w:eastAsia="宋体" w:cs="宋体"/>
          <w:b/>
          <w:sz w:val="24"/>
          <w:lang w:eastAsia="zh-CN"/>
        </w:rPr>
        <w:t>23.</w:t>
      </w:r>
      <w:bookmarkStart w:id="62" w:name="_Toc44581001"/>
      <w:bookmarkStart w:id="63" w:name="_Toc44581543"/>
      <w:r>
        <w:rPr>
          <w:rFonts w:hint="eastAsia" w:eastAsia="宋体" w:cs="宋体"/>
          <w:b/>
          <w:sz w:val="24"/>
        </w:rPr>
        <w:t>需要落实的政府采购政策</w:t>
      </w:r>
      <w:bookmarkEnd w:id="60"/>
      <w:bookmarkEnd w:id="61"/>
      <w:bookmarkEnd w:id="62"/>
      <w:bookmarkEnd w:id="63"/>
      <w:bookmarkStart w:id="64" w:name="_Hlk63418170"/>
    </w:p>
    <w:bookmarkEnd w:id="64"/>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23.1落实促进支持中小企业、监狱企业、残疾人福利性单位发展、脱贫攻坚工作的政策(如专门面向中小企业的采购项目（或合同包），不执行23.1.1/23.1.2/23.1.3条款)。</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23.1.1 《政府采购促进中小企业发展管理办法》（财库〔2020〕46号）</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在政府采购活动中，投标人提供的货物、服务或者工程符合下列情形的，享受《办法》规定的中小企业扶持政策</w:t>
      </w:r>
      <w:r>
        <w:rPr>
          <w:rFonts w:hint="eastAsia" w:ascii="宋体" w:hAnsi="宋体" w:eastAsia="宋体" w:cs="宋体"/>
          <w:sz w:val="24"/>
          <w:lang w:eastAsia="zh-CN"/>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（一）</w:t>
      </w:r>
      <w:r>
        <w:rPr>
          <w:rFonts w:hint="eastAsia" w:ascii="宋体" w:hAnsi="宋体" w:eastAsia="宋体" w:cs="宋体"/>
          <w:sz w:val="24"/>
        </w:rPr>
        <w:t>在货物采购项目中，货物由中小企业制造，即货物由中小企业生产且使用该中小企业商号或者注册商标；</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（二）</w:t>
      </w:r>
      <w:r>
        <w:rPr>
          <w:rFonts w:hint="eastAsia" w:ascii="宋体" w:hAnsi="宋体" w:eastAsia="宋体" w:cs="宋体"/>
          <w:sz w:val="24"/>
        </w:rPr>
        <w:t>在工程采购项目中，工程由中小企业承建，即工程施工单位为中小企业；</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（三）</w:t>
      </w:r>
      <w:r>
        <w:rPr>
          <w:rFonts w:hint="eastAsia" w:ascii="宋体" w:hAnsi="宋体" w:eastAsia="宋体" w:cs="宋体"/>
          <w:sz w:val="24"/>
        </w:rPr>
        <w:t>在服务采购项目中，服务由中小企业承接，即提供服务的人员为中小企业依照《中华人民共和国劳动合同法》订立劳动合同的从业人员。</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在货物采购项目中，投标人提供的货物既有中小企业制造货物，也有大型企业制造货物的，不享受《办法》规定的中小企业扶持政策。</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依据《办法》规定享受扶持政策获得政府采购合同的，小微企业不得将合同分包给大中型企业，中型企业不得将合同分包给大型企业。</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根据《办法》规定，参加政府采购活动的中小企业应当提供《中小企业声明函》。投标人提供的《中小企业声明函》原件必须真实，否则，按照有关规定予以处理。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根据《办法》规定，工程采购项目中对符合规定的小微企业报价给予3%的扣除，用扣除后的价格参加评审。</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陕西省财政厅关于落实政府采购支持中小企业政策有关事项的通知》（陕财办采函〔2022〕10号）要求，货物、服务采购项目中对符合规定的小微企业报价给予10%的扣除，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23.1.2 《财政部 司法部关于政府采购支持监狱企业发展有关问题的通知》（财库〔2014〕68号）</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监狱企业参加政府采购活动时，应当提供由省级以上监狱管理局、戒毒管理局（含新疆生产建设兵团）出具的属于监狱企业的证明文件。在政府采购活动中，监狱企业视同小型、微型企业。</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23.1.3 《三部门联合发布关于促进残疾人就业政府采购政策的通知》（财库〔2017〕141号）；</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23.2落实优先采购节能、环保产品的政策</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23.2.1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23.2.2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所有投标产品进入 “节能产品政府采购品目清单”的，应提供相关证书复印件，相关证书的颁发机构应来自《参与实施政府采购节能产品认证机构名录》。</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所有投标产品进入“环境标志产品政府采购品目清单”的，应提供相关证书复印件，相关证书的颁发机构应来自《参与实施政府采购环境标志产品认证机构名录》。</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23.3政府采购信用融资政策</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政府采购信用融资是指银行业金融机构以政府采购诚信考核和信用审查为基础，凭借政府采购合同，按优于一般中小企业的贷款利率直接向申请贷款的投标人发放贷款的一种融资方式。融资金额未超过政府采购合同金额的，银行原则上不得要求投标人提供财产抵押或第三方担保或其他任何形式的担保条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依据《陕西省财政厅关于印发〈陕西省中小企业政府采购信用融资办法〉的通知》（陕财办采〔2018〕23号）、《陕西省财政厅关于加快推进我省中小企业政府采购信用融资工作的通知》（陕财办采</w:t>
      </w:r>
      <w:r>
        <w:rPr>
          <w:rFonts w:hint="eastAsia" w:ascii="宋体" w:hAnsi="宋体" w:eastAsia="宋体" w:cs="宋体"/>
          <w:sz w:val="24"/>
          <w:lang w:eastAsia="zh-CN"/>
        </w:rPr>
        <w:t>〔2020〕15号</w:t>
      </w:r>
      <w:r>
        <w:rPr>
          <w:rFonts w:hint="eastAsia" w:ascii="宋体" w:hAnsi="宋体" w:eastAsia="宋体" w:cs="宋体"/>
          <w:sz w:val="24"/>
        </w:rPr>
        <w:t>），有融资需求的投标人可根据自身情况，在“陕西政府采购信用融资平台（含各市分平台）”查询并办理相关业务。</w:t>
      </w:r>
    </w:p>
    <w:p>
      <w:pPr>
        <w:rPr>
          <w:rFonts w:hint="eastAsia" w:ascii="宋体" w:hAnsi="宋体" w:eastAsia="宋体" w:cs="宋体"/>
          <w:b/>
          <w:sz w:val="24"/>
        </w:rPr>
      </w:pPr>
      <w:bookmarkStart w:id="65" w:name="__RefHeading___Toc413314952"/>
      <w:bookmarkEnd w:id="65"/>
      <w:bookmarkStart w:id="66" w:name="_Toc75259359"/>
      <w:r>
        <w:rPr>
          <w:rFonts w:hint="eastAsia" w:ascii="宋体" w:hAnsi="宋体" w:eastAsia="宋体" w:cs="宋体"/>
          <w:b/>
          <w:sz w:val="24"/>
        </w:rPr>
        <w:br w:type="page"/>
      </w:r>
    </w:p>
    <w:p>
      <w:pPr>
        <w:spacing w:line="360" w:lineRule="auto"/>
        <w:jc w:val="center"/>
        <w:outlineLvl w:val="0"/>
        <w:rPr>
          <w:rFonts w:hint="eastAsia" w:ascii="宋体" w:hAnsi="宋体" w:eastAsia="宋体" w:cs="宋体"/>
          <w:b/>
          <w:sz w:val="32"/>
          <w:szCs w:val="32"/>
        </w:rPr>
      </w:pPr>
      <w:bookmarkStart w:id="67" w:name="_Toc14177"/>
      <w:r>
        <w:rPr>
          <w:rFonts w:hint="eastAsia" w:ascii="宋体" w:hAnsi="宋体" w:eastAsia="宋体" w:cs="宋体"/>
          <w:b/>
          <w:sz w:val="32"/>
          <w:szCs w:val="32"/>
        </w:rPr>
        <w:t>第四部分</w:t>
      </w:r>
      <w:bookmarkEnd w:id="66"/>
      <w:r>
        <w:rPr>
          <w:rFonts w:hint="eastAsia" w:ascii="宋体" w:hAnsi="宋体" w:eastAsia="宋体" w:cs="宋体"/>
          <w:b/>
          <w:sz w:val="32"/>
          <w:szCs w:val="32"/>
        </w:rPr>
        <w:t xml:space="preserve"> 采购需求</w:t>
      </w:r>
      <w:bookmarkEnd w:id="67"/>
    </w:p>
    <w:p>
      <w:pPr>
        <w:spacing w:line="360" w:lineRule="auto"/>
        <w:ind w:firstLine="562" w:firstLineChars="200"/>
        <w:rPr>
          <w:rFonts w:hint="eastAsia" w:ascii="宋体" w:hAnsi="宋体" w:eastAsia="宋体" w:cs="宋体"/>
          <w:b/>
          <w:bCs/>
          <w:sz w:val="28"/>
          <w:szCs w:val="28"/>
        </w:rPr>
      </w:pPr>
      <w:bookmarkStart w:id="68" w:name="_Toc15647"/>
      <w:r>
        <w:rPr>
          <w:rFonts w:hint="eastAsia" w:ascii="宋体" w:hAnsi="宋体" w:eastAsia="宋体" w:cs="宋体"/>
          <w:b/>
          <w:bCs/>
          <w:sz w:val="28"/>
          <w:szCs w:val="28"/>
        </w:rPr>
        <w:t>1.采购要求</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1.1项目名称：延安市考试管理中心高考综合改革信息化管理平台建设项目；</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1.2财政资金，资金已落实到位；</w:t>
      </w:r>
    </w:p>
    <w:p>
      <w:pPr>
        <w:spacing w:line="360" w:lineRule="auto"/>
        <w:ind w:firstLine="480" w:firstLineChars="200"/>
        <w:jc w:val="left"/>
        <w:rPr>
          <w:rFonts w:hint="eastAsia" w:ascii="宋体" w:hAnsi="宋体" w:eastAsia="宋体" w:cs="宋体"/>
          <w:sz w:val="24"/>
          <w:highlight w:val="yellow"/>
          <w:lang w:eastAsia="zh-CN"/>
        </w:rPr>
      </w:pPr>
      <w:r>
        <w:rPr>
          <w:rFonts w:hint="eastAsia" w:ascii="宋体" w:hAnsi="宋体" w:eastAsia="宋体" w:cs="宋体"/>
          <w:sz w:val="24"/>
        </w:rPr>
        <w:t>1.3建设期：</w:t>
      </w:r>
      <w:bookmarkStart w:id="69" w:name="OLE_LINK2"/>
      <w:r>
        <w:rPr>
          <w:rFonts w:hint="eastAsia" w:ascii="宋体" w:hAnsi="宋体" w:eastAsia="宋体" w:cs="宋体"/>
          <w:sz w:val="24"/>
        </w:rPr>
        <w:t>合同签订之日起90个日历天完成建设及平台部署</w:t>
      </w:r>
      <w:r>
        <w:rPr>
          <w:rFonts w:hint="eastAsia" w:ascii="宋体" w:hAnsi="宋体" w:eastAsia="宋体" w:cs="宋体"/>
          <w:sz w:val="24"/>
          <w:lang w:eastAsia="zh-CN"/>
        </w:rPr>
        <w:t>，</w:t>
      </w:r>
      <w:r>
        <w:rPr>
          <w:rFonts w:hint="eastAsia" w:ascii="宋体" w:hAnsi="宋体" w:eastAsia="宋体" w:cs="宋体"/>
          <w:sz w:val="24"/>
        </w:rPr>
        <w:t>并提供运维服务三年</w:t>
      </w:r>
      <w:bookmarkEnd w:id="69"/>
      <w:r>
        <w:rPr>
          <w:rFonts w:hint="eastAsia" w:ascii="宋体" w:hAnsi="宋体" w:eastAsia="宋体" w:cs="宋体"/>
          <w:sz w:val="24"/>
          <w:lang w:eastAsia="zh-CN"/>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1.4实施地点：采购人指定地点；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1.5付款方式：采购人与成交供应商签订合同时具体商定（授予中小企业政府采购合同预付款比例不得低于合同价款的40%）；</w:t>
      </w:r>
    </w:p>
    <w:p>
      <w:pPr>
        <w:keepNext/>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1.6质量要求：符合国家相关合格标准。</w:t>
      </w:r>
    </w:p>
    <w:bookmarkEnd w:id="68"/>
    <w:p>
      <w:pPr>
        <w:spacing w:line="360" w:lineRule="auto"/>
        <w:ind w:left="420" w:leftChars="200"/>
        <w:rPr>
          <w:rFonts w:hint="eastAsia" w:ascii="宋体" w:hAnsi="宋体" w:eastAsia="宋体" w:cs="宋体"/>
          <w:b/>
          <w:bCs/>
          <w:sz w:val="28"/>
          <w:szCs w:val="28"/>
        </w:rPr>
      </w:pPr>
      <w:r>
        <w:rPr>
          <w:rFonts w:hint="eastAsia" w:ascii="宋体" w:hAnsi="宋体" w:eastAsia="宋体" w:cs="宋体"/>
          <w:b/>
          <w:bCs/>
          <w:sz w:val="28"/>
          <w:szCs w:val="28"/>
        </w:rPr>
        <w:t>2.采购内容</w:t>
      </w:r>
    </w:p>
    <w:p>
      <w:pPr>
        <w:pStyle w:val="4"/>
        <w:rPr>
          <w:rFonts w:hint="eastAsia" w:ascii="宋体" w:hAnsi="宋体" w:eastAsia="宋体" w:cs="宋体"/>
          <w:b/>
          <w:bCs/>
          <w:color w:val="000000" w:themeColor="text1"/>
          <w:sz w:val="24"/>
          <w14:textFill>
            <w14:solidFill>
              <w14:schemeClr w14:val="tx1"/>
            </w14:solidFill>
          </w14:textFill>
        </w:rPr>
      </w:pPr>
      <w:bookmarkStart w:id="70" w:name="_Toc28995"/>
      <w:r>
        <w:rPr>
          <w:rFonts w:hint="eastAsia" w:ascii="宋体" w:hAnsi="宋体" w:eastAsia="宋体" w:cs="宋体"/>
          <w:b/>
          <w:bCs/>
          <w:color w:val="000000" w:themeColor="text1"/>
          <w:sz w:val="24"/>
          <w14:textFill>
            <w14:solidFill>
              <w14:schemeClr w14:val="tx1"/>
            </w14:solidFill>
          </w14:textFill>
        </w:rPr>
        <w:t>一、项目简介</w:t>
      </w:r>
      <w:bookmarkEnd w:id="70"/>
    </w:p>
    <w:p>
      <w:pPr>
        <w:spacing w:line="360" w:lineRule="auto"/>
        <w:ind w:firstLine="480"/>
        <w:rPr>
          <w:rFonts w:hint="eastAsia" w:ascii="宋体" w:hAnsi="宋体" w:eastAsia="宋体" w:cs="宋体"/>
          <w:sz w:val="24"/>
          <w:lang w:bidi="ar"/>
        </w:rPr>
      </w:pPr>
      <w:r>
        <w:rPr>
          <w:rFonts w:ascii="宋体" w:hAnsi="宋体" w:eastAsia="宋体" w:cs="宋体"/>
          <w:sz w:val="24"/>
          <w:lang w:bidi="ar"/>
        </w:rPr>
        <w:t>延安市考试管理中心高考综合改革信息化管理平台建设项目</w:t>
      </w:r>
      <w:r>
        <w:rPr>
          <w:rFonts w:hint="eastAsia" w:ascii="宋体" w:hAnsi="宋体" w:eastAsia="宋体" w:cs="宋体"/>
          <w:sz w:val="24"/>
          <w:lang w:bidi="ar"/>
        </w:rPr>
        <w:t>以</w:t>
      </w:r>
      <w:r>
        <w:rPr>
          <w:rFonts w:hint="eastAsia" w:ascii="宋体" w:hAnsi="宋体" w:eastAsia="宋体" w:cs="宋体"/>
          <w:sz w:val="24"/>
          <w:lang w:eastAsia="zh-CN" w:bidi="ar"/>
        </w:rPr>
        <w:t>“</w:t>
      </w:r>
      <w:r>
        <w:rPr>
          <w:rFonts w:hint="eastAsia" w:ascii="宋体" w:hAnsi="宋体" w:eastAsia="宋体" w:cs="宋体"/>
          <w:sz w:val="24"/>
          <w:lang w:bidi="ar"/>
        </w:rPr>
        <w:t>数字赋能、精准施策、全域协同</w:t>
      </w:r>
      <w:r>
        <w:rPr>
          <w:rFonts w:hint="eastAsia" w:ascii="宋体" w:hAnsi="宋体" w:eastAsia="宋体" w:cs="宋体"/>
          <w:sz w:val="24"/>
          <w:lang w:eastAsia="zh-CN" w:bidi="ar"/>
        </w:rPr>
        <w:t>”</w:t>
      </w:r>
      <w:r>
        <w:rPr>
          <w:rFonts w:hint="eastAsia" w:ascii="宋体" w:hAnsi="宋体" w:eastAsia="宋体" w:cs="宋体"/>
          <w:sz w:val="24"/>
          <w:lang w:bidi="ar"/>
        </w:rPr>
        <w:t>为总体目标，着力构建覆盖市、县、校三级联动的智慧教育管理体系。</w:t>
      </w:r>
    </w:p>
    <w:p>
      <w:pPr>
        <w:spacing w:line="360" w:lineRule="auto"/>
        <w:ind w:firstLine="480"/>
        <w:rPr>
          <w:rFonts w:hint="eastAsia" w:ascii="宋体" w:hAnsi="宋体" w:eastAsia="宋体" w:cs="宋体"/>
          <w:sz w:val="24"/>
          <w:lang w:bidi="ar"/>
        </w:rPr>
      </w:pPr>
      <w:r>
        <w:rPr>
          <w:rFonts w:hint="eastAsia" w:ascii="宋体" w:hAnsi="宋体" w:eastAsia="宋体" w:cs="宋体"/>
          <w:color w:val="000000" w:themeColor="text1"/>
          <w:sz w:val="24"/>
          <w:highlight w:val="none"/>
          <w:lang w:bidi="ar"/>
          <w14:textFill>
            <w14:solidFill>
              <w14:schemeClr w14:val="tx1"/>
            </w14:solidFill>
          </w14:textFill>
        </w:rPr>
        <w:t>教育资源评估、选科统筹、走班排课、生涯指导规划、考试阅卷等</w:t>
      </w:r>
      <w:r>
        <w:rPr>
          <w:rFonts w:hint="eastAsia" w:ascii="宋体" w:hAnsi="宋体" w:eastAsia="宋体" w:cs="宋体"/>
          <w:color w:val="000000" w:themeColor="text1"/>
          <w:sz w:val="24"/>
          <w:lang w:bidi="ar"/>
          <w14:textFill>
            <w14:solidFill>
              <w14:schemeClr w14:val="tx1"/>
            </w14:solidFill>
          </w14:textFill>
        </w:rPr>
        <w:t>核心功能，</w:t>
      </w:r>
      <w:r>
        <w:rPr>
          <w:rFonts w:hint="eastAsia" w:ascii="宋体" w:hAnsi="宋体" w:eastAsia="宋体" w:cs="宋体"/>
          <w:sz w:val="24"/>
          <w:lang w:bidi="ar"/>
        </w:rPr>
        <w:t>实现新高考全流程数字化管理。项目通过建设市级管理平台和学校应用系统，实现全市高中教育数据全域接入，实现全市范围内高考改革工作的统筹开展、教育数据的统一管理，教育资源公平配置，打造教育数字化转型的延安样板。</w:t>
      </w:r>
    </w:p>
    <w:p>
      <w:pPr>
        <w:pStyle w:val="4"/>
        <w:rPr>
          <w:rFonts w:hint="eastAsia" w:ascii="宋体" w:hAnsi="宋体" w:eastAsia="宋体" w:cs="宋体"/>
          <w:b/>
          <w:bCs/>
          <w:color w:val="000000" w:themeColor="text1"/>
          <w:sz w:val="24"/>
          <w14:textFill>
            <w14:solidFill>
              <w14:schemeClr w14:val="tx1"/>
            </w14:solidFill>
          </w14:textFill>
        </w:rPr>
      </w:pPr>
      <w:bookmarkStart w:id="71" w:name="_Toc24745"/>
      <w:r>
        <w:rPr>
          <w:rFonts w:hint="eastAsia" w:ascii="宋体" w:hAnsi="宋体" w:eastAsia="宋体" w:cs="宋体"/>
          <w:b/>
          <w:bCs/>
          <w:color w:val="000000" w:themeColor="text1"/>
          <w:sz w:val="24"/>
          <w14:textFill>
            <w14:solidFill>
              <w14:schemeClr w14:val="tx1"/>
            </w14:solidFill>
          </w14:textFill>
        </w:rPr>
        <w:t>二、采购内容</w:t>
      </w:r>
      <w:bookmarkEnd w:id="71"/>
    </w:p>
    <w:p>
      <w:pPr>
        <w:spacing w:line="360" w:lineRule="auto"/>
        <w:ind w:firstLine="480"/>
        <w:rPr>
          <w:rFonts w:hint="eastAsia" w:ascii="宋体" w:hAnsi="宋体" w:eastAsia="宋体" w:cs="宋体"/>
          <w:sz w:val="24"/>
          <w:lang w:bidi="ar"/>
        </w:rPr>
      </w:pPr>
      <w:r>
        <w:rPr>
          <w:rFonts w:ascii="宋体" w:hAnsi="宋体" w:eastAsia="宋体" w:cs="宋体"/>
          <w:sz w:val="24"/>
          <w:lang w:bidi="ar"/>
        </w:rPr>
        <w:t>延安市考试管理中心高考综合改革信息化管理平台建设项目</w:t>
      </w:r>
      <w:r>
        <w:rPr>
          <w:rFonts w:hint="eastAsia" w:ascii="宋体" w:hAnsi="宋体" w:eastAsia="宋体" w:cs="宋体"/>
          <w:sz w:val="24"/>
          <w:lang w:bidi="ar"/>
        </w:rPr>
        <w:t>的主要建设内容包括软件建设和硬件建设两部分，以及相关配套</w:t>
      </w:r>
      <w:r>
        <w:rPr>
          <w:rFonts w:hint="eastAsia" w:ascii="宋体" w:hAnsi="宋体" w:eastAsia="宋体" w:cs="宋体"/>
          <w:sz w:val="24"/>
          <w:highlight w:val="none"/>
          <w:lang w:val="en-US" w:eastAsia="zh-CN" w:bidi="ar"/>
        </w:rPr>
        <w:t>运维</w:t>
      </w:r>
      <w:r>
        <w:rPr>
          <w:rFonts w:hint="eastAsia" w:ascii="宋体" w:hAnsi="宋体" w:eastAsia="宋体" w:cs="宋体"/>
          <w:sz w:val="24"/>
          <w:lang w:bidi="ar"/>
        </w:rPr>
        <w:t>服务。其中软件部分分为“区域管理系统”和“校级应用系统”，硬件部分为电子班牌。所建设的各项系统如下：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4603"/>
        <w:gridCol w:w="1746"/>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2478" w:type="pct"/>
          </w:tcPr>
          <w:p>
            <w:pPr>
              <w:spacing w:line="360" w:lineRule="auto"/>
              <w:jc w:val="center"/>
              <w:rPr>
                <w:rFonts w:hint="eastAsia" w:ascii="宋体" w:hAnsi="宋体" w:eastAsia="宋体" w:cs="宋体"/>
                <w:b/>
                <w:bCs/>
                <w:szCs w:val="21"/>
              </w:rPr>
            </w:pPr>
            <w:r>
              <w:rPr>
                <w:rFonts w:hint="eastAsia" w:ascii="宋体" w:hAnsi="宋体" w:eastAsia="宋体" w:cs="宋体"/>
                <w:b/>
                <w:bCs/>
                <w:szCs w:val="21"/>
              </w:rPr>
              <w:t>系统名称</w:t>
            </w:r>
          </w:p>
        </w:tc>
        <w:tc>
          <w:tcPr>
            <w:tcW w:w="940" w:type="pct"/>
          </w:tcPr>
          <w:p>
            <w:pPr>
              <w:spacing w:line="360"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1072" w:type="pct"/>
          </w:tcPr>
          <w:p>
            <w:pPr>
              <w:spacing w:line="360" w:lineRule="auto"/>
              <w:jc w:val="center"/>
              <w:rPr>
                <w:rFonts w:hint="eastAsia" w:ascii="宋体" w:hAnsi="宋体" w:eastAsia="宋体" w:cs="宋体"/>
                <w:b/>
                <w:bCs/>
                <w:szCs w:val="21"/>
              </w:rPr>
            </w:pPr>
            <w:r>
              <w:rPr>
                <w:rFonts w:hint="eastAsia" w:ascii="宋体" w:hAnsi="宋体" w:eastAsia="宋体" w:cs="宋体"/>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区域资源评估分析子系统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区域选科统计分析子系统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区域分班排课统计分析子系统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区域生涯规划统计分析子系统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区域联考阅卷子系统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区域成绩管理子系统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区域大数据驾驶舱子系统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lang w:bidi="ar"/>
              </w:rPr>
              <w:t>学校资源评估子系统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lang w:bidi="ar"/>
              </w:rPr>
              <w:t>学校选科子系统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lang w:bidi="ar"/>
              </w:rPr>
              <w:t>学校智能分班子系统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11</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rPr>
              <w:t>学校智能排课</w:t>
            </w:r>
            <w:r>
              <w:rPr>
                <w:rFonts w:hint="eastAsia" w:ascii="宋体" w:hAnsi="宋体" w:eastAsia="宋体" w:cs="宋体"/>
                <w:szCs w:val="21"/>
                <w:lang w:bidi="ar"/>
              </w:rPr>
              <w:t>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lang w:bidi="ar"/>
              </w:rPr>
              <w:t>学校学生生涯探索子系统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13</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lang w:bidi="ar"/>
              </w:rPr>
              <w:t>学校阅卷子系统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14</w:t>
            </w:r>
          </w:p>
        </w:tc>
        <w:tc>
          <w:tcPr>
            <w:tcW w:w="2478" w:type="pct"/>
          </w:tcPr>
          <w:p>
            <w:pPr>
              <w:spacing w:line="360" w:lineRule="auto"/>
              <w:jc w:val="center"/>
              <w:rPr>
                <w:rFonts w:hint="eastAsia" w:ascii="宋体" w:hAnsi="宋体" w:eastAsia="宋体" w:cs="宋体"/>
                <w:szCs w:val="21"/>
              </w:rPr>
            </w:pPr>
            <w:r>
              <w:rPr>
                <w:rFonts w:hint="eastAsia" w:ascii="宋体" w:hAnsi="宋体" w:eastAsia="宋体" w:cs="宋体"/>
                <w:szCs w:val="21"/>
                <w:lang w:bidi="ar"/>
              </w:rPr>
              <w:t>学校成绩管理子系统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15</w:t>
            </w:r>
          </w:p>
        </w:tc>
        <w:tc>
          <w:tcPr>
            <w:tcW w:w="2478" w:type="pct"/>
          </w:tcPr>
          <w:p>
            <w:pPr>
              <w:spacing w:line="360" w:lineRule="auto"/>
              <w:jc w:val="center"/>
              <w:rPr>
                <w:rFonts w:hint="eastAsia" w:ascii="宋体" w:hAnsi="宋体" w:eastAsia="宋体" w:cs="宋体"/>
                <w:szCs w:val="21"/>
                <w:lang w:bidi="ar"/>
              </w:rPr>
            </w:pPr>
            <w:r>
              <w:rPr>
                <w:rFonts w:hint="eastAsia" w:ascii="宋体" w:hAnsi="宋体" w:eastAsia="宋体" w:cs="宋体"/>
                <w:szCs w:val="21"/>
                <w:lang w:bidi="ar"/>
              </w:rPr>
              <w:t>学校大数据汇总与分析子系统</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16</w:t>
            </w:r>
          </w:p>
        </w:tc>
        <w:tc>
          <w:tcPr>
            <w:tcW w:w="2478" w:type="pct"/>
          </w:tcPr>
          <w:p>
            <w:pPr>
              <w:spacing w:line="360" w:lineRule="auto"/>
              <w:jc w:val="center"/>
              <w:rPr>
                <w:rFonts w:hint="eastAsia" w:ascii="宋体" w:hAnsi="宋体" w:eastAsia="宋体" w:cs="宋体"/>
                <w:szCs w:val="21"/>
                <w:lang w:bidi="ar"/>
              </w:rPr>
            </w:pPr>
            <w:r>
              <w:rPr>
                <w:rFonts w:hint="eastAsia" w:ascii="宋体" w:hAnsi="宋体" w:eastAsia="宋体" w:cs="宋体"/>
                <w:szCs w:val="21"/>
                <w:lang w:bidi="ar"/>
              </w:rPr>
              <w:t>电子班牌</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144</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tcPr>
          <w:p>
            <w:pPr>
              <w:spacing w:line="360" w:lineRule="auto"/>
              <w:jc w:val="center"/>
              <w:rPr>
                <w:rFonts w:hint="eastAsia" w:ascii="宋体" w:hAnsi="宋体" w:eastAsia="宋体" w:cs="宋体"/>
                <w:szCs w:val="21"/>
              </w:rPr>
            </w:pPr>
            <w:r>
              <w:rPr>
                <w:rFonts w:hint="eastAsia" w:ascii="宋体" w:hAnsi="宋体" w:eastAsia="宋体" w:cs="宋体"/>
                <w:szCs w:val="21"/>
              </w:rPr>
              <w:t>17</w:t>
            </w:r>
          </w:p>
        </w:tc>
        <w:tc>
          <w:tcPr>
            <w:tcW w:w="2478" w:type="pct"/>
          </w:tcPr>
          <w:p>
            <w:pPr>
              <w:spacing w:line="360" w:lineRule="auto"/>
              <w:jc w:val="center"/>
              <w:rPr>
                <w:rFonts w:hint="eastAsia" w:ascii="宋体" w:hAnsi="宋体" w:eastAsia="宋体" w:cs="宋体"/>
                <w:szCs w:val="21"/>
                <w:lang w:bidi="ar"/>
              </w:rPr>
            </w:pPr>
            <w:r>
              <w:rPr>
                <w:rFonts w:hint="eastAsia" w:ascii="宋体" w:hAnsi="宋体" w:eastAsia="宋体" w:cs="宋体"/>
                <w:szCs w:val="21"/>
                <w:lang w:bidi="ar"/>
              </w:rPr>
              <w:t>系统运维服务</w:t>
            </w:r>
          </w:p>
        </w:tc>
        <w:tc>
          <w:tcPr>
            <w:tcW w:w="940" w:type="pct"/>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072" w:type="pct"/>
          </w:tcPr>
          <w:p>
            <w:pPr>
              <w:spacing w:line="360" w:lineRule="auto"/>
              <w:jc w:val="center"/>
              <w:rPr>
                <w:rFonts w:hint="eastAsia" w:ascii="宋体" w:hAnsi="宋体" w:eastAsia="宋体" w:cs="宋体"/>
                <w:szCs w:val="21"/>
              </w:rPr>
            </w:pPr>
            <w:r>
              <w:rPr>
                <w:rFonts w:hint="eastAsia" w:ascii="宋体" w:hAnsi="宋体" w:eastAsia="宋体" w:cs="宋体"/>
                <w:szCs w:val="21"/>
              </w:rPr>
              <w:t>年</w:t>
            </w:r>
          </w:p>
        </w:tc>
      </w:tr>
    </w:tbl>
    <w:p>
      <w:pPr>
        <w:pStyle w:val="4"/>
        <w:rPr>
          <w:rFonts w:hint="eastAsia" w:ascii="宋体" w:hAnsi="宋体" w:eastAsia="宋体" w:cs="宋体"/>
          <w:b/>
          <w:bCs/>
          <w:color w:val="000000" w:themeColor="text1"/>
          <w:sz w:val="21"/>
          <w:szCs w:val="21"/>
          <w14:textFill>
            <w14:solidFill>
              <w14:schemeClr w14:val="tx1"/>
            </w14:solidFill>
          </w14:textFill>
        </w:rPr>
      </w:pPr>
      <w:bookmarkStart w:id="72" w:name="_Toc14084"/>
      <w:r>
        <w:rPr>
          <w:rFonts w:hint="eastAsia" w:ascii="宋体" w:hAnsi="宋体" w:eastAsia="宋体" w:cs="宋体"/>
          <w:b/>
          <w:bCs/>
          <w:color w:val="000000" w:themeColor="text1"/>
          <w:sz w:val="21"/>
          <w:szCs w:val="21"/>
          <w14:textFill>
            <w14:solidFill>
              <w14:schemeClr w14:val="tx1"/>
            </w14:solidFill>
          </w14:textFill>
        </w:rPr>
        <w:t>三、技术要求</w:t>
      </w:r>
      <w:bookmarkEnd w:id="7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697"/>
        <w:gridCol w:w="6503"/>
        <w:gridCol w:w="39"/>
        <w:gridCol w:w="60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375" w:type="pct"/>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分项名称</w:t>
            </w:r>
          </w:p>
        </w:tc>
        <w:tc>
          <w:tcPr>
            <w:tcW w:w="3521" w:type="pct"/>
            <w:gridSpan w:val="2"/>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功能需求</w:t>
            </w:r>
          </w:p>
        </w:tc>
        <w:tc>
          <w:tcPr>
            <w:tcW w:w="325" w:type="pct"/>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248" w:type="pct"/>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一</w:t>
            </w:r>
          </w:p>
        </w:tc>
        <w:tc>
          <w:tcPr>
            <w:tcW w:w="4470" w:type="pct"/>
            <w:gridSpan w:val="5"/>
            <w:vAlign w:val="center"/>
          </w:tcPr>
          <w:p>
            <w:pPr>
              <w:widowControl/>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区域管理系统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375" w:type="pct"/>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区域资源评估分析子系统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评估进度管理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1.以地图形式展示全市及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的资源评估进度，展示区域内报告总数；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2.展示全市及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评估进度详情、学校评估进度、报告数量等内容；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学校评估进度和报告数量。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整体资源评估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统计全市及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辖区学校教室资源和各科目教师资源；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2、通过地图或其他区域详情的形式查看资源情况，点击地图指定区域并查看</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详情，详情包括</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的各科目教师人数和教室配套数量；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3.可下载整体资源评估报告。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各区域资源评估</w:t>
            </w:r>
          </w:p>
          <w:p>
            <w:pPr>
              <w:widowControl/>
              <w:numPr>
                <w:ilvl w:val="0"/>
                <w:numId w:val="3"/>
              </w:numPr>
            </w:pPr>
            <w:r>
              <w:rPr>
                <w:rFonts w:hint="eastAsia" w:ascii="宋体" w:hAnsi="宋体" w:eastAsia="宋体" w:cs="宋体"/>
                <w:color w:val="000000"/>
                <w:kern w:val="0"/>
                <w:szCs w:val="21"/>
              </w:rPr>
              <w:t>统计全市及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教师、教室资源详细情况，包括各科目教师人数和教室配套数量；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2、教师资源包括各单科资源情况、</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师资增减对比情况，统计</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教室资源增减对比情况；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学校评估报告</w:t>
            </w:r>
          </w:p>
          <w:p>
            <w:pPr>
              <w:widowControl/>
              <w:numPr>
                <w:ilvl w:val="0"/>
                <w:numId w:val="4"/>
              </w:numPr>
            </w:pPr>
            <w:r>
              <w:rPr>
                <w:rFonts w:hint="eastAsia" w:ascii="宋体" w:hAnsi="宋体" w:eastAsia="宋体" w:cs="宋体"/>
                <w:color w:val="000000"/>
                <w:kern w:val="0"/>
                <w:szCs w:val="21"/>
              </w:rPr>
              <w:t>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内的学校评估报告列表详情，包括学校名称、校区名称、评估进度等；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2.查看和下载某个学校的资源评估报告，报告内容包括选科分析情况、走班模式与资源评估、学生选科大数据分析等内容。</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区域评估报告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1.可选择区域内参与生成报告的学校，能够按条件选择参与报告生成的学校；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报告可预览，报告内容包括区域资源现状统计、选科完成情况、单科选科分析、组合选科分析、选科结果对比学科能力和兴趣和专业匹配分析、走班情况统计分析、教师资源和教室资源评估、学生职业性格测试结果分析、学生职业兴趣测试结果分析、总结与建议等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3.能保留历史生成记录，可重复下载和删除已生成的报告。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行业人才预测</w:t>
            </w:r>
          </w:p>
          <w:p>
            <w:pP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查看学生选择大学专业的分布情况；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2、查看各专业对应的学生人数。</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区域选科统计分析子系统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区域内选科进程</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能够以地图和表格的形式展示全区域高中学校的整体选科进度、完成选科的学校数据量、学校占比、各学校的选科完成进度；（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2.按不同百分比区间以不同颜色深度展示选科完成度；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3.可查看全市及</w:t>
            </w:r>
            <w:r>
              <w:rPr>
                <w:rFonts w:hint="eastAsia" w:ascii="宋体" w:hAnsi="宋体" w:eastAsia="宋体" w:cs="宋体"/>
                <w:color w:val="000000" w:themeColor="text1"/>
                <w:kern w:val="0"/>
                <w:szCs w:val="21"/>
                <w:lang w:eastAsia="zh-CN"/>
                <w14:textFill>
                  <w14:solidFill>
                    <w14:schemeClr w14:val="tx1"/>
                  </w14:solidFill>
                </w14:textFill>
              </w:rPr>
              <w:t>各县（市、区）</w:t>
            </w:r>
            <w:r>
              <w:rPr>
                <w:rFonts w:hint="eastAsia" w:ascii="宋体" w:hAnsi="宋体" w:eastAsia="宋体" w:cs="宋体"/>
                <w:color w:val="000000"/>
                <w:kern w:val="0"/>
                <w:szCs w:val="21"/>
              </w:rPr>
              <w:t>内选科工作已完成百分比，未完成学校及数量。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学生选科结果分析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以地图形式展示全市所有高中学校的整体选科进度；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2、按不同百分比区间以不同颜色深度展示选科完成度。</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各区域选科进程</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可查看全市及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整体选科进程；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2、可查看</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学校详细情况，包括各学校选科进度、选科轮次、规模/人数以及学校层级等；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3、可通过学校名称等条件进行搜索。</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各学校选科进程管理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内某次选科结果和时间区间内的选科情况；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 xml:space="preserve">内学校详情，包括各学校选科进度、已完成选科次数、选科人数/总人数，以及学校层级等；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3.可通过学校名称或关键字进行搜索。</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单科选科结果统计与分析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1.可查看区域内各单科的选科人数、选科占比信息，同时可根据大学专业招生选科要求，图形化展现学生选科数据与大学专业选科的对比分析结果，包括重点大学专业要求、普通大学专业要求等；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2.可查看最新选科结果及最终采用选科结果，可按照行政区划或学校进行筛选；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3.可查看所有中学或省级示范校下各单科学生选择情况包括比例及人数等；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4.可下载单科选科结果报告。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组合选科结果统计与分析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1.可查看不同</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不同学校的组合选科分析结果；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2.可统计多种选科模式下不同选科组合占比等，满足对选科结果的细化统计与分析需要；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3.可查看最新选科结果以及最终采用选科结果。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选科结果匹配分析</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可统计分析学生选科匹配度，按选科不匹配、一般匹配、很好匹配以饼状图形式查看并分析学生匹配度占比情况；（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2、分析学生选科匹配程度；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3、以饼图形式展示不同匹配程度的学生占比情况。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实际选科组合</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内指定年级的最新选科结果或最终采用选科结果；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内学校实际开启的选科组合数量；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3、查看各组合数量段内的学校详情。</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选科报告管理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统计</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内已完成选科的学校情况；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2、选择参与生成报告的学校，可选择全部，通过搜索选择参与报告生成的学校；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3、生成报告后，可报告预览；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4、保留历史生成记录，重复下载和删除已生成的报告。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MBTI职业性格统计</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设置</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、学段、年级等筛选条件；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2、查看MBTI职业性格统计分析结果。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Holland职业兴趣统计</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设置</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、学段、年级等筛选条件；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2、查看MBTI职业性格统计分析结果；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3、选择某</w:t>
            </w:r>
            <w:r>
              <w:rPr>
                <w:rFonts w:hint="eastAsia" w:ascii="宋体" w:hAnsi="宋体" w:eastAsia="宋体" w:cs="宋体"/>
                <w:color w:val="000000"/>
                <w:kern w:val="0"/>
                <w:szCs w:val="21"/>
                <w:lang w:eastAsia="zh-CN"/>
              </w:rPr>
              <w:t>所</w:t>
            </w:r>
            <w:r>
              <w:rPr>
                <w:rFonts w:hint="eastAsia" w:ascii="宋体" w:hAnsi="宋体" w:eastAsia="宋体" w:cs="宋体"/>
                <w:color w:val="000000"/>
                <w:kern w:val="0"/>
                <w:szCs w:val="21"/>
              </w:rPr>
              <w:t>学校进行对比分析。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选科安排管理</w:t>
            </w:r>
          </w:p>
          <w:p>
            <w:pP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设置全市及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内学校的选科时间安排；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2、新建选科安排任务；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3、发布选科安排后，学校端会在校级选科应用系统上查看详细内容；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4、查看选科安排记录信息；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5、以列表形式展示，对已发布的选科安排进行修改和撤销操作。</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区域分班排课统计分析子系统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行政班班级统计分析</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1、可查看全市范围内学校的行政班班级规模占比、行政班班级数量和班均容量</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可针对不同班额下各地学校数量、占比进行分析，并显示各校年级规模、男女生比例、行政班数量；（提供由CMA或CNAS认证的第三方权威机构出具的测试报告，报告内容包含该功能点，并加盖投标人公章）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2、可以图表的形式展示统计数据；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3、可导出数据列表。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教学班班级统计分析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内各走班科目的选科走班教学班数量、不走班或走班占比、班级平均人数等数据；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2、通过图形化展示各学科选科走班教学班的班均人数、走班与非走班数量等信息。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学校走班比例分析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内进行1科走班、2科走班、3科走班、不走班情况下的学校占比；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2、展示不同走班科目对应的学校名单；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3、展示各校对应的年级规模和走班学生人数。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学校走班模式分析</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可查看在全市范围内按照校级统计查看所有学校的走班模式及占比情况，查看各走班模式下学校的分层情况，管理各维度实施走班教学的幅度、查看学校名称、所属区域、年级规模、开始走班时间、学校课表，并可报告下载；（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2、可以图表的形式展示统计数据；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3、可导出数据列表。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学校分层情况分析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对全市及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内学校的分层教学科目进行统计分析；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2、查看各分层科目对应的学校数量及占比；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3、查看各学校采用的走班模式及其他分层科目；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4、查看分层信息总览及分层信息详情。</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科目课时安排分析</w:t>
            </w:r>
          </w:p>
          <w:p>
            <w:pP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统计分析全市及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内各学校在不同年级的学生每周课时数；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2、统计分析全市及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内各学校在不同科目的学生每周课时数。</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区域生涯规划统计分析子系统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区域内生涯进度</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学校生涯系统使用情况；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2、通过地图形式展现</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完成度，</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完成度通过颜色深浅程度显示差异；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3、通过百分比形式展示完成度，查看全市及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内使用学校、学生数量及对应的完成百分比。</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区域学校使用情况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学校生涯使用情况；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2、通过图形形式展示</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学校数量及已完成占比；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3、查看</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内详细学校列表。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学校使用情况</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可查看区域各学校的生涯使用情况，包括各校对应的年级学生总数、使用学生数、学生使用率和是否重点院校；（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2、可导出学校信息列表。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测评结果分析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或某个单校的学生职业兴趣测评统计分析结果；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2、通过图形形式展示各类型学生人数占比情况，以及各兴趣类型适合的职业信息；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3、查看</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或某个单校的学生多元智能测评统计分析结果；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4、通过图形形式展示各类型学生分布情况；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5、查看</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或某个单校的学生职业性格测评统计分析结果；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6、展示各职业类型和职业性格的人数分布及占比情况；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7、查看</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或某个单校的学生价值观测评统计分析结果；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8、展示学生针对各类价值观选择人数的占比情况；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9、显示各类价值观的内涵和职业发展建议等相关信息；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10、查看</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或某个单校的学生决策风格测评统计分析结果；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11、展示学生各决策风格类型的占比情况，并显示各决策风格类型的信息；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12、查看</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或某个单校的学生学习风格测评统计分析结果；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13、展示学生各学习风格的占比情况，并显示各学习风格类型的信息；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14、查看</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或某个单校的学生学科兴趣潜能测评统计分析结果；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15、展示学生学科人数数据情况，并显示各科目学科兴趣数据；</w:t>
            </w:r>
            <w:r>
              <w:rPr>
                <w:rFonts w:hint="eastAsia" w:ascii="宋体" w:hAnsi="宋体" w:eastAsia="宋体" w:cs="宋体"/>
                <w:color w:val="000000"/>
                <w:kern w:val="0"/>
                <w:szCs w:val="21"/>
              </w:rPr>
              <w:br w:type="textWrapping"/>
            </w:r>
            <w:r>
              <w:rPr>
                <w:rFonts w:hint="eastAsia" w:ascii="宋体" w:hAnsi="宋体" w:eastAsia="宋体" w:cs="宋体"/>
                <w:szCs w:val="21"/>
              </w:rPr>
              <w:t>▲</w:t>
            </w:r>
            <w:r>
              <w:rPr>
                <w:rFonts w:hint="eastAsia" w:ascii="宋体" w:hAnsi="宋体" w:eastAsia="宋体" w:cs="宋体"/>
                <w:color w:val="000000"/>
                <w:kern w:val="0"/>
                <w:szCs w:val="21"/>
              </w:rPr>
              <w:t>16.可查看职业类型和职业性格的人数分布及占比情况，职业性格包括外倾和内倾、直觉和实感、情感和思考、知觉和判断四个维度。并可根据区域、学校进行查询。（提供由CMA或CNAS认证的第三方权威机构出具的测试报告，报告内容包含该功能点，并加盖投标人公章）</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生涯信息库</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按所在</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、院校类型、院校层次学校、院校特性等维度查看院校信息；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2、按专业层次和专业学科维度查看相关专业信息；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3、按职业类别查看相关专业的详细信息。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生涯学习资源管理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可添加资源；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2、可设置资源名称、资源类型、资源分类、资源可见范围等；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3、按照资源分类进行搜索查看；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4、以列表和视图形式查看资源信息；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5、可对消某个资源的共享操作。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生涯榜样管理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可添加榜样信息；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2、可设置榜样姓名、毕业院校、职业、行业、专业、国籍、排序值、榜样是否公开等信息；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3、添加榜样标签、主要成就、榜样简介等信息，也可更多的添加榜样信息。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生涯榜样总览</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按榜样名称查找榜样信息；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2、可设置榜样标签、内容分类、榜样来源等筛选条件；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3、以列表和视图形式查看榜样信息；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4、可取消某个榜样信息的共享操作。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学生个体发展报告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学校的学生生涯探索列表和学生生涯综合报告；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2、查看区域内学校列表信息；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3、按使用率和学校类型筛选查看，查看某个学校的学生信息；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4、提供下载学生个人生涯综合报告功能。</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生涯综合报告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1.可查看全市及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学校的学生生涯探索列表和学生生涯综合报告；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2.可查看区域内学校列表信息，包括学校名称、年级学生总数、使用学生数、学生使用率、重点院校，并能够按使用率和学校类型筛选查看；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某个学校的学生信息，学生个体生涯综合报告内容包括但不限于学生意向院校、意向专业、意向职业、生涯榜样、职业兴趣测评、多元智能测评、职业性格测评、价值观测评、决策风格测评、学习风格测评等测评结果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4.可下载学生个人生涯综合报告功能；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查看区域整体生涯综合报告，报告内容需包括但不限于生涯总体使用情况、学生意向院校前20分布情况、学生意向专业前20分布情况、学生意向职业前20分布情况、学生生涯榜样前20分布情况、职业兴趣测评、多元智能测评、职业性格测评、价值观测评、决策风格测评、学习风格测评结果统计数据，可下载PDF格式报告。</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区域联考阅卷子系统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联考管理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1.系统可在市、县、区等范围内，组织开展多校间的联合考试；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2.可不同区域校间的异步联考；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3.可某几所学校组织的联合测评活动；可下载联考学校名册；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联考可普通考试模式、文理科考试模式、</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新高考考试模式；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联考管理员可对阅卷进度和阅卷质量进行监测；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6.可查看整体联考的阅卷质量情况，阅卷任务分配情况；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7.可查看阅卷用时、批改的平均分、最高分和最低分，系统可阅卷异常筛查；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自动生成联考报告，报告可按照</w:t>
            </w:r>
            <w:r>
              <w:rPr>
                <w:rFonts w:hint="eastAsia" w:ascii="宋体" w:hAnsi="宋体" w:eastAsia="宋体" w:cs="宋体"/>
                <w:color w:val="000000"/>
                <w:kern w:val="0"/>
                <w:szCs w:val="21"/>
                <w:lang w:val="en-US" w:eastAsia="zh-CN"/>
              </w:rPr>
              <w:t>全</w:t>
            </w:r>
            <w:r>
              <w:rPr>
                <w:rFonts w:hint="eastAsia" w:ascii="宋体" w:hAnsi="宋体" w:eastAsia="宋体" w:cs="宋体"/>
                <w:color w:val="000000"/>
                <w:kern w:val="0"/>
                <w:szCs w:val="21"/>
              </w:rPr>
              <w:t>市及各</w:t>
            </w:r>
            <w:r>
              <w:rPr>
                <w:rFonts w:ascii="宋体" w:hAnsi="宋体" w:eastAsia="宋体" w:cs="宋体"/>
                <w:color w:val="000000"/>
                <w:kern w:val="0"/>
                <w:szCs w:val="21"/>
              </w:rPr>
              <w:t>县</w:t>
            </w:r>
            <w:r>
              <w:rPr>
                <w:rFonts w:hint="eastAsia" w:ascii="宋体" w:hAnsi="宋体" w:eastAsia="宋体" w:cs="宋体"/>
                <w:color w:val="000000"/>
                <w:kern w:val="0"/>
                <w:szCs w:val="21"/>
                <w:lang w:eastAsia="zh-CN"/>
              </w:rPr>
              <w:t>（</w:t>
            </w:r>
            <w:r>
              <w:rPr>
                <w:rFonts w:ascii="宋体" w:hAnsi="宋体" w:eastAsia="宋体" w:cs="宋体"/>
                <w:color w:val="000000"/>
                <w:kern w:val="0"/>
                <w:szCs w:val="21"/>
              </w:rPr>
              <w:t>市、区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等指定范围，生成区域联考报告；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可修改/删除/新增联考组；可下载联考组老师名册；可联考阅卷任务管理设置，可各校自阅、校级交叉阅卷、区域交叉阅卷或自定义阅卷任务分配；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考试组织机构管理员可查看所有范围考试报告，区域联考员</w:t>
            </w:r>
            <w:r>
              <w:rPr>
                <w:rFonts w:hint="eastAsia" w:ascii="宋体" w:hAnsi="宋体" w:eastAsia="宋体" w:cs="宋体"/>
                <w:color w:val="000000"/>
                <w:kern w:val="0"/>
                <w:szCs w:val="21"/>
                <w:lang w:eastAsia="zh-CN"/>
              </w:rPr>
              <w:t>只能看到</w:t>
            </w:r>
            <w:r>
              <w:rPr>
                <w:rFonts w:hint="eastAsia" w:ascii="宋体" w:hAnsi="宋体" w:eastAsia="宋体" w:cs="宋体"/>
                <w:color w:val="000000"/>
                <w:kern w:val="0"/>
                <w:szCs w:val="21"/>
              </w:rPr>
              <w:t>各自区域及区域所在学校的考试报告，各学校校领导可以查看各自学校考试报告，考试组织机构管理员对联考报告的可见性进行控制，包括：控制可见角色、控制可见内容；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系统自动生成区域统考需要的基础报表，至少包括：成绩单、一分四率、前后N名分布、分数段分布、学生档次分布、上线率统计、学科单双上线等，且报表中的参数可自主设置，并可从学校、班级不同的维度进行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各个区域、学校根据实际教学业务生成自定义考试报告；报告依据基础报表生成多个报告，可对报告指标、可见内容、分析范围进行设置。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答题卡制作</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1、可一键生成答题卡</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客观题答题区域自动生成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主观题答题区域高度根据试题答案的高度计算，并可以调整，答题区域可以从本机上传图片和从试卷该试题的图片抽取，答题卡可按A4、A3版式、A3分二分栏及三分栏、单双页数、拖动题目调整顺序、添加维码、选择颜色、设置分值、题号加以调整；（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2.题库可试题委托录入功能，市考试中心能够将电子文档上传，可将考试中心以往电子文档转为数据库存储的试题；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3.可以直接引用历史试卷。区域考试的试卷可以结构化存储到区域题库中，可试题再组卷和试卷下载。</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创建联考</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 系统可发起“单科目诊断”和“多科目诊断”考试任务，可学校将传统考试成绩导入任务，进行学业诊断；可按照新高考选科模式发布考试；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系统可发起小型测试，如“早晚测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周测”、月考，也可通过多科目开始组织期中、期末等不同类型考试；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可通过编辑模板名称、考试年级、选择批改方式、考试课程、考试班级来新增考试模板；可复用以往考试设置任务，并可对其进行编辑修改；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批改方式可“各改各班”与“流水批改”两种模式，可自主发布考试，存储考试模板；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可新增科目组织设置后该科目组长可看阅卷进度、可做下层的阅卷安排，可指派质检员权限，可精确到科目、到校、到阅卷组，质检员可看进度、抽检与打回工作；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可选择是否自动公布成绩，可对系统角色设置成绩可见权限。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扫描答题卡</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 可新增答题卡，可对新增答题卡进行基础信息编辑和考类型选择；可答题卡收藏至“我的答题卡”；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第三方答题卡库，可学校将历史应用过的答题卡、不同试题资源方供给的答题卡的模版进行收录，形成校本第三方答题卡库；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老师可以引用历史答题卡，引用历史答题卡后，历史答题卡的题型、题量、分值等信息自动引用，老师只要根据考试稍微修改即可，提高答题卡制作效率；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答题卡支持两种模式，可线上批改和线下批改。线上批改用于上传答题卡后网上阅卷，线下批改用于在纸质试卷批改后再上传，线下批改答题卡即可以打分框打分，也可以手写打分；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答题卡可A3/A4页面、A3二分栏/三分栏结构，可版面高度的调整，高度可自适应也可以选择手动调整</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答题卡可以添加密封线和禁止作答区域；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答题卡学号可条形码、填涂学号、手写考号或条形码+填涂等多种考生信息复合识别考号，可复合信息间自动核对过滤错漏信息；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可添加多个类型的题型：单选题、多选题、判断题、填空题、解答题、选做题以及添加卷面分等；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可拖动题目调整顺序、添加二维码、选择颜色、高考模式、设置分值、题号；答题卡可课程标记，开启标记后答题卡底部自动添加课程名称；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答题卡编辑时支持所见即所得，以便编辑时能充分考虑到答题卡的全貌。答题卡可客观题与主观题混排，不需要同一题型排在一起，可跨题型任意调整试题或同一题型拆分到不同区域；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答题卡编辑可一键切换中、高考模式，在考试模式下能够高仿中、高考答题卡，提升学生适应性，同时可隐藏掉二维码等与考试无关信息，确保答题卡的整洁度；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答题卡既可以按照整个年级上传，也可以按照班级分批上传，以满足小型测验和大型考试的不同需要，扫描是对答题卡摆放的顺序、正反面、上下颠倒等无任何要求，扫描识别软件可以自动识别校正；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既可系统自制答题卡，也可第三方答题卡，答题卡扫描可彩色扫描，答题卡扫描可主流厂商的扫描设备，系统提供扫描设备驱动安装服务。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可答题卡异常识别，可缺考智能识别处理，并可离线校验功能；可学科错扫后，转移扫描结果。异常处理时可同步扫描，实现边扫描边处理，不影响扫描进度，可补扫。</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阅卷设置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提供一键分配老师阅卷；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2、根据智能算法均衡每个老师的阅卷时间；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3、可以设置多评及仲裁模式；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4、根据设置的仲裁分值自动计算阅卷分值差异，判断是否需要仲裁。</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在线阅卷</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 可电脑端阅卷和移动端阅卷；可微信小程序阅卷，微信阅卷可横屏、竖屏阅卷，并能够对打分栏进行自定义设置，方便老师移动端阅卷；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可全学科智能阅卷，可选择题、填空题、判断题、解答题等全题型智能阅卷，可人机双评；可语文作文与英语作文智能批阅；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统内置精准教学AI大模型，大模型可识别数学、物理、化学等学科公式，针对全学科的填空题，可实现AI智能批改，兼容一题多答案或者答案变形等特色答题场景；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可加减打分，适用于仅需计算扣分的批分方式；可鼠标打分，通过点击分数按钮给分；可键盘打分，即键盘输入分数给分；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阅卷区域可通过拖拽等方式对阅卷窗口进行个性化布局，符合个人习惯。鼠标打分时，可记录高频分数，方便老师快速点击所需分数；同时打分可按照多个批分点进行打分，用于分步骤解答的题目；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可快速切换至下一题，可快速回滚至上一份作答，对批阅进行修改；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可对作答区域进行放大、缩小、旋转等操作，可对作答区域进行批注，用于标记优秀作答；可自定义批注和图标批注；可色彩加深处理，提高试卷画面的识别度；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可实时预览阅卷进度，查看阅卷历史；可实时跟踪题目作答质量，查</w:t>
            </w:r>
            <w:r>
              <w:rPr>
                <w:rFonts w:hint="eastAsia" w:ascii="宋体" w:hAnsi="宋体" w:eastAsia="宋体" w:cs="宋体"/>
                <w:color w:val="000000"/>
                <w:kern w:val="0"/>
                <w:szCs w:val="21"/>
                <w:lang w:eastAsia="zh-CN"/>
              </w:rPr>
              <w:t>看平</w:t>
            </w:r>
            <w:r>
              <w:rPr>
                <w:rFonts w:hint="eastAsia" w:ascii="宋体" w:hAnsi="宋体" w:eastAsia="宋体" w:cs="宋体"/>
                <w:color w:val="000000"/>
                <w:kern w:val="0"/>
                <w:szCs w:val="21"/>
              </w:rPr>
              <w:t>均分和最低最高分；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可批量批阅，可全科填空题一次性批改多个学生的作答，加快老师阅卷效率，数量可以自己设置；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可双评、三评、四评，可阅卷仲裁，通过阅卷页面即可进行仲裁阅卷，可查看仲裁卷份数与试卷详情；可导出仲裁教师信息；可单个题块打回重阅及选择多个题块或全选按题块打回重阅；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可对阅卷进度、阅卷质量进行跟踪；可异常阅卷监测功能，可设定偏差值，可导出阅卷曲线，帮助找出阅卷情况异常老师；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可提前对阅卷任务进行批量安排，可设置阅卷开启时间；可分步阅卷、组合阅卷；阅卷结束后能批量下载老师阅卷任务量，方便统计老师的工作量。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阅卷监测</w:t>
            </w:r>
          </w:p>
          <w:p>
            <w:pPr>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1、联考管理员可对阅卷进度和阅卷质量进行监测；可监测阅卷进度、阅卷质量、上传进度和试评报告</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可导出阅卷报告；（提供由CMA或CNAS认证的第三方权威机构出具的测试报告，报告内容包含该功能点，并加盖投标人公章）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2、可查看整体联考的阅卷质量情况；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3、可查看阅卷任务分配情况；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4、可查看阅卷用时、批改的平均分、最高分和最低分，系统可阅卷异常筛查。</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375"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区域成绩管理子系统</w:t>
            </w:r>
          </w:p>
        </w:tc>
        <w:tc>
          <w:tcPr>
            <w:tcW w:w="3521" w:type="pct"/>
            <w:gridSpan w:val="2"/>
            <w:vAlign w:val="center"/>
          </w:tcPr>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区域数据总览</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1.区域管理员可查看区域内历次省级统考和区域联考成绩情况，包括但不限于区域平均分排名、区域最高分、区域最低分等数据信息；</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2.可以地图形式按颜色深浅程度显示区域的成绩平均分高低，可按照0%-30%，30%-60%，60%-80%，80%-100%区间显示；</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3.管理员可按</w:t>
            </w:r>
            <w:r>
              <w:rPr>
                <w:rFonts w:hint="eastAsia" w:ascii="宋体" w:hAnsi="宋体" w:eastAsia="宋体" w:cs="宋体"/>
                <w:color w:val="000000" w:themeColor="text1"/>
                <w:kern w:val="0"/>
                <w:szCs w:val="21"/>
                <w:lang w:eastAsia="zh-CN"/>
                <w14:textFill>
                  <w14:solidFill>
                    <w14:schemeClr w14:val="tx1"/>
                  </w14:solidFill>
                </w14:textFill>
              </w:rPr>
              <w:t>全市及各县（市、区）</w:t>
            </w:r>
            <w:r>
              <w:rPr>
                <w:rFonts w:hint="eastAsia" w:ascii="宋体" w:hAnsi="宋体" w:eastAsia="宋体" w:cs="宋体"/>
                <w:color w:val="000000" w:themeColor="text1"/>
                <w:kern w:val="0"/>
                <w:szCs w:val="21"/>
                <w14:textFill>
                  <w14:solidFill>
                    <w14:schemeClr w14:val="tx1"/>
                  </w14:solidFill>
                </w14:textFill>
              </w:rPr>
              <w:t>和学段/年级进行筛选查看。</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区域成绩分析</w:t>
            </w:r>
          </w:p>
          <w:p>
            <w:pPr>
              <w:widowControl/>
              <w:numPr>
                <w:ilvl w:val="0"/>
                <w:numId w:val="5"/>
              </w:numP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区域管理员可查看区域内省级统考和区域联考成绩总体情况； </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2.可查看总成绩及各单科成绩的最高分、平均分、最低分，并以柱状图形式展示；</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3.可查看区域各校的成绩情况，可按学校名称、校内考生数、校内班级数等条件筛选查询，并以表格形式展示区域内所有学校的考生数、班级数、最高分、平均分、最低分等整体情况。</w:t>
            </w:r>
          </w:p>
          <w:p>
            <w:pPr>
              <w:widowControl/>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4.可根据考生所在地区赋分政策，</w:t>
            </w:r>
            <w:r>
              <w:rPr>
                <w:rFonts w:hint="eastAsia" w:ascii="宋体" w:hAnsi="宋体" w:eastAsia="宋体" w:cs="宋体"/>
                <w:color w:val="000000" w:themeColor="text1"/>
                <w:kern w:val="0"/>
                <w:szCs w:val="21"/>
                <w:lang w:val="en-US" w:eastAsia="zh-CN"/>
                <w14:textFill>
                  <w14:solidFill>
                    <w14:schemeClr w14:val="tx1"/>
                  </w14:solidFill>
                </w14:textFill>
              </w:rPr>
              <w:t>提供等级赋分管理及分析。</w:t>
            </w:r>
          </w:p>
          <w:p>
            <w:pPr>
              <w:widowControl/>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联考成绩管理</w:t>
            </w:r>
            <w:r>
              <w:rPr>
                <w:rFonts w:hint="eastAsia" w:ascii="宋体" w:hAnsi="宋体" w:eastAsia="宋体" w:cs="宋体"/>
                <w:color w:val="000000" w:themeColor="text1"/>
                <w:kern w:val="0"/>
                <w:szCs w:val="21"/>
                <w:lang w:eastAsia="zh-CN"/>
                <w14:textFill>
                  <w14:solidFill>
                    <w14:schemeClr w14:val="tx1"/>
                  </w14:solidFill>
                </w14:textFill>
              </w:rPr>
              <w:t>。</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 系统可按全市及各县（市、区）考试管理部门组织的统考、联考，联考的成绩可以自动汇总到区域监测平台，同时学校内部可以看到自己本校的考试成绩与多维度的考试分析报告；</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 系统自动生成区域统考需要的基础报表，至少包括：成绩单、一分四率、前后N名分布、分数段分布、学生档次分布、上线率统计、学科单双上线等，数据报表可导出，用于其他教学应用系统使用；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 基础报表中的参数可自主设置，并可从市、区、县、校、班级不同的维度进行分析；可区域间对比分析、校间对比分析、往届对比分析；</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 系统可任意选择多场考试后进行考试质量跟踪，跟踪的指标可以自主设定，可以从市、区、县、校、班级不同的维度进行跟踪；</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 系统可自动统计该区域近五年中、高考的知识点考察频次及难度，可与区域真实考察的知识点频次及掌握度进行对比；</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 系统可统计到老师在历次考试的中均分、优秀率、及格率等指标的表现及进退步，可查看合班和分班的两种情况；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 系统可统计到学生在历次考试中的成绩及成绩进退步；</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 区域考试的试卷需结构化存储到区域题库中，可试题再组卷和试卷下载；</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9. 可以导入其他系统的成绩数据，在区域教学质量平台中进行分析。</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新建考试及上传成绩</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1.可区域管理员根据实际需求，自定义添加设置考试类型名称及考试类型标签名称，便于对区域成绩数据的管理与维护；</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2.可区级管理员统一添加和管理区域联考成绩数据；</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3.可新建并按模板上传原始成绩单，包括历次考试名称及日期、考试类型、数据范围、必考科目及分制、选考科目及分制（含等级考和合格考）；</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4.可复用已上传完成的某次联考成绩数据，并可进行再次修改、上传和删除操作。</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原始成绩单查看</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1.可查看历次联考成绩的原始成绩单，包括考试场次、考试科目、考试日期、区域联考人数、区域联考学校数（含区域联考学校名单）等数据信息；</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2.可查看区域所有学生的联考原始成绩单，包括学生考号、所属学校、姓名、性别、总成绩、总成绩联考排名、总成绩百分等级、各单科成绩、各单科成绩联考排名、各单科成绩百分等级等信息；</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3.可按学号、学生姓名、学校名称等条件筛选查询；</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4.可按学生ID、学校名称等条件筛选查询，可批量删除某些学生成绩数据，可逐条手动添加学生统考成绩数据，并可对已添加的学生成绩数据进行逐项修改和删除操作。</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校间基本分析</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选择多次联考成绩并设置考试权重及科目系数；</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2、按剩余权重分析和缺考科目不参与分析两种缺考科目处理方式；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3、选择分析科目；</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4、设置计算方式；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5、选择市内多个参与分析的学校群体，可一键全选或单选参与分析的部分学校；</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6、按全部学生、男生、女生等维度查看学生群体成绩总览情况；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7、查看各梯队的最高分、最低分、平均分、各梯队人数、各梯队升档临界生、各梯队降档临界生等；</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8、查看参与分析的学校学生群体均值对比分析结果；</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9、查看学生群体各校内梯队对比分析结果；</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10、查看市内联考成绩各梯队人数对比分析结果；</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11、可自定义查看不同梯队的对比分析情况；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12、查看各校学生成绩区间分布情况，可通过图形式展示各校分值差距分布情况；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13、查看各分数段人数分布情况；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14、查看各校在不同排名段的人数分布对比情况；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15、查看各科目对应各等级下的学生人数分布及占比情况。</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单校基本分析</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选择多次考试成绩并设置考试权重及科目系数；</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2、按照剩余权重分析和缺考科目不参与分析两种缺考科目处理方式；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3、选择分析科目；</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4、设置计算方式；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5、设置区域内进行基本分析的单个学校；</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6、查看本校成绩平均分在市内的排名情况；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7、查看校内成绩分析梯队分布情况；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8、查看校内学生联考梯队学生人数分布情况；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9、通过图表形式展示各科目的校内平均分与联考平均分的对比分析情况，以及各科目的联考排名及百分等级信息；</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10、查看校内各分数段人数分布情况；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11、查看学校在不同排名段的人数分布情况；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12、查看校内各科目对应各等级下的学生人数分布及占比情况。</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学生个体分析</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选择多次考试成绩并设置考试权重及科目系数；</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2、按照剩余权重分析和缺考科目不参与分析两种缺考科目处理方式；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3、选择分析科目；</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4、设置计算方式；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5、设置区域内多个学校的学生群体；</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6、查看参与分析学生群体的个体成绩总表；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7、可导出个体成绩总表。</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增量分析</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1、筛选区条件设置，选择多次对比考试场次和基准考试场次，设置考试权重及科目系数；</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2、选择分析科目；</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3、设置计算方式；</w:t>
            </w:r>
            <w:r>
              <w:rPr>
                <w:rFonts w:hint="eastAsia" w:ascii="宋体" w:hAnsi="宋体" w:eastAsia="宋体" w:cs="宋体"/>
                <w:color w:val="000000" w:themeColor="text1"/>
                <w:kern w:val="0"/>
                <w:szCs w:val="21"/>
                <w14:textFill>
                  <w14:solidFill>
                    <w14:schemeClr w14:val="tx1"/>
                  </w14:solidFill>
                </w14:textFill>
              </w:rPr>
              <w:br w:type="textWrapping"/>
            </w:r>
            <w:bookmarkStart w:id="73" w:name="OLE_LINK3"/>
            <w:r>
              <w:rPr>
                <w:rFonts w:hint="eastAsia" w:ascii="宋体" w:hAnsi="宋体" w:eastAsia="宋体" w:cs="宋体"/>
                <w:color w:val="000000" w:themeColor="text1"/>
                <w:kern w:val="0"/>
                <w:szCs w:val="21"/>
                <w14:textFill>
                  <w14:solidFill>
                    <w14:schemeClr w14:val="tx1"/>
                  </w14:solidFill>
                </w14:textFill>
              </w:rPr>
              <w:t>4、设置市内多个参与增量分析的学校群体；</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5、学生群体增量总览，查看学生群体排名增量极值和排名增量总览分析结果；</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6、按照学校和学生两个维度查看排名增量极值情况；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7、查看增量对比分析学生群体当中进步人数及占比、退步/不变人数及占比、平均排名增量的详细分析结果；</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8、校间增量对比，通过图、表两种形式查看市内学校在两次考试成绩下的总成绩平均排名增量分析结果。</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映射分析</w:t>
            </w:r>
            <w:r>
              <w:rPr>
                <w:rFonts w:hint="eastAsia" w:ascii="宋体" w:hAnsi="宋体" w:eastAsia="宋体" w:cs="宋体"/>
                <w:color w:val="000000" w:themeColor="text1"/>
                <w:kern w:val="0"/>
                <w:szCs w:val="21"/>
                <w14:textFill>
                  <w14:solidFill>
                    <w14:schemeClr w14:val="tx1"/>
                  </w14:solidFill>
                </w14:textFill>
              </w:rPr>
              <w:br w:type="textWrapping"/>
            </w:r>
            <w:bookmarkEnd w:id="73"/>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1、进行考试场次的映射自定义设置</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可对总成绩和各学科进行自定义设置、复用等级算法规则、批量删除、提交、复用和添加操作；（提供由CMA或CNAS认证的第三方权威机构出具的测试报告，报告内容包含该功能点，并加盖投标人公章）</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2、查看校内考试人数和市内考试人数；</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3、查询校内排名/校内百分等级与市内排名/市内百分等级之间的映射关系；</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4、查询总成绩与各单科成绩的映射关系；</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5、校间映射分析，通过图、表两种形式查看学生群体映射成绩总览情况；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6、查询市内各校的映射均值对比分析结果；</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7、查看市内各校整体映射成绩在不同分数段下的人数分布及占比情况；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8、个体映射分析，查看市内整体学生映射总表；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9、可导出个体成绩总表。</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优良等级设置</w:t>
            </w:r>
          </w:p>
          <w:p>
            <w:pP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设置各学科百分制模式下的学生成绩优良等级；</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2、自定义设置各等级对应的等第名称、百分制分数、显示对应的分制区间；</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3、可一键恢复默认设置。</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区域大数据驾驶舱子系统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区域动态地图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1.可统计、分析全市及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选科、分班、排课、考务等各业务系统的师生使用数量、系统使用占比等信息，整体展现各系统的学校应用状况；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2.可统计与查看全市及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内选科科目的教师资源盈余和缺口情况；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整体教室资源缺口评估结果；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4.可动态展示全市及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内学生整体选科完成度；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内各紧缺行业对人才需求程度，查看与学生意向专业的匹配情况，查看全市及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各行业或紧缺行业的人才预测情况；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6.可提供全市及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内范围内学生选科科目的兴趣排名；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7.可提供全市及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内范围内学生学科能力排名。</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系统使用情况</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1.校级系统使用率：可统计和分析</w:t>
            </w:r>
            <w:r>
              <w:rPr>
                <w:rFonts w:hint="eastAsia" w:ascii="宋体" w:hAnsi="宋体" w:eastAsia="宋体" w:cs="宋体"/>
                <w:color w:val="000000"/>
                <w:kern w:val="0"/>
                <w:szCs w:val="21"/>
                <w:lang w:eastAsia="zh-CN"/>
              </w:rPr>
              <w:t>全市及各县（市、区）</w:t>
            </w:r>
            <w:r>
              <w:rPr>
                <w:rFonts w:hint="eastAsia" w:ascii="宋体" w:hAnsi="宋体" w:eastAsia="宋体" w:cs="宋体"/>
                <w:color w:val="000000"/>
                <w:kern w:val="0"/>
                <w:szCs w:val="21"/>
              </w:rPr>
              <w:t>选科、分班、排课、成绩和教师各业务系统的师生使用数量、系统使用占比信息，可展现各系统的学校应用状况；（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2.统计各系统使用占比、各校在不同时段内的系统使用趋势。</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选科情况统计分析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1.通过地图形式，通过深浅颜色变化展示全市及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内选科完成情况；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2.通过点击地图，实时展示</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内完成不同选科轮次下的学校数量；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3.筛选、查询不同</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内各校选科轮次数、开放组合数等完成情况。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资源评估分析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1.统计全市及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教师、教室资源的空缺与盈余情况；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2.以图表的形式展示统计数据；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3.可导出统计表文件。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分班排课分析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1.查看不同走班模式下学校数量及占比，走班模式至少包含：大走班、优先三科、定二走一；</w:t>
            </w:r>
            <w:r>
              <w:rPr>
                <w:rFonts w:hint="eastAsia" w:ascii="宋体" w:hAnsi="宋体" w:eastAsia="宋体" w:cs="宋体"/>
                <w:color w:val="000000"/>
                <w:kern w:val="0"/>
                <w:szCs w:val="21"/>
              </w:rPr>
              <w:br w:type="textWrapping"/>
            </w:r>
            <w:r>
              <w:rPr>
                <w:rFonts w:hint="eastAsia" w:ascii="宋体" w:hAnsi="宋体" w:eastAsia="宋体" w:cs="宋体"/>
                <w:szCs w:val="21"/>
              </w:rPr>
              <w:t>▲</w:t>
            </w:r>
            <w:r>
              <w:rPr>
                <w:rFonts w:hint="eastAsia" w:ascii="宋体" w:hAnsi="宋体" w:eastAsia="宋体" w:cs="宋体"/>
                <w:color w:val="000000"/>
                <w:kern w:val="0"/>
                <w:szCs w:val="21"/>
              </w:rPr>
              <w:t>2.可计算</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学校不同走班科目的学生选科人数</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可进行1科走班、2科走班、3 科走班、不走班的学生选科人数进行占比分析；（提供由CMA或CNAS认证的第三方权威机构出具的测试报告，报告内容包含该功能点，并加盖投标人公章）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3.统计全市及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不同科目的平均课时数，筛选该目标</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分层科目的学校数量；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4.统计全市及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不同科目的周总课时数、教师数量以及教师平均任教课时数；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5.以列表的形式展示全市及</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不同学校的走班模式、分层科目等详细内容；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6.统计各学校行政班、走班教学班的数量，查看校本课详情；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7.统计当前</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下，行政班、走班教学班数量；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8.统计当前</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下，所有科目教师平均任课时数。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成绩分析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1.区域成绩对比分析，满足对区域内</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最高分、平均分的对比分析；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2.可切换考试场次，可筛选考试科目；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3.区域增量对比分析，对比任意两次统考成绩，直观展示不同时期下各科目在不同</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的成绩增量对比情况。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教师分析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1.区域教师评价应用，自动展示区域地图，地图能够统计</w:t>
            </w:r>
            <w:r>
              <w:rPr>
                <w:rFonts w:hint="eastAsia" w:ascii="宋体" w:hAnsi="宋体" w:eastAsia="宋体" w:cs="宋体"/>
                <w:color w:val="000000"/>
                <w:kern w:val="0"/>
                <w:szCs w:val="21"/>
                <w:lang w:eastAsia="zh-CN"/>
              </w:rPr>
              <w:t>各县（市、区）</w:t>
            </w:r>
            <w:r>
              <w:rPr>
                <w:rFonts w:hint="eastAsia" w:ascii="宋体" w:hAnsi="宋体" w:eastAsia="宋体" w:cs="宋体"/>
                <w:color w:val="000000"/>
                <w:kern w:val="0"/>
                <w:szCs w:val="21"/>
              </w:rPr>
              <w:t>参与教师评价的学校数量，动态展示系统使用率；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2.可统计目标</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各校教师评价执行情况，对执行次数下的学校数据进行分析；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3.可依据学校名称、科目，自动筛选各校不同任教教师评价的排名结果。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行业预测</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1.通过学生查询系统中高校和专业查询情况，展示学生热点院校的分析结果；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2.获取今年对比去年学生意向专业的数据，图形化展示各行业增长与降低比例的结果分析；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3.依据学生高校与专业查询情况，对热点院校地理分布进行趋势分析。</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（二）</w:t>
            </w:r>
          </w:p>
        </w:tc>
        <w:tc>
          <w:tcPr>
            <w:tcW w:w="4470" w:type="pct"/>
            <w:gridSpan w:val="5"/>
            <w:vAlign w:val="center"/>
          </w:tcPr>
          <w:p>
            <w:pPr>
              <w:widowControl/>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校级应用系统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学校资源评估子系统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资源评估任务管理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1.进行上报、复用、修改、删除学校历次教学资源评估任务；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2.复制和修改某次任务，长期保存多次评估结果，并提供查看和下载功能；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3.可学校选择不同分班模式，（分班模式至少包含：三科优先成班、定二走一、大走班）；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4.校级评估结果直接汇集到区域资源评估分析系统。</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选科数据获取</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1.自动或手动获取学生的选科结果；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2.分析学生各学科选科人数及各组合选科人数占比并进行展示。</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当前教学资源设置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▲1.可设置当前资源评估任务面向年级的教学资源，包括年级教师数量和年级教室数量；（提供由CMA或CNAS认证的第三方权威机构出具的测试报告，报告内容包含该功能点，并加盖投标人公章）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2.设置内容包括各科目对应的教师数量和年级教室数量。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分班后教学情况设置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根据课时预估教师数量，包括学校分班后的行政班级数量、可接受行政班最大人数差、学科老师的每周课时数、每学科每周选考和学考课时数；（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2.评估行政班最大人数差和各学科老师平均可带班级数量；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3.按课时维度评估预测教师数量；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4.预测结果包括学校分班后的行政班级数量；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5.预测行政班最大人数差；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6.预测学科老师每周课时数、各学科每周选考和学考课时数；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7.选择参加合格考的科目作为资源评估范围。</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资源评估模式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1.设置资源评估模式，3+1+2模式；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2.设置自定义模式。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组合开放情况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1.可关闭部分选科科目组合；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2.查看调整志愿的学生数；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3.根据学校综合教学资源和学生志愿设置组合开放数；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4.通过自定义、3+1+2模式选择需要开放的组合，查看已调整志愿学生和不可调整志愿学生的名单；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5.可下载对应名单。</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预定班设置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1.通过选择语数外（权重）方式对预备班成绩进行排序；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2.通过全部成绩（权重）方式对预备班成绩进行排序；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3.根据成绩设置预备班名称、预备班选科科目组合、预备班人数和学生名单。</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自动评估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1.根据学生选科结果和设置的资源评估参数；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2.提供定二走一、优先三科、大走班等走班模式</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3.自动并计算出各种走班模式的评估结果。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资源评估结果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1.查看定二走一、优先三科、大走班等各种走班模式详细的评估结果；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2.查看评估结果内容：至少包含各科目教师分配情况、现有教室使用情况、科目组合开放情况、分班结果、学生走班情况、采用学生选科情况：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3.提供下载分班结果表。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资源评估报告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1.自动生成资源评估报告；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2.资源评估建议报告；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3.选科结果分析、选科概况、单科和组合选科结果统计报告：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4.走班情况预估、各走班模式总览与对比分析、各走班模式下教师分配情况、各走班模式下教室使用情况分析报告；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5.报告各走班模式下各学科走班学生数量、各走班模式采用学生志愿情况和走班情况、各走班模式下各学科走班教学班数量分析报告；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6.MBTI职业性格和Holland职业兴趣测评结果统计分析以及学生选择专业门类分布报告；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7.在报告展示页面下载学生分班名单，并下载资源评估报告。</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375"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学校选科子系统</w:t>
            </w:r>
          </w:p>
        </w:tc>
        <w:tc>
          <w:tcPr>
            <w:tcW w:w="3521" w:type="pct"/>
            <w:gridSpan w:val="2"/>
            <w:vAlign w:val="center"/>
          </w:tcPr>
          <w:p>
            <w:pPr>
              <w:rPr>
                <w:rFonts w:hint="eastAsia" w:ascii="宋体" w:hAnsi="宋体" w:eastAsia="宋体" w:cs="宋体"/>
                <w:color w:val="000000"/>
                <w:kern w:val="0"/>
                <w:szCs w:val="21"/>
              </w:rPr>
            </w:pPr>
            <w:r>
              <w:rPr>
                <w:rFonts w:hint="eastAsia" w:ascii="宋体" w:hAnsi="宋体" w:eastAsia="宋体" w:cs="宋体"/>
                <w:color w:val="000000"/>
                <w:kern w:val="0"/>
                <w:szCs w:val="21"/>
              </w:rPr>
              <w:t>选科任务管理</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1.查看上级选科安排管理信息。可以选择某个选科任务上报到多个上级选科安排，但一个选科安排只能对应一个选科任务上报；</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2.选科任务数据同步至区域系统；</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3.校管理员发起选科操作，选择校区、选择年级以及上级选科安排；</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4.查看学校各年级的历史选科活动信息；</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5.对某个选科任务进行删除操作；</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6.对已结束的选科任务进行重新开启操作，对已开启的选科任务进行延时、修改和提前结束操作，查看选科剩余时间和选科详情。</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设定选科方案</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1.设定3+1+2、自定义等选科模式</w:t>
            </w:r>
            <w:r>
              <w:rPr>
                <w:rFonts w:hint="eastAsia" w:ascii="宋体" w:hAnsi="宋体" w:eastAsia="宋体" w:cs="宋体"/>
                <w:color w:val="000000"/>
                <w:kern w:val="0"/>
                <w:szCs w:val="21"/>
                <w:lang w:eastAsia="zh-CN"/>
              </w:rPr>
              <w:t>；</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2.自定义开放选科组合属性，提供全选、全不选、一键删除或开启某个选科组合操作功能；</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3.学生选择多个选科志愿组合，包括选1或3个选科志愿。</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设定选科依据</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1.设置选科依据，并可各维度测评因素权重自定义设置；</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2.添加多次考试成绩，设置各次成绩权重作为学科能力依据；</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3.可设置是否重新进行测评。</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发布选科通知</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1.支持进行发布选科操作，统一设置选科任务的起始时间、学生范围，对于同一批学生已开启多轮选科活动的情况下，设置本次选科活动是否开启学生重新选科操作，开启后全部学生均需重新选科；</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2.可提供多种通知方式（通知方式至少包含：选科开始通知、发布通知、不通知等方式）；</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3.可自定义设置通知内容；完成发布通知后，实时查看选科剩余时间、选科详情等信息；</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4.对于选科有效期内的选科任务可以进行如下操作：延时、修改选科方案、提前结束选科任务等。</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选科完成度统计</w:t>
            </w:r>
          </w:p>
          <w:p>
            <w:pP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查看学生选科完成度，通过图表形式展示每个班级的选科情况；</w:t>
            </w:r>
          </w:p>
          <w:p>
            <w:pP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2.</w:t>
            </w:r>
            <w:r>
              <w:rPr>
                <w:rFonts w:hint="eastAsia" w:ascii="宋体" w:hAnsi="宋体" w:eastAsia="宋体" w:cs="宋体"/>
                <w:color w:val="000000"/>
                <w:kern w:val="0"/>
                <w:szCs w:val="21"/>
              </w:rPr>
              <w:t>查看未完成学生的选科进度和未完成情况。</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单科结果统计</w:t>
            </w:r>
          </w:p>
          <w:p>
            <w:pP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1.</w:t>
            </w:r>
            <w:r>
              <w:rPr>
                <w:rFonts w:hint="eastAsia" w:ascii="宋体" w:hAnsi="宋体" w:eastAsia="宋体" w:cs="宋体"/>
                <w:color w:val="000000"/>
                <w:kern w:val="0"/>
                <w:szCs w:val="21"/>
              </w:rPr>
              <w:t>查看本轮次的单科选科结果，与历史选科结果进行对比分析</w:t>
            </w:r>
            <w:r>
              <w:rPr>
                <w:rFonts w:hint="eastAsia" w:ascii="宋体" w:hAnsi="宋体" w:eastAsia="宋体" w:cs="宋体"/>
                <w:color w:val="000000"/>
                <w:kern w:val="0"/>
                <w:szCs w:val="21"/>
                <w:lang w:eastAsia="zh-CN"/>
              </w:rPr>
              <w:t>；</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2.通过图表等形式展示分析结果；</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3.显示各科目对应的选科总人数、男生人数、女生人数的增减情况；</w:t>
            </w:r>
          </w:p>
          <w:p>
            <w:pP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4.</w:t>
            </w:r>
            <w:r>
              <w:rPr>
                <w:rFonts w:hint="eastAsia" w:ascii="宋体" w:hAnsi="宋体" w:eastAsia="宋体" w:cs="宋体"/>
                <w:color w:val="000000"/>
                <w:kern w:val="0"/>
                <w:szCs w:val="21"/>
              </w:rPr>
              <w:t>显示发生选科变化的学生名单与变化详情。查看改选学生选科报告</w:t>
            </w:r>
            <w:r>
              <w:rPr>
                <w:rFonts w:hint="eastAsia" w:ascii="宋体" w:hAnsi="宋体" w:eastAsia="宋体" w:cs="宋体"/>
                <w:color w:val="000000"/>
                <w:kern w:val="0"/>
                <w:szCs w:val="21"/>
                <w:lang w:eastAsia="zh-CN"/>
              </w:rPr>
              <w:t>；</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5.下载改选学生名单。</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组合结果统计</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▲1.可与历史轮次的选科结果进行对比分析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可以图表形式查看对比分析结果和选科组合统计详情</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包括对比轮次各组合对应的选科人数增减情况。可下载组合统计表格，并可设置表格的表头显示项；（提供由CMA或CNAS认证的第三方权威机构出具的测试报告，报告内容包含该功能点，并加盖投标人公章）</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2.与历史选科结果进行对比分析，通过图表形式展示对比分析结果与组合统计详情</w:t>
            </w:r>
            <w:r>
              <w:rPr>
                <w:rFonts w:hint="eastAsia" w:ascii="宋体" w:hAnsi="宋体" w:eastAsia="宋体" w:cs="宋体"/>
                <w:color w:val="000000"/>
                <w:kern w:val="0"/>
                <w:szCs w:val="21"/>
                <w:lang w:eastAsia="zh-CN"/>
              </w:rPr>
              <w:t>；</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3.自动显示对比轮次各组合对应的选科人数增减情况，下载对比轮次选科组合统计详情。</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选科匹配度分析</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1.查看学校学生选科匹配情况；</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2.查看选科低匹配度统计分析结果；</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3.查看不匹配类型和不匹配程度等维度的统计分析结果；</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4.查看各维度对应的不匹配学生班级分布和不匹配学生名单。</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成绩统计</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1.单科与组合选科成绩统计分析与展示；</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2.查看本轮次单科选科成绩与组合选科成绩分析结果；</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3.与历史轮次选科成绩进行对比分析；</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4.通过图表形式展示对比轮次的各项详细情况；</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5.分析结果可下载。</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职业兴趣与职业性格测评结果分析</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1.生成职业兴趣测评结果和职业性格测评结果，并可查看；</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2.下载结果报告。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升学路径分析</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目标升学路径、升学路径统计详情，包括高考、综合评价招生、艺术类招生、高职单招、出国留学、体育类招生和强基计划；（提供由CMA或CNAS认证的第三方权威机构出具的测试报告，报告内容包含该功能点，并加盖投标人公章）</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2.下载统计结果。（路径类型至少包含：高考、三位一体、艺术类招生、高职单招、出国留学、体育类招生、强基计划等）。</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学生选科总表</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1.查看学生选科总表；</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2.查看学生选科详情，按姓名或学号搜索查看某个学生的选科详情。</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修改志愿及记录</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1.帮助学生修改选科志愿；</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2.并记录历史修改操作信息；</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3.记录可下载、修改。</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查看学生选科报告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1.生成并可查看学生个人选科报告；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2.提供批量下载打印学生个人报告。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选科结果通知</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1.批量下载学生选科结果确认单，供家长签字确认使用；</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2.并通过短信形式向家长发送通知。</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多种选科方式</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1.学生在PC端进行选科操作；</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2.学生在移动端进行选科操作。</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学科兴趣测评与排序</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1.学生自定义学科兴趣排名序列，对6门学科兴趣程度进行手动排序，作为选科推荐与选择的依据。</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学科能力分析与排序</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1.进行学科能力分析，通过获取学生历次考试成绩并且根据学校设置的各次考试权重对考试成绩进行加权，计算出各科成绩在全校的排名；</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2.根据学生在学校的排位分析各科目能力的强弱顺序；</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3.学生根据自己的学科能力对选考科目强弱程度进行排序。</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职业探索测评</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1.为学生提供职业性格测评；</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2.为学生提供职业兴趣测评；</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3.并生成对应的职业性格、职业兴趣测评报告。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专业推荐</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1.根据学生的职业性格测评、职业兴趣测评结果为学生推荐适合的专业；</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2.根据职业测评结果，为学生呈现匹配度较高和较低的大学专业；</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3.查看学科－专业覆盖率。</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专业解读</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1.为学生提供各专业的详细介绍，包括专业概况、细分专业、核心课程；</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2.为学生提供各专业学科要求特质、就业方向等内容。</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意向专业</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1.学生根据推荐的适合专业列表中挑选若干专业作为意向专业；</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2.可自行添加专业至意向专业列表。</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大学专业覆盖率计算</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1.根据高校各专业招生对学科的要求，为学生提供意向专业所需的学科组合查询列表；</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2.查询包含专业的大学覆盖率。</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选科志愿管理</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1.在学校设置的选科活动时间范围内，学生选择一个或三个志愿科目组合；</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2.可同步至学校端统计分析。</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选科个人报告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1.生成学生选科个人报告；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2.报告内容包括：选科总览、学科兴趣测评结果、学科能力分析结果、职业性格和职业兴趣测评结果、系统推荐专业、学生意向专业、学科－专业覆盖率等；</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3.可预览报告，下载报告。</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选科报告分享</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1.可通过移动端查看学生个人选科报告。</w:t>
            </w:r>
          </w:p>
        </w:tc>
        <w:tc>
          <w:tcPr>
            <w:tcW w:w="325"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375"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学校智能分班子系统</w:t>
            </w:r>
          </w:p>
        </w:tc>
        <w:tc>
          <w:tcPr>
            <w:tcW w:w="3521" w:type="pct"/>
            <w:gridSpan w:val="2"/>
            <w:tcBorders>
              <w:bottom w:val="single" w:color="auto" w:sz="4" w:space="0"/>
            </w:tcBorders>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分班任务管理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1.新建分班任务；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2.复用、修改、发布、删除分班任务；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3.实时显示分班年级、分班进度、创建时间、任务创建人等信息。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获取学生选科结果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1.通过多种方式获取学生选科结果；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2.并对选科结果进行统计分析，通过图表形式显示各学科和各组合选科人数。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多种分班模式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1.选择分班模式；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2.可优先三科模式；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3.可定二走一模式；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4.可大走班以及自定义分班等模式。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预定行政班设置</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1.可设置预定班级的选科组合</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可根据总成绩和语数外成绩进行预定班分班</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可根据学生名单设置预定学生</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可新增和删除预定班级；（提供由CMA或CNAS认证的第三方权威机构出具的测试报告，报告内容包含该功能点，并加盖投标人公章）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2.自定义预定班级选科组合；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3.按总成绩、语数外成绩等方式进行预定班级分班；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4.添加部分预定学生名单，并提供新增、删除预定班级功能。</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重新导入行政班</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1.在大走班模式下可保留现有原行政班；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2.可按照固定模板重新导入行政班结果；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3.可更改行政班班级名称，查看各行政班信息；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4.可对学生进行调班。</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关闭和开启走班科目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1.大走班模式下，关闭某个选考科目</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2.可设置关闭后该科目不参与分班，即该科目不走班；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3.可关闭后可再次开启走班。</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分组分班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1.按班级、按科目（物理组、历史组）、组合等方式进行分组分班；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2.实时查看各组别的分班结果、学生选科人数；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3.实时查看班级来源、各学科选科人数占比、各组合选科人数占比等信息。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分班条件设置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1.设置同科目各班级均衡男女比例；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2.设置同科目各班级均衡单科成绩；</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3.设置各课时组尽量更少的科目；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4.设置按行政班集中、各课时组尽量更少的科目、行政班走班科目的走班教学班允许分布在更多课时组；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5.设置分班时允许选考和学考拼班上课、分班时有相同科目的学生尽量在一个班；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6.设置分班时允许选考和学考班级在同一课时组以及科目分层等其他条件。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语数外科目分层分班</w:t>
            </w:r>
          </w:p>
          <w:p>
            <w:pPr>
              <w:widowControl/>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1.可对语数外等常规科目根据成绩进行分层分班</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可设置科目教师人数及分班条件，包括男女比例、成绩依据和行政班集中；可查看分层分班结果</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可对学生进行调班</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可一键清空分层分班结果。（提供由CMA或CNAS认证的第三方权威机构出具的测试报告，报告内容包含该功能点，并加盖投标人公章）</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大走班模式下分层分班</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1.大走班模式下，对各选考科目按单科成绩进行分层分班；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2.设定分层数、各层班级数和人数等内容；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3.设定同科目各选科走班教学班人数的波动范围。</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成绩依据设定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1.按成绩降序分层；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2.按成绩均衡分班；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3.按原班级学生集中等多种分班模式；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4.成绩条件：按总成绩、选科组合成绩、语数外+选科组合成绩、语数外三科总成绩、语文单科成绩、数学单科成绩、英语单科成绩。</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自动分班计算</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1.根据已设置分班条件，计算出分班结果，计算过程中可随时放弃分班计算；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2.对已完成的分班结果进行重新分班；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3.分班失败后，提示分班失败原因，并直接返回重新设置分班条件。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查看未分班学生</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1.查看未分班学生名单信息；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2.名单信息至少包含：未分班学生的采用志愿、总成绩排名、原行政班、新行政班、选科走班教学班、未分班科目等，对未分班学生进行调班和删除操作；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3.可下载未分班学生名单。</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行政班管理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1.查看各行政班名称、人数、学生清单；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2.通过图表形式展示班级内男女生人数；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3.下载全部行政班学生名单以及单独行政班学生名单；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4.自定义名单显示，至少包含：以物理、历史开头命名，例如物政地、史政地和以物化生政史地顺序命名两种方式。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教学班管理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1.查看选科走班教学班学生清单；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2.可实时展示班级内的男女人数；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3.可下载每个选科走班教学班学生名单；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4.可自定义名单显示。</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学生名单</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1.查看所有学生分班情况，对学生进行调班操作，查看调班记录；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2.提供下载调班记录功能；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3.对分班结果进行新增和删除学生操作，在线打印分班结果报告；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4.自定义名单显示。</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课时安排管理</w:t>
            </w:r>
          </w:p>
          <w:p>
            <w:pPr>
              <w:widowControl/>
              <w:rPr>
                <w:rFonts w:hint="eastAsia" w:ascii="宋体" w:hAnsi="宋体" w:eastAsia="宋体" w:cs="宋体"/>
                <w:color w:val="000000"/>
                <w:kern w:val="0"/>
                <w:szCs w:val="21"/>
              </w:rPr>
            </w:pPr>
            <w:bookmarkStart w:id="74" w:name="OLE_LINK4"/>
            <w:r>
              <w:rPr>
                <w:rFonts w:hint="eastAsia" w:ascii="宋体" w:hAnsi="宋体" w:eastAsia="宋体" w:cs="宋体"/>
                <w:color w:val="000000"/>
                <w:kern w:val="0"/>
                <w:szCs w:val="21"/>
              </w:rPr>
              <w:t>1.大走班模式下生成走班课时组，每课时组内年级所有学生都在走班上课，且不产生自习课；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2.查看各课时组选科走班教学班来源，下载课时安排报告；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对课时组进行拆分；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4.对课时组进行重组，设置条件至少包含：课时组数量、各科目老师数量、是否允许选考和学考班级在同一课时组、设置哪些科目在相同课时组及课时组数量等。</w:t>
            </w:r>
          </w:p>
          <w:bookmarkEnd w:id="74"/>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结果分析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1.查看走班教学班结果分析结果；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2.科目统计；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班级统计。</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导入分班结果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1.按照固定模板将学校现有行政班分班结果导入至智能分班子系统。</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调志愿和调班管理</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1.在行政班、选科走班教学班、学生名单、自习班等分班结果下，对学生进行修改志愿和调班操作；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2.修改学生志愿后，实时展示可调的行政班班级、选科走班教学班班级、自习班班级。</w:t>
            </w:r>
          </w:p>
        </w:tc>
        <w:tc>
          <w:tcPr>
            <w:tcW w:w="325"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学校智能排课子系统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节次作息时间</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1.设置课程节次信息及作息时间；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2.同步课表并显示在课表中。</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已有课表导入</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1.通过固定模板将学校已有课表导入系统；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2.可设置模版格式。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课表联排</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1.在一个排课任务下添加多个年级进行同时排课；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2.对多个年级进行同时设置排课规则，并输出多个年级课表。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合班上课</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1.设置相同科目多个班级合班上课；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2.设置不同科目多个班级合班上课、跨年级跨科目合班上课；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拆分已设置的合班上课班级。</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行政班常规课程及教学班走班课程信息设置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▲1.可设置行政班教学科目的教师数、课时数、连堂次数、上课教室、与其他科目连堂次数；（提供由CMA或CNAS认证的第三方权威机构出具的测试报告，报告内容包含该功能点，并加盖投标人公章）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2.可对科目进行分层设置；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3.可批量导入、导出常规课程数据；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4.对除走班课程之外的常规课程数据进行批量导入、导出操作；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5.设置各常规课程科目信息，并可导入导出操作；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6.设置分层和选科走班课程并配置该科目的教师和课时；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7.提供导入导出课时信息操作，并显示各选科走班教学班课时组信息。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自动分配教室</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1.对走班课程分配教室，用户填写用于走班的教室；</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2.系统在自动排课时智能填入课表中。</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单双周设置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1.可对某两个科目的单双周设置，包括科目任课教师、上课教室、科目周单独课时</w:t>
            </w:r>
            <w:r>
              <w:rPr>
                <w:rFonts w:hint="eastAsia" w:ascii="宋体" w:hAnsi="宋体" w:eastAsia="宋体" w:cs="宋体"/>
                <w:color w:val="000000"/>
                <w:kern w:val="0"/>
                <w:szCs w:val="21"/>
                <w:lang w:eastAsia="zh-CN"/>
              </w:rPr>
              <w:t>，以及</w:t>
            </w:r>
            <w:r>
              <w:rPr>
                <w:rFonts w:hint="eastAsia" w:ascii="宋体" w:hAnsi="宋体" w:eastAsia="宋体" w:cs="宋体"/>
                <w:color w:val="000000"/>
                <w:kern w:val="0"/>
                <w:szCs w:val="21"/>
              </w:rPr>
              <w:t>适用班级等；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2.可批量拆分多年级、班级单双周课程，拆分后，可批量删除多年级、班级课程；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3.在排课时，可将老师在不同班级的单双周课程安排在同一个节次。</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共用场地资源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1.可对学校共用场地资源设置；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2.可设置场地名称、适用科目；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3.可设置适用班级、适用教师、最大容纳班级数等信息。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排课时段设置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1.可每天早晚读、早晚自习等非上课时段设置；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2.可周六、寒暑假等节假日时段设置。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禁排规则</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1.多维度的禁排条件设置，设置某天上午和下午全部禁排；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2.设置跨任务禁排条件，相同教师存在不同排课任务时，根据所选任务的教师排课结果，在当前任务中添加教师禁排；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3.设置禁排时间添加备注标签，标签名称会显示在对应的课表上；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4.删除所有禁排条件，对班主任分年级进行禁排。</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连堂规则</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1.设置添加不连堂节次安排条件；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2.设置同年级同科目连堂尽量安排在同一天；</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3.设置指定科目连堂时间及次数；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4.设置班级科目连堂间隔天数；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添加、删除已设置连堂条件。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教师条件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1.可单科目教案平齐设置；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2.可按周平齐和按天平齐，教师授课的单科科目各班级保持进度一致；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3.可跨科目、跨年级教案平齐设置，保证多科目或多年级的授课任务保持进度一致，教案不穿插。</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优劣节次规则</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1.可设置教师课程优劣节次次数，保证各班某科目每周安排在某节次的课程不多于几节；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2.设置教师每日最多连续上课几节；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3.设置多种不连续上课的条件；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4.设置与某教师不同时上课的教师。</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同日互斥设置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1.可管理员设定不可安排在同一天上课的课程；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2.可按照教室科比包设置同日互斥。</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上下午课时分布</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1.设置指定科目每周上下午课时分布。</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班级科目上课间隔天数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1.设置年级、班级、科目的上课间隔天数；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2.预设参数后，预览课表效果。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班级科目节次限制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1.可设置年级、班级、科目在不同星期；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2.可设置节次下的上课节次限制。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教师授课天数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1.可教师制定节次上课天数设置；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2.可选择年级、选择科目、选择教师、选择节次、设置天数。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师徒关系</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1.设置教师指定节次的上课天数；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2.设置教师师徒关系。</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周分散设置</w:t>
            </w:r>
            <w:r>
              <w:rPr>
                <w:rFonts w:hint="eastAsia" w:ascii="宋体" w:hAnsi="宋体" w:eastAsia="宋体" w:cs="宋体"/>
                <w:color w:val="000000"/>
                <w:kern w:val="0"/>
                <w:szCs w:val="21"/>
              </w:rPr>
              <w:br w:type="textWrapping"/>
            </w:r>
            <w:r>
              <w:rPr>
                <w:rFonts w:hint="eastAsia" w:ascii="宋体" w:hAnsi="宋体" w:eastAsia="宋体" w:cs="宋体"/>
                <w:szCs w:val="21"/>
              </w:rPr>
              <w:t>▲</w:t>
            </w:r>
            <w:r>
              <w:rPr>
                <w:rFonts w:hint="eastAsia" w:ascii="宋体" w:hAnsi="宋体" w:eastAsia="宋体" w:cs="宋体"/>
                <w:color w:val="000000"/>
                <w:kern w:val="0"/>
                <w:szCs w:val="21"/>
              </w:rPr>
              <w:t>1.可设定同一班级的某一科目在一周内的授课时间分散，包括分散度高、分散度中、分散度低和无需考虑。（提供由CMA或CNAS认证的第三方权威机构出具的测试报告，报告内容包含该功能点，并加盖投标人公章）</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排课规则列表管理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1.可展示所有已设定的排课规则列表；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2.可一键返回不同规则条件的设定界面；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3.可下载规则列表文档（excel格式）。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走班预排</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1.可对走班课程和常规固定课程进行预排操作；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2.可自动排课时将固定节次课程预先排入课表；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3.可显示不可预排的节次及原因；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4.可一键删除所有预排课程；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5.可自动排课时兼容预排节次实现已设置的排课条件；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6.可设置预排走班节次，没有走班节次可直接点击一键跳过，在自动排课前可预先把某个走班课时组固定安排在某个时间；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7.系统在自动排课时，将对预先排好的课程进行保留和固定，并可一键删除操作。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常规预排</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1.可设置常规课程的预排节次，可将固定节次课程预先排入课表；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系统在自动排课时，将对预先排好的课程进行保留和固定；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3.可一键删除操作。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智能排课</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1.可对多个年级、走班课程、固定课程、分层课程等进行同时排课，如排课条件冲突系统会提示相应的错误信息；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2.可对已排出的课表进行优化操作，用户可自定义优化时间，并显示优化课表分值；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3.可优化目标主要是教师每日课程的日集中问题，可随时停止优化；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4.可在多年级联排情况下，选择需要重排的年级，其他年级将保持不变。</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多维度课表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1.可智能生成多维度课表，包括总课程表、班级课表、总任课表、教师课表、学生课表、教室课表等；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下载电子表格格式的学科课表、年级组课表和课时信息表，课时信息包括教师的周总课时数、授课年级、授课学科和所教班级数量；（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3.可一键设置课表科目显示简称、显示科目教师、课表转置、显示走班教学班等信息；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4.可一键下载学科课表，年级组课表，课时信息表等专用课表（excel格式）；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5.课时信息表包括各教师的周总课时数、授课年级、授课学科、所教班级数等信息。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课表发布</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1.可对已完成的课表进行发布操作，并灵活设定课表生效时间；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2.可通过微信等移动端通知学生和教师，发布成功后学生和教师可在手机端查看个人课表。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走班/无课数据管理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1.可对多种走班模式下的走班和无课数据进行管理；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2.排课的结果校验学生是否存在自习课；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3.可学校管理员一键下载走班和自习课程数据（Excel格式），表格中能够显示某个节次、班级上自习的学生人数，以及该节次上自习的学生名单；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4.统计数据信息，走班节次教学班信息、学生走班详情信息、产生自习课节次信息、各自习节次学生名单信息等。</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课程安排</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1.可在学生端查看周课表和日课表，日课表需展示上课时间，科目，教师，教室，是否走班等详细信息；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2.可在教师端查看日历式课表，日历式课表信息需包括课表来源、作息时间、走班详情、教师信息、课表生效记录等信息。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课表评估</w:t>
            </w:r>
            <w:r>
              <w:rPr>
                <w:rFonts w:hint="eastAsia" w:ascii="宋体" w:hAnsi="宋体" w:eastAsia="宋体" w:cs="宋体"/>
                <w:color w:val="000000"/>
                <w:kern w:val="0"/>
                <w:szCs w:val="21"/>
              </w:rPr>
              <w:br w:type="textWrapping"/>
            </w:r>
            <w:bookmarkStart w:id="75" w:name="OLE_LINK5"/>
            <w:r>
              <w:rPr>
                <w:rFonts w:hint="eastAsia" w:ascii="宋体" w:hAnsi="宋体" w:eastAsia="宋体" w:cs="宋体"/>
                <w:color w:val="000000"/>
                <w:kern w:val="0"/>
                <w:szCs w:val="21"/>
              </w:rPr>
              <w:t>1.可对各教师课表进行评估分析；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2.可查看每个教师的周总课时、上下午课时数、跨上下午天数、周授课天数、教案平齐、日最多课时、最多连上节次、跳课节次、每周各节次课时数等信息；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3.可高亮最大值显示；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4.可对课程课表进行评估分析；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5.可查看各科目最多同时占用教师数、不连堂且排在同日次数等信息。</w:t>
            </w:r>
          </w:p>
          <w:bookmarkEnd w:id="75"/>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调课管理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1.可管理员按教师和按班级维度进行调课；</w:t>
            </w:r>
            <w:r>
              <w:rPr>
                <w:rFonts w:hint="eastAsia" w:ascii="宋体" w:hAnsi="宋体" w:eastAsia="宋体" w:cs="宋体"/>
                <w:color w:val="000000"/>
                <w:kern w:val="0"/>
                <w:szCs w:val="21"/>
              </w:rPr>
              <w:br w:type="textWrapping"/>
            </w:r>
            <w:r>
              <w:rPr>
                <w:rFonts w:hint="eastAsia" w:ascii="宋体" w:hAnsi="宋体" w:eastAsia="宋体" w:cs="宋体"/>
                <w:szCs w:val="21"/>
              </w:rPr>
              <w:t>▲</w:t>
            </w:r>
            <w:r>
              <w:rPr>
                <w:rFonts w:hint="eastAsia" w:ascii="宋体" w:hAnsi="宋体" w:eastAsia="宋体" w:cs="宋体"/>
                <w:color w:val="000000"/>
                <w:kern w:val="0"/>
                <w:szCs w:val="21"/>
              </w:rPr>
              <w:t>2.可检测调课过程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可根据不同颜色查看双向可调课程、单向可调课程、不可调课程原因、连堂和合班课程；（提供由CMA或CNAS认证的第三方权威机构出具的测试报告，报告内容包含该功能点，并加盖投标人公章）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3.可自动展示调课教师课表和预被调教师课表，方便管理员直观判断是否可调；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4.可将某课程放置在缓存区暂存，方便管理员进行调课操作；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5.可对调课操作进行记录并展示，调课记录信息包括：调课课程、被调课程、调课时间以及操作人等；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6.可撤销某个调课操作，可连续按最新到最老的操作记录撤销历史操作，直至恢复至最后一次保存调课结果的状态；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7.可开启或关闭锁定预排课程操作，需可冲突检测功能，系统自动检测调课后的课表与排课规则条件是否有冲突，调课完成后；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8.可仅下载近期调课教师课表；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9.可走班课调课、合班课调课，并智能提示相关信息用于调课参考。</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课表合并</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▲1.可合并课表</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可查看排课列表中已创建的合并任务，包括已完成和未完成。可对多个已完成的任务进行合并，包括相同年级和不同年级可设定校验</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可生成新的合并任务</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可查看课表和进行调课</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可发布和导出课表；（提供由CMA或CNAS认证的第三方权威机构出具的测试报告，报告内容包含该功能点，并加盖投标人公章）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2.可选择多个已完成的任务可以进行合并，包括相同年级或不同年级，通过校验，会生成一个新的合并后的任务。</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学校学生生涯探索子系统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职业兴趣测评统计分析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1.可查看学生职业兴趣测评结果，需要包含：序号、班级、姓名、学生账号、性别、创建/更新日期、职业兴趣结果、测评状态等多维度；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3.可查看和下载学生职业兴趣测评报告，报告内容需要包含：测评结果、职业兴趣描述，职业兴趣的个性特征描述、适合的职业、专业选择建议等多信息。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多元智能测评统计分析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1.可查看学生多元智能测评结果，需要包含：序号、班级、姓名、学生账号、性别、创建/更新日期、多元智能结果、测评状态多维度；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3.可查看和下载学生多元智能测评报告，报告内容需要包含：测评结果、多元智能描述，多元智能的内涵、优势表现、相关职业、对应专业等信息。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职业性格测评统计分析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1.可查看学生多元智能测评结果，需要包含：序号、班级、姓名、学生账号、性别、创建/更新日期、多元智能结果、测评状态等多维度；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3.可查看和下载学生多元智能测评报告，报告内容需要包含：测评结果、多元智能描述，多元智能的内涵、优势表现、相关职业、对应专业等信息。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职业价值观测评统计分析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1.可查看学生职业价值观测评结果，查看信息需要包含：序号、班级、姓名、学生账号、性别、创建/更新日期、价值观结果、测评状态等多维度；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3.可查看和下载学生职业价值观测评报告，报告内容需要包含：测评结果、职业价值观描述、职业价值观的内涵、职业发展建议等信息。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决策风格测评统计分析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1.可查看学生决策风格测评结果，结果需要包含：序号、班级、姓名、学生账号、性别、创建/更新日期、决策风格、测评状态等多维度；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3.可通过图表展示学生测评完成情况和学生决策风格分布情况。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学习风格测评统计分析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1.查看学生学习风格测评结果，结果需要包含：序号、班级、姓名、学生账号、性别、创建/更新日期、决策风格、测评状态等多维度；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3.可通过图表展示学生测评完成情况和学生学习风格分布情况。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学科兴趣潜能测评统计分析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1.可查看学生学科兴趣潜能测评结果，结果需要包含：序号、班级、姓名、学生账号、性别、创建/更新日期、学科兴趣结果、测评状态等多维度；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3.可通过图表展示学生测评完成情况和学生学科兴趣分布情况；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4.可查看和下载学生学科兴趣潜能测评报告。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意向院校</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1.可查看学生意向院校收藏结果，结果需要包含：序号、班级、姓名、学生账号、性别、创建/更新日期、意向院校、完成度等多维度；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3.可查看学生意向专业收藏信息，专业信息链接到对应专业库，查看相应专业进行信息内容；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4.可查看学生意向专业完成情况，统计各班级学生完成情况，通过图形形式展示班级内完成与未完成人数；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5.可查看学生意向专业分布情况，统计学生意向专业分布占比情况。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意向专业</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1.可查看学生志向专业收藏结果，结果需要包含：序号、班级、姓名、学生账号、性别、创建/更新日期、志向专业、完成度等多维度；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3.可查看学生志向院校收藏信息，院校信息链接到对应院校库，查看相应院校进行信息内容；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4.可查看学生志向院校完成情况，统计各班级学生完成情况，通过图形形式展示班级内完成与未完成人数；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5.可查看学生志向院校分布情况，统计学生志向院校分布占比情况。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意向职业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1.可查看学生志向职业收藏结果，结果需要包含：序号、班级、姓名、学生账号、性别、创建/更新日期、志向职业、完成度等多维度；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3.可查看学生志向职业收藏信息，职业信息链接到对应职业库，查看相应职业进行信息内容；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4.可查看学生志向院校完成情况，统计各班级学生完成情况，通过图形形式展示班级内完成与未完成人数；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5.可查看学生志向职业分布情况，统计学生志向职业分布占比情况。</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生涯榜样</w:t>
            </w:r>
          </w:p>
          <w:p>
            <w:pPr>
              <w:widowControl/>
              <w:rPr>
                <w:rFonts w:hint="eastAsia" w:ascii="宋体" w:hAnsi="宋体" w:eastAsia="宋体" w:cs="宋体"/>
                <w:color w:val="000000"/>
                <w:kern w:val="0"/>
                <w:szCs w:val="21"/>
              </w:rPr>
            </w:pPr>
            <w:bookmarkStart w:id="76" w:name="OLE_LINK6"/>
            <w:r>
              <w:rPr>
                <w:rFonts w:hint="eastAsia" w:ascii="宋体" w:hAnsi="宋体" w:eastAsia="宋体" w:cs="宋体"/>
                <w:color w:val="000000"/>
                <w:kern w:val="0"/>
                <w:szCs w:val="21"/>
              </w:rPr>
              <w:t>1.按照校区、学段、年级、班级、学生姓名、学生账号、完成度等条件进行数据筛选；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2.查看学生生涯榜样收藏结果，结果需要包含：序号、班级、姓名、学生账号、性别、创建/更新日期、生涯榜样、完成度等多维度；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3.可数据列表导出操作功能；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4.可统计各班级学生完成情况，通过图形形式展示班级内完成与未完成人数；统计学生生涯榜样分布占比情况。</w:t>
            </w:r>
          </w:p>
          <w:bookmarkEnd w:id="76"/>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高校信息库</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▲1.可根据所在</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、院校分类、院校层次、院校特色查阅不同学校简介、历年分数线、招生专业与学科要求；（提供由CMA或CNAS认证的第三方权威机构出具的测试报告，报告内容包含该功能点，并加盖投标人公章）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2.查询全国各地高校的基本信息、学校简介、开设专业、分数线、招生简章信息。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专业信息库</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1.专业筛选条件设置，包括专业名称、专业层次、专业学科等条件；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2.全国开设专业信息查询，获取专业基本信息、专业简介、开设院校、前景方向信息。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职业信息库</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定制功能：                                                                           1.职业搜索及筛选，根据职业名称、职业类型对相关职业进行操作；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2.职业信息查看，获取职业基本信息、职业解读、匹配专业、发展方向。</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学生发展综合报告</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1.学生发展综合报告统计总表查看，掌握整体报告统计情况；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2.学生发展综合报告查看，获取单个学生的综合报告内容；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3.报告导出与批量下载，支撑报告的导出和批量下载操作。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生涯学习资源管理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1.公有资源搜索，按资源名称、资源来源、资源类型等条件进行数据筛选；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2.公有资源查看，对筛选后的公有资源进行查看操作。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生涯榜样管理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1.行业榜样查看，通过姓名搜索查看某位行业榜样的姓名、毕业院校、专业、行业、职业等信息；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2.行业榜样编辑，对已有行业榜样信息进行编辑操作；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3.行业榜样删除，对不需要的行业榜样信息进行删除操作；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4.行业榜样添加，录入榜样姓名、毕业院校、专业、职业、行业、榜样简介及上传图片等信息。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生涯测评模块管理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1.测评模块管理，对各年级每个测评模块进行统一管理；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2.测评模块开放控制，设置测评模块是否对学生开放；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3.关闭后学生操作控制，测评模块关闭后学生端无需进行该模块测评；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4.测评数据及结果可直接对接选科系统，对学生进行科学、合理的生涯引导。</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自我认知</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1.多维度自我探索测评参与，学生进行多维度的自我探索测评；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各类测评项目参与，包括职业性格测评、职业兴趣测评、多元智能测评、职业价值观测评、学科兴趣潜能测评、决策风格测评、学习风格测评、学业自我认知能力、时间管理倾向、晨型/夜型、心理弹性、成就动机等多维度测评。</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外部探索</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1.信息库包含，系统包含高校信息库、专业信息库、职业信息库、高考百科等内容；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2.各类信息库提供，为用户提供高校信息库、专业信息库、职业信息库、高考百科等信息库。</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生涯学习</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1.生涯课程学习渠道，学生通过PC端和移动端学习平台上传的生涯课程；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2.多样课程资源获取，获取教学设计、教学课件、教学视频等类型的课程资源。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探索人生榜样</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1.手机端榜样查看，学生通过手机端查看行业榜样、校友榜样等信息；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2.榜样基本信息获取，可获取榜样的就读专业、毕业学校、职业等基本信息。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家长端</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1.家长通过手机端查看学生（孩子）的生涯报告。</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375"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学校阅卷子系统</w:t>
            </w:r>
          </w:p>
        </w:tc>
        <w:tc>
          <w:tcPr>
            <w:tcW w:w="3521" w:type="pct"/>
            <w:gridSpan w:val="2"/>
            <w:vAlign w:val="center"/>
          </w:tcPr>
          <w:p>
            <w:pPr>
              <w:widowControl/>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学校</w:t>
            </w:r>
            <w:r>
              <w:rPr>
                <w:rFonts w:hint="eastAsia" w:ascii="宋体" w:hAnsi="宋体" w:eastAsia="宋体" w:cs="宋体"/>
                <w:color w:val="000000" w:themeColor="text1"/>
                <w:kern w:val="0"/>
                <w:szCs w:val="21"/>
                <w:highlight w:val="none"/>
                <w14:textFill>
                  <w14:solidFill>
                    <w14:schemeClr w14:val="tx1"/>
                  </w14:solidFill>
                </w14:textFill>
              </w:rPr>
              <w:t>考试管理</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 发布考试：支持发起“单科目诊断”和“多科目诊断”考试任务，支持学校将传统考试成绩导入任务，进行学业诊断；支持按照新高考选科模式发布考试；</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 考试类型：支持发起小型测试，如“早晚测</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周测”、月考，也可通过多科目开始组织期中、期末等大型考试。</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 考试管理：支持通过编辑模板名称、考试年级、选择批改方式、考试课程、考试班级来新增考试模板；支持复用以往考试设置任务，并支持对其进行编辑修改；</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 考试设置：支持“各改各班”与“流水批改”两种批改模式，支持自主发布考试，存储考试模板；</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 考试权限：支持新增科目组长，设置后该科目组长可查看阅卷进度、可做下层的阅卷安排，支持指派质检员权限，可精确到科目、到校、到阅卷组，质检员可看进度、抽检与打回工作。</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 考试成绩可见设置：支持选择是否自动公布成绩，可对系统角色设置成绩可见权限；</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公共题库</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1.收录区域近5年中考、高考真题试卷、区域统考试卷及区域内名校模拟卷；</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2.区域题库试题标注知识点、考点、考法、能力值、难度等精细化参数；</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3.保证收录试卷与区域内考点、</w:t>
            </w:r>
            <w:r>
              <w:rPr>
                <w:rFonts w:hint="eastAsia" w:ascii="宋体" w:hAnsi="宋体" w:eastAsia="宋体" w:cs="宋体"/>
                <w:color w:val="000000" w:themeColor="text1"/>
                <w:kern w:val="0"/>
                <w:szCs w:val="21"/>
                <w:highlight w:val="none"/>
                <w14:textFill>
                  <w14:solidFill>
                    <w14:schemeClr w14:val="tx1"/>
                  </w14:solidFill>
                </w14:textFill>
              </w:rPr>
              <w:t>课标</w:t>
            </w:r>
            <w:r>
              <w:rPr>
                <w:rFonts w:hint="eastAsia" w:ascii="宋体" w:hAnsi="宋体" w:eastAsia="宋体" w:cs="宋体"/>
                <w:color w:val="000000" w:themeColor="text1"/>
                <w:kern w:val="0"/>
                <w:szCs w:val="21"/>
                <w14:textFill>
                  <w14:solidFill>
                    <w14:schemeClr w14:val="tx1"/>
                  </w14:solidFill>
                </w14:textFill>
              </w:rPr>
              <w:t>的一致性。</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题库组卷</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1.从题库组成试卷后，系统可以根据试卷的题型题量一键自动生成答题卡；</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2.其中客观题答题区域自动生成，主观题答题区域高度根据试题答案的高度自动计算。</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网上阅卷</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1.系统既可网上阅卷</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也可线下纸质批改后上传；</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2.系统能自动识别线下批改老师批改的分数；</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3.答题卡既可以按照整个年级上传；</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4.可以按照班级分批上传；</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5.满足小型测验和大型考试的不同需要；</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6.可一键切换高考模式以及在考试模式下能够高仿高考答题卡来提升学生适应性，可隐藏二维码。（提供由CMA或CNAS认证的第三方权威机构出具的测试报告，报告内容包含该功能点，并加盖投标人公章）</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考试报告</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1.老师查看每个学生的成绩和试卷原卷；</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2.老师可查看每个学生的成绩报告；</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3.老师可了解单个学生具体的作答情况；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4.老师可掌握单个学生所处分数段情况；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5.可查看学生个人成绩单；</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6.可查看学生得分分析和试题分析；</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▲7.可将一份考试结果生成多份报告以及各份报告间数据统计独立；（提供由CMA或CNAS认证的第三方权威机构出具的测试报告，报告内容包含该功能点，并加盖投标人公章）</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8.可剔除学科、剔除班级和剔除学生；</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9.可按照课程和小题进行折算分数。</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班级学情</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1.可整体查看班级内所有或单个学科的一场或多场考试整体状况；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2.可查看综合能力值、综合概况、指标分析、得分率明细表；</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3.可查看分类变化趋势图、得分率位次变化趋势图；</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4.可统计并分析班级平均得分率、班级错题总数、优秀率、优良率、及格率、低分率等数据；</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5.系统可以根据学生成绩划分学生类型得到临界生短板生信息，可通过老师对临界生、短板生进行重点关注标记。（提供由CMA或CNAS认证的第三方权威机构出具的测试报告，报告内容包含该功能点，并加盖投标人公章）</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学生学情</w:t>
            </w:r>
          </w:p>
          <w:p>
            <w:pPr>
              <w:pStyle w:val="2"/>
              <w:numPr>
                <w:ilvl w:val="0"/>
                <w:numId w:val="6"/>
              </w:numPr>
              <w:spacing w:line="15"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直接看到单个学生历次考试的成绩趋势、知识点掌握度、所处分数段、班级得分率与个人得分率的对比、个人成绩单；2.得分分析包括题号、得分、难度、班级得分率、年级得分率等，可直接查看作答详情，可选仅显示错题。</w:t>
            </w:r>
          </w:p>
          <w:p>
            <w:pPr>
              <w:pStyle w:val="2"/>
              <w:spacing w:line="15"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教情学情</w:t>
            </w:r>
          </w:p>
          <w:p>
            <w:pPr>
              <w:spacing w:line="15"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定制功能：</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1.可实时监测系统使用情况；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2.可掌握各年级、各科目使用频率；</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3.可查看阅卷超时预警信息；</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4.可掌握阅卷进度情况；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5.可生成并查看校本题库资源量信息更新情况；</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6.可基于学生历次考试的，自动整理形成学生个人专属的错题本。</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学校成绩管理子系统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成绩数据管理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可按学生入学年份，管理各年级所有考试；可查看考试场次、原始成绩单，可添加和管理考试成绩；</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可按学生入学年份，管理各年级所有联考成绩。可查看原始成绩单、考试场次，添加和管理考试成绩等功能；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可接收来源于上一级区域系统所分发下来的统考成绩数据，包括查看原始成绩单。原始成绩单数据范围仅可查看本校数据；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可对全省平均考试总人数进行设置；对总成绩、语文、数学、英语、物理、化学、生物、政治、历史、地理进行校百分等级和省百分等级的映射关系。可对映射规则进行添加，删除，批量删除等操作。可按映射自定义模板进行数据上传，上传成功后，可以保存至映射规则内。</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基本分析</w:t>
            </w:r>
          </w:p>
          <w:p>
            <w:pPr>
              <w:widowControl/>
              <w:jc w:val="left"/>
              <w:rPr>
                <w:color w:val="000000" w:themeColor="text1"/>
                <w:highlight w:val="yellow"/>
                <w14:textFill>
                  <w14:solidFill>
                    <w14:schemeClr w14:val="tx1"/>
                  </w14:solidFill>
                </w14:textFill>
              </w:rPr>
            </w:pPr>
            <w:r>
              <w:rPr>
                <w:rFonts w:hint="eastAsia" w:ascii="宋体" w:hAnsi="宋体" w:eastAsia="宋体" w:cs="宋体"/>
                <w:color w:val="000000"/>
                <w:kern w:val="0"/>
                <w:szCs w:val="21"/>
              </w:rPr>
              <w:t>1.可按年级整体分析、班级整体分析、学生个体整体分析、汇总基本分析学生成绩榜单等功能；</w:t>
            </w:r>
            <w:r>
              <w:rPr>
                <w:rFonts w:ascii="宋体" w:hAnsi="宋体" w:eastAsia="宋体" w:cs="宋体"/>
                <w:color w:val="000000" w:themeColor="text1"/>
                <w:kern w:val="0"/>
                <w:szCs w:val="21"/>
                <w14:textFill>
                  <w14:solidFill>
                    <w14:schemeClr w14:val="tx1"/>
                  </w14:solidFill>
                </w14:textFill>
              </w:rPr>
              <w:t>根据</w:t>
            </w:r>
            <w:r>
              <w:rPr>
                <w:rFonts w:hint="eastAsia" w:ascii="宋体" w:hAnsi="宋体" w:eastAsia="宋体" w:cs="宋体"/>
                <w:color w:val="000000" w:themeColor="text1"/>
                <w:kern w:val="0"/>
                <w:szCs w:val="21"/>
                <w14:textFill>
                  <w14:solidFill>
                    <w14:schemeClr w14:val="tx1"/>
                  </w14:solidFill>
                </w14:textFill>
              </w:rPr>
              <w:t>考生</w:t>
            </w:r>
            <w:r>
              <w:rPr>
                <w:rFonts w:ascii="宋体" w:hAnsi="宋体" w:eastAsia="宋体" w:cs="宋体"/>
                <w:color w:val="000000" w:themeColor="text1"/>
                <w:kern w:val="0"/>
                <w:szCs w:val="21"/>
                <w14:textFill>
                  <w14:solidFill>
                    <w14:schemeClr w14:val="tx1"/>
                  </w14:solidFill>
                </w14:textFill>
              </w:rPr>
              <w:t>所在地区赋分政策</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提供等级赋分管理及分析</w:t>
            </w:r>
            <w:r>
              <w:rPr>
                <w:rFonts w:ascii="宋体" w:hAnsi="宋体" w:eastAsia="宋体" w:cs="宋体"/>
                <w:color w:val="000000" w:themeColor="text1"/>
                <w:kern w:val="0"/>
                <w:szCs w:val="21"/>
                <w14:textFill>
                  <w14:solidFill>
                    <w14:schemeClr w14:val="tx1"/>
                  </w14:solidFill>
                </w14:textFill>
              </w:rPr>
              <w:t>；</w:t>
            </w:r>
          </w:p>
          <w:p>
            <w:pPr>
              <w:widowControl/>
              <w:rPr>
                <w:rFonts w:hint="eastAsia" w:ascii="宋体" w:hAnsi="宋体" w:eastAsia="宋体" w:cs="宋体"/>
                <w:color w:val="000000"/>
                <w:kern w:val="0"/>
                <w:szCs w:val="21"/>
              </w:rPr>
            </w:pPr>
            <w:r>
              <w:rPr>
                <w:rFonts w:hint="eastAsia" w:ascii="宋体" w:hAnsi="宋体" w:eastAsia="宋体" w:cs="宋体"/>
                <w:color w:val="000000" w:themeColor="text1"/>
                <w:kern w:val="0"/>
                <w:szCs w:val="21"/>
                <w14:textFill>
                  <w14:solidFill>
                    <w14:schemeClr w14:val="tx1"/>
                  </w14:solidFill>
                </w14:textFill>
              </w:rPr>
              <w:t>2.可对要分析的考试进行条</w:t>
            </w:r>
            <w:r>
              <w:rPr>
                <w:rFonts w:hint="eastAsia" w:ascii="宋体" w:hAnsi="宋体" w:eastAsia="宋体" w:cs="宋体"/>
                <w:color w:val="000000"/>
                <w:kern w:val="0"/>
                <w:szCs w:val="21"/>
              </w:rPr>
              <w:t>件选择、缺考处理且可单科目分析；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3.可多种成绩计算方式、排名方式可加权平均分析和历次对比分析，可智能缺考成绩处理；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4.可多维度的范围设置，可关联基础数据结构中的班级结构和年级信息；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可对范围群体进行筛选分析；可对分析的基本数据所选范围内学生总成绩或单科在各班级梯队的人数分布、行政班内学生在各年级梯队的人数分布进行统计、班级学生各科目进行分析、班级学生群体分数段分布进行分析、可对班级学生群体排名段分布进行分析、对班级学生群体各科目内优良等第人数及占比进行分析，以图标进行展示。</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校内成绩增量分析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 年级增量分析、班级增量分析、个体增量分析以及汇总增量分析，为学校提供对比考试与基准考试的增量变化统计分析。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 可选择要分析的考试场次、科目，可对考试科目与场次权重进行分析；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3.可缺考智能处理；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4.可多种成绩计算方法、处理方法和排名方法：包括原始分、标准分、混合分；须可对群体维度分析类型设置，包括行政班、教学班、任课教师、选科组合维度；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5.可对分析的排名增量、行政班平均排名增量进行对比，以柱状图形式展示。排序方式可默认排序、排名增量正序。可图表切换展示数据分析内容。可按照页面分析内容进行数据导出；</w:t>
            </w:r>
            <w:r>
              <w:rPr>
                <w:rFonts w:hint="eastAsia" w:ascii="宋体" w:hAnsi="宋体" w:eastAsia="宋体" w:cs="宋体"/>
                <w:color w:val="000000"/>
                <w:kern w:val="0"/>
                <w:szCs w:val="21"/>
              </w:rPr>
              <w:br w:type="textWrapping"/>
            </w:r>
            <w:r>
              <w:rPr>
                <w:rFonts w:hint="eastAsia" w:ascii="宋体" w:hAnsi="宋体" w:eastAsia="宋体" w:cs="宋体"/>
                <w:szCs w:val="21"/>
              </w:rPr>
              <w:t>▲</w:t>
            </w:r>
            <w:r>
              <w:rPr>
                <w:rFonts w:hint="eastAsia" w:ascii="宋体" w:hAnsi="宋体" w:eastAsia="宋体" w:cs="宋体"/>
                <w:color w:val="000000"/>
                <w:kern w:val="0"/>
                <w:szCs w:val="21"/>
              </w:rPr>
              <w:t>6.可根据基准考试组、对比考试组的总成绩和科目成绩查看增量变化情况，包括班级学生群体对比总览和班级学生排名。（提供由CMA或CNAS认证的第三方权威机构出具的测试报告，报告内容包含该功能点，并加盖投标人公章）</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校内映射分析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要求校内映射分析要求为学校提供从校内考试到省/市统考、联考的映射对应关系，利用丰富的图表形式在页面展示。校内映射分析功能需要包括：年级映射分析、班级映射分析、个体映射分析、汇总映射分析、映射关系查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可选择分析考试场次和映射依据；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3.可对所选考试进行科目系数设置；</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4.可对考试场次权重进行设置；对缺考科目进行设置。可对总成绩计算方式进行设置；可排名方式设置；可对缺考处理方式进行设置；可对分数计算方式进行设置，包括原始分、标准分、混合分；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5.可对群体维度分析类型设置，包括行政班、教学班、任课教师、选科组合维度；</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6.可对班级结构进行设置，默认当前班级结构，可选择历史班级结构；</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7.可根据选择分析群体方式的不同来选择分析群体维度；</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8.可对“统计生”及排名筛选进行设置；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9.可对分析的基本数据进行展示；可对分析学生群体的映射分数各分数段人数占比Top10进行统计分析，可图表切换展示数据分析内容；</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10.可对各行政班映射均值进行对比，以图形进行展示；可对年级学生群体映射分数段分布进行分析，以图形进行展示；可对年级学生群体各科目内优良等第人数及占比进行分析，以图形进行展示。</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学生成绩册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1.可基于单次或多次考试创建学生成绩册</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2.可按要求创建成绩册； </w:t>
            </w:r>
            <w:r>
              <w:rPr>
                <w:rFonts w:hint="eastAsia" w:ascii="宋体" w:hAnsi="宋体" w:eastAsia="宋体" w:cs="宋体"/>
                <w:color w:val="000000"/>
                <w:kern w:val="0"/>
                <w:szCs w:val="21"/>
              </w:rPr>
              <w:br w:type="textWrapping"/>
            </w:r>
            <w:bookmarkStart w:id="77" w:name="OLE_LINK11"/>
            <w:r>
              <w:rPr>
                <w:rFonts w:hint="eastAsia" w:ascii="宋体" w:hAnsi="宋体" w:eastAsia="宋体" w:cs="宋体"/>
                <w:szCs w:val="21"/>
              </w:rPr>
              <w:t>▲</w:t>
            </w:r>
            <w:bookmarkEnd w:id="77"/>
            <w:r>
              <w:rPr>
                <w:rFonts w:hint="eastAsia" w:ascii="宋体" w:hAnsi="宋体" w:eastAsia="宋体" w:cs="宋体"/>
                <w:color w:val="000000"/>
                <w:kern w:val="0"/>
                <w:szCs w:val="21"/>
              </w:rPr>
              <w:t>3.可设置学生成绩册名称、考试场次、计算方式、字段展示、教师及家长寄语、学校寄语等内容；（提供由CMA或CNAS认证的第三方权威机构出具的测试报告，报告内容包含该功能点，并加盖投标人公章）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3.可查看已创建的成绩册内容，可各科目老师对学生成绩册进行评语和预览、下载成绩册；</w:t>
            </w:r>
            <w:bookmarkStart w:id="78" w:name="OLE_LINK8"/>
            <w:r>
              <w:rPr>
                <w:rFonts w:hint="eastAsia" w:ascii="宋体" w:hAnsi="宋体" w:eastAsia="宋体" w:cs="宋体"/>
                <w:color w:val="000000"/>
                <w:kern w:val="0"/>
                <w:szCs w:val="21"/>
                <w:highlight w:val="red"/>
              </w:rPr>
              <w:br w:type="textWrapping"/>
            </w:r>
            <w:bookmarkEnd w:id="78"/>
            <w:r>
              <w:rPr>
                <w:rFonts w:hint="eastAsia" w:ascii="宋体" w:hAnsi="宋体" w:eastAsia="宋体" w:cs="宋体"/>
                <w:color w:val="000000"/>
                <w:kern w:val="0"/>
                <w:szCs w:val="21"/>
              </w:rPr>
              <w:t>5. 可添加工作台，制作台具备节点选择、配置、预览三大操作分；可添加、删除、上传、复用节点并可批量操作；可对选择的节点进行配置，配置操作。</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37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学校大数据汇总与分析子系统</w:t>
            </w:r>
          </w:p>
        </w:tc>
        <w:tc>
          <w:tcPr>
            <w:tcW w:w="3521"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系统使用人数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1.可实时查看系统使用情况；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2.可查看当前在线人数；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3.可查看累计使用人数；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4.可查看教师使用人数；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5.可查看学生使用人数。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各系统访问次数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1.可查看各系统使用情况</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包括选科系统、分班系统、排课系统、成绩分析系统等；</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2.可按日、按周、按月查看各系统使用。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班级走班人数比例</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1.可实时查看各年级各班级走班人数、比例；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2.可实时查看班级各科目学生走班人数。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年级基本信息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1.可统计各年级基本信息；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2.统计各年级教师人数；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3.可统计各年级学生人数；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4.可统计各年级家长人数；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5.可统计各年级行政班数量；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6.可统计各年级教学班数量。</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学校基本信息</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1.可统计学校基本信息，包括教师人数、学生人数及家长人数。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单科选科结果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1.可统计学校各年级学生单科选科结果。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组合选科结果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1.可统计学校各年级学生组合选科结果。</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教师总课时统计</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1.可统计学校各年级教师学期总课时数；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2.可快速查看教师总课时数排名前十的教师。</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教学监测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1.可统计并分析各班级各次考试的班级平均分变化趋势。</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学生目标升学路径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1.可查看各年级学生目标升学路径；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2.可了解高考、三位一体、艺术类招生、高职单招、出国留学、体育类招生、强基计划等各类升学路径。</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学生目标院校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1.可统计学校各年级学生目标升学院校及人数。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学生意向专业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1.学生意向专业统计</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统计学校各年级学生意向专业；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2.专业排名统计</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统计学生意向专业的专业排名；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3.专业人数统计</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统计各意向专业的人数。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校友</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分布</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1.可对接学校校友管理系统；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2.可统计学校历届校友分布情况；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3.可统计校友</w:t>
            </w:r>
            <w:r>
              <w:rPr>
                <w:rFonts w:hint="eastAsia" w:ascii="宋体" w:hAnsi="宋体" w:eastAsia="宋体" w:cs="宋体"/>
                <w:color w:val="000000"/>
                <w:kern w:val="0"/>
                <w:szCs w:val="21"/>
                <w:lang w:eastAsia="zh-CN"/>
              </w:rPr>
              <w:t>县（市、区）</w:t>
            </w:r>
            <w:r>
              <w:rPr>
                <w:rFonts w:hint="eastAsia" w:ascii="宋体" w:hAnsi="宋体" w:eastAsia="宋体" w:cs="宋体"/>
                <w:color w:val="000000"/>
                <w:kern w:val="0"/>
                <w:szCs w:val="21"/>
              </w:rPr>
              <w:t>分布情况；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4.可统计校友人数分布情况；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5.可统计校友总入驻人数。</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学生职业兴趣测评结果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1.可统计分析学校学生职业兴趣测评结果；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2.可统计分析各职业兴趣测评结果的人数分布。</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学生职业性格测评结果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1.可统计学校学生职业性格测评结果；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2.可统计分析各职业性格测评结果的人数占比。</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教学管理</w:t>
            </w:r>
          </w:p>
          <w:p>
            <w:pPr>
              <w:rPr>
                <w:rFonts w:hint="eastAsia" w:ascii="宋体" w:hAnsi="宋体" w:eastAsia="宋体" w:cs="宋体"/>
                <w:color w:val="000000"/>
                <w:kern w:val="0"/>
                <w:szCs w:val="21"/>
              </w:rPr>
            </w:pPr>
            <w:r>
              <w:rPr>
                <w:rFonts w:hint="eastAsia" w:ascii="宋体" w:hAnsi="宋体" w:eastAsia="宋体" w:cs="宋体"/>
                <w:color w:val="000000"/>
                <w:kern w:val="0"/>
                <w:szCs w:val="21"/>
              </w:rPr>
              <w:t>1.查看学校相关业务的数据指标，如成绩、教师获奖信息等，方便学校教学管理。</w:t>
            </w:r>
          </w:p>
        </w:tc>
        <w:tc>
          <w:tcPr>
            <w:tcW w:w="325"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rPr>
                <w:rFonts w:hint="eastAsia" w:ascii="宋体" w:hAnsi="宋体" w:eastAsia="宋体" w:cs="宋体"/>
                <w:color w:val="000000"/>
                <w:kern w:val="0"/>
                <w:szCs w:val="21"/>
              </w:rPr>
            </w:pPr>
            <w:r>
              <w:rPr>
                <w:rFonts w:hint="eastAsia" w:ascii="宋体" w:hAnsi="宋体" w:eastAsia="宋体" w:cs="宋体"/>
                <w:b/>
                <w:bCs/>
                <w:color w:val="000000"/>
                <w:kern w:val="0"/>
                <w:szCs w:val="21"/>
                <w:lang w:eastAsia="zh-CN"/>
              </w:rPr>
              <w:t>（</w:t>
            </w:r>
            <w:r>
              <w:rPr>
                <w:rFonts w:hint="eastAsia" w:ascii="宋体" w:hAnsi="宋体" w:eastAsia="宋体" w:cs="宋体"/>
                <w:b/>
                <w:bCs/>
                <w:color w:val="000000"/>
                <w:kern w:val="0"/>
                <w:szCs w:val="21"/>
              </w:rPr>
              <w:t>三</w:t>
            </w:r>
            <w:r>
              <w:rPr>
                <w:rFonts w:hint="eastAsia" w:ascii="宋体" w:hAnsi="宋体" w:eastAsia="宋体" w:cs="宋体"/>
                <w:b/>
                <w:bCs/>
                <w:color w:val="000000"/>
                <w:kern w:val="0"/>
                <w:szCs w:val="21"/>
                <w:lang w:eastAsia="zh-CN"/>
              </w:rPr>
              <w:t>）</w:t>
            </w:r>
          </w:p>
        </w:tc>
        <w:tc>
          <w:tcPr>
            <w:tcW w:w="4470" w:type="pct"/>
            <w:gridSpan w:val="5"/>
            <w:vAlign w:val="center"/>
          </w:tcPr>
          <w:p>
            <w:pPr>
              <w:widowControl/>
              <w:rPr>
                <w:rFonts w:hint="eastAsia" w:ascii="宋体" w:hAnsi="宋体" w:eastAsia="宋体" w:cs="宋体"/>
                <w:color w:val="000000"/>
                <w:kern w:val="0"/>
                <w:szCs w:val="21"/>
              </w:rPr>
            </w:pPr>
            <w:r>
              <w:rPr>
                <w:rFonts w:hint="eastAsia" w:ascii="宋体" w:hAnsi="宋体" w:eastAsia="宋体" w:cs="宋体"/>
                <w:b/>
                <w:bCs/>
                <w:color w:val="000000"/>
                <w:kern w:val="0"/>
                <w:szCs w:val="21"/>
              </w:rPr>
              <w:t>电子班牌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w:t>
            </w:r>
          </w:p>
        </w:tc>
        <w:tc>
          <w:tcPr>
            <w:tcW w:w="375" w:type="pct"/>
            <w:vAlign w:val="center"/>
          </w:tcPr>
          <w:p>
            <w:pPr>
              <w:widowControl/>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电子班牌</w:t>
            </w:r>
          </w:p>
        </w:tc>
        <w:tc>
          <w:tcPr>
            <w:tcW w:w="3500" w:type="pct"/>
            <w:vAlign w:val="center"/>
          </w:tcPr>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电子班牌</w:t>
            </w:r>
          </w:p>
          <w:p>
            <w:pPr>
              <w:widowControl/>
              <w:spacing w:line="276" w:lineRule="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1.采用21.5英寸横屏式电容显示屏，支持10点触控，屏幕分辨率≥1920*1080，显示比例16:9；屏幕亮度≥500cd/㎡。提供生产厂家确认的、相应的功能证明材料</w:t>
            </w:r>
            <w:r>
              <w:rPr>
                <w:rFonts w:hint="eastAsia" w:ascii="宋体" w:hAnsi="宋体" w:eastAsia="宋体" w:cs="宋体"/>
                <w:b/>
                <w:bCs/>
                <w:color w:val="000000"/>
                <w:kern w:val="0"/>
                <w:szCs w:val="21"/>
              </w:rPr>
              <w:t>（包括但不限于测试报告、功能截图等）</w:t>
            </w:r>
          </w:p>
          <w:p>
            <w:pPr>
              <w:widowControl/>
              <w:spacing w:line="276" w:lineRule="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2.整机采用防水防尘结构设计，适用于学校教室半户外环境，防护等级不低于IP65。提供生产厂家确认的、相应的功能证明材料</w:t>
            </w:r>
            <w:r>
              <w:rPr>
                <w:rFonts w:hint="eastAsia" w:ascii="宋体" w:hAnsi="宋体" w:eastAsia="宋体" w:cs="宋体"/>
                <w:b/>
                <w:bCs/>
                <w:color w:val="000000"/>
                <w:kern w:val="0"/>
                <w:szCs w:val="21"/>
              </w:rPr>
              <w:t>（包括但不限于测试报告、功能截图等）</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3.整机背部与墙面微距全贴合，背面与平整墙面间隙最大处≤2.5mm，保障教学环境的安全性。</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4.整机最大厚度不大于29mm。</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5.整机正面覆盖钢化玻璃</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6.整机正面不采用贴膜方式具备防眩光功能。</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7.可拍摄不低于200W像素的照片，支持不少于5人同时进行人脸识别。可支持学生无卡考勤签到、查看个人课程表、家长留言等个人信息。提供生产厂家确认的、相应的功能证明材料</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8.整机在逆光（人像处于背景照度≥60000Lux）环境下距离≤0.5m可正常进行人脸识别。</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9.内置高灵敏度的全向麦克风，拾音半径不小于0.5m，支持学生语音留言，留言内容同步发送至家长微信。</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10.</w:t>
            </w:r>
            <w:r>
              <w:rPr>
                <w:rFonts w:hint="eastAsia" w:ascii="宋体" w:hAnsi="宋体" w:eastAsia="宋体" w:cs="宋体"/>
                <w:color w:val="000000"/>
                <w:kern w:val="0"/>
                <w:szCs w:val="21"/>
              </w:rPr>
              <w:tab/>
            </w:r>
            <w:r>
              <w:rPr>
                <w:rFonts w:hint="eastAsia" w:ascii="宋体" w:hAnsi="宋体" w:eastAsia="宋体" w:cs="宋体"/>
                <w:color w:val="000000"/>
                <w:kern w:val="0"/>
                <w:szCs w:val="21"/>
              </w:rPr>
              <w:t>内置2.0立体声道功放，支持视频及家长留言的音频播放。</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11.</w:t>
            </w:r>
            <w:r>
              <w:rPr>
                <w:rFonts w:hint="eastAsia" w:ascii="宋体" w:hAnsi="宋体" w:eastAsia="宋体" w:cs="宋体"/>
                <w:color w:val="000000"/>
                <w:kern w:val="0"/>
                <w:szCs w:val="21"/>
              </w:rPr>
              <w:tab/>
            </w:r>
            <w:r>
              <w:rPr>
                <w:rFonts w:hint="eastAsia" w:ascii="宋体" w:hAnsi="宋体" w:eastAsia="宋体" w:cs="宋体"/>
                <w:color w:val="000000"/>
                <w:kern w:val="0"/>
                <w:szCs w:val="21"/>
              </w:rPr>
              <w:t>整机具备至少一路RJ45网络接口；具备不少于2路USB 2.0接口。</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12.</w:t>
            </w:r>
            <w:r>
              <w:rPr>
                <w:rFonts w:hint="eastAsia" w:ascii="宋体" w:hAnsi="宋体" w:eastAsia="宋体" w:cs="宋体"/>
                <w:color w:val="000000"/>
                <w:kern w:val="0"/>
                <w:szCs w:val="21"/>
              </w:rPr>
              <w:tab/>
            </w:r>
            <w:r>
              <w:rPr>
                <w:rFonts w:hint="eastAsia" w:ascii="宋体" w:hAnsi="宋体" w:eastAsia="宋体" w:cs="宋体"/>
                <w:color w:val="000000"/>
                <w:kern w:val="0"/>
                <w:szCs w:val="21"/>
              </w:rPr>
              <w:t>整机采用内置天线设计，无任何天线外露。</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13.</w:t>
            </w:r>
            <w:r>
              <w:rPr>
                <w:rFonts w:hint="eastAsia" w:ascii="宋体" w:hAnsi="宋体" w:eastAsia="宋体" w:cs="宋体"/>
                <w:color w:val="000000"/>
                <w:kern w:val="0"/>
                <w:szCs w:val="21"/>
              </w:rPr>
              <w:tab/>
            </w:r>
            <w:r>
              <w:rPr>
                <w:rFonts w:hint="eastAsia" w:ascii="宋体" w:hAnsi="宋体" w:eastAsia="宋体" w:cs="宋体"/>
                <w:color w:val="000000"/>
                <w:kern w:val="0"/>
                <w:szCs w:val="21"/>
              </w:rPr>
              <w:t>整机支持外接门禁控制。</w:t>
            </w:r>
          </w:p>
          <w:p>
            <w:pPr>
              <w:widowControl/>
              <w:spacing w:line="276" w:lineRule="auto"/>
              <w:rPr>
                <w:rFonts w:hint="eastAsia" w:ascii="宋体" w:hAnsi="宋体" w:eastAsia="宋体" w:cs="宋体"/>
                <w:color w:val="000000"/>
                <w:kern w:val="0"/>
                <w:szCs w:val="21"/>
                <w:highlight w:val="yellow"/>
              </w:rPr>
            </w:pPr>
            <w:r>
              <w:rPr>
                <w:rFonts w:hint="eastAsia" w:ascii="宋体" w:hAnsi="宋体" w:eastAsia="宋体" w:cs="宋体"/>
                <w:color w:val="000000"/>
                <w:kern w:val="0"/>
                <w:szCs w:val="21"/>
              </w:rPr>
              <w:t>14.</w:t>
            </w:r>
            <w:r>
              <w:rPr>
                <w:rFonts w:hint="eastAsia" w:ascii="宋体" w:hAnsi="宋体" w:eastAsia="宋体" w:cs="宋体"/>
                <w:color w:val="000000"/>
                <w:kern w:val="0"/>
                <w:szCs w:val="21"/>
              </w:rPr>
              <w:tab/>
            </w:r>
            <w:r>
              <w:rPr>
                <w:rFonts w:hint="eastAsia" w:ascii="宋体" w:hAnsi="宋体" w:eastAsia="宋体" w:cs="宋体"/>
                <w:color w:val="000000"/>
                <w:kern w:val="0"/>
                <w:szCs w:val="21"/>
              </w:rPr>
              <w:t>系统运行内存不低于2GB，存储容量不低于8GB；操作系统版本</w:t>
            </w:r>
            <w:r>
              <w:rPr>
                <w:rFonts w:hint="eastAsia" w:ascii="宋体" w:hAnsi="宋体" w:eastAsia="宋体" w:cs="宋体"/>
                <w:color w:val="000000"/>
                <w:kern w:val="0"/>
                <w:szCs w:val="21"/>
                <w:highlight w:val="none"/>
              </w:rPr>
              <w:t>不低于Android 9.0。</w:t>
            </w:r>
          </w:p>
          <w:p>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kern w:val="0"/>
                <w:szCs w:val="21"/>
              </w:rPr>
              <w:t>15.</w:t>
            </w:r>
            <w:r>
              <w:rPr>
                <w:rFonts w:hint="eastAsia" w:ascii="宋体" w:hAnsi="宋体" w:eastAsia="宋体" w:cs="宋体"/>
                <w:color w:val="000000"/>
                <w:kern w:val="0"/>
                <w:szCs w:val="21"/>
              </w:rPr>
              <w:tab/>
            </w:r>
            <w:r>
              <w:rPr>
                <w:rFonts w:hint="eastAsia" w:ascii="宋体" w:hAnsi="宋体" w:eastAsia="宋体" w:cs="宋体"/>
                <w:color w:val="000000"/>
                <w:kern w:val="0"/>
                <w:szCs w:val="21"/>
              </w:rPr>
              <w:t>整机CPU≥4核，最高主频≥1.9G，操作系统版本不低于Android 9.0。</w:t>
            </w:r>
          </w:p>
          <w:p>
            <w:pPr>
              <w:pStyle w:val="2"/>
              <w:spacing w:line="276" w:lineRule="auto"/>
              <w:rPr>
                <w:rFonts w:hint="eastAsia" w:ascii="宋体" w:hAnsi="宋体" w:eastAsia="宋体"/>
              </w:rPr>
            </w:pPr>
            <w:r>
              <w:rPr>
                <w:rFonts w:hint="eastAsia" w:ascii="宋体" w:hAnsi="宋体" w:eastAsia="宋体"/>
              </w:rPr>
              <w:t>信息发布系统</w:t>
            </w:r>
          </w:p>
          <w:p>
            <w:pPr>
              <w:spacing w:line="276" w:lineRule="auto"/>
              <w:rPr>
                <w:rFonts w:hint="eastAsia" w:ascii="宋体" w:hAnsi="宋体" w:eastAsia="宋体"/>
              </w:rPr>
            </w:pPr>
            <w:r>
              <w:rPr>
                <w:rFonts w:hint="eastAsia" w:ascii="宋体" w:hAnsi="宋体" w:eastAsia="宋体"/>
              </w:rPr>
              <w:t>1.系统可在后台发布班牌展示信息内容，支持照片、视频、新闻、公告、电子欢迎横幅、PDF、第三方链接等类型，内容支持图文混合排版。</w:t>
            </w:r>
          </w:p>
          <w:p>
            <w:pPr>
              <w:spacing w:line="276" w:lineRule="auto"/>
              <w:rPr>
                <w:rFonts w:hint="eastAsia" w:ascii="宋体" w:hAnsi="宋体" w:eastAsia="宋体"/>
              </w:rPr>
            </w:pPr>
            <w:r>
              <w:rPr>
                <w:rFonts w:hint="eastAsia" w:ascii="宋体" w:hAnsi="宋体" w:eastAsia="宋体"/>
              </w:rPr>
              <w:t>2.信息发布具备定向发布功能，可按照全校、班级层级进行定向信息推送。</w:t>
            </w:r>
          </w:p>
          <w:p>
            <w:pPr>
              <w:spacing w:line="276" w:lineRule="auto"/>
              <w:rPr>
                <w:rFonts w:hint="eastAsia" w:ascii="宋体" w:hAnsi="宋体" w:eastAsia="宋体"/>
              </w:rPr>
            </w:pPr>
            <w:r>
              <w:rPr>
                <w:rFonts w:hint="eastAsia" w:ascii="宋体" w:hAnsi="宋体" w:eastAsia="宋体"/>
              </w:rPr>
              <w:t>3.</w:t>
            </w:r>
            <w:r>
              <w:rPr>
                <w:rFonts w:hint="eastAsia" w:ascii="宋体" w:hAnsi="宋体" w:eastAsia="宋体"/>
              </w:rPr>
              <w:tab/>
            </w:r>
            <w:r>
              <w:rPr>
                <w:rFonts w:hint="eastAsia" w:ascii="宋体" w:hAnsi="宋体" w:eastAsia="宋体"/>
              </w:rPr>
              <w:t>联动校宣：发布的校级图片、视频、新闻、公告，可同时传到班牌和一体机（安装校园信息视窗软件）上展示。</w:t>
            </w:r>
          </w:p>
          <w:p>
            <w:pPr>
              <w:spacing w:line="276" w:lineRule="auto"/>
              <w:rPr>
                <w:rFonts w:hint="eastAsia" w:ascii="宋体" w:hAnsi="宋体" w:eastAsia="宋体"/>
              </w:rPr>
            </w:pPr>
            <w:r>
              <w:rPr>
                <w:rFonts w:hint="eastAsia" w:ascii="宋体" w:hAnsi="宋体" w:eastAsia="宋体"/>
              </w:rPr>
              <w:t>4.设置屏保模式后，班牌长时间处于无人操作状态下将自动切换至屏幕保护模式，屏保模式下可选择全校、班级相册轮播、置顶已发布公告等多种内容展示。</w:t>
            </w:r>
          </w:p>
          <w:p>
            <w:pPr>
              <w:widowControl/>
              <w:spacing w:line="276" w:lineRule="auto"/>
              <w:rPr>
                <w:rFonts w:hint="eastAsia" w:ascii="宋体" w:hAnsi="宋体" w:eastAsia="宋体"/>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olor w:val="000000" w:themeColor="text1"/>
                <w14:textFill>
                  <w14:solidFill>
                    <w14:schemeClr w14:val="tx1"/>
                  </w14:solidFill>
                </w14:textFill>
              </w:rPr>
              <w:t>5.</w:t>
            </w:r>
            <w:r>
              <w:rPr>
                <w:rFonts w:hint="eastAsia" w:ascii="宋体" w:hAnsi="宋体" w:eastAsia="宋体"/>
                <w:color w:val="000000" w:themeColor="text1"/>
                <w:highlight w:val="none"/>
                <w14:textFill>
                  <w14:solidFill>
                    <w14:schemeClr w14:val="tx1"/>
                  </w14:solidFill>
                </w14:textFill>
              </w:rPr>
              <w:t>系统内置</w:t>
            </w:r>
            <w:r>
              <w:rPr>
                <w:rFonts w:hint="eastAsia" w:ascii="宋体" w:hAnsi="宋体" w:eastAsia="宋体"/>
                <w:color w:val="000000" w:themeColor="text1"/>
                <w:highlight w:val="none"/>
                <w:lang w:val="en-US" w:eastAsia="zh-CN"/>
                <w14:textFill>
                  <w14:solidFill>
                    <w14:schemeClr w14:val="tx1"/>
                  </w14:solidFill>
                </w14:textFill>
              </w:rPr>
              <w:t>多</w:t>
            </w:r>
            <w:r>
              <w:rPr>
                <w:rFonts w:hint="eastAsia" w:ascii="宋体" w:hAnsi="宋体" w:eastAsia="宋体"/>
                <w:color w:val="000000" w:themeColor="text1"/>
                <w:highlight w:val="none"/>
                <w14:textFill>
                  <w14:solidFill>
                    <w14:schemeClr w14:val="tx1"/>
                  </w14:solidFill>
                </w14:textFill>
              </w:rPr>
              <w:t>张屏保云图，</w:t>
            </w:r>
            <w:r>
              <w:rPr>
                <w:rFonts w:hint="eastAsia" w:ascii="宋体" w:hAnsi="宋体" w:eastAsia="宋体"/>
                <w:color w:val="000000" w:themeColor="text1"/>
                <w14:textFill>
                  <w14:solidFill>
                    <w14:schemeClr w14:val="tx1"/>
                  </w14:solidFill>
                </w14:textFill>
              </w:rPr>
              <w:t>分属</w:t>
            </w:r>
            <w:r>
              <w:rPr>
                <w:rFonts w:hint="eastAsia" w:ascii="宋体" w:hAnsi="宋体" w:eastAsia="宋体"/>
              </w:rPr>
              <w:t>于不同的云图库（如：卫生健康、党建文化、科普知识等），用户可以选择需要的云图库作为班牌屏保。</w:t>
            </w:r>
            <w:r>
              <w:rPr>
                <w:rFonts w:hint="eastAsia" w:ascii="宋体" w:hAnsi="宋体" w:eastAsia="宋体"/>
                <w:color w:val="000000" w:themeColor="text1"/>
                <w14:textFill>
                  <w14:solidFill>
                    <w14:schemeClr w14:val="tx1"/>
                  </w14:solidFill>
                </w14:textFill>
              </w:rPr>
              <w:t>提供生产厂家确认的、相应的功能证明材料</w:t>
            </w:r>
            <w:r>
              <w:rPr>
                <w:rFonts w:hint="eastAsia" w:ascii="宋体" w:hAnsi="宋体" w:eastAsia="宋体" w:cs="宋体"/>
                <w:b/>
                <w:bCs/>
                <w:color w:val="000000"/>
                <w:kern w:val="0"/>
                <w:szCs w:val="21"/>
              </w:rPr>
              <w:t>（包括但不限于测试报告、功能截图等）</w:t>
            </w:r>
          </w:p>
          <w:p>
            <w:pPr>
              <w:spacing w:line="276" w:lineRule="auto"/>
              <w:rPr>
                <w:rFonts w:hint="eastAsia" w:ascii="宋体" w:hAnsi="宋体" w:eastAsia="宋体"/>
              </w:rPr>
            </w:pPr>
            <w:r>
              <w:rPr>
                <w:rFonts w:hint="eastAsia" w:ascii="宋体" w:hAnsi="宋体" w:eastAsia="宋体"/>
              </w:rPr>
              <w:t>6.公告发布支持家长提交回执设置，打开需要家长回执开关后，微信公众号会实时通知家长公告消息，老师可以在小程序实时查看家长提交回执明细。</w:t>
            </w:r>
          </w:p>
          <w:p>
            <w:pPr>
              <w:spacing w:line="276" w:lineRule="auto"/>
              <w:rPr>
                <w:rFonts w:hint="eastAsia" w:ascii="宋体" w:hAnsi="宋体" w:eastAsia="宋体"/>
              </w:rPr>
            </w:pPr>
            <w:r>
              <w:rPr>
                <w:rFonts w:hint="eastAsia" w:ascii="宋体" w:hAnsi="宋体" w:eastAsia="宋体"/>
              </w:rPr>
              <w:t>7.支持发布校级重要公告，新增公告内容同步在全校班牌置顶展示。</w:t>
            </w:r>
          </w:p>
          <w:p>
            <w:pPr>
              <w:spacing w:line="276" w:lineRule="auto"/>
              <w:rPr>
                <w:rFonts w:hint="eastAsia" w:ascii="宋体" w:hAnsi="宋体" w:eastAsia="宋体"/>
              </w:rPr>
            </w:pPr>
            <w:r>
              <w:rPr>
                <w:rFonts w:hint="eastAsia" w:ascii="宋体" w:hAnsi="宋体" w:eastAsia="宋体"/>
              </w:rPr>
              <w:t>8.系统内置超过20套公告模板（如：家长会通知、寒暑假通知等），可供用户发布公告时套用。</w:t>
            </w:r>
          </w:p>
          <w:p>
            <w:pPr>
              <w:spacing w:line="276" w:lineRule="auto"/>
              <w:rPr>
                <w:rFonts w:hint="eastAsia" w:ascii="宋体" w:hAnsi="宋体" w:eastAsia="宋体"/>
              </w:rPr>
            </w:pPr>
            <w:r>
              <w:rPr>
                <w:rFonts w:hint="eastAsia" w:ascii="宋体" w:hAnsi="宋体" w:eastAsia="宋体"/>
              </w:rPr>
              <w:t>9.系统内置50+海报模板（如，欢迎模式，卫生健康，校园风采，通知公告等），支持用户自定义修改背景及文案。同时可以自定义管理海报分类。</w:t>
            </w:r>
          </w:p>
          <w:p>
            <w:pPr>
              <w:spacing w:line="276" w:lineRule="auto"/>
              <w:rPr>
                <w:rFonts w:hint="eastAsia" w:ascii="宋体" w:hAnsi="宋体" w:eastAsia="宋体"/>
              </w:rPr>
            </w:pPr>
            <w:r>
              <w:rPr>
                <w:rFonts w:hint="eastAsia" w:ascii="宋体" w:hAnsi="宋体" w:eastAsia="宋体"/>
              </w:rPr>
              <w:t>10.支持以校级或班级为单位发布事件倒计时，可编辑事件名称和倒计时截止时间，事件剩余时间在班牌实时显示，可同时发布不少于3个事件倒计时。</w:t>
            </w:r>
          </w:p>
          <w:p>
            <w:pPr>
              <w:spacing w:line="276" w:lineRule="auto"/>
              <w:rPr>
                <w:rFonts w:hint="eastAsia" w:ascii="宋体" w:hAnsi="宋体" w:eastAsia="宋体"/>
              </w:rPr>
            </w:pPr>
            <w:r>
              <w:rPr>
                <w:rFonts w:hint="eastAsia" w:ascii="宋体" w:hAnsi="宋体" w:eastAsia="宋体"/>
              </w:rPr>
              <w:t>11.支持发布班级值日安排，可在班牌显示当日对应的值日生名单。</w:t>
            </w:r>
          </w:p>
          <w:p>
            <w:pPr>
              <w:spacing w:line="276" w:lineRule="auto"/>
              <w:rPr>
                <w:rFonts w:hint="eastAsia" w:ascii="宋体" w:hAnsi="宋体" w:eastAsia="宋体"/>
              </w:rPr>
            </w:pPr>
            <w:r>
              <w:rPr>
                <w:rFonts w:hint="eastAsia" w:ascii="宋体" w:hAnsi="宋体" w:eastAsia="宋体"/>
              </w:rPr>
              <w:t>12.支持展示学校所在区域今日及明后两天的天气状况和今日空气质量指数，可详细查看当日PM10、PM2.5、NO2、SO2等常见污染物数据，并根据当前天气状态自动切换对应的主题插图。</w:t>
            </w:r>
          </w:p>
          <w:p>
            <w:pPr>
              <w:spacing w:line="276" w:lineRule="auto"/>
              <w:rPr>
                <w:rFonts w:hint="eastAsia" w:ascii="宋体" w:hAnsi="宋体" w:eastAsia="宋体"/>
              </w:rPr>
            </w:pPr>
            <w:r>
              <w:rPr>
                <w:rFonts w:hint="eastAsia" w:ascii="宋体" w:hAnsi="宋体" w:eastAsia="宋体"/>
              </w:rPr>
              <w:t>13.支持对信息发布进行审核权限管理，可同时设置不同审核人，用户进行信息发布时，需由指定用户审核后才可在设备上展示。</w:t>
            </w:r>
          </w:p>
          <w:p>
            <w:pPr>
              <w:spacing w:line="276" w:lineRule="auto"/>
              <w:rPr>
                <w:rFonts w:hint="eastAsia" w:ascii="宋体" w:hAnsi="宋体" w:eastAsia="宋体"/>
              </w:rPr>
            </w:pPr>
            <w:r>
              <w:rPr>
                <w:rFonts w:hint="eastAsia" w:ascii="宋体" w:hAnsi="宋体" w:eastAsia="宋体" w:cs="宋体"/>
                <w:szCs w:val="21"/>
              </w:rPr>
              <w:t>▲</w:t>
            </w:r>
            <w:r>
              <w:rPr>
                <w:rFonts w:hint="eastAsia" w:ascii="宋体" w:hAnsi="宋体" w:eastAsia="宋体"/>
              </w:rPr>
              <w:t>14.支持信息发布IP白名单管理，可将相关管理人员的办公网络IP地址纳入“IP白名单”，白名单外的IP地址无法获取信息发布权限。</w:t>
            </w:r>
          </w:p>
          <w:p>
            <w:pPr>
              <w:pStyle w:val="2"/>
              <w:rPr>
                <w:b/>
                <w:bCs/>
              </w:rPr>
            </w:pPr>
            <w:r>
              <w:rPr>
                <w:rFonts w:hint="eastAsia" w:ascii="宋体" w:hAnsi="宋体" w:eastAsia="宋体"/>
                <w:color w:val="000000" w:themeColor="text1"/>
                <w14:textFill>
                  <w14:solidFill>
                    <w14:schemeClr w14:val="tx1"/>
                  </w14:solidFill>
                </w14:textFill>
              </w:rPr>
              <w:t>提供生产厂家确认的、相应的功能证明材料</w:t>
            </w:r>
            <w:r>
              <w:rPr>
                <w:rFonts w:hint="eastAsia" w:ascii="宋体" w:hAnsi="宋体" w:eastAsia="宋体"/>
                <w:b/>
                <w:bCs/>
              </w:rPr>
              <w:t>（包括但不限于测试报告、功能截图等）</w:t>
            </w:r>
          </w:p>
          <w:p>
            <w:pPr>
              <w:spacing w:line="276" w:lineRule="auto"/>
              <w:rPr>
                <w:rFonts w:hint="eastAsia" w:ascii="宋体" w:hAnsi="宋体" w:eastAsia="宋体"/>
              </w:rPr>
            </w:pPr>
            <w:r>
              <w:rPr>
                <w:rFonts w:hint="eastAsia" w:ascii="宋体" w:hAnsi="宋体" w:eastAsia="宋体"/>
              </w:rPr>
              <w:t>课程管理</w:t>
            </w:r>
          </w:p>
          <w:p>
            <w:pPr>
              <w:spacing w:line="276" w:lineRule="auto"/>
              <w:rPr>
                <w:rFonts w:hint="eastAsia" w:ascii="宋体" w:hAnsi="宋体" w:eastAsia="宋体"/>
              </w:rPr>
            </w:pPr>
            <w:r>
              <w:rPr>
                <w:rFonts w:hint="eastAsia" w:ascii="宋体" w:hAnsi="宋体" w:eastAsia="宋体"/>
              </w:rPr>
              <w:t>1.系统提供科目数据库，内置常见学科科目名称，且支持自定义增添科目。</w:t>
            </w:r>
          </w:p>
          <w:p>
            <w:pPr>
              <w:spacing w:line="276" w:lineRule="auto"/>
              <w:rPr>
                <w:rFonts w:hint="eastAsia" w:ascii="宋体" w:hAnsi="宋体" w:eastAsia="宋体"/>
              </w:rPr>
            </w:pPr>
            <w:r>
              <w:rPr>
                <w:rFonts w:hint="eastAsia" w:ascii="宋体" w:hAnsi="宋体" w:eastAsia="宋体"/>
              </w:rPr>
              <w:t>2.支持以电子表格形式快速导入全校课表或人工创建课程表，具备单科目快速排课功能，可将某科目在课程表中跨日跨时段快速复制，提高录入效率。</w:t>
            </w:r>
          </w:p>
          <w:p>
            <w:pPr>
              <w:spacing w:line="276" w:lineRule="auto"/>
              <w:rPr>
                <w:rFonts w:hint="eastAsia" w:ascii="宋体" w:hAnsi="宋体" w:eastAsia="宋体"/>
              </w:rPr>
            </w:pPr>
            <w:r>
              <w:rPr>
                <w:rFonts w:hint="eastAsia" w:ascii="宋体" w:hAnsi="宋体" w:eastAsia="宋体"/>
              </w:rPr>
              <w:t>3.</w:t>
            </w:r>
            <w:r>
              <w:rPr>
                <w:rFonts w:hint="eastAsia" w:ascii="宋体" w:hAnsi="宋体" w:eastAsia="宋体"/>
              </w:rPr>
              <w:tab/>
            </w:r>
            <w:r>
              <w:rPr>
                <w:rFonts w:hint="eastAsia" w:ascii="宋体" w:hAnsi="宋体" w:eastAsia="宋体"/>
              </w:rPr>
              <w:t>管理员可授权班主任自助管理本班课程表。</w:t>
            </w:r>
          </w:p>
          <w:p>
            <w:pPr>
              <w:spacing w:line="276" w:lineRule="auto"/>
              <w:rPr>
                <w:rFonts w:hint="eastAsia" w:ascii="宋体" w:hAnsi="宋体" w:eastAsia="宋体"/>
              </w:rPr>
            </w:pPr>
            <w:r>
              <w:rPr>
                <w:rFonts w:hint="eastAsia" w:ascii="宋体" w:hAnsi="宋体" w:eastAsia="宋体"/>
              </w:rPr>
              <w:t>4.系统支持发布课程作息时间表，可按全校和年级层级进行分层执行。每天可执行不同的课程作息时间表，便于灵活管理教学作息时间。提供生产厂家确认的、相应的功能证明材料</w:t>
            </w:r>
          </w:p>
          <w:p>
            <w:pPr>
              <w:spacing w:line="276" w:lineRule="auto"/>
              <w:rPr>
                <w:rFonts w:hint="eastAsia" w:ascii="宋体" w:hAnsi="宋体" w:eastAsia="宋体"/>
              </w:rPr>
            </w:pPr>
            <w:r>
              <w:rPr>
                <w:rFonts w:hint="eastAsia" w:ascii="宋体" w:hAnsi="宋体" w:eastAsia="宋体"/>
              </w:rPr>
              <w:t>5.学生、教师可在班牌查看对应课程表；班牌智能高亮标记显示今日课程及当前进行的课程，便于学生教师查看。</w:t>
            </w:r>
          </w:p>
          <w:p>
            <w:pPr>
              <w:pStyle w:val="2"/>
              <w:spacing w:line="276" w:lineRule="auto"/>
              <w:rPr>
                <w:rFonts w:hint="eastAsia" w:ascii="宋体" w:hAnsi="宋体" w:eastAsia="宋体"/>
              </w:rPr>
            </w:pPr>
            <w:r>
              <w:rPr>
                <w:rFonts w:hint="eastAsia" w:ascii="宋体" w:hAnsi="宋体" w:eastAsia="宋体"/>
              </w:rPr>
              <w:t>考勤管理</w:t>
            </w:r>
          </w:p>
          <w:p>
            <w:pPr>
              <w:spacing w:line="276" w:lineRule="auto"/>
              <w:rPr>
                <w:rFonts w:hint="eastAsia" w:ascii="宋体" w:hAnsi="宋体" w:eastAsia="宋体"/>
              </w:rPr>
            </w:pPr>
            <w:r>
              <w:rPr>
                <w:rFonts w:hint="eastAsia" w:ascii="宋体" w:hAnsi="宋体" w:eastAsia="宋体"/>
              </w:rPr>
              <w:t>1.系统提供学生日循环考勤、单次事件考勤、课程考勤等考勤规则模式，可设置考勤事件的名称、起始时间、考勤人员范围。考勤时间段内班牌显示内容自动切换为考勤模式，实时显示应到学生、已到学生的数量及名单。</w:t>
            </w:r>
          </w:p>
          <w:p>
            <w:pPr>
              <w:spacing w:line="276" w:lineRule="auto"/>
              <w:rPr>
                <w:rFonts w:hint="eastAsia" w:ascii="宋体" w:hAnsi="宋体" w:eastAsia="宋体"/>
              </w:rPr>
            </w:pPr>
            <w:r>
              <w:rPr>
                <w:rFonts w:hint="eastAsia" w:ascii="宋体" w:hAnsi="宋体" w:eastAsia="宋体"/>
              </w:rPr>
              <w:t>2.人脸识别考勤功能支持离线识别，无网络环境下班牌仍可以进行人脸识别考勤。提供生产厂家确认的、相应的功能证明材料</w:t>
            </w:r>
          </w:p>
          <w:p>
            <w:pPr>
              <w:spacing w:line="276" w:lineRule="auto"/>
              <w:rPr>
                <w:rFonts w:hint="eastAsia" w:ascii="宋体" w:hAnsi="宋体" w:eastAsia="宋体"/>
              </w:rPr>
            </w:pPr>
            <w:r>
              <w:rPr>
                <w:rFonts w:hint="eastAsia" w:ascii="宋体" w:hAnsi="宋体" w:eastAsia="宋体"/>
              </w:rPr>
              <w:t>3.班牌可显示对应场地的历史考勤记录，可按日查看考勤事件的名称、考勤时间、考勤结果，考勤结果按准点、迟到、缺勤、请假等状态分类展示考勤名单，突出标识迟到或缺勤人员。</w:t>
            </w:r>
          </w:p>
          <w:p>
            <w:pPr>
              <w:spacing w:line="276" w:lineRule="auto"/>
              <w:rPr>
                <w:rFonts w:hint="eastAsia" w:ascii="宋体" w:hAnsi="宋体" w:eastAsia="宋体"/>
              </w:rPr>
            </w:pPr>
            <w:r>
              <w:rPr>
                <w:rFonts w:hint="eastAsia" w:ascii="宋体" w:hAnsi="宋体" w:eastAsia="宋体" w:cs="宋体"/>
                <w:szCs w:val="21"/>
              </w:rPr>
              <w:t>▲</w:t>
            </w:r>
            <w:r>
              <w:rPr>
                <w:rFonts w:hint="eastAsia" w:ascii="宋体" w:hAnsi="宋体" w:eastAsia="宋体"/>
              </w:rPr>
              <w:t>4.学生考勤结果可自动推送至家长手机端，供家长查看学生考勤信息。支持考勤结束后自动推送考勤结果给管理员、班主任和任课老师，同时老师可设置关闭通知开关。提供生产厂家确认的、相应的功能证明材料</w:t>
            </w:r>
            <w:r>
              <w:rPr>
                <w:rFonts w:hint="eastAsia" w:ascii="宋体" w:hAnsi="宋体" w:eastAsia="宋体"/>
                <w:b/>
                <w:bCs/>
              </w:rPr>
              <w:t>（包括但不限于测试报告、功能截图等）</w:t>
            </w:r>
          </w:p>
          <w:p>
            <w:pPr>
              <w:spacing w:line="276" w:lineRule="auto"/>
              <w:rPr>
                <w:rFonts w:hint="eastAsia" w:ascii="宋体" w:hAnsi="宋体" w:eastAsia="宋体"/>
              </w:rPr>
            </w:pPr>
            <w:r>
              <w:rPr>
                <w:rFonts w:hint="eastAsia" w:ascii="宋体" w:hAnsi="宋体" w:eastAsia="宋体"/>
              </w:rPr>
              <w:t>5.支持教师授课考勤，教师通过人脸识别或手机扫描所在班级班牌的二维码完成授课考勤。考勤结果支持按日查询，可查看每名教师的打卡时间及考勤状态，总览教师授课出勤准点率等情况。针对指定课程，可设置教师与学生同时进行考勤，也可只对学生或教师单独进行考勤。</w:t>
            </w:r>
          </w:p>
          <w:p>
            <w:pPr>
              <w:spacing w:line="276" w:lineRule="auto"/>
              <w:rPr>
                <w:rFonts w:hint="eastAsia" w:ascii="宋体" w:hAnsi="宋体" w:eastAsia="宋体"/>
              </w:rPr>
            </w:pPr>
            <w:r>
              <w:rPr>
                <w:rFonts w:hint="eastAsia" w:ascii="宋体" w:hAnsi="宋体" w:eastAsia="宋体"/>
              </w:rPr>
              <w:t>6.教师可在手机端修改学生的考勤记录（并非使用浏览器打开指定网址）。</w:t>
            </w:r>
          </w:p>
          <w:p>
            <w:pPr>
              <w:spacing w:line="276" w:lineRule="auto"/>
              <w:rPr>
                <w:rFonts w:hint="eastAsia" w:ascii="宋体" w:hAnsi="宋体" w:eastAsia="宋体"/>
              </w:rPr>
            </w:pPr>
            <w:r>
              <w:rPr>
                <w:rFonts w:hint="eastAsia" w:ascii="宋体" w:hAnsi="宋体" w:eastAsia="宋体"/>
              </w:rPr>
              <w:t>7.高级考勤模式支持考勤对象在多个场地中的任意一个场地考勤。</w:t>
            </w:r>
          </w:p>
          <w:p>
            <w:pPr>
              <w:pStyle w:val="2"/>
              <w:spacing w:line="276" w:lineRule="auto"/>
              <w:rPr>
                <w:rFonts w:hint="eastAsia" w:ascii="宋体" w:hAnsi="宋体" w:eastAsia="宋体"/>
              </w:rPr>
            </w:pPr>
            <w:r>
              <w:rPr>
                <w:rFonts w:hint="eastAsia" w:ascii="宋体" w:hAnsi="宋体" w:eastAsia="宋体"/>
              </w:rPr>
              <w:t>校园及班级管理</w:t>
            </w:r>
          </w:p>
          <w:p>
            <w:pPr>
              <w:spacing w:line="276" w:lineRule="auto"/>
              <w:rPr>
                <w:rFonts w:hint="eastAsia" w:ascii="宋体" w:hAnsi="宋体" w:eastAsia="宋体"/>
              </w:rPr>
            </w:pPr>
            <w:r>
              <w:rPr>
                <w:rFonts w:hint="eastAsia" w:ascii="宋体" w:hAnsi="宋体" w:eastAsia="宋体"/>
              </w:rPr>
              <w:t>1.系统提供基础信息库，包含教师、班级、学生、场地、一卡通等数据，支持电子表格批量导入或手工导入。提供考试信息库，包含考场号、场地、考试时间、科目等数据，支持电子表格批量导入或手工导入。</w:t>
            </w:r>
          </w:p>
          <w:p>
            <w:pPr>
              <w:spacing w:line="276" w:lineRule="auto"/>
              <w:rPr>
                <w:rFonts w:hint="eastAsia" w:ascii="宋体" w:hAnsi="宋体" w:eastAsia="宋体"/>
              </w:rPr>
            </w:pPr>
            <w:r>
              <w:rPr>
                <w:rFonts w:hint="eastAsia" w:ascii="宋体" w:hAnsi="宋体" w:eastAsia="宋体"/>
              </w:rPr>
              <w:t>2.系统支持家长通过老师分享的班级号、微信邀请链接或者二维码三种方式加入孩子的班级。</w:t>
            </w:r>
          </w:p>
          <w:p>
            <w:pPr>
              <w:spacing w:line="276" w:lineRule="auto"/>
              <w:rPr>
                <w:rFonts w:hint="eastAsia" w:ascii="宋体" w:hAnsi="宋体" w:eastAsia="宋体"/>
              </w:rPr>
            </w:pPr>
            <w:r>
              <w:rPr>
                <w:rFonts w:hint="eastAsia" w:ascii="宋体" w:hAnsi="宋体" w:eastAsia="宋体"/>
              </w:rPr>
              <w:t>3.支持管理员、年级级长和班主任多层级角色和权限管理，可以自定义年级级长和管理员权限。</w:t>
            </w:r>
          </w:p>
          <w:p>
            <w:pPr>
              <w:spacing w:line="276" w:lineRule="auto"/>
              <w:rPr>
                <w:rFonts w:hint="eastAsia" w:ascii="宋体" w:hAnsi="宋体" w:eastAsia="宋体"/>
              </w:rPr>
            </w:pPr>
            <w:r>
              <w:rPr>
                <w:rFonts w:hint="eastAsia" w:ascii="宋体" w:hAnsi="宋体" w:eastAsia="宋体"/>
              </w:rPr>
              <w:t>4.一个班级可以设置不少于3位班主任。</w:t>
            </w:r>
          </w:p>
          <w:p>
            <w:pPr>
              <w:spacing w:line="276" w:lineRule="auto"/>
              <w:rPr>
                <w:rFonts w:hint="eastAsia" w:ascii="宋体" w:hAnsi="宋体" w:eastAsia="宋体"/>
              </w:rPr>
            </w:pPr>
            <w:r>
              <w:rPr>
                <w:rFonts w:hint="eastAsia" w:ascii="宋体" w:hAnsi="宋体" w:eastAsia="宋体" w:cs="宋体"/>
                <w:szCs w:val="21"/>
              </w:rPr>
              <w:t>▲</w:t>
            </w:r>
            <w:r>
              <w:rPr>
                <w:rFonts w:hint="eastAsia" w:ascii="宋体" w:hAnsi="宋体" w:eastAsia="宋体"/>
              </w:rPr>
              <w:t>5.考场模式：班牌显示在进入考试时间段前1小时自动切换至考试预告模式；到达考试时间自动切换至考试模式，展示考场号、场地、考试时间段、科目等信息，考场模式下，学生无法操控班牌，需进行二维码扫描身份验证后才可进行操作。后台支持自定义编辑考场号、科目等字段的颜色、大小、位置等信息。提供生产厂家确认的、相应的功能证明材料</w:t>
            </w:r>
            <w:r>
              <w:rPr>
                <w:rFonts w:hint="eastAsia" w:ascii="宋体" w:hAnsi="宋体" w:eastAsia="宋体"/>
                <w:b/>
                <w:bCs/>
              </w:rPr>
              <w:t>（包括但不限于测试报告、功能截图等）</w:t>
            </w:r>
          </w:p>
          <w:p>
            <w:pPr>
              <w:spacing w:line="276" w:lineRule="auto"/>
              <w:rPr>
                <w:rFonts w:hint="eastAsia" w:ascii="宋体" w:hAnsi="宋体" w:eastAsia="宋体"/>
              </w:rPr>
            </w:pPr>
            <w:r>
              <w:rPr>
                <w:rFonts w:hint="eastAsia" w:ascii="宋体" w:hAnsi="宋体" w:eastAsia="宋体"/>
              </w:rPr>
              <w:t>6.支持在云班后台将可用来预约的场地开启场地预约，然后老师即可在云班后台发起场地预约。同时班牌端会显示当前场地近两周的预约占用情况。</w:t>
            </w:r>
          </w:p>
          <w:p>
            <w:pPr>
              <w:spacing w:line="276" w:lineRule="auto"/>
              <w:rPr>
                <w:rFonts w:hint="eastAsia" w:ascii="宋体" w:hAnsi="宋体" w:eastAsia="宋体"/>
              </w:rPr>
            </w:pPr>
            <w:r>
              <w:rPr>
                <w:rFonts w:hint="eastAsia" w:ascii="宋体" w:hAnsi="宋体" w:eastAsia="宋体"/>
              </w:rPr>
              <w:t>7.支持自定义德育督导班级评分标准，按全校、年级或班级设置评价维度，老师可以通过后台导入、手机小程序或班牌端扫码对班级进行评分。同时支持学生在班牌端刷脸或刷卡进行评分。可按日、周、月查看班级总分，可以柱状图查看各评价维度的分数。</w:t>
            </w:r>
          </w:p>
          <w:p>
            <w:pPr>
              <w:spacing w:line="276" w:lineRule="auto"/>
              <w:rPr>
                <w:rFonts w:hint="eastAsia" w:ascii="宋体" w:hAnsi="宋体" w:eastAsia="宋体"/>
              </w:rPr>
            </w:pPr>
            <w:r>
              <w:rPr>
                <w:rFonts w:hint="eastAsia" w:ascii="宋体" w:hAnsi="宋体" w:eastAsia="宋体"/>
              </w:rPr>
              <w:t>8.支持批量为班级颁发具备有效期限的流动红旗，获奖班级班牌界面使用荣誉班级专用主题风格。</w:t>
            </w:r>
          </w:p>
          <w:p>
            <w:pPr>
              <w:spacing w:line="276" w:lineRule="auto"/>
              <w:rPr>
                <w:rFonts w:hint="eastAsia" w:ascii="宋体" w:hAnsi="宋体" w:eastAsia="宋体"/>
              </w:rPr>
            </w:pPr>
            <w:r>
              <w:rPr>
                <w:rFonts w:hint="eastAsia" w:ascii="宋体" w:hAnsi="宋体" w:eastAsia="宋体" w:cs="宋体"/>
                <w:szCs w:val="21"/>
              </w:rPr>
              <w:t>▲</w:t>
            </w:r>
            <w:r>
              <w:rPr>
                <w:rFonts w:hint="eastAsia" w:ascii="宋体" w:hAnsi="宋体" w:eastAsia="宋体"/>
              </w:rPr>
              <w:t>9.班牌可连接对应场地内的网络摄像头和录播设备，在班牌即可</w:t>
            </w:r>
            <w:r>
              <w:rPr>
                <w:rFonts w:hint="eastAsia" w:ascii="宋体" w:hAnsi="宋体" w:eastAsia="宋体"/>
                <w:lang w:eastAsia="zh-CN"/>
              </w:rPr>
              <w:t>查</w:t>
            </w:r>
            <w:r>
              <w:rPr>
                <w:rFonts w:hint="eastAsia" w:ascii="宋体" w:hAnsi="宋体" w:eastAsia="宋体"/>
              </w:rPr>
              <w:t>看教室内的上课画面，实现电子可视化巡课；可在单个班牌切换查看多个班级部署可视化巡课系统的课堂画面。提供生产厂家确认的、相应的功能证明材料</w:t>
            </w:r>
            <w:r>
              <w:rPr>
                <w:rFonts w:hint="eastAsia" w:ascii="宋体" w:hAnsi="宋体" w:eastAsia="宋体"/>
                <w:b/>
                <w:bCs/>
              </w:rPr>
              <w:t>（包括但不限于测试报告、功能截图等）</w:t>
            </w:r>
          </w:p>
          <w:p>
            <w:pPr>
              <w:spacing w:line="276" w:lineRule="auto"/>
              <w:rPr>
                <w:rFonts w:hint="eastAsia" w:ascii="宋体" w:hAnsi="宋体" w:eastAsia="宋体"/>
              </w:rPr>
            </w:pPr>
            <w:r>
              <w:rPr>
                <w:rFonts w:hint="eastAsia" w:ascii="宋体" w:hAnsi="宋体" w:eastAsia="宋体"/>
              </w:rPr>
              <w:t>10.</w:t>
            </w:r>
            <w:r>
              <w:rPr>
                <w:rFonts w:hint="eastAsia" w:ascii="宋体" w:hAnsi="宋体" w:eastAsia="宋体"/>
              </w:rPr>
              <w:tab/>
            </w:r>
            <w:r>
              <w:rPr>
                <w:rFonts w:hint="eastAsia" w:ascii="宋体" w:hAnsi="宋体" w:eastAsia="宋体"/>
              </w:rPr>
              <w:t>班牌巡课具备权限管理功能，需用户扫码验证教师后，方可使用该功能，避免无关人士使用。巡课界面下，当一段时间处于无人操作状态，班牌将自动退出巡课模式返回首页。</w:t>
            </w:r>
          </w:p>
          <w:p>
            <w:pPr>
              <w:spacing w:line="276" w:lineRule="auto"/>
              <w:rPr>
                <w:rFonts w:hint="eastAsia" w:ascii="宋体" w:hAnsi="宋体" w:eastAsia="宋体"/>
              </w:rPr>
            </w:pPr>
            <w:r>
              <w:rPr>
                <w:rFonts w:hint="eastAsia" w:ascii="宋体" w:hAnsi="宋体" w:eastAsia="宋体"/>
              </w:rPr>
              <w:t>11.</w:t>
            </w:r>
            <w:r>
              <w:rPr>
                <w:rFonts w:hint="eastAsia" w:ascii="宋体" w:hAnsi="宋体" w:eastAsia="宋体"/>
              </w:rPr>
              <w:tab/>
            </w:r>
            <w:r>
              <w:rPr>
                <w:rFonts w:hint="eastAsia" w:ascii="宋体" w:hAnsi="宋体" w:eastAsia="宋体"/>
              </w:rPr>
              <w:t>支持班级名称更新，学年结束后管理员可一键升级全校班牌的班级名称，如“一年级一班”自动升级为“二年级一班”，管理员也可一键将毕业年级升级为毕业班。</w:t>
            </w:r>
          </w:p>
          <w:p>
            <w:pPr>
              <w:spacing w:line="276" w:lineRule="auto"/>
              <w:rPr>
                <w:rFonts w:hint="eastAsia" w:ascii="宋体" w:hAnsi="宋体" w:eastAsia="宋体"/>
              </w:rPr>
            </w:pPr>
            <w:r>
              <w:rPr>
                <w:rFonts w:hint="eastAsia" w:ascii="宋体" w:hAnsi="宋体" w:eastAsia="宋体"/>
              </w:rPr>
              <w:t>12.班牌投票：支持老师在手机端发布投票到班牌，然后学生可以在班牌端通过刷脸或刷卡进行投票表决。</w:t>
            </w:r>
          </w:p>
          <w:p>
            <w:pPr>
              <w:spacing w:line="276" w:lineRule="auto"/>
              <w:rPr>
                <w:rFonts w:hint="eastAsia" w:ascii="宋体" w:hAnsi="宋体" w:eastAsia="宋体"/>
              </w:rPr>
            </w:pPr>
            <w:r>
              <w:rPr>
                <w:rFonts w:hint="eastAsia" w:ascii="宋体" w:hAnsi="宋体" w:eastAsia="宋体"/>
              </w:rPr>
              <w:t>13.</w:t>
            </w:r>
            <w:r>
              <w:rPr>
                <w:rFonts w:hint="eastAsia" w:ascii="宋体" w:hAnsi="宋体" w:eastAsia="宋体"/>
              </w:rPr>
              <w:tab/>
            </w:r>
            <w:r>
              <w:rPr>
                <w:rFonts w:hint="eastAsia" w:ascii="宋体" w:hAnsi="宋体" w:eastAsia="宋体"/>
              </w:rPr>
              <w:t>班牌端录入人脸识别照片：老师在班牌端扫码后，即可进入人脸照片录入界面，可依次让学生直接在班牌上拍照上传人脸识别照片。</w:t>
            </w:r>
          </w:p>
          <w:p>
            <w:pPr>
              <w:pStyle w:val="2"/>
              <w:spacing w:line="276" w:lineRule="auto"/>
              <w:rPr>
                <w:rFonts w:hint="eastAsia" w:ascii="宋体" w:hAnsi="宋体" w:eastAsia="宋体"/>
              </w:rPr>
            </w:pPr>
            <w:r>
              <w:rPr>
                <w:rFonts w:hint="eastAsia" w:ascii="宋体" w:hAnsi="宋体" w:eastAsia="宋体"/>
              </w:rPr>
              <w:t>设备管理</w:t>
            </w:r>
          </w:p>
          <w:p>
            <w:pPr>
              <w:spacing w:line="276" w:lineRule="auto"/>
              <w:rPr>
                <w:rFonts w:hint="eastAsia" w:ascii="宋体" w:hAnsi="宋体" w:eastAsia="宋体"/>
              </w:rPr>
            </w:pPr>
            <w:r>
              <w:rPr>
                <w:rFonts w:hint="eastAsia" w:ascii="宋体" w:hAnsi="宋体" w:eastAsia="宋体"/>
              </w:rPr>
              <w:t>1.支持自定义班牌界面，可在后台自由搭配显示组件，满足个性化的展示需求，预置班级信息、课程表、考勤、新闻、公告、相册、倒数日、天气、视频、学生量化评价排名等不少于20种显示组件。</w:t>
            </w:r>
          </w:p>
          <w:p>
            <w:pPr>
              <w:spacing w:line="276" w:lineRule="auto"/>
              <w:rPr>
                <w:rFonts w:hint="eastAsia" w:ascii="宋体" w:hAnsi="宋体" w:eastAsia="宋体"/>
              </w:rPr>
            </w:pPr>
            <w:r>
              <w:rPr>
                <w:rFonts w:hint="eastAsia" w:ascii="宋体" w:hAnsi="宋体" w:eastAsia="宋体"/>
              </w:rPr>
              <w:t>2.系统支持设定班牌定时开关机管理策略，支持对班牌批量设置多组自动开关机时间策略，可实现班牌每天执行不同的开关机时间策略，满足学校灵活管理设备的需求。</w:t>
            </w:r>
          </w:p>
          <w:p>
            <w:pPr>
              <w:spacing w:line="276" w:lineRule="auto"/>
              <w:rPr>
                <w:rFonts w:hint="eastAsia" w:ascii="宋体" w:hAnsi="宋体" w:eastAsia="宋体"/>
              </w:rPr>
            </w:pPr>
            <w:r>
              <w:rPr>
                <w:rFonts w:hint="eastAsia" w:ascii="宋体" w:hAnsi="宋体" w:eastAsia="宋体"/>
              </w:rPr>
              <w:t>3.针对周末临时调课和节假日情况，支持在班牌开机且联网状态下设置临时开关机计划以满足学校灵活管理设备的需求。</w:t>
            </w:r>
          </w:p>
          <w:p>
            <w:pPr>
              <w:spacing w:line="276" w:lineRule="auto"/>
              <w:rPr>
                <w:rFonts w:hint="eastAsia" w:ascii="宋体" w:hAnsi="宋体" w:eastAsia="宋体"/>
              </w:rPr>
            </w:pPr>
            <w:r>
              <w:rPr>
                <w:rFonts w:hint="eastAsia" w:ascii="宋体" w:hAnsi="宋体" w:eastAsia="宋体"/>
              </w:rPr>
              <w:t>4.班牌处于预设关机状态时，因特殊情况开机后，系统自动提示用户是否保持班牌的开机状态，缓冲时间截止前无人操作，班牌自动恢复关机状态。</w:t>
            </w:r>
          </w:p>
          <w:p>
            <w:pPr>
              <w:spacing w:line="276" w:lineRule="auto"/>
              <w:rPr>
                <w:rFonts w:hint="eastAsia" w:ascii="宋体" w:hAnsi="宋体" w:eastAsia="宋体"/>
              </w:rPr>
            </w:pPr>
            <w:r>
              <w:rPr>
                <w:rFonts w:hint="eastAsia" w:ascii="宋体" w:hAnsi="宋体" w:eastAsia="宋体"/>
              </w:rPr>
              <w:t>5.班牌内置不少于20套主题皮肤，可在班牌或手机端进行预览和设置，以满足班级个性化展示需求。</w:t>
            </w:r>
          </w:p>
          <w:p>
            <w:pPr>
              <w:spacing w:line="276" w:lineRule="auto"/>
              <w:rPr>
                <w:rFonts w:hint="eastAsia" w:ascii="宋体" w:hAnsi="宋体" w:eastAsia="宋体"/>
              </w:rPr>
            </w:pPr>
            <w:r>
              <w:rPr>
                <w:rFonts w:hint="eastAsia" w:ascii="宋体" w:hAnsi="宋体" w:eastAsia="宋体" w:cs="宋体"/>
                <w:szCs w:val="21"/>
              </w:rPr>
              <w:t>▲</w:t>
            </w:r>
            <w:r>
              <w:rPr>
                <w:rFonts w:hint="eastAsia" w:ascii="宋体" w:hAnsi="宋体" w:eastAsia="宋体"/>
              </w:rPr>
              <w:t>6.涉及解除触控锁定、绑定教室、系统设置（网络设置、解绑教室）、退出软件和重启设备的设置或操作时，均需进行用户身份二维码扫描认证。提供生产厂家确认的、相应的功能证明材料</w:t>
            </w:r>
            <w:r>
              <w:rPr>
                <w:rFonts w:hint="eastAsia" w:ascii="宋体" w:hAnsi="宋体" w:eastAsia="宋体"/>
                <w:b/>
                <w:bCs/>
              </w:rPr>
              <w:t>（包括但不限于测试报告、功能截图等）</w:t>
            </w:r>
          </w:p>
          <w:p>
            <w:pPr>
              <w:spacing w:line="276" w:lineRule="auto"/>
              <w:rPr>
                <w:rFonts w:hint="eastAsia" w:ascii="宋体" w:hAnsi="宋体" w:eastAsia="宋体"/>
              </w:rPr>
            </w:pPr>
            <w:r>
              <w:rPr>
                <w:rFonts w:hint="eastAsia" w:ascii="宋体" w:hAnsi="宋体" w:eastAsia="宋体"/>
              </w:rPr>
              <w:t>7.移动端身份验证：班牌初始化时，管理员扫描界面中的二维码可以为该班牌绑定教室；已绑定的可扫码解绑。</w:t>
            </w:r>
          </w:p>
          <w:p>
            <w:pPr>
              <w:spacing w:line="276" w:lineRule="auto"/>
              <w:rPr>
                <w:rFonts w:hint="eastAsia" w:ascii="宋体" w:hAnsi="宋体" w:eastAsia="宋体"/>
              </w:rPr>
            </w:pPr>
            <w:r>
              <w:rPr>
                <w:rFonts w:hint="eastAsia" w:ascii="宋体" w:hAnsi="宋体" w:eastAsia="宋体"/>
              </w:rPr>
              <w:t>8.支持在后台查看班牌的开关机、联网情况等运行状态。</w:t>
            </w:r>
          </w:p>
          <w:p>
            <w:pPr>
              <w:spacing w:line="276" w:lineRule="auto"/>
              <w:rPr>
                <w:rFonts w:hint="eastAsia" w:ascii="宋体" w:hAnsi="宋体" w:eastAsia="宋体"/>
              </w:rPr>
            </w:pPr>
            <w:r>
              <w:rPr>
                <w:rFonts w:hint="eastAsia" w:ascii="宋体" w:hAnsi="宋体" w:eastAsia="宋体"/>
              </w:rPr>
              <w:t>9.支持远程对班牌进行场地解绑、场地更换、设备重启等操作。</w:t>
            </w:r>
          </w:p>
          <w:p>
            <w:pPr>
              <w:spacing w:line="276" w:lineRule="auto"/>
              <w:rPr>
                <w:rFonts w:hint="eastAsia" w:ascii="宋体" w:hAnsi="宋体" w:eastAsia="宋体"/>
              </w:rPr>
            </w:pPr>
            <w:r>
              <w:rPr>
                <w:rFonts w:hint="eastAsia" w:ascii="宋体" w:hAnsi="宋体" w:eastAsia="宋体"/>
              </w:rPr>
              <w:t>10.班牌软件支持远程0TA静默升级。</w:t>
            </w:r>
          </w:p>
          <w:p>
            <w:pPr>
              <w:spacing w:line="276" w:lineRule="auto"/>
              <w:rPr>
                <w:rFonts w:hint="eastAsia" w:ascii="宋体" w:hAnsi="宋体" w:eastAsia="宋体"/>
              </w:rPr>
            </w:pPr>
            <w:r>
              <w:rPr>
                <w:rFonts w:hint="eastAsia" w:ascii="宋体" w:hAnsi="宋体" w:eastAsia="宋体"/>
              </w:rPr>
              <w:t>11.班牌内置电子动态二维码供用户提交反馈建议，提交反馈时会自动上报该设备的软件版本号、固件信息。</w:t>
            </w:r>
          </w:p>
          <w:p>
            <w:pPr>
              <w:spacing w:line="276" w:lineRule="auto"/>
              <w:rPr>
                <w:rFonts w:hint="eastAsia" w:ascii="宋体" w:hAnsi="宋体" w:eastAsia="宋体"/>
              </w:rPr>
            </w:pPr>
            <w:r>
              <w:rPr>
                <w:rFonts w:hint="eastAsia" w:ascii="宋体" w:hAnsi="宋体" w:eastAsia="宋体"/>
              </w:rPr>
              <w:t>12.班牌触摸禁用：支持在后台将设备锁屏，锁屏状态下操作屏幕，会提示需要扫码解锁方可进一步操作屏幕。</w:t>
            </w:r>
          </w:p>
          <w:p>
            <w:pPr>
              <w:pStyle w:val="2"/>
              <w:spacing w:line="276" w:lineRule="auto"/>
              <w:rPr>
                <w:rFonts w:hint="eastAsia" w:ascii="宋体" w:hAnsi="宋体" w:eastAsia="宋体"/>
              </w:rPr>
            </w:pPr>
            <w:r>
              <w:rPr>
                <w:rFonts w:hint="eastAsia" w:ascii="宋体" w:hAnsi="宋体" w:eastAsia="宋体"/>
              </w:rPr>
              <w:t>家校互通</w:t>
            </w:r>
          </w:p>
          <w:p>
            <w:pPr>
              <w:spacing w:line="276" w:lineRule="auto"/>
              <w:rPr>
                <w:rFonts w:hint="eastAsia" w:ascii="宋体" w:hAnsi="宋体" w:eastAsia="宋体"/>
              </w:rPr>
            </w:pPr>
            <w:r>
              <w:rPr>
                <w:rFonts w:hint="eastAsia" w:ascii="宋体" w:hAnsi="宋体" w:eastAsia="宋体"/>
              </w:rPr>
              <w:t>1.家长发送留言后，学生所在班级的班牌会显示该学生有新信息提醒，学生刷卡或人脸识别验证后方可查看信息，保护学生隐私。</w:t>
            </w:r>
          </w:p>
          <w:p>
            <w:pPr>
              <w:spacing w:line="276" w:lineRule="auto"/>
              <w:rPr>
                <w:rFonts w:hint="eastAsia" w:ascii="宋体" w:hAnsi="宋体" w:eastAsia="宋体"/>
              </w:rPr>
            </w:pPr>
            <w:r>
              <w:rPr>
                <w:rFonts w:hint="eastAsia" w:ascii="宋体" w:hAnsi="宋体" w:eastAsia="宋体"/>
              </w:rPr>
              <w:t>2.一个学生最多可以绑定4个家长，学生的考勤信息、在校动态、亲情留言均支持和多位家长对应。</w:t>
            </w:r>
          </w:p>
          <w:p>
            <w:pPr>
              <w:spacing w:line="276" w:lineRule="auto"/>
              <w:rPr>
                <w:rFonts w:hint="eastAsia" w:ascii="宋体" w:hAnsi="宋体" w:eastAsia="宋体"/>
              </w:rPr>
            </w:pPr>
            <w:r>
              <w:rPr>
                <w:rFonts w:hint="eastAsia" w:ascii="宋体" w:hAnsi="宋体" w:eastAsia="宋体"/>
              </w:rPr>
              <w:t>3.家长可在手机端查看孩子每日的课程表、考勤报告。</w:t>
            </w:r>
          </w:p>
          <w:p>
            <w:pPr>
              <w:spacing w:line="276" w:lineRule="auto"/>
              <w:rPr>
                <w:rFonts w:hint="eastAsia" w:ascii="宋体" w:hAnsi="宋体" w:eastAsia="宋体"/>
              </w:rPr>
            </w:pPr>
            <w:r>
              <w:rPr>
                <w:rFonts w:hint="eastAsia" w:ascii="宋体" w:hAnsi="宋体" w:eastAsia="宋体"/>
              </w:rPr>
              <w:t>4.支持向家长发送语音、文字和表情包留言，留言信息实时推送至家长微信小程序手机端，并且家长可对留言进行文字回复；支持学生通过个人空间</w:t>
            </w:r>
            <w:r>
              <w:rPr>
                <w:rFonts w:hint="eastAsia" w:ascii="宋体" w:hAnsi="宋体" w:eastAsia="宋体"/>
                <w:lang w:eastAsia="zh-CN"/>
              </w:rPr>
              <w:t>查</w:t>
            </w:r>
            <w:r>
              <w:rPr>
                <w:rFonts w:hint="eastAsia" w:ascii="宋体" w:hAnsi="宋体" w:eastAsia="宋体"/>
              </w:rPr>
              <w:t>看家长回复的文字留言。</w:t>
            </w:r>
          </w:p>
          <w:p>
            <w:pPr>
              <w:widowControl/>
              <w:spacing w:line="276" w:lineRule="auto"/>
              <w:rPr>
                <w:rFonts w:hint="eastAsia" w:ascii="宋体" w:hAnsi="宋体" w:eastAsia="宋体"/>
              </w:rPr>
            </w:pPr>
            <w:r>
              <w:rPr>
                <w:rFonts w:hint="eastAsia" w:ascii="宋体" w:hAnsi="宋体" w:eastAsia="宋体"/>
              </w:rPr>
              <w:t>5.家长可在手机端发起学生请假请求，可添加照片作为请假凭证。班主任手机端即时收到提醒，班牌同步该学生的请假状态，取消该学生的考勤要求。同时，学生可以在个人空间查看个人请假记录。支持导出电子表格的学生请假列表。</w:t>
            </w:r>
          </w:p>
        </w:tc>
        <w:tc>
          <w:tcPr>
            <w:tcW w:w="346" w:type="pct"/>
            <w:gridSpan w:val="2"/>
            <w:vAlign w:val="center"/>
          </w:tcPr>
          <w:p>
            <w:pPr>
              <w:widowControl/>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144</w:t>
            </w:r>
          </w:p>
        </w:tc>
        <w:tc>
          <w:tcPr>
            <w:tcW w:w="248" w:type="pct"/>
            <w:vAlign w:val="center"/>
          </w:tcPr>
          <w:p>
            <w:pPr>
              <w:widowControl/>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（四）</w:t>
            </w:r>
          </w:p>
        </w:tc>
        <w:tc>
          <w:tcPr>
            <w:tcW w:w="375" w:type="pct"/>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系统运维服务</w:t>
            </w:r>
          </w:p>
        </w:tc>
        <w:tc>
          <w:tcPr>
            <w:tcW w:w="3500" w:type="pct"/>
            <w:vAlign w:val="center"/>
          </w:tcPr>
          <w:p>
            <w:pPr>
              <w:widowControl/>
              <w:spacing w:line="276"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kern w:val="0"/>
                <w:sz w:val="21"/>
                <w:szCs w:val="21"/>
              </w:rPr>
              <w:t>1.</w:t>
            </w:r>
            <w:r>
              <w:rPr>
                <w:rFonts w:hint="eastAsia" w:ascii="宋体" w:hAnsi="宋体" w:eastAsia="宋体" w:cs="宋体"/>
                <w:color w:val="000000" w:themeColor="text1"/>
                <w:kern w:val="0"/>
                <w:sz w:val="21"/>
                <w:szCs w:val="21"/>
                <w14:textFill>
                  <w14:solidFill>
                    <w14:schemeClr w14:val="tx1"/>
                  </w14:solidFill>
                </w14:textFill>
              </w:rPr>
              <w:t>提供三年系统运维服务，包括</w:t>
            </w:r>
            <w:r>
              <w:rPr>
                <w:rFonts w:ascii="宋体" w:hAnsi="宋体" w:eastAsia="宋体" w:cs="宋体"/>
                <w:color w:val="000000" w:themeColor="text1"/>
                <w:kern w:val="0"/>
                <w:sz w:val="21"/>
                <w:szCs w:val="21"/>
                <w14:textFill>
                  <w14:solidFill>
                    <w14:schemeClr w14:val="tx1"/>
                  </w14:solidFill>
                </w14:textFill>
              </w:rPr>
              <w:t>系统操作培训、</w:t>
            </w:r>
            <w:r>
              <w:rPr>
                <w:rFonts w:hint="eastAsia" w:ascii="宋体" w:hAnsi="宋体" w:eastAsia="宋体" w:cs="宋体"/>
                <w:color w:val="000000" w:themeColor="text1"/>
                <w:kern w:val="0"/>
                <w:sz w:val="21"/>
                <w:szCs w:val="21"/>
                <w14:textFill>
                  <w14:solidFill>
                    <w14:schemeClr w14:val="tx1"/>
                  </w14:solidFill>
                </w14:textFill>
              </w:rPr>
              <w:t>系统运行监测、</w:t>
            </w:r>
            <w:r>
              <w:rPr>
                <w:rFonts w:ascii="宋体" w:hAnsi="宋体" w:eastAsia="宋体" w:cs="宋体"/>
                <w:color w:val="000000" w:themeColor="text1"/>
                <w:kern w:val="0"/>
                <w:sz w:val="21"/>
                <w:szCs w:val="21"/>
                <w14:textFill>
                  <w14:solidFill>
                    <w14:schemeClr w14:val="tx1"/>
                  </w14:solidFill>
                </w14:textFill>
              </w:rPr>
              <w:t>数据采集、技术答疑、故障排查、功能迭代升级、</w:t>
            </w:r>
            <w:r>
              <w:rPr>
                <w:rFonts w:hint="eastAsia" w:ascii="宋体" w:hAnsi="宋体" w:eastAsia="宋体" w:cs="宋体"/>
                <w:color w:val="000000" w:themeColor="text1"/>
                <w:kern w:val="0"/>
                <w:sz w:val="21"/>
                <w:szCs w:val="21"/>
                <w14:textFill>
                  <w14:solidFill>
                    <w14:schemeClr w14:val="tx1"/>
                  </w14:solidFill>
                </w14:textFill>
              </w:rPr>
              <w:t>三级等级保护测评等内容</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kern w:val="0"/>
                <w:sz w:val="21"/>
                <w:szCs w:val="21"/>
                <w:lang w:eastAsia="zh-CN"/>
              </w:rPr>
              <w:t>故障响应时间 7*24 小时，故障解决时间不超过</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eastAsia="zh-CN"/>
              </w:rPr>
              <w:t>小时；</w:t>
            </w:r>
            <w:r>
              <w:rPr>
                <w:rFonts w:hint="eastAsia" w:ascii="宋体" w:hAnsi="宋体" w:eastAsia="宋体" w:cs="宋体"/>
                <w:color w:val="000000" w:themeColor="text1"/>
                <w:kern w:val="0"/>
                <w:sz w:val="21"/>
                <w:szCs w:val="21"/>
                <w14:textFill>
                  <w14:solidFill>
                    <w14:schemeClr w14:val="tx1"/>
                  </w14:solidFill>
                </w14:textFill>
              </w:rPr>
              <w:t xml:space="preserve"> </w:t>
            </w:r>
          </w:p>
          <w:p>
            <w:pPr>
              <w:widowControl/>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2.在系统大规模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满</w:t>
            </w:r>
            <w:r>
              <w:rPr>
                <w:rFonts w:hint="eastAsia" w:ascii="宋体" w:hAnsi="宋体" w:eastAsia="宋体" w:cs="宋体"/>
                <w:color w:val="000000"/>
                <w:kern w:val="0"/>
                <w:sz w:val="21"/>
                <w:szCs w:val="21"/>
                <w:lang w:val="en-US" w:eastAsia="zh-CN"/>
              </w:rPr>
              <w:t>足</w:t>
            </w:r>
            <w:r>
              <w:rPr>
                <w:rFonts w:hint="eastAsia" w:ascii="宋体" w:hAnsi="宋体" w:eastAsia="宋体" w:cs="宋体"/>
                <w:color w:val="000000"/>
                <w:kern w:val="0"/>
                <w:sz w:val="21"/>
                <w:szCs w:val="21"/>
              </w:rPr>
              <w:t>30000名学生同时在线，</w:t>
            </w:r>
            <w:r>
              <w:rPr>
                <w:rFonts w:hint="eastAsia" w:ascii="宋体" w:hAnsi="宋体" w:eastAsia="宋体" w:cs="宋体"/>
                <w:color w:val="000000"/>
                <w:kern w:val="0"/>
                <w:sz w:val="21"/>
                <w:szCs w:val="21"/>
                <w:lang w:val="en-US" w:eastAsia="zh-CN"/>
              </w:rPr>
              <w:t>所有学校</w:t>
            </w:r>
            <w:r>
              <w:rPr>
                <w:rFonts w:hint="eastAsia" w:ascii="宋体" w:hAnsi="宋体" w:eastAsia="宋体" w:cs="宋体"/>
                <w:color w:val="000000"/>
                <w:kern w:val="0"/>
                <w:sz w:val="21"/>
                <w:szCs w:val="21"/>
              </w:rPr>
              <w:t>教学班的班牌信息管理等需要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集中开展业务时，提供稳定性保障服务</w:t>
            </w:r>
            <w:r>
              <w:rPr>
                <w:rFonts w:hint="eastAsia" w:ascii="宋体" w:hAnsi="宋体" w:eastAsia="宋体" w:cs="宋体"/>
                <w:color w:val="000000"/>
                <w:kern w:val="0"/>
                <w:sz w:val="21"/>
                <w:szCs w:val="21"/>
                <w:lang w:eastAsia="zh-CN"/>
              </w:rPr>
              <w:t>，每个县（</w:t>
            </w:r>
            <w:r>
              <w:rPr>
                <w:rFonts w:hint="eastAsia" w:ascii="宋体" w:hAnsi="宋体" w:eastAsia="宋体" w:cs="宋体"/>
                <w:color w:val="000000"/>
                <w:kern w:val="0"/>
                <w:sz w:val="21"/>
                <w:szCs w:val="21"/>
                <w:lang w:val="en-US" w:eastAsia="zh-CN"/>
              </w:rPr>
              <w:t>市、</w:t>
            </w:r>
            <w:r>
              <w:rPr>
                <w:rFonts w:hint="eastAsia" w:ascii="宋体" w:hAnsi="宋体" w:eastAsia="宋体" w:cs="宋体"/>
                <w:color w:val="000000"/>
                <w:kern w:val="0"/>
                <w:sz w:val="21"/>
                <w:szCs w:val="21"/>
                <w:lang w:eastAsia="zh-CN"/>
              </w:rPr>
              <w:t>区）</w:t>
            </w:r>
            <w:r>
              <w:rPr>
                <w:rFonts w:hint="eastAsia" w:ascii="宋体" w:hAnsi="宋体" w:eastAsia="宋体" w:cs="宋体"/>
                <w:color w:val="000000"/>
                <w:kern w:val="0"/>
                <w:sz w:val="21"/>
                <w:szCs w:val="21"/>
                <w:lang w:val="en-US" w:eastAsia="zh-CN"/>
              </w:rPr>
              <w:t>应</w:t>
            </w:r>
            <w:r>
              <w:rPr>
                <w:rFonts w:hint="eastAsia" w:ascii="宋体" w:hAnsi="宋体" w:eastAsia="宋体" w:cs="宋体"/>
                <w:color w:val="000000"/>
                <w:kern w:val="0"/>
                <w:sz w:val="21"/>
                <w:szCs w:val="21"/>
                <w:lang w:eastAsia="zh-CN"/>
              </w:rPr>
              <w:t>安排</w:t>
            </w:r>
            <w:r>
              <w:rPr>
                <w:rFonts w:hint="eastAsia" w:ascii="宋体" w:hAnsi="宋体" w:eastAsia="宋体" w:cs="宋体"/>
                <w:color w:val="000000"/>
                <w:kern w:val="0"/>
                <w:sz w:val="21"/>
                <w:szCs w:val="21"/>
                <w:lang w:val="en-US" w:eastAsia="zh-CN"/>
              </w:rPr>
              <w:t>专人</w:t>
            </w:r>
            <w:r>
              <w:rPr>
                <w:rFonts w:hint="eastAsia" w:ascii="宋体" w:hAnsi="宋体" w:eastAsia="宋体" w:cs="宋体"/>
                <w:color w:val="000000"/>
                <w:kern w:val="0"/>
                <w:sz w:val="21"/>
                <w:szCs w:val="21"/>
                <w:lang w:eastAsia="zh-CN"/>
              </w:rPr>
              <w:t>驻场服务；</w:t>
            </w:r>
          </w:p>
          <w:p>
            <w:pPr>
              <w:widowControl/>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3.提供硬件运行与质量维护服务；</w:t>
            </w:r>
          </w:p>
          <w:p>
            <w:pPr>
              <w:widowControl/>
              <w:spacing w:line="276"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4.完成本平台与县（市、区）、学校现有系统及班牌对接；</w:t>
            </w:r>
          </w:p>
          <w:p>
            <w:pPr>
              <w:widowControl/>
              <w:spacing w:line="276" w:lineRule="auto"/>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提供新高考配套业务服务，具体服务内容详见“四、其他要求-4.3服务内容”</w:t>
            </w:r>
          </w:p>
        </w:tc>
        <w:tc>
          <w:tcPr>
            <w:tcW w:w="346" w:type="pct"/>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248" w:type="pct"/>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年</w:t>
            </w:r>
          </w:p>
        </w:tc>
      </w:tr>
    </w:tbl>
    <w:p>
      <w:pPr>
        <w:pStyle w:val="4"/>
        <w:rPr>
          <w:rFonts w:hint="eastAsia" w:ascii="宋体" w:hAnsi="宋体" w:eastAsia="宋体" w:cs="宋体"/>
          <w:b/>
          <w:bCs/>
          <w:color w:val="000000" w:themeColor="text1"/>
          <w:sz w:val="24"/>
          <w14:textFill>
            <w14:solidFill>
              <w14:schemeClr w14:val="tx1"/>
            </w14:solidFill>
          </w14:textFill>
        </w:rPr>
      </w:pPr>
      <w:bookmarkStart w:id="79" w:name="_Toc4920"/>
      <w:r>
        <w:rPr>
          <w:rFonts w:hint="eastAsia" w:ascii="宋体" w:hAnsi="宋体" w:eastAsia="宋体" w:cs="宋体"/>
          <w:b/>
          <w:bCs/>
          <w:color w:val="000000" w:themeColor="text1"/>
          <w:sz w:val="24"/>
          <w14:textFill>
            <w14:solidFill>
              <w14:schemeClr w14:val="tx1"/>
            </w14:solidFill>
          </w14:textFill>
        </w:rPr>
        <w:t>四、其他要求</w:t>
      </w:r>
      <w:bookmarkEnd w:id="79"/>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1.质量保障服务</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1.1质保期：三年（含硬件设施设备）；质保期自验收合格之日起算；</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1.2硬件设施设备三年内免费上门服务，三年保修，质保期内的货物免费维修</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非人为损坏的不能维修的予以更换</w:t>
      </w:r>
      <w:r>
        <w:rPr>
          <w:rFonts w:hint="eastAsia" w:ascii="宋体" w:hAnsi="宋体" w:eastAsia="宋体" w:cs="宋体"/>
          <w:color w:val="000000" w:themeColor="text1"/>
          <w:kern w:val="0"/>
          <w:sz w:val="24"/>
          <w:highlight w:val="none"/>
          <w14:textFill>
            <w14:solidFill>
              <w14:schemeClr w14:val="tx1"/>
            </w14:solidFill>
          </w14:textFill>
        </w:rPr>
        <w:t>；软件需即时免费升级至最新版本；</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1.3软件系统设计应保证系统在架构设计上具有前瞻性和高性能，能够满足实际业务需要，并根据实际对模块功能进行实时升级迭代； </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1.4确定中标人后，中标人须在接到采购人通知后三个工作日内，完成货物一致性验证（中标货物需与中标人提供的技术响应保持一致）；</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eastAsia="zh-CN"/>
        </w:rPr>
        <w:t>2.</w:t>
      </w:r>
      <w:r>
        <w:rPr>
          <w:rFonts w:hint="eastAsia" w:ascii="宋体" w:hAnsi="宋体" w:eastAsia="宋体" w:cs="宋体"/>
          <w:kern w:val="0"/>
          <w:sz w:val="24"/>
        </w:rPr>
        <w:t>学生基础数据对接服务</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学生基础信息来源于全国中小学生学籍信息管理系统，通过获取的学生基础信息生成学生基础数据库，并同步至延安市高考综合改革信息化管理平台数据库中，同步的学生信息包括学生姓名、性别、学校、年级、学段、身份证号码、学籍号等信息。</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eastAsia="zh-CN"/>
        </w:rPr>
        <w:t>3.</w:t>
      </w:r>
      <w:r>
        <w:rPr>
          <w:rFonts w:hint="eastAsia" w:ascii="宋体" w:hAnsi="宋体" w:eastAsia="宋体" w:cs="宋体"/>
          <w:kern w:val="0"/>
          <w:sz w:val="24"/>
        </w:rPr>
        <w:t>教师基础数据对接服务</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3.1教师基础信息来源于延安市教师人事管理平台，通过获取的教师基础信息生成教师基础数据库，并同步至延安市高考综合改革信息化管理平台数据库中，同步的教师信息包括教师姓名、性别、学校、身份证号、教师编号等信息。</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*投标人应具有完善的保密方案和措施，</w:t>
      </w:r>
      <w:r>
        <w:rPr>
          <w:rFonts w:ascii="宋体" w:hAnsi="宋体" w:eastAsia="宋体" w:cs="宋体"/>
          <w:sz w:val="24"/>
          <w:szCs w:val="24"/>
        </w:rPr>
        <w:t>杜绝任何信息泄露。</w:t>
      </w:r>
      <w:r>
        <w:rPr>
          <w:rFonts w:hint="eastAsia" w:ascii="宋体" w:hAnsi="宋体" w:eastAsia="宋体" w:cs="宋体"/>
          <w:kern w:val="0"/>
          <w:sz w:val="24"/>
        </w:rPr>
        <w:t>本项目产生的所有数据归采购人所有，在未经采购人授权的情况下中标方不得将数据另作他用。</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4.新高考配套服务</w:t>
      </w:r>
    </w:p>
    <w:p>
      <w:pPr>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rPr>
        <w:t>4.1服务范围：</w:t>
      </w:r>
      <w:r>
        <w:rPr>
          <w:rFonts w:hint="eastAsia" w:ascii="宋体" w:hAnsi="宋体" w:eastAsia="宋体" w:cs="宋体"/>
          <w:kern w:val="0"/>
          <w:sz w:val="24"/>
          <w:lang w:val="en-US" w:eastAsia="zh-CN"/>
        </w:rPr>
        <w:t>市、县（市、区）教育行政部门及相关业务直属单位</w:t>
      </w:r>
      <w:r>
        <w:rPr>
          <w:rFonts w:hint="eastAsia" w:ascii="宋体" w:hAnsi="宋体" w:eastAsia="宋体" w:cs="宋体"/>
          <w:kern w:val="0"/>
          <w:sz w:val="24"/>
        </w:rPr>
        <w:t>；</w:t>
      </w:r>
      <w:r>
        <w:rPr>
          <w:rFonts w:hint="eastAsia" w:ascii="宋体" w:hAnsi="宋体" w:eastAsia="宋体" w:cs="宋体"/>
          <w:kern w:val="0"/>
          <w:sz w:val="24"/>
          <w:lang w:val="en-US" w:eastAsia="zh-CN"/>
        </w:rPr>
        <w:t>全市普通高中；</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4.2服务期：三年；</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4.3服务内容：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szCs w:val="21"/>
              </w:rPr>
              <w:t>序号</w:t>
            </w:r>
          </w:p>
        </w:tc>
        <w:tc>
          <w:tcPr>
            <w:tcW w:w="4441" w:type="pct"/>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szCs w:val="21"/>
              </w:rPr>
              <w:t>服务内容</w:t>
            </w:r>
            <w:r>
              <w:rPr>
                <w:rFonts w:hint="eastAsia" w:asciiTheme="majorEastAsia" w:hAnsiTheme="majorEastAsia" w:eastAsiaTheme="majorEastAsia"/>
                <w:b/>
                <w:bCs/>
                <w:szCs w:val="21"/>
                <w:lang w:val="en-US" w:eastAsia="zh-CN"/>
              </w:rPr>
              <w:t>及</w:t>
            </w:r>
            <w:r>
              <w:rPr>
                <w:rFonts w:hint="eastAsia" w:asciiTheme="majorEastAsia" w:hAnsiTheme="majorEastAsia" w:eastAsiaTheme="majorEastAsia"/>
                <w:b/>
                <w:bCs/>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szCs w:val="21"/>
              </w:rPr>
              <w:t>一</w:t>
            </w:r>
          </w:p>
        </w:tc>
        <w:tc>
          <w:tcPr>
            <w:tcW w:w="4441" w:type="pct"/>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szCs w:val="21"/>
              </w:rPr>
              <w:t>新高考</w:t>
            </w:r>
            <w:r>
              <w:rPr>
                <w:rFonts w:hint="eastAsia" w:asciiTheme="majorEastAsia" w:hAnsiTheme="majorEastAsia" w:eastAsiaTheme="majorEastAsia"/>
                <w:b/>
                <w:bCs/>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szCs w:val="21"/>
              </w:rPr>
              <w:t>综合服务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1.1</w:t>
            </w:r>
          </w:p>
        </w:tc>
        <w:tc>
          <w:tcPr>
            <w:tcW w:w="4441" w:type="pct"/>
            <w:vAlign w:val="center"/>
          </w:tcPr>
          <w:p>
            <w:pPr>
              <w:spacing w:line="360" w:lineRule="auto"/>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由市主管部门组织，中标供应商安排专家，针对</w:t>
            </w:r>
            <w:r>
              <w:rPr>
                <w:rFonts w:hint="eastAsia" w:asciiTheme="majorEastAsia" w:hAnsiTheme="majorEastAsia" w:eastAsiaTheme="majorEastAsia"/>
                <w:color w:val="000000"/>
                <w:szCs w:val="21"/>
                <w:lang w:val="en-US" w:eastAsia="zh-CN"/>
              </w:rPr>
              <w:t>全</w:t>
            </w:r>
            <w:r>
              <w:rPr>
                <w:rFonts w:hint="eastAsia" w:asciiTheme="majorEastAsia" w:hAnsiTheme="majorEastAsia" w:eastAsiaTheme="majorEastAsia"/>
                <w:color w:val="000000"/>
                <w:szCs w:val="21"/>
              </w:rPr>
              <w:t>市</w:t>
            </w:r>
            <w:r>
              <w:rPr>
                <w:rFonts w:hint="eastAsia" w:asciiTheme="majorEastAsia" w:hAnsiTheme="majorEastAsia" w:eastAsiaTheme="majorEastAsia"/>
                <w:color w:val="000000"/>
                <w:szCs w:val="21"/>
                <w:lang w:val="en-US" w:eastAsia="zh-CN"/>
              </w:rPr>
              <w:t>及</w:t>
            </w:r>
            <w:r>
              <w:rPr>
                <w:rFonts w:asciiTheme="majorEastAsia" w:hAnsiTheme="majorEastAsia" w:eastAsiaTheme="majorEastAsia"/>
                <w:color w:val="000000"/>
                <w:szCs w:val="21"/>
              </w:rPr>
              <w:t>各县</w:t>
            </w:r>
            <w:r>
              <w:rPr>
                <w:rFonts w:hint="eastAsia" w:asciiTheme="majorEastAsia" w:hAnsiTheme="majorEastAsia" w:eastAsiaTheme="majorEastAsia"/>
                <w:color w:val="000000"/>
                <w:szCs w:val="21"/>
                <w:lang w:eastAsia="zh-CN"/>
              </w:rPr>
              <w:t>（</w:t>
            </w:r>
            <w:r>
              <w:rPr>
                <w:rFonts w:asciiTheme="majorEastAsia" w:hAnsiTheme="majorEastAsia" w:eastAsiaTheme="majorEastAsia"/>
                <w:color w:val="000000"/>
                <w:szCs w:val="21"/>
              </w:rPr>
              <w:t>市、区</w:t>
            </w:r>
            <w:r>
              <w:rPr>
                <w:rFonts w:hint="eastAsia" w:asciiTheme="majorEastAsia" w:hAnsiTheme="majorEastAsia" w:eastAsiaTheme="majorEastAsia"/>
                <w:color w:val="000000"/>
                <w:szCs w:val="21"/>
                <w:lang w:eastAsia="zh-CN"/>
              </w:rPr>
              <w:t>）</w:t>
            </w:r>
            <w:r>
              <w:rPr>
                <w:rFonts w:hint="eastAsia" w:asciiTheme="majorEastAsia" w:hAnsiTheme="majorEastAsia" w:eastAsiaTheme="majorEastAsia"/>
                <w:color w:val="000000"/>
                <w:szCs w:val="21"/>
              </w:rPr>
              <w:t>管理部门、使用部门，对平台系统功能、操作方法及新高考通识进行统一培训。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color w:val="000000"/>
                <w:szCs w:val="21"/>
              </w:rPr>
              <w:t>资源评估数据统计、分析服务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1.2.1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汇总各校《学校资源评估报告》，分析区域整体师资缺口（分学科）、教室资源缺口；制定区域资源调配方案；生成并解读《区域教育资源统筹评估报告》，明确资源补充优先级及实施路径。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1.3</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color w:val="000000"/>
                <w:szCs w:val="21"/>
              </w:rPr>
              <w:t>选科统计、分析服务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1.3.1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收集辖区内所有高中校选科结果数据，按市、县、校级维度汇总；分析区域选科整体情况（各选科组合占比、单科选择人数分布）；对比各学校选科数据，识别选科极端组合（如某组合选择人数过少）并做出提前预警；生成并解读《区域高一选科统计分析报告》，为教育局优化区域资源配置提供数据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1.3.2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结合区域学生选科数据与高考专业报考要求，分析各选科组合可报考专业覆盖率；识别区域内选科组合与高考专业需求不匹配问题（如某组合可报专业过少）；生成并解读《区域学生选科与高考适配性分析报告》，为下一届高一选科指导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1.4</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color w:val="000000"/>
                <w:szCs w:val="21"/>
              </w:rPr>
              <w:t>分班排课统计、分析服务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1.4.1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收集辖区内各校分班调整结果、课表数据；监控区域走班教学实施情况（走班模式占比、学生走班幅度占比）；识别分班排课异常问题（如某学校班级人数超标、课表冲突率过高）并督促整改；生成并解读《区域分班排课监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1.5</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color w:val="000000"/>
                <w:szCs w:val="21"/>
              </w:rPr>
              <w:t>生涯规划统计、分析服务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1.5.1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调研辖区内各校生涯规划课程开展情况（课程数量、参与学生比例）、生涯资源建设情况；汇总各校生涯咨询服务数据（咨询次数、学生问题类型）；评估区域生涯规划教育实施成效，生成并解读《区域学生生涯规划报告》，提出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1.5.2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收集辖区内各校《学生生涯发展综合报告》核心数据（学生意向院校/专业分布、职业倾向分布）；进行区域整体统计分析，识别区域学生主流升学与职业方向；生成并解读《区域学生生涯综合数据报告》，为教育局制定区域升学指导政策提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1.6</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color w:val="000000"/>
                <w:szCs w:val="21"/>
              </w:rPr>
              <w:t>联考阅卷服务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1.6.1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统筹辖区内联考组织工作，制定联考时间安排、阅卷任务安排、阅卷规范；汇总各校联考成绩数据，进行区域内整体分析（区域平均分、各学科及格率/优秀率、校际差距）；生成并解读《区域联考质量分析报告》，提出教学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1.6.2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汇总辖区内联考成绩数据，对比历次联考与本次联考区域整体成绩变化（平均分、及格率、优秀率波动）；分析各学科教学质量区域差异，定位薄弱学科及薄弱学校；生成并解读《区域联考质量跟踪报告》，为教育局开展教学督导、组织教研活动提供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1.6.3</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统筹辖区内高三联考组织工作（考试安排、阅卷任务安排、数据汇总）；分析区域联考整体质量（试题难度、区分度、与高考适配性）；对比历次联考区域成绩变化，评估备考成效；生成《区域高三联考质量评估报告》，为后续联考组织优化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1.7</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color w:val="000000"/>
                <w:szCs w:val="21"/>
              </w:rPr>
              <w:t>成绩管理服务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1.7.1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收集辖区内所有高中校期末考试、高三模考、高考成绩数据，进行区域整体统计（特控线、一本、上线率、平均分、最高分、各学科成绩分布等不同维度）；对比历年区域高考成绩，分析教学质量变化趋势；生成《区域高考成绩分析总报告》，为教育局总结区域教育教学工作、制定下一年度教育政策提供核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1.8</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lang w:val="en-US" w:eastAsia="zh-CN"/>
              </w:rPr>
              <w:t>全市及</w:t>
            </w:r>
            <w:r>
              <w:rPr>
                <w:rFonts w:asciiTheme="majorEastAsia" w:hAnsiTheme="majorEastAsia" w:eastAsiaTheme="majorEastAsia"/>
                <w:b/>
                <w:bCs/>
                <w:color w:val="000000"/>
                <w:szCs w:val="21"/>
              </w:rPr>
              <w:t>各县</w:t>
            </w:r>
            <w:r>
              <w:rPr>
                <w:rFonts w:hint="eastAsia" w:asciiTheme="majorEastAsia" w:hAnsiTheme="majorEastAsia" w:eastAsiaTheme="majorEastAsia"/>
                <w:b/>
                <w:bCs/>
                <w:color w:val="000000"/>
                <w:szCs w:val="21"/>
                <w:lang w:eastAsia="zh-CN"/>
              </w:rPr>
              <w:t>（</w:t>
            </w:r>
            <w:r>
              <w:rPr>
                <w:rFonts w:asciiTheme="majorEastAsia" w:hAnsiTheme="majorEastAsia" w:eastAsiaTheme="majorEastAsia"/>
                <w:b/>
                <w:bCs/>
                <w:color w:val="000000"/>
                <w:szCs w:val="21"/>
              </w:rPr>
              <w:t>市、区</w:t>
            </w:r>
            <w:r>
              <w:rPr>
                <w:rFonts w:hint="eastAsia" w:asciiTheme="majorEastAsia" w:hAnsiTheme="majorEastAsia" w:eastAsiaTheme="majorEastAsia"/>
                <w:b/>
                <w:bCs/>
                <w:color w:val="000000"/>
                <w:szCs w:val="21"/>
                <w:lang w:eastAsia="zh-CN"/>
              </w:rPr>
              <w:t>）</w:t>
            </w:r>
            <w:r>
              <w:rPr>
                <w:rFonts w:hint="eastAsia" w:asciiTheme="majorEastAsia" w:hAnsiTheme="majorEastAsia" w:eastAsiaTheme="majorEastAsia"/>
                <w:b/>
                <w:bCs/>
                <w:color w:val="000000"/>
                <w:szCs w:val="21"/>
              </w:rPr>
              <w:t>大数据驾驶舱分析服务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1.8.1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根据本区域内学校选科分班、资源评估、走班情况及联考等数据，形成区</w:t>
            </w:r>
            <w:r>
              <w:rPr>
                <w:rFonts w:hint="eastAsia" w:asciiTheme="majorEastAsia" w:hAnsiTheme="majorEastAsia" w:eastAsiaTheme="majorEastAsia"/>
                <w:szCs w:val="21"/>
                <w:highlight w:val="none"/>
              </w:rPr>
              <w:t>域</w:t>
            </w:r>
            <w:r>
              <w:rPr>
                <w:rFonts w:hint="eastAsia" w:asciiTheme="majorEastAsia" w:hAnsiTheme="majorEastAsia" w:eastAsiaTheme="majorEastAsia"/>
                <w:color w:val="000000" w:themeColor="text1"/>
                <w:szCs w:val="21"/>
                <w:highlight w:val="none"/>
                <w14:textFill>
                  <w14:solidFill>
                    <w14:schemeClr w14:val="tx1"/>
                  </w14:solidFill>
                </w14:textFill>
              </w:rPr>
              <w:t>级汇总、分析及优化调整方案等报告，</w:t>
            </w:r>
            <w:r>
              <w:rPr>
                <w:rFonts w:hint="eastAsia" w:asciiTheme="majorEastAsia" w:hAnsiTheme="majorEastAsia" w:eastAsiaTheme="majorEastAsia"/>
                <w:szCs w:val="21"/>
                <w:highlight w:val="none"/>
              </w:rPr>
              <w:t>便于教育主管部</w:t>
            </w:r>
            <w:r>
              <w:rPr>
                <w:rFonts w:hint="eastAsia" w:asciiTheme="majorEastAsia" w:hAnsiTheme="majorEastAsia" w:eastAsiaTheme="majorEastAsia"/>
                <w:szCs w:val="21"/>
              </w:rPr>
              <w:t>门了解区域内新高考当前状态及下一步改进措施。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szCs w:val="21"/>
              </w:rPr>
              <w:t>二</w:t>
            </w:r>
          </w:p>
        </w:tc>
        <w:tc>
          <w:tcPr>
            <w:tcW w:w="4441" w:type="pct"/>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szCs w:val="21"/>
              </w:rPr>
              <w:t>新高考校级业务服务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szCs w:val="21"/>
              </w:rPr>
              <w:t>2.1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rPr>
              <w:t>学校资源评估服务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2.1.1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采集学校目前的师资和教室配套情况形成数据；同步学生选科数据和分班数据；调研学校资源配套的个性化需求，形成资源评估条件；完成学校资源评估工作，形成《资源评估报告》；3.服务程度：编制资源评估报告，解读报告，并提出资源调整的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2.1.2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2.服务流程：根据高二年级班级和教师配套调整的具体需求，为进一步优化和调整资源配套提供方案；</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3.服务程度：根据学校资源变化情况，不断跟踪优化学校资源配比方案；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szCs w:val="21"/>
              </w:rPr>
              <w:t>2.2</w:t>
            </w:r>
          </w:p>
        </w:tc>
        <w:tc>
          <w:tcPr>
            <w:tcW w:w="4441" w:type="pct"/>
            <w:vAlign w:val="center"/>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color w:val="000000"/>
                <w:szCs w:val="21"/>
              </w:rPr>
              <w:t>学校选科服务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2.2.1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w:t>
            </w:r>
            <w:r>
              <w:rPr>
                <w:rFonts w:asciiTheme="majorEastAsia" w:hAnsiTheme="majorEastAsia" w:eastAsiaTheme="majorEastAsia"/>
                <w:szCs w:val="21"/>
              </w:rPr>
              <w:t>学生信息录入系统，编辑学生选科操作手册，实时监控选科进度，导出选科数据。</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开展新高考选科政策讲座，解读选科与大学专业报考关联、组合优劣势，编写《学生选科操作手册》，提供选科前期答疑；发起校内正式选科；实时监控选科进度；选科结束后，生成校内单科统计报告、组合统计报告及学生选科总表，并对选科结果进行汇报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2.2.2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2.服务流程：调整科目</w:t>
            </w:r>
            <w:r>
              <w:rPr>
                <w:rFonts w:asciiTheme="majorEastAsia" w:hAnsiTheme="majorEastAsia" w:eastAsiaTheme="majorEastAsia"/>
                <w:szCs w:val="21"/>
              </w:rPr>
              <w:t>学生信息录入系统，</w:t>
            </w:r>
            <w:r>
              <w:rPr>
                <w:rFonts w:hint="eastAsia" w:asciiTheme="majorEastAsia" w:hAnsiTheme="majorEastAsia" w:eastAsiaTheme="majorEastAsia"/>
                <w:szCs w:val="21"/>
              </w:rPr>
              <w:t>记录调整信息形成调整日志</w:t>
            </w:r>
            <w:r>
              <w:rPr>
                <w:rFonts w:asciiTheme="majorEastAsia" w:hAnsiTheme="majorEastAsia" w:eastAsiaTheme="majorEastAsia"/>
                <w:szCs w:val="21"/>
              </w:rPr>
              <w:t>，导出选科数据。</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3.服务程度：不断帮助需调整科目的学生做好选科指导和调科工作；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2.3</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rPr>
              <w:t>学校智能分班服务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bookmarkStart w:id="80" w:name="_Hlk216705780"/>
            <w:r>
              <w:rPr>
                <w:rFonts w:hint="eastAsia" w:asciiTheme="majorEastAsia" w:hAnsiTheme="majorEastAsia" w:eastAsiaTheme="majorEastAsia"/>
                <w:szCs w:val="21"/>
              </w:rPr>
              <w:t>2.3.1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2.服务流程：学考结束后，基于学生最终选科结果制定分班策略（选科组合聚类分班，相同/相似组合划入同一教学组）；应用AI动态分班算法，平衡班级学科成绩标准差（＜3.</w:t>
            </w:r>
            <w:r>
              <w:rPr>
                <w:rFonts w:hint="eastAsia" w:asciiTheme="majorEastAsia" w:hAnsiTheme="majorEastAsia" w:eastAsiaTheme="majorEastAsia"/>
                <w:szCs w:val="21"/>
                <w:lang w:eastAsia="zh-CN"/>
              </w:rPr>
              <w:t>5）</w:t>
            </w:r>
            <w:r>
              <w:rPr>
                <w:rFonts w:hint="eastAsia" w:asciiTheme="majorEastAsia" w:hAnsiTheme="majorEastAsia" w:eastAsiaTheme="majorEastAsia"/>
                <w:szCs w:val="21"/>
              </w:rPr>
              <w:t>师生比偏差率（＜2%）；生成行政班/教学班名单后。</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1）提供分班数据管理服务：提供分班基础数据标准化处理，基于数据模板，采集选科数据、分班条件等，对数据进行处理、校验、上传、导入、导出应用等；（2）提供分班需求分析服务：提供结合学校资源和分班限制条件给出不同的分班策略；（3）提供分班方案咨询服务：提供大走班、小走班优先三科、小走班定二走一、自定义分班等不同分班方案建议；（4）提供分班调整服务：提供个别或批量学生修改选科志愿服务，提供学生调整志愿后的班级调整服务；</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2.3.2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2.服务流程：根据高二开学后学生选科变更申请（少数学生调整组合），自动重组教学班；调整课表解决教师课时超限（周课时＞16节预警）、教室占用冲突（智能推荐备选教室）；生成调整后的分班结果报告；</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3.服务程度：全流程跟踪学校班级调整需求，实时提供班级调整方案；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2.3.3</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2.服务流程：根据高三备考需求，优化分班策略，可按高考目标分层；</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3.服务程度：全流程跟踪学校班级调整需求，实时提供班级调整方案；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2.4</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rPr>
              <w:t>学校排课服务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2.4.1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2.服务流程：收集学校选科数据，排课规则，根据学校资源情况，办学特色等情况，为学校单独定制排课方案。根据实际情况，提供多种分层走</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班方案；</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1）为学校提供经验丰富的课程规划专家，并提供排课服务；（2）满足学校各种排课要求，如：连堂课、合班课，单双周课程，教研时间，组会时间，教师个人原因不排课，教案齐头，教师课程集中等；（3）提供专业的系统培训讲师，帮助学校完成排课系统使用；（4）结合人工智能走班引擎，高效、合理地给学校提供多维度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2.4.2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1.服务方式：入校服务支持为主，远程服务为辅。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1）针对学校新需求，在平台上实现调整，为学校导出更新后的课表，遇到不可调整需求，与学校沟通说明原因并提供解决方案；（2）系统上调代课功能可以多终端的将调整情况通知到被调课的学生和老师。</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3.服务程度：（1）提供多种课表类型，学校课表，班级课表，教师课表，教师课表，课程课表，走班课表，学生课表等，方便学校</w:t>
            </w:r>
            <w:r>
              <w:rPr>
                <w:rFonts w:hint="eastAsia" w:asciiTheme="majorEastAsia" w:hAnsiTheme="majorEastAsia" w:eastAsiaTheme="majorEastAsia"/>
                <w:szCs w:val="21"/>
                <w:lang w:eastAsia="zh-CN"/>
              </w:rPr>
              <w:t>各层次</w:t>
            </w:r>
            <w:r>
              <w:rPr>
                <w:rFonts w:hint="eastAsia" w:asciiTheme="majorEastAsia" w:hAnsiTheme="majorEastAsia" w:eastAsiaTheme="majorEastAsia"/>
                <w:szCs w:val="21"/>
              </w:rPr>
              <w:t>人员使用；（2）提供多种课表样式，大课表，小课表，横版，竖版等样式，方便各个老师的使用习惯；（3）提供老师查看电子课表方式，多级权限设置，不同权限老师看到不同层次课表；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2.5</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b/>
                <w:bCs/>
                <w:color w:val="000000"/>
                <w:szCs w:val="21"/>
              </w:rPr>
              <w:t>学校学生生涯探索服务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2.5.1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1.服务方式：现场服务为主，远程服务为辅。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更新维护生涯测评学生基础信息；编写《生涯测评操作指南》；组织学生完成MBTI职业性格测试、Holland职业兴趣测试；汇总测评数据，生成学生个人测评报告（适合职业推荐、专业建议）；更新生涯信息库（新增高一学生测评数据模块）。</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3.服务程度：提供专人服务，辅助学校完成职业测评、专业测评、选科测评，在学校日常生涯教学环节，配合完成依托于系统平台的课程环节设计。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2.5.2</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1.服务方式：现场服务为主，远程服务为辅。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2.服务流程：协助学习补充上传生涯课程资源（大学专业解读、职业体验案例）；更新高校信息库（当年各高校选考科目要求调整内容）；提供学生生涯咨询服务（解答专业选择、职业规划疑问）。</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3.服务程度：辅助学校完成职业测评、专业测评、选科测评，在学校日常生涯教学环节，配合完成依托于系统平台的课程环节设计。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2.5.3</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1.服务方式：现场服务为主，远程服务为辅。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整合学生MBTI/Holland测评结果、高一高二成绩数据、意向院校专业信息，生成《学生生涯发展综合报告》（含升学路径建议、职业目标适配性分析）；汇总校内生涯数据，生成《学校生涯规划情况报告》。</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3.服务程度：提供服务，辅助学校完成职业测评、专业测评、选科测评，在学校日常生涯教学环节，配合完成依托于系统平台的课程环节设计。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2.6</w:t>
            </w:r>
          </w:p>
        </w:tc>
        <w:tc>
          <w:tcPr>
            <w:tcW w:w="4441" w:type="pct"/>
            <w:vAlign w:val="center"/>
          </w:tcPr>
          <w:p>
            <w:pPr>
              <w:spacing w:line="360" w:lineRule="auto"/>
              <w:rPr>
                <w:rFonts w:eastAsiaTheme="majorEastAsia"/>
              </w:rPr>
            </w:pPr>
            <w:r>
              <w:rPr>
                <w:rFonts w:hint="eastAsia" w:asciiTheme="majorEastAsia" w:hAnsiTheme="majorEastAsia" w:eastAsiaTheme="majorEastAsia"/>
                <w:b/>
                <w:bCs/>
                <w:color w:val="000000"/>
                <w:szCs w:val="21"/>
              </w:rPr>
              <w:t>学校阅卷服务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2.6.1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1.服务方式：现场服务为主，远程服务为辅；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2.服务流程：定期接收学校考试或测验开展工作，帮助学校发布线上考试任务；辅助学校进行扫描采集与线上阅卷工作；辅助学校进行成绩收集与校正工作；生成各类不同维度考试报告；辅助学校发布成绩；</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1）提供阅卷数据管理服务：提供阅卷基础数据标准化处理，基于数据模板，采集阅卷考试所需数据，并对数据进行处理、上传、导入应用等；（2）提供阅卷支持服务：提供服务人员对阅卷现场必要的技术支持，同时技术人员远程进行技术支持，包括异常学生处理等，以确保单校阅卷工作顺利完成；（3）提供成绩分析服务：提供单次考试/作业成绩数据分析，包括成绩单、试卷讲解单、知识点分析、班级对比、班内分析、试卷分析、上线分析、临界生、短板生、档次分析、P值分析、组合排名、导师制分析（4）提供校本题库建设服务：提供校本试题、试卷委托编辑录入服务，将日常考试试题转化为符合本校学情、体系科学、知识点覆盖全面、试题标注精准的典型性和层次性兼具的精品资源，提高教学成果的复用性；（5）提供考试支持服务：提供考试保障（制卡、扫描）等基础支持服务；（6）提供实施跟踪服务：提供系统的基础实施部署、基础数据的整理维护，线上、线下的日常问题解答等服务；（7）提供单次成绩分析服务：提供单次考试/作业成绩数据分析，包括成绩单、试卷讲解单、知识点分析、班级对比、班内分析、试卷分析、上线分析、临界生、短板生、档次分析、P值分析、组合排名、导师制分析等；（8）提供班级学情分析服务：提供班级整体学情分析，包括历次考试对比诊断分析、薄弱知识点分析等。（9）提供学生学情分析服务：提供每个学生个体学情分析，包括历次考试对比诊断分析、薄弱知识点分析、学生成绩升降分析、临界生跟踪分析等；（10）提供年级学情分析服务：提供历次考试学校各年级、学科、教师、学生精准教情学情分析，包括质量分析、质量跟踪、质量监测、质量评价、学生跟踪、使用监测、导师制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2.7</w:t>
            </w:r>
          </w:p>
        </w:tc>
        <w:tc>
          <w:tcPr>
            <w:tcW w:w="4441" w:type="pct"/>
            <w:vAlign w:val="center"/>
          </w:tcPr>
          <w:p>
            <w:pPr>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b/>
                <w:bCs/>
                <w:color w:val="000000"/>
                <w:szCs w:val="21"/>
              </w:rPr>
              <w:t>学校成绩管理服务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hint="eastAsia" w:asciiTheme="majorEastAsia" w:hAnsiTheme="majorEastAsia" w:eastAsiaTheme="majorEastAsia"/>
                <w:szCs w:val="21"/>
              </w:rPr>
            </w:pPr>
            <w:r>
              <w:rPr>
                <w:rFonts w:hint="eastAsia" w:asciiTheme="majorEastAsia" w:hAnsiTheme="majorEastAsia" w:eastAsiaTheme="majorEastAsia"/>
                <w:szCs w:val="21"/>
              </w:rPr>
              <w:t>2.7.1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1.服务方式：线下服务为主，线上为辅；</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2.服务流程：采集汇总学校各类测验，包括本校考试，以及</w:t>
            </w:r>
            <w:r>
              <w:rPr>
                <w:rFonts w:hint="eastAsia" w:asciiTheme="majorEastAsia" w:hAnsiTheme="majorEastAsia" w:eastAsiaTheme="majorEastAsia"/>
                <w:szCs w:val="21"/>
                <w:lang w:eastAsia="zh-CN"/>
              </w:rPr>
              <w:t>县（市、区）</w:t>
            </w:r>
            <w:r>
              <w:rPr>
                <w:rFonts w:hint="eastAsia" w:asciiTheme="majorEastAsia" w:hAnsiTheme="majorEastAsia" w:eastAsiaTheme="majorEastAsia"/>
                <w:szCs w:val="21"/>
              </w:rPr>
              <w:t>联考、全市联考的成绩数据；设置分析维度，包括横向对比的考试或者学校，增量追踪的阶段范围，映射分析的映射参数，实现多维度的成绩分析；</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1）提供基础数据管理服务：提供基础数据采集，对数据进行标准化处理，批量修改、批量上传、删除、导入、导出应用等；（2）提供成绩数据管理服务：提供对校内成绩、联考、统考等多年级多学段成绩数据管理和维护，包含批量修改、批量上传、删除、导入、导出应用等；（3）提供参数设置服务：提供分数算法、年级/班级梯队、优良等第、学生端、成绩报表等设置；（4）提供指标设计服务：提供对考试场次、分析科目、计算方式、学生群体等成绩分析指标进行个性化设计和设置；（5）提供成绩分析服务：提供针对单次、多次成绩的年级、班级、个体、汇总多维度分析，包括成绩的基本分析、增量分析、映射分析等；（6）提供学生成绩册服务：提供学生成绩册的分析、创建、生成、修改、删除、导出等管理维护；（7）提供自定义报表服务：提供根据学校分析需求，设计分析指标、创建数据模型以及生成、编辑、修改数据报表，并提供定制数据看板，设计编辑看板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2.8</w:t>
            </w:r>
          </w:p>
        </w:tc>
        <w:tc>
          <w:tcPr>
            <w:tcW w:w="4441" w:type="pct"/>
            <w:vAlign w:val="center"/>
          </w:tcPr>
          <w:p>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b/>
                <w:bCs/>
                <w:color w:val="000000"/>
                <w:szCs w:val="21"/>
              </w:rPr>
              <w:t>学校大数据汇总与分析服务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2.8.1</w:t>
            </w:r>
          </w:p>
        </w:tc>
        <w:tc>
          <w:tcPr>
            <w:tcW w:w="4441" w:type="pct"/>
            <w:vAlign w:val="center"/>
          </w:tcPr>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1.服务方式：线下与线上服务结合；</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2.服务流程：采集学校大数据仪表盘要求，关注的重点数据和更新频次；采集学校风格化要求；设置仪表盘和数据流，形成学校各类教学工作数据大屏；</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3.服务程度：为每个学校，生成个性化的数据汇总及分析。</w:t>
            </w:r>
          </w:p>
        </w:tc>
      </w:tr>
    </w:tbl>
    <w:p>
      <w:pPr>
        <w:rPr>
          <w:rFonts w:hint="eastAsia"/>
        </w:rPr>
      </w:pPr>
      <w:r>
        <w:rPr>
          <w:rFonts w:hint="eastAsia"/>
        </w:rPr>
        <w:br w:type="page"/>
      </w:r>
    </w:p>
    <w:p>
      <w:pPr>
        <w:jc w:val="center"/>
        <w:outlineLvl w:val="0"/>
        <w:rPr>
          <w:rFonts w:hint="eastAsia" w:ascii="宋体" w:hAnsi="宋体" w:eastAsia="宋体" w:cs="宋体"/>
          <w:b/>
          <w:sz w:val="32"/>
          <w:szCs w:val="36"/>
        </w:rPr>
      </w:pPr>
      <w:bookmarkStart w:id="81" w:name="_Toc14848"/>
      <w:r>
        <w:rPr>
          <w:rFonts w:hint="eastAsia" w:ascii="宋体" w:hAnsi="宋体" w:eastAsia="宋体" w:cs="宋体"/>
          <w:b/>
          <w:sz w:val="32"/>
          <w:szCs w:val="36"/>
        </w:rPr>
        <w:t>第五部分 拟签订合同文本</w:t>
      </w:r>
      <w:bookmarkEnd w:id="81"/>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一、合同组成</w:t>
      </w:r>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依据《中华人民共和国</w:t>
      </w:r>
      <w:r>
        <w:rPr>
          <w:rFonts w:hint="eastAsia" w:ascii="宋体" w:hAnsi="宋体" w:eastAsia="宋体" w:cs="宋体"/>
          <w:kern w:val="0"/>
          <w:sz w:val="24"/>
        </w:rPr>
        <w:t>民法典</w:t>
      </w:r>
      <w:r>
        <w:rPr>
          <w:rFonts w:hint="eastAsia" w:ascii="宋体" w:hAnsi="宋体" w:eastAsia="宋体" w:cs="宋体"/>
          <w:kern w:val="0"/>
          <w:sz w:val="24"/>
          <w:lang w:val="zh-CN"/>
        </w:rPr>
        <w:t>》和《中华人民共和国政府采购法》，</w:t>
      </w:r>
      <w:r>
        <w:rPr>
          <w:rFonts w:hint="eastAsia" w:ascii="宋体" w:hAnsi="宋体" w:eastAsia="宋体" w:cs="宋体"/>
          <w:kern w:val="0"/>
          <w:sz w:val="24"/>
          <w:u w:val="single"/>
        </w:rPr>
        <w:t>延安市考试管理中心高考综合改革信息化管理平台建设项目</w:t>
      </w:r>
      <w:r>
        <w:rPr>
          <w:rFonts w:hint="eastAsia" w:ascii="宋体" w:hAnsi="宋体" w:eastAsia="宋体" w:cs="宋体"/>
          <w:kern w:val="0"/>
          <w:sz w:val="24"/>
          <w:u w:val="single"/>
          <w:lang w:eastAsia="zh-CN"/>
        </w:rPr>
        <w:t>（</w:t>
      </w:r>
      <w:r>
        <w:rPr>
          <w:rFonts w:hint="eastAsia" w:ascii="宋体" w:hAnsi="宋体" w:eastAsia="宋体" w:cs="宋体"/>
          <w:kern w:val="0"/>
          <w:sz w:val="24"/>
          <w:u w:val="single"/>
          <w:lang w:val="zh-CN"/>
        </w:rPr>
        <w:t>项目编号：</w:t>
      </w:r>
      <w:r>
        <w:rPr>
          <w:rFonts w:hint="eastAsia" w:ascii="宋体" w:hAnsi="宋体" w:eastAsia="宋体" w:cs="宋体"/>
          <w:kern w:val="0"/>
          <w:sz w:val="24"/>
          <w:u w:val="single"/>
        </w:rPr>
        <w:t>CY2025-020</w:t>
      </w:r>
      <w:r>
        <w:rPr>
          <w:rFonts w:hint="eastAsia" w:ascii="宋体" w:hAnsi="宋体" w:eastAsia="宋体" w:cs="宋体"/>
          <w:kern w:val="0"/>
          <w:sz w:val="24"/>
          <w:u w:val="single"/>
          <w:lang w:eastAsia="zh-CN"/>
        </w:rPr>
        <w:t>）</w:t>
      </w:r>
      <w:r>
        <w:rPr>
          <w:rFonts w:hint="eastAsia" w:ascii="宋体" w:hAnsi="宋体" w:eastAsia="宋体" w:cs="宋体"/>
          <w:kern w:val="0"/>
          <w:sz w:val="24"/>
          <w:lang w:val="zh-CN"/>
        </w:rPr>
        <w:t>，在</w:t>
      </w:r>
      <w:r>
        <w:rPr>
          <w:rFonts w:hint="eastAsia" w:ascii="宋体" w:hAnsi="宋体" w:eastAsia="宋体" w:cs="宋体"/>
          <w:kern w:val="0"/>
          <w:sz w:val="24"/>
          <w:u w:val="single"/>
          <w:lang w:val="zh-CN"/>
        </w:rPr>
        <w:t>延安市</w:t>
      </w:r>
      <w:r>
        <w:rPr>
          <w:rFonts w:hint="eastAsia" w:ascii="宋体" w:hAnsi="宋体" w:eastAsia="宋体" w:cs="宋体"/>
          <w:kern w:val="0"/>
          <w:sz w:val="24"/>
          <w:u w:val="single"/>
        </w:rPr>
        <w:t>财政局</w:t>
      </w:r>
      <w:r>
        <w:rPr>
          <w:rFonts w:hint="eastAsia" w:ascii="宋体" w:hAnsi="宋体" w:eastAsia="宋体" w:cs="宋体"/>
          <w:kern w:val="0"/>
          <w:sz w:val="24"/>
          <w:lang w:val="zh-CN"/>
        </w:rPr>
        <w:t>的监督管理下，由</w:t>
      </w:r>
      <w:r>
        <w:rPr>
          <w:rFonts w:hint="eastAsia" w:ascii="宋体" w:hAnsi="宋体" w:eastAsia="宋体" w:cs="宋体"/>
          <w:kern w:val="0"/>
          <w:sz w:val="24"/>
          <w:u w:val="single"/>
        </w:rPr>
        <w:t>陕西楚元项目管理有限公司</w:t>
      </w:r>
      <w:r>
        <w:rPr>
          <w:rFonts w:hint="eastAsia" w:ascii="宋体" w:hAnsi="宋体" w:eastAsia="宋体" w:cs="宋体"/>
          <w:kern w:val="0"/>
          <w:sz w:val="24"/>
          <w:lang w:val="zh-CN"/>
        </w:rPr>
        <w:t>组织公开招标采购。</w:t>
      </w:r>
      <w:r>
        <w:rPr>
          <w:rFonts w:hint="eastAsia" w:ascii="宋体" w:hAnsi="宋体" w:eastAsia="宋体" w:cs="宋体"/>
          <w:kern w:val="0"/>
          <w:sz w:val="24"/>
          <w:u w:val="single"/>
        </w:rPr>
        <w:t>延安市考试管理中心</w:t>
      </w:r>
      <w:r>
        <w:rPr>
          <w:rFonts w:hint="eastAsia" w:ascii="宋体" w:hAnsi="宋体" w:eastAsia="宋体" w:cs="宋体"/>
          <w:kern w:val="0"/>
          <w:sz w:val="24"/>
          <w:u w:val="single"/>
          <w:lang w:eastAsia="zh-CN"/>
        </w:rPr>
        <w:t>（</w:t>
      </w:r>
      <w:r>
        <w:rPr>
          <w:rFonts w:hint="eastAsia" w:ascii="宋体" w:hAnsi="宋体" w:eastAsia="宋体" w:cs="宋体"/>
          <w:kern w:val="0"/>
          <w:sz w:val="24"/>
          <w:lang w:val="zh-CN"/>
        </w:rPr>
        <w:t>以下简称“</w:t>
      </w:r>
      <w:r>
        <w:rPr>
          <w:rFonts w:hint="eastAsia" w:ascii="宋体" w:hAnsi="宋体" w:eastAsia="宋体" w:cs="宋体"/>
          <w:kern w:val="0"/>
          <w:sz w:val="24"/>
        </w:rPr>
        <w:t>甲</w:t>
      </w:r>
      <w:r>
        <w:rPr>
          <w:rFonts w:hint="eastAsia" w:ascii="宋体" w:hAnsi="宋体" w:eastAsia="宋体" w:cs="宋体"/>
          <w:kern w:val="0"/>
          <w:sz w:val="24"/>
          <w:lang w:val="zh-CN"/>
        </w:rPr>
        <w:t xml:space="preserve">方”）确定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（以下简称“</w:t>
      </w:r>
      <w:r>
        <w:rPr>
          <w:rFonts w:hint="eastAsia" w:ascii="宋体" w:hAnsi="宋体" w:eastAsia="宋体" w:cs="宋体"/>
          <w:kern w:val="0"/>
          <w:sz w:val="24"/>
        </w:rPr>
        <w:t>乙</w:t>
      </w:r>
      <w:r>
        <w:rPr>
          <w:rFonts w:hint="eastAsia" w:ascii="宋体" w:hAnsi="宋体" w:eastAsia="宋体" w:cs="宋体"/>
          <w:kern w:val="0"/>
          <w:sz w:val="24"/>
          <w:lang w:val="zh-CN"/>
        </w:rPr>
        <w:t>方”）为中标单位。</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本合同在此声明如下：</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rPr>
        <w:t>.1</w:t>
      </w:r>
      <w:r>
        <w:rPr>
          <w:rFonts w:hint="eastAsia" w:ascii="宋体" w:hAnsi="宋体" w:eastAsia="宋体" w:cs="宋体"/>
          <w:sz w:val="24"/>
          <w:lang w:val="zh-CN"/>
        </w:rPr>
        <w:t>本合同中的词语和术语的含义与合同条款中定义的相同。</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rPr>
        <w:t>1.2</w:t>
      </w:r>
      <w:r>
        <w:rPr>
          <w:rFonts w:hint="eastAsia" w:ascii="宋体" w:hAnsi="宋体" w:eastAsia="宋体" w:cs="宋体"/>
          <w:sz w:val="24"/>
          <w:lang w:val="zh-CN"/>
        </w:rPr>
        <w:t>下述文件是本合同的一部分，并与本合同一起阅读和解释：</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（1）合同条款</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（2）合同条款附件</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（3）中标通知书</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（4）</w:t>
      </w:r>
      <w:r>
        <w:rPr>
          <w:rFonts w:hint="eastAsia" w:ascii="宋体" w:hAnsi="宋体" w:eastAsia="宋体" w:cs="宋体"/>
          <w:sz w:val="24"/>
        </w:rPr>
        <w:t>招标</w:t>
      </w:r>
      <w:r>
        <w:rPr>
          <w:rFonts w:hint="eastAsia" w:ascii="宋体" w:hAnsi="宋体" w:eastAsia="宋体" w:cs="宋体"/>
          <w:sz w:val="24"/>
          <w:lang w:val="zh-CN"/>
        </w:rPr>
        <w:t>文件</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（5）</w:t>
      </w:r>
      <w:r>
        <w:rPr>
          <w:rFonts w:hint="eastAsia" w:ascii="宋体" w:hAnsi="宋体" w:eastAsia="宋体" w:cs="宋体"/>
          <w:sz w:val="24"/>
        </w:rPr>
        <w:t>投标</w:t>
      </w:r>
      <w:r>
        <w:rPr>
          <w:rFonts w:hint="eastAsia" w:ascii="宋体" w:hAnsi="宋体" w:eastAsia="宋体" w:cs="宋体"/>
          <w:sz w:val="24"/>
          <w:lang w:val="zh-CN"/>
        </w:rPr>
        <w:t>文件</w:t>
      </w:r>
    </w:p>
    <w:p>
      <w:pPr>
        <w:spacing w:line="500" w:lineRule="exact"/>
        <w:ind w:firstLine="482" w:firstLineChars="200"/>
        <w:rPr>
          <w:rFonts w:hint="eastAsia" w:ascii="宋体" w:hAnsi="宋体" w:eastAsia="宋体" w:cs="宋体"/>
          <w:b/>
          <w:bCs/>
          <w:sz w:val="24"/>
        </w:rPr>
      </w:pPr>
      <w:bookmarkStart w:id="82" w:name="_Toc20484981"/>
      <w:r>
        <w:rPr>
          <w:rFonts w:hint="eastAsia" w:ascii="宋体" w:hAnsi="宋体" w:eastAsia="宋体" w:cs="宋体"/>
          <w:b/>
          <w:bCs/>
          <w:sz w:val="24"/>
        </w:rPr>
        <w:t>二、合同内容</w:t>
      </w:r>
      <w:bookmarkEnd w:id="82"/>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2.1 项目名称： </w:t>
      </w:r>
    </w:p>
    <w:p>
      <w:pPr>
        <w:spacing w:line="500" w:lineRule="exact"/>
        <w:ind w:firstLine="480" w:firstLineChars="200"/>
        <w:jc w:val="left"/>
        <w:rPr>
          <w:rFonts w:hint="eastAsia" w:ascii="宋体" w:hAnsi="宋体" w:eastAsia="宋体" w:cs="宋体"/>
          <w:sz w:val="24"/>
          <w:lang w:val="zh-CN"/>
        </w:rPr>
      </w:pPr>
      <w:r>
        <w:rPr>
          <w:rFonts w:hint="eastAsia" w:ascii="宋体" w:hAnsi="宋体" w:eastAsia="宋体" w:cs="宋体"/>
          <w:sz w:val="24"/>
        </w:rPr>
        <w:t>延安市考试管理中心高考综合改革信息化管理平台建设项目</w:t>
      </w:r>
      <w:r>
        <w:rPr>
          <w:rFonts w:hint="eastAsia" w:ascii="宋体" w:hAnsi="宋体" w:eastAsia="宋体" w:cs="宋体"/>
          <w:sz w:val="24"/>
          <w:lang w:val="zh-CN"/>
        </w:rPr>
        <w:t>。</w:t>
      </w:r>
    </w:p>
    <w:p>
      <w:pPr>
        <w:spacing w:line="500" w:lineRule="exact"/>
        <w:ind w:firstLine="480" w:firstLineChars="200"/>
        <w:rPr>
          <w:rFonts w:hint="eastAsia" w:ascii="宋体" w:hAnsi="宋体" w:eastAsia="宋体" w:cs="宋体"/>
          <w:sz w:val="24"/>
          <w:u w:val="single"/>
          <w:lang w:val="zh-CN"/>
        </w:rPr>
      </w:pPr>
      <w:r>
        <w:rPr>
          <w:rFonts w:hint="eastAsia" w:ascii="宋体" w:hAnsi="宋体" w:eastAsia="宋体" w:cs="宋体"/>
          <w:sz w:val="24"/>
          <w:lang w:val="zh-CN"/>
        </w:rPr>
        <w:t>2.2 建设内容：</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乙方按照甲方要求，提供一批商品化软件、硬件设备、网络安全等级保护测评、软件测评等。（详见采购需求）</w:t>
      </w:r>
    </w:p>
    <w:p>
      <w:pPr>
        <w:spacing w:line="5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2.3</w:t>
      </w:r>
      <w:r>
        <w:rPr>
          <w:rFonts w:hint="eastAsia" w:ascii="宋体" w:hAnsi="宋体" w:eastAsia="宋体" w:cs="宋体"/>
          <w:kern w:val="0"/>
          <w:sz w:val="24"/>
        </w:rPr>
        <w:t>供货</w:t>
      </w:r>
      <w:r>
        <w:rPr>
          <w:rFonts w:hint="eastAsia" w:ascii="宋体" w:hAnsi="宋体" w:eastAsia="宋体" w:cs="宋体"/>
          <w:kern w:val="0"/>
          <w:sz w:val="24"/>
          <w:lang w:val="zh-CN"/>
        </w:rPr>
        <w:t>内容：</w:t>
      </w:r>
    </w:p>
    <w:tbl>
      <w:tblPr>
        <w:tblStyle w:val="26"/>
        <w:tblW w:w="9017"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245"/>
        <w:gridCol w:w="1034"/>
        <w:gridCol w:w="1071"/>
        <w:gridCol w:w="1066"/>
        <w:gridCol w:w="1100"/>
        <w:gridCol w:w="1020"/>
        <w:gridCol w:w="826"/>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17"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1245"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设备名称</w:t>
            </w:r>
          </w:p>
        </w:tc>
        <w:tc>
          <w:tcPr>
            <w:tcW w:w="1034"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品牌</w:t>
            </w:r>
          </w:p>
        </w:tc>
        <w:tc>
          <w:tcPr>
            <w:tcW w:w="1071"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型号</w:t>
            </w:r>
          </w:p>
        </w:tc>
        <w:tc>
          <w:tcPr>
            <w:tcW w:w="1066"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数量</w:t>
            </w:r>
          </w:p>
        </w:tc>
        <w:tc>
          <w:tcPr>
            <w:tcW w:w="1100"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单位</w:t>
            </w:r>
          </w:p>
        </w:tc>
        <w:tc>
          <w:tcPr>
            <w:tcW w:w="1020"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单价（元）</w:t>
            </w: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总价（元）</w:t>
            </w: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17"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245"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34"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71"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6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10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2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7"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245"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34"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71"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6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10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2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53" w:type="dxa"/>
            <w:gridSpan w:val="7"/>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r>
    </w:tbl>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w:t>
      </w:r>
      <w:r>
        <w:rPr>
          <w:rFonts w:hint="eastAsia" w:ascii="宋体" w:hAnsi="宋体" w:eastAsia="宋体" w:cs="宋体"/>
          <w:sz w:val="24"/>
        </w:rPr>
        <w:t>4</w:t>
      </w:r>
      <w:r>
        <w:rPr>
          <w:rFonts w:hint="eastAsia" w:ascii="宋体" w:hAnsi="宋体" w:eastAsia="宋体" w:cs="宋体"/>
          <w:sz w:val="24"/>
          <w:lang w:val="zh-CN"/>
        </w:rPr>
        <w:t xml:space="preserve"> 项目质量：</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w:t>
      </w:r>
      <w:r>
        <w:rPr>
          <w:rFonts w:hint="eastAsia" w:ascii="宋体" w:hAnsi="宋体" w:eastAsia="宋体" w:cs="宋体"/>
          <w:sz w:val="24"/>
        </w:rPr>
        <w:t>4</w:t>
      </w:r>
      <w:r>
        <w:rPr>
          <w:rFonts w:hint="eastAsia" w:ascii="宋体" w:hAnsi="宋体" w:eastAsia="宋体" w:cs="宋体"/>
          <w:sz w:val="24"/>
          <w:lang w:val="zh-CN"/>
        </w:rPr>
        <w:t>.1乙方应严格按照</w:t>
      </w:r>
      <w:r>
        <w:rPr>
          <w:rFonts w:hint="eastAsia" w:ascii="宋体" w:hAnsi="宋体" w:eastAsia="宋体" w:cs="宋体"/>
          <w:sz w:val="24"/>
        </w:rPr>
        <w:t>招标文件要求</w:t>
      </w:r>
      <w:r>
        <w:rPr>
          <w:rFonts w:hint="eastAsia" w:ascii="宋体" w:hAnsi="宋体" w:eastAsia="宋体" w:cs="宋体"/>
          <w:sz w:val="24"/>
          <w:lang w:val="zh-CN"/>
        </w:rPr>
        <w:t>和</w:t>
      </w:r>
      <w:r>
        <w:rPr>
          <w:rFonts w:hint="eastAsia" w:ascii="宋体" w:hAnsi="宋体" w:eastAsia="宋体" w:cs="宋体"/>
          <w:sz w:val="24"/>
        </w:rPr>
        <w:t>投标文件</w:t>
      </w:r>
      <w:r>
        <w:rPr>
          <w:rFonts w:hint="eastAsia" w:ascii="宋体" w:hAnsi="宋体" w:eastAsia="宋体" w:cs="宋体"/>
          <w:sz w:val="24"/>
          <w:lang w:val="zh-CN"/>
        </w:rPr>
        <w:t>的</w:t>
      </w:r>
      <w:r>
        <w:rPr>
          <w:rFonts w:hint="eastAsia" w:ascii="宋体" w:hAnsi="宋体" w:eastAsia="宋体" w:cs="宋体"/>
          <w:sz w:val="24"/>
        </w:rPr>
        <w:t>响应供货</w:t>
      </w:r>
      <w:r>
        <w:rPr>
          <w:rFonts w:hint="eastAsia" w:ascii="宋体" w:hAnsi="宋体" w:eastAsia="宋体" w:cs="宋体"/>
          <w:sz w:val="24"/>
          <w:lang w:val="zh-CN"/>
        </w:rPr>
        <w:t>，乙方提供的所有设备要按</w:t>
      </w:r>
      <w:r>
        <w:rPr>
          <w:rFonts w:hint="eastAsia" w:ascii="宋体" w:hAnsi="宋体" w:eastAsia="宋体" w:cs="宋体"/>
          <w:sz w:val="24"/>
        </w:rPr>
        <w:t>招标文件</w:t>
      </w:r>
      <w:r>
        <w:rPr>
          <w:rFonts w:hint="eastAsia" w:ascii="宋体" w:hAnsi="宋体" w:eastAsia="宋体" w:cs="宋体"/>
          <w:sz w:val="24"/>
          <w:lang w:val="zh-CN"/>
        </w:rPr>
        <w:t>标准要求，且符合国家标准要求完成本项目。</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w:t>
      </w:r>
      <w:r>
        <w:rPr>
          <w:rFonts w:hint="eastAsia" w:ascii="宋体" w:hAnsi="宋体" w:eastAsia="宋体" w:cs="宋体"/>
          <w:sz w:val="24"/>
        </w:rPr>
        <w:t>4</w:t>
      </w:r>
      <w:r>
        <w:rPr>
          <w:rFonts w:hint="eastAsia" w:ascii="宋体" w:hAnsi="宋体" w:eastAsia="宋体" w:cs="宋体"/>
          <w:sz w:val="24"/>
          <w:lang w:val="zh-CN"/>
        </w:rPr>
        <w:t>.2乙方对所提供的设备实行安装、调试、开通、培训，并提供维护等相关技术文件与资料。</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w:t>
      </w:r>
      <w:r>
        <w:rPr>
          <w:rFonts w:hint="eastAsia" w:ascii="宋体" w:hAnsi="宋体" w:eastAsia="宋体" w:cs="宋体"/>
          <w:sz w:val="24"/>
        </w:rPr>
        <w:t>4</w:t>
      </w:r>
      <w:r>
        <w:rPr>
          <w:rFonts w:hint="eastAsia" w:ascii="宋体" w:hAnsi="宋体" w:eastAsia="宋体" w:cs="宋体"/>
          <w:sz w:val="24"/>
          <w:lang w:val="zh-CN"/>
        </w:rPr>
        <w:t>.3乙方保证完成实现</w:t>
      </w:r>
      <w:r>
        <w:rPr>
          <w:rFonts w:hint="eastAsia" w:ascii="宋体" w:hAnsi="宋体" w:eastAsia="宋体" w:cs="宋体"/>
          <w:sz w:val="24"/>
        </w:rPr>
        <w:t>投标</w:t>
      </w:r>
      <w:r>
        <w:rPr>
          <w:rFonts w:hint="eastAsia" w:ascii="宋体" w:hAnsi="宋体" w:eastAsia="宋体" w:cs="宋体"/>
          <w:sz w:val="24"/>
          <w:lang w:val="zh-CN"/>
        </w:rPr>
        <w:t>文件中所有的承诺内容。</w:t>
      </w:r>
    </w:p>
    <w:p>
      <w:pPr>
        <w:spacing w:line="500" w:lineRule="exact"/>
        <w:ind w:firstLine="482" w:firstLineChars="200"/>
        <w:rPr>
          <w:rFonts w:hint="eastAsia" w:ascii="宋体" w:hAnsi="宋体" w:eastAsia="宋体" w:cs="宋体"/>
          <w:b/>
          <w:bCs/>
          <w:sz w:val="24"/>
        </w:rPr>
      </w:pPr>
      <w:bookmarkStart w:id="83" w:name="_Toc23292"/>
      <w:bookmarkStart w:id="84" w:name="_Toc21551"/>
      <w:bookmarkStart w:id="85" w:name="_Toc2609"/>
      <w:bookmarkStart w:id="86" w:name="_Toc20892"/>
      <w:bookmarkStart w:id="87" w:name="_Toc21631"/>
      <w:bookmarkStart w:id="88" w:name="_Toc20484982"/>
      <w:r>
        <w:rPr>
          <w:rFonts w:hint="eastAsia" w:ascii="宋体" w:hAnsi="宋体" w:eastAsia="宋体" w:cs="宋体"/>
          <w:b/>
          <w:bCs/>
          <w:sz w:val="24"/>
        </w:rPr>
        <w:t>三、合同价款</w:t>
      </w:r>
      <w:bookmarkEnd w:id="83"/>
      <w:bookmarkEnd w:id="84"/>
      <w:bookmarkEnd w:id="85"/>
      <w:bookmarkEnd w:id="86"/>
      <w:bookmarkEnd w:id="87"/>
      <w:bookmarkEnd w:id="88"/>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总价为：</w:t>
      </w:r>
      <w:r>
        <w:rPr>
          <w:rFonts w:hint="eastAsia" w:ascii="宋体" w:hAnsi="宋体" w:eastAsia="宋体" w:cs="宋体"/>
          <w:sz w:val="24"/>
          <w:u w:val="single"/>
        </w:rPr>
        <w:t>￥</w:t>
      </w:r>
      <w:r>
        <w:rPr>
          <w:rFonts w:hint="eastAsia" w:ascii="宋体" w:hAnsi="宋体" w:eastAsia="宋体" w:cs="宋体"/>
          <w:sz w:val="24"/>
          <w:u w:val="single"/>
          <w:lang w:val="zh-CN"/>
        </w:rPr>
        <w:t xml:space="preserve">          </w:t>
      </w:r>
      <w:r>
        <w:rPr>
          <w:rFonts w:hint="eastAsia" w:ascii="宋体" w:hAnsi="宋体" w:eastAsia="宋体" w:cs="宋体"/>
          <w:sz w:val="24"/>
          <w:lang w:val="zh-CN"/>
        </w:rPr>
        <w:t>元（大写：</w:t>
      </w:r>
      <w:r>
        <w:rPr>
          <w:rFonts w:hint="eastAsia" w:ascii="宋体" w:hAnsi="宋体" w:eastAsia="宋体" w:cs="宋体"/>
          <w:sz w:val="24"/>
          <w:u w:val="single"/>
          <w:lang w:val="zh-CN"/>
        </w:rPr>
        <w:t xml:space="preserve">             </w:t>
      </w:r>
      <w:r>
        <w:rPr>
          <w:rFonts w:hint="eastAsia" w:ascii="宋体" w:hAnsi="宋体" w:eastAsia="宋体" w:cs="宋体"/>
          <w:sz w:val="24"/>
          <w:lang w:val="zh-CN"/>
        </w:rPr>
        <w:t>人民币）。</w:t>
      </w:r>
    </w:p>
    <w:p>
      <w:pPr>
        <w:spacing w:line="500" w:lineRule="exact"/>
        <w:ind w:firstLine="482" w:firstLineChars="200"/>
        <w:rPr>
          <w:rFonts w:hint="eastAsia" w:ascii="宋体" w:hAnsi="宋体" w:eastAsia="宋体" w:cs="宋体"/>
          <w:b/>
          <w:bCs/>
          <w:sz w:val="24"/>
        </w:rPr>
      </w:pPr>
      <w:bookmarkStart w:id="89" w:name="_Toc23571"/>
      <w:bookmarkStart w:id="90" w:name="_Toc14984"/>
      <w:bookmarkStart w:id="91" w:name="_Toc20484983"/>
      <w:bookmarkStart w:id="92" w:name="_Toc22618"/>
      <w:bookmarkStart w:id="93" w:name="_Toc10340"/>
      <w:bookmarkStart w:id="94" w:name="_Toc1814"/>
      <w:r>
        <w:rPr>
          <w:rFonts w:hint="eastAsia" w:ascii="宋体" w:hAnsi="宋体" w:eastAsia="宋体" w:cs="宋体"/>
          <w:b/>
          <w:bCs/>
          <w:sz w:val="24"/>
        </w:rPr>
        <w:t>四、付款方式和发票开具方式</w:t>
      </w:r>
      <w:bookmarkEnd w:id="89"/>
      <w:bookmarkEnd w:id="90"/>
      <w:bookmarkEnd w:id="91"/>
      <w:bookmarkEnd w:id="92"/>
      <w:bookmarkEnd w:id="93"/>
      <w:bookmarkEnd w:id="94"/>
    </w:p>
    <w:p>
      <w:pPr>
        <w:keepNext/>
        <w:spacing w:line="50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bookmarkStart w:id="95" w:name="_Toc7370"/>
      <w:bookmarkStart w:id="96" w:name="_Toc19304"/>
      <w:bookmarkStart w:id="97" w:name="_Toc32071"/>
      <w:bookmarkStart w:id="98" w:name="_Toc2846"/>
      <w:bookmarkStart w:id="99" w:name="_Toc10909"/>
      <w:r>
        <w:rPr>
          <w:rFonts w:hint="eastAsia" w:ascii="宋体" w:hAnsi="宋体" w:eastAsia="宋体" w:cs="宋体"/>
          <w:kern w:val="0"/>
          <w:sz w:val="24"/>
        </w:rPr>
        <w:t>付款方式：</w:t>
      </w:r>
      <w:r>
        <w:rPr>
          <w:rFonts w:hint="eastAsia" w:ascii="宋体" w:hAnsi="宋体" w:eastAsia="宋体" w:cs="宋体"/>
          <w:color w:val="000000" w:themeColor="text1"/>
          <w:sz w:val="24"/>
          <w14:textFill>
            <w14:solidFill>
              <w14:schemeClr w14:val="tx1"/>
            </w14:solidFill>
          </w14:textFill>
        </w:rPr>
        <w:t>合同签订后，支付合同价款的</w:t>
      </w:r>
      <w:r>
        <w:rPr>
          <w:rFonts w:hint="eastAsia" w:ascii="宋体" w:hAnsi="宋体" w:eastAsia="宋体" w:cs="宋体"/>
          <w:color w:val="000000" w:themeColor="text1"/>
          <w:sz w:val="24"/>
          <w:u w:val="single"/>
          <w14:textFill>
            <w14:solidFill>
              <w14:schemeClr w14:val="tx1"/>
            </w14:solidFill>
          </w14:textFill>
        </w:rPr>
        <w:t xml:space="preserve"> 40 </w:t>
      </w:r>
      <w:r>
        <w:rPr>
          <w:rFonts w:hint="eastAsia" w:ascii="宋体" w:hAnsi="宋体" w:eastAsia="宋体" w:cs="宋体"/>
          <w:color w:val="000000" w:themeColor="text1"/>
          <w:sz w:val="24"/>
          <w14:textFill>
            <w14:solidFill>
              <w14:schemeClr w14:val="tx1"/>
            </w14:solidFill>
          </w14:textFill>
        </w:rPr>
        <w:t>%，按照合同内容及金额，所有货物到达甲方指定地点安装调试</w:t>
      </w:r>
      <w:r>
        <w:rPr>
          <w:rFonts w:hint="eastAsia" w:ascii="宋体" w:hAnsi="宋体" w:eastAsia="宋体" w:cs="宋体"/>
          <w:color w:val="000000" w:themeColor="text1"/>
          <w:sz w:val="24"/>
          <w:lang w:eastAsia="zh-CN"/>
          <w14:textFill>
            <w14:solidFill>
              <w14:schemeClr w14:val="tx1"/>
            </w14:solidFill>
          </w14:textFill>
        </w:rPr>
        <w:t>、</w:t>
      </w:r>
      <w:r>
        <w:rPr>
          <w:rFonts w:ascii="宋体" w:hAnsi="宋体" w:eastAsia="宋体" w:cs="宋体"/>
          <w:sz w:val="24"/>
          <w:szCs w:val="24"/>
        </w:rPr>
        <w:t>平台部署</w:t>
      </w:r>
      <w:r>
        <w:rPr>
          <w:rFonts w:hint="eastAsia" w:ascii="宋体" w:hAnsi="宋体" w:eastAsia="宋体" w:cs="宋体"/>
          <w:sz w:val="24"/>
          <w:szCs w:val="24"/>
          <w:lang w:val="en-US" w:eastAsia="zh-CN"/>
        </w:rPr>
        <w:t>完毕</w:t>
      </w:r>
      <w:r>
        <w:rPr>
          <w:rFonts w:hint="eastAsia" w:ascii="宋体" w:hAnsi="宋体" w:eastAsia="宋体" w:cs="宋体"/>
          <w:color w:val="000000" w:themeColor="text1"/>
          <w:sz w:val="24"/>
          <w14:textFill>
            <w14:solidFill>
              <w14:schemeClr w14:val="tx1"/>
            </w14:solidFill>
          </w14:textFill>
        </w:rPr>
        <w:t>并验收合格后，支付合同价款</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u w:val="single"/>
          <w14:textFill>
            <w14:solidFill>
              <w14:schemeClr w14:val="tx1"/>
            </w14:solidFill>
          </w14:textFill>
        </w:rPr>
        <w:t xml:space="preserve"> 35 </w:t>
      </w:r>
      <w:r>
        <w:rPr>
          <w:rFonts w:hint="eastAsia" w:ascii="宋体" w:hAnsi="宋体" w:eastAsia="宋体" w:cs="宋体"/>
          <w:color w:val="000000" w:themeColor="text1"/>
          <w:sz w:val="24"/>
          <w14:textFill>
            <w14:solidFill>
              <w14:schemeClr w14:val="tx1"/>
            </w14:solidFill>
          </w14:textFill>
        </w:rPr>
        <w:t xml:space="preserve">%；运维费分三年按照 </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%支付，每年服务期满并由采购人组织</w:t>
      </w:r>
      <w:r>
        <w:rPr>
          <w:rFonts w:hint="eastAsia" w:ascii="宋体" w:hAnsi="宋体" w:eastAsia="宋体" w:cs="宋体"/>
          <w:color w:val="000000" w:themeColor="text1"/>
          <w:sz w:val="24"/>
          <w:u w:val="single"/>
          <w:lang w:val="en-US" w:eastAsia="zh-CN"/>
          <w14:textFill>
            <w14:solidFill>
              <w14:schemeClr w14:val="tx1"/>
            </w14:solidFill>
          </w14:textFill>
        </w:rPr>
        <w:t>考核</w:t>
      </w:r>
      <w:r>
        <w:rPr>
          <w:rFonts w:hint="eastAsia" w:ascii="宋体" w:hAnsi="宋体" w:eastAsia="宋体" w:cs="宋体"/>
          <w:color w:val="000000" w:themeColor="text1"/>
          <w:sz w:val="24"/>
          <w:u w:val="single"/>
          <w14:textFill>
            <w14:solidFill>
              <w14:schemeClr w14:val="tx1"/>
            </w14:solidFill>
          </w14:textFill>
        </w:rPr>
        <w:t>合格后支付</w:t>
      </w:r>
      <w:r>
        <w:rPr>
          <w:rFonts w:hint="eastAsia" w:ascii="宋体" w:hAnsi="宋体" w:eastAsia="宋体" w:cs="宋体"/>
          <w:color w:val="000000" w:themeColor="text1"/>
          <w:kern w:val="0"/>
          <w:sz w:val="24"/>
          <w14:textFill>
            <w14:solidFill>
              <w14:schemeClr w14:val="tx1"/>
            </w14:solidFill>
          </w14:textFill>
        </w:rPr>
        <w:t>。</w:t>
      </w:r>
    </w:p>
    <w:p>
      <w:pPr>
        <w:spacing w:line="50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4.1 乙方承诺在采购人办理支付手续前，为采购人出具等额的符合国家规定</w:t>
      </w:r>
      <w:r>
        <w:rPr>
          <w:rFonts w:hint="eastAsia" w:ascii="宋体" w:hAnsi="宋体" w:eastAsia="宋体" w:cs="宋体"/>
          <w:sz w:val="24"/>
        </w:rPr>
        <w:t>的发票（税率</w:t>
      </w:r>
      <w:r>
        <w:rPr>
          <w:rFonts w:hint="eastAsia" w:ascii="宋体" w:hAnsi="宋体" w:eastAsia="宋体" w:cs="宋体"/>
          <w:sz w:val="24"/>
          <w:u w:val="single"/>
        </w:rPr>
        <w:t xml:space="preserve">   </w:t>
      </w:r>
      <w:r>
        <w:rPr>
          <w:rFonts w:hint="eastAsia" w:ascii="宋体" w:hAnsi="宋体" w:eastAsia="宋体" w:cs="宋体"/>
          <w:sz w:val="24"/>
        </w:rPr>
        <w:t>%）；</w:t>
      </w:r>
    </w:p>
    <w:bookmarkEnd w:id="95"/>
    <w:bookmarkEnd w:id="96"/>
    <w:bookmarkEnd w:id="97"/>
    <w:bookmarkEnd w:id="98"/>
    <w:bookmarkEnd w:id="99"/>
    <w:p>
      <w:pPr>
        <w:spacing w:line="500" w:lineRule="exact"/>
        <w:ind w:firstLine="482" w:firstLineChars="200"/>
        <w:rPr>
          <w:rFonts w:hint="eastAsia" w:ascii="宋体" w:hAnsi="宋体" w:eastAsia="宋体" w:cs="宋体"/>
          <w:b/>
          <w:bCs/>
          <w:sz w:val="24"/>
        </w:rPr>
      </w:pPr>
      <w:bookmarkStart w:id="100" w:name="_Toc20484985"/>
      <w:bookmarkStart w:id="101" w:name="_Toc27250"/>
      <w:bookmarkStart w:id="102" w:name="_Toc21423"/>
      <w:bookmarkStart w:id="103" w:name="_Toc7580"/>
      <w:bookmarkStart w:id="104" w:name="_Toc19554"/>
      <w:bookmarkStart w:id="105" w:name="_Toc23398"/>
      <w:r>
        <w:rPr>
          <w:rFonts w:hint="eastAsia" w:ascii="宋体" w:hAnsi="宋体" w:eastAsia="宋体" w:cs="宋体"/>
          <w:b/>
          <w:bCs/>
          <w:sz w:val="24"/>
        </w:rPr>
        <w:t>五、验收</w:t>
      </w:r>
      <w:bookmarkEnd w:id="100"/>
      <w:r>
        <w:rPr>
          <w:rFonts w:hint="eastAsia" w:ascii="宋体" w:hAnsi="宋体" w:eastAsia="宋体" w:cs="宋体"/>
          <w:b/>
          <w:bCs/>
          <w:sz w:val="24"/>
        </w:rPr>
        <w:t>及培训</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5.1项目验收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5.1.1项目验收分初验和终验</w:t>
      </w:r>
      <w:r>
        <w:rPr>
          <w:rFonts w:hint="eastAsia" w:ascii="宋体" w:hAnsi="宋体" w:eastAsia="宋体" w:cs="宋体"/>
          <w:sz w:val="24"/>
          <w:lang w:eastAsia="zh-CN"/>
        </w:rPr>
        <w:t>：</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初验：货物到达交货地点后，由甲方根据合同对货物（设备）的名称、品牌、规格、型号、产地、数量进行检查；性能稳定，功能完善，符合甲方要求。</w:t>
      </w:r>
    </w:p>
    <w:p>
      <w:pPr>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终验：</w:t>
      </w:r>
      <w:r>
        <w:rPr>
          <w:rFonts w:hint="eastAsia" w:ascii="宋体" w:hAnsi="宋体" w:eastAsia="宋体" w:cs="宋体"/>
          <w:color w:val="000000" w:themeColor="text1"/>
          <w:kern w:val="0"/>
          <w:sz w:val="24"/>
          <w:highlight w:val="none"/>
          <w14:textFill>
            <w14:solidFill>
              <w14:schemeClr w14:val="tx1"/>
            </w14:solidFill>
          </w14:textFill>
        </w:rPr>
        <w:t>所有货物</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设备</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安装、调试完毕，具备验收条件后，</w:t>
      </w:r>
      <w:r>
        <w:rPr>
          <w:rFonts w:hint="eastAsia" w:ascii="宋体" w:hAnsi="宋体" w:eastAsia="宋体" w:cs="宋体"/>
          <w:color w:val="000000" w:themeColor="text1"/>
          <w:kern w:val="0"/>
          <w:sz w:val="24"/>
          <w:highlight w:val="none"/>
          <w:lang w:val="en-US" w:eastAsia="zh-CN"/>
          <w14:textFill>
            <w14:solidFill>
              <w14:schemeClr w14:val="tx1"/>
            </w14:solidFill>
          </w14:textFill>
        </w:rPr>
        <w:t>中标供应商</w:t>
      </w:r>
      <w:r>
        <w:rPr>
          <w:rFonts w:hint="eastAsia" w:ascii="宋体" w:hAnsi="宋体" w:eastAsia="宋体" w:cs="宋体"/>
          <w:color w:val="000000" w:themeColor="text1"/>
          <w:kern w:val="0"/>
          <w:sz w:val="24"/>
          <w:highlight w:val="none"/>
          <w14:textFill>
            <w14:solidFill>
              <w14:schemeClr w14:val="tx1"/>
            </w14:solidFill>
          </w14:textFill>
        </w:rPr>
        <w:t>向采购人提交《项目验收申请》</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采购人</w:t>
      </w:r>
      <w:r>
        <w:rPr>
          <w:rFonts w:hint="eastAsia" w:ascii="宋体" w:hAnsi="宋体" w:eastAsia="宋体" w:cs="宋体"/>
          <w:color w:val="000000" w:themeColor="text1"/>
          <w:kern w:val="0"/>
          <w:sz w:val="24"/>
          <w:highlight w:val="none"/>
          <w:lang w:val="en-US" w:eastAsia="zh-CN"/>
          <w14:textFill>
            <w14:solidFill>
              <w14:schemeClr w14:val="tx1"/>
            </w14:solidFill>
          </w14:textFill>
        </w:rPr>
        <w:t>于</w:t>
      </w:r>
      <w:r>
        <w:rPr>
          <w:rFonts w:hint="eastAsia" w:ascii="宋体" w:hAnsi="宋体" w:eastAsia="宋体" w:cs="宋体"/>
          <w:color w:val="000000" w:themeColor="text1"/>
          <w:kern w:val="0"/>
          <w:sz w:val="24"/>
          <w:highlight w:val="none"/>
          <w14:textFill>
            <w14:solidFill>
              <w14:schemeClr w14:val="tx1"/>
            </w14:solidFill>
          </w14:textFill>
        </w:rPr>
        <w:t>5个工作日内向供应商发出《验收告知函》（函告内容包括：验收时间、验收地点、参加人员、议程安排、报告签署等相关事项）。</w:t>
      </w:r>
      <w:r>
        <w:rPr>
          <w:rFonts w:hint="eastAsia" w:ascii="宋体" w:hAnsi="宋体" w:eastAsia="宋体" w:cs="宋体"/>
          <w:color w:val="000000" w:themeColor="text1"/>
          <w:kern w:val="0"/>
          <w:sz w:val="24"/>
          <w:highlight w:val="none"/>
          <w:lang w:val="en-US" w:eastAsia="zh-CN"/>
          <w14:textFill>
            <w14:solidFill>
              <w14:schemeClr w14:val="tx1"/>
            </w14:solidFill>
          </w14:textFill>
        </w:rPr>
        <w:t>验收</w:t>
      </w:r>
      <w:r>
        <w:rPr>
          <w:rFonts w:hint="eastAsia" w:ascii="宋体" w:hAnsi="宋体" w:eastAsia="宋体" w:cs="宋体"/>
          <w:color w:val="000000" w:themeColor="text1"/>
          <w:kern w:val="0"/>
          <w:sz w:val="24"/>
          <w:highlight w:val="none"/>
          <w14:textFill>
            <w14:solidFill>
              <w14:schemeClr w14:val="tx1"/>
            </w14:solidFill>
          </w14:textFill>
        </w:rPr>
        <w:t>合格后签发《</w:t>
      </w:r>
      <w:r>
        <w:rPr>
          <w:rFonts w:hint="eastAsia" w:ascii="宋体" w:hAnsi="宋体" w:eastAsia="宋体" w:cs="宋体"/>
          <w:color w:val="000000" w:themeColor="text1"/>
          <w:kern w:val="0"/>
          <w:sz w:val="24"/>
          <w:highlight w:val="none"/>
          <w:lang w:val="en-US" w:eastAsia="zh-CN"/>
          <w14:textFill>
            <w14:solidFill>
              <w14:schemeClr w14:val="tx1"/>
            </w14:solidFill>
          </w14:textFill>
        </w:rPr>
        <w:t>验收</w:t>
      </w:r>
      <w:r>
        <w:rPr>
          <w:rFonts w:hint="eastAsia" w:ascii="宋体" w:hAnsi="宋体" w:eastAsia="宋体" w:cs="宋体"/>
          <w:color w:val="000000" w:themeColor="text1"/>
          <w:kern w:val="0"/>
          <w:sz w:val="24"/>
          <w:highlight w:val="none"/>
          <w14:textFill>
            <w14:solidFill>
              <w14:schemeClr w14:val="tx1"/>
            </w14:solidFill>
          </w14:textFill>
        </w:rPr>
        <w:t>合格单》。验收不合格的成交单位，必须在接到通知后</w:t>
      </w:r>
      <w:r>
        <w:rPr>
          <w:rFonts w:hint="eastAsia" w:ascii="宋体" w:hAnsi="宋体" w:eastAsia="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个日历日内确保货物</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设备</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、软件产品通过验收。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5.1.2验收依据</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（1）合同文本及合同补充文件（条款）；</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（2）产品来源的相关证明材料；</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zh-CN"/>
        </w:rPr>
        <w:t>招标</w:t>
      </w:r>
      <w:r>
        <w:rPr>
          <w:rFonts w:hint="eastAsia" w:ascii="宋体" w:hAnsi="宋体" w:eastAsia="宋体" w:cs="宋体"/>
          <w:kern w:val="0"/>
          <w:sz w:val="24"/>
        </w:rPr>
        <w:t>文件；</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（4）中标人的投标文件。</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（5）合同货物清单。</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5.2项目培训</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所有产品交货完毕后，乙方必须安排技术人员对甲方人员进行培训，使其掌握基本使用技能，技术参数中有规定的，以技术参数要求为准。</w:t>
      </w:r>
    </w:p>
    <w:p>
      <w:pPr>
        <w:spacing w:line="500" w:lineRule="exact"/>
        <w:ind w:firstLine="482" w:firstLineChars="200"/>
        <w:rPr>
          <w:rFonts w:hint="eastAsia" w:ascii="宋体" w:hAnsi="宋体" w:eastAsia="宋体" w:cs="宋体"/>
          <w:b/>
          <w:bCs/>
          <w:sz w:val="24"/>
        </w:rPr>
      </w:pPr>
      <w:bookmarkStart w:id="106" w:name="_Toc20484984"/>
      <w:r>
        <w:rPr>
          <w:rFonts w:hint="eastAsia" w:ascii="宋体" w:hAnsi="宋体" w:eastAsia="宋体" w:cs="宋体"/>
          <w:b/>
          <w:bCs/>
          <w:sz w:val="24"/>
        </w:rPr>
        <w:t>六、</w:t>
      </w:r>
      <w:bookmarkEnd w:id="106"/>
      <w:r>
        <w:rPr>
          <w:rFonts w:hint="eastAsia" w:ascii="宋体" w:hAnsi="宋体" w:eastAsia="宋体" w:cs="宋体"/>
          <w:b/>
          <w:bCs/>
          <w:sz w:val="24"/>
        </w:rPr>
        <w:t>合同期限及质保期</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6.1合同期限：本合同从双方法定代表人或授权代表签字、盖章之日起生效，直至《终验合格单》签字时间为止。</w:t>
      </w:r>
    </w:p>
    <w:p>
      <w:pPr>
        <w:spacing w:line="50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sz w:val="24"/>
        </w:rPr>
        <w:t>6.2质保期：3</w:t>
      </w:r>
      <w:r>
        <w:rPr>
          <w:rFonts w:hint="eastAsia" w:ascii="宋体" w:hAnsi="宋体" w:eastAsia="宋体" w:cs="宋体"/>
          <w:b w:val="0"/>
          <w:bCs w:val="0"/>
          <w:sz w:val="24"/>
          <w:szCs w:val="24"/>
        </w:rPr>
        <w:t>年</w:t>
      </w:r>
      <w:r>
        <w:rPr>
          <w:rFonts w:hint="eastAsia" w:ascii="宋体" w:hAnsi="宋体" w:eastAsia="宋体" w:cs="宋体"/>
          <w:b w:val="0"/>
          <w:bCs w:val="0"/>
          <w:sz w:val="24"/>
          <w:szCs w:val="24"/>
          <w:highlight w:val="none"/>
        </w:rPr>
        <w:t>；</w:t>
      </w:r>
      <w:r>
        <w:rPr>
          <w:rFonts w:hint="eastAsia" w:ascii="宋体" w:hAnsi="宋体" w:eastAsia="宋体" w:cs="Times New Roman"/>
          <w:b w:val="0"/>
          <w:bCs w:val="0"/>
          <w:sz w:val="24"/>
          <w:szCs w:val="24"/>
          <w:highlight w:val="none"/>
        </w:rPr>
        <w:t>质保期自验收合格之日起算</w:t>
      </w:r>
      <w:r>
        <w:rPr>
          <w:rFonts w:hint="eastAsia" w:ascii="宋体" w:hAnsi="宋体" w:eastAsia="宋体" w:cs="宋体"/>
          <w:b w:val="0"/>
          <w:bCs w:val="0"/>
          <w:sz w:val="24"/>
          <w:szCs w:val="24"/>
          <w:highlight w:val="none"/>
        </w:rPr>
        <w:t>。</w:t>
      </w:r>
    </w:p>
    <w:p>
      <w:pPr>
        <w:spacing w:line="500" w:lineRule="exact"/>
        <w:ind w:firstLine="482" w:firstLineChars="200"/>
        <w:rPr>
          <w:rFonts w:hint="eastAsia" w:ascii="宋体" w:hAnsi="宋体" w:eastAsia="宋体" w:cs="宋体"/>
          <w:b/>
          <w:bCs/>
          <w:sz w:val="24"/>
          <w:highlight w:val="none"/>
        </w:rPr>
      </w:pPr>
      <w:bookmarkStart w:id="107" w:name="_Toc20484986"/>
      <w:r>
        <w:rPr>
          <w:rFonts w:hint="eastAsia" w:ascii="宋体" w:hAnsi="宋体" w:eastAsia="宋体" w:cs="宋体"/>
          <w:b/>
          <w:bCs/>
          <w:sz w:val="24"/>
          <w:highlight w:val="none"/>
        </w:rPr>
        <w:t>七、违约责任</w:t>
      </w:r>
      <w:bookmarkEnd w:id="107"/>
    </w:p>
    <w:p>
      <w:pPr>
        <w:spacing w:line="5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w:t>
      </w:r>
      <w:r>
        <w:rPr>
          <w:rFonts w:hint="eastAsia" w:ascii="宋体" w:hAnsi="宋体" w:eastAsia="宋体" w:cs="宋体"/>
          <w:sz w:val="24"/>
          <w:highlight w:val="none"/>
        </w:rPr>
        <w:t>1按《中华人民共和国合同法》中的相关条款执行。</w:t>
      </w:r>
    </w:p>
    <w:bookmarkEnd w:id="101"/>
    <w:bookmarkEnd w:id="102"/>
    <w:bookmarkEnd w:id="103"/>
    <w:bookmarkEnd w:id="104"/>
    <w:bookmarkEnd w:id="105"/>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highlight w:val="none"/>
          <w:u w:val="single"/>
        </w:rPr>
        <w:t>0.5‰</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5‰</w:t>
      </w:r>
      <w:r>
        <w:rPr>
          <w:rFonts w:hint="eastAsia" w:ascii="宋体" w:hAnsi="宋体" w:eastAsia="宋体" w:cs="宋体"/>
          <w:sz w:val="24"/>
          <w:highlight w:val="none"/>
        </w:rPr>
        <w:t>；迟延交付货物的违约金计算数额达到前述最高限额之日起，甲方有权在要求乙方支付违约金的同时，书面通知乙方解除本合同；</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highlight w:val="none"/>
        </w:rPr>
        <w:t>7.3 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0.5‰</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5‰</w:t>
      </w:r>
      <w:r>
        <w:rPr>
          <w:rFonts w:hint="eastAsia" w:ascii="宋体" w:hAnsi="宋体" w:eastAsia="宋体" w:cs="宋体"/>
          <w:sz w:val="24"/>
          <w:highlight w:val="none"/>
        </w:rPr>
        <w:t>；迟延付款的违约金计算数额达到前述最高限额之日起，迟延付款的违约金计算数额达到前述最高限额之日起，乙方有权在要求甲方支付违约金的同</w:t>
      </w:r>
      <w:r>
        <w:rPr>
          <w:rFonts w:hint="eastAsia" w:ascii="宋体" w:hAnsi="宋体" w:eastAsia="宋体" w:cs="宋体"/>
          <w:sz w:val="24"/>
        </w:rPr>
        <w:t>时，书面通知甲方解除本合同；</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7.4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7.5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7.6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7.7 如果出现政府采购监督管理部门在处理投诉事项期间，书面通知甲方暂停采购活动的情形，或者询问或质疑事项可能影响中标结果的，导致甲方中止履行合同的情形，均不视为甲方违约。</w:t>
      </w:r>
    </w:p>
    <w:p>
      <w:pPr>
        <w:spacing w:line="500" w:lineRule="exact"/>
        <w:ind w:firstLine="482" w:firstLineChars="200"/>
        <w:rPr>
          <w:rFonts w:hint="eastAsia" w:ascii="宋体" w:hAnsi="宋体" w:eastAsia="宋体" w:cs="宋体"/>
          <w:b/>
          <w:bCs/>
          <w:sz w:val="24"/>
        </w:rPr>
      </w:pPr>
      <w:bookmarkStart w:id="108" w:name="_Toc26424"/>
      <w:bookmarkStart w:id="109" w:name="_Toc16021"/>
      <w:bookmarkStart w:id="110" w:name="_Toc20484987"/>
      <w:bookmarkStart w:id="111" w:name="_Toc28375"/>
      <w:bookmarkStart w:id="112" w:name="_Toc31257"/>
      <w:bookmarkStart w:id="113" w:name="_Toc15583"/>
      <w:r>
        <w:rPr>
          <w:rFonts w:hint="eastAsia" w:ascii="宋体" w:hAnsi="宋体" w:eastAsia="宋体" w:cs="宋体"/>
          <w:b/>
          <w:bCs/>
          <w:sz w:val="24"/>
        </w:rPr>
        <w:t>八、合同争议的解决</w:t>
      </w:r>
      <w:bookmarkEnd w:id="108"/>
      <w:bookmarkEnd w:id="109"/>
      <w:bookmarkEnd w:id="110"/>
      <w:bookmarkEnd w:id="111"/>
      <w:bookmarkEnd w:id="112"/>
      <w:bookmarkEnd w:id="113"/>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本合同履行过程中发生的任何争议，双方当事人均可通过和解或者调解解决；不愿和解、调解或者和解、调解不成的，可以选择下列第8.2种方式解决：</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8.1 将争议提交合同签订地仲裁委员会依申请仲裁时其现行有效的仲裁规则裁决；</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8.2 向合同签订地人民法院起诉。</w:t>
      </w:r>
    </w:p>
    <w:p>
      <w:pPr>
        <w:spacing w:line="500" w:lineRule="exact"/>
        <w:ind w:firstLine="482" w:firstLineChars="200"/>
        <w:rPr>
          <w:rFonts w:hint="eastAsia" w:ascii="宋体" w:hAnsi="宋体" w:eastAsia="宋体" w:cs="宋体"/>
          <w:b/>
          <w:bCs/>
          <w:sz w:val="24"/>
        </w:rPr>
      </w:pPr>
      <w:bookmarkStart w:id="114" w:name="_Toc20484988"/>
      <w:r>
        <w:rPr>
          <w:rFonts w:hint="eastAsia" w:ascii="宋体" w:hAnsi="宋体" w:eastAsia="宋体" w:cs="宋体"/>
          <w:b/>
          <w:bCs/>
          <w:sz w:val="24"/>
        </w:rPr>
        <w:t>九、合同生效及其他：</w:t>
      </w:r>
      <w:bookmarkEnd w:id="114"/>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9.1 本合同后附设备分册为本合同内容不可缺少的一部分，与合同正文具有同等法律效力。</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9.2 本合同自买卖双方签字盖章之日起生效。本合同一式</w:t>
      </w:r>
      <w:r>
        <w:rPr>
          <w:rFonts w:hint="eastAsia" w:ascii="宋体" w:hAnsi="宋体" w:eastAsia="宋体" w:cs="宋体"/>
          <w:sz w:val="24"/>
          <w:u w:val="single"/>
          <w:lang w:val="en-US" w:eastAsia="zh-CN"/>
        </w:rPr>
        <w:t>五</w:t>
      </w:r>
      <w:r>
        <w:rPr>
          <w:rFonts w:hint="eastAsia" w:ascii="宋体" w:hAnsi="宋体" w:eastAsia="宋体" w:cs="宋体"/>
          <w:sz w:val="24"/>
        </w:rPr>
        <w:t>份，其中，甲方</w:t>
      </w:r>
      <w:r>
        <w:rPr>
          <w:rFonts w:hint="eastAsia" w:ascii="宋体" w:hAnsi="宋体" w:eastAsia="宋体" w:cs="宋体"/>
          <w:sz w:val="24"/>
          <w:u w:val="single"/>
        </w:rPr>
        <w:t>二</w:t>
      </w:r>
      <w:r>
        <w:rPr>
          <w:rFonts w:hint="eastAsia" w:ascii="宋体" w:hAnsi="宋体" w:eastAsia="宋体" w:cs="宋体"/>
          <w:sz w:val="24"/>
        </w:rPr>
        <w:t>份，乙方</w:t>
      </w:r>
      <w:r>
        <w:rPr>
          <w:rFonts w:hint="eastAsia" w:ascii="宋体" w:hAnsi="宋体" w:eastAsia="宋体" w:cs="宋体"/>
          <w:sz w:val="24"/>
          <w:u w:val="single"/>
        </w:rPr>
        <w:t>二</w:t>
      </w:r>
      <w:r>
        <w:rPr>
          <w:rFonts w:hint="eastAsia" w:ascii="宋体" w:hAnsi="宋体" w:eastAsia="宋体" w:cs="宋体"/>
          <w:sz w:val="24"/>
        </w:rPr>
        <w:t>份，见证方</w:t>
      </w:r>
      <w:r>
        <w:rPr>
          <w:rFonts w:hint="eastAsia" w:ascii="宋体" w:hAnsi="宋体" w:eastAsia="宋体" w:cs="宋体"/>
          <w:sz w:val="24"/>
          <w:u w:val="single"/>
        </w:rPr>
        <w:t>一</w:t>
      </w:r>
      <w:r>
        <w:rPr>
          <w:rFonts w:hint="eastAsia" w:ascii="宋体" w:hAnsi="宋体" w:eastAsia="宋体" w:cs="宋体"/>
          <w:sz w:val="24"/>
        </w:rPr>
        <w:t>份。</w:t>
      </w:r>
    </w:p>
    <w:p>
      <w:pPr>
        <w:spacing w:line="500" w:lineRule="exact"/>
        <w:ind w:firstLine="480" w:firstLineChars="200"/>
        <w:rPr>
          <w:rFonts w:hint="eastAsia" w:ascii="宋体" w:hAnsi="宋体" w:eastAsia="宋体" w:cs="宋体"/>
          <w:sz w:val="24"/>
          <w:lang w:val="zh-CN"/>
        </w:rPr>
      </w:pPr>
      <w:r>
        <w:rPr>
          <w:rFonts w:hint="eastAsia" w:ascii="宋体" w:hAnsi="宋体" w:eastAsia="宋体" w:cs="宋体"/>
          <w:sz w:val="24"/>
        </w:rPr>
        <w:t>9.3 合同签订之后，凡需对本合同条款进行修改，应经双方协商一致后以书面形式签订补充合同条款。</w:t>
      </w:r>
    </w:p>
    <w:p>
      <w:pPr>
        <w:spacing w:line="360" w:lineRule="auto"/>
        <w:ind w:firstLine="480" w:firstLineChars="200"/>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2927"/>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25" w:type="dxa"/>
          </w:tcPr>
          <w:p>
            <w:pPr>
              <w:spacing w:line="520" w:lineRule="exact"/>
              <w:jc w:val="center"/>
              <w:rPr>
                <w:rFonts w:hint="eastAsia" w:ascii="宋体" w:hAnsi="宋体" w:eastAsia="宋体" w:cs="宋体"/>
                <w:kern w:val="0"/>
                <w:sz w:val="24"/>
              </w:rPr>
            </w:pPr>
            <w:r>
              <w:rPr>
                <w:rFonts w:hint="eastAsia" w:ascii="宋体" w:hAnsi="宋体" w:eastAsia="宋体" w:cs="宋体"/>
                <w:kern w:val="0"/>
                <w:sz w:val="24"/>
              </w:rPr>
              <w:t>甲方</w:t>
            </w:r>
          </w:p>
        </w:tc>
        <w:tc>
          <w:tcPr>
            <w:tcW w:w="2927" w:type="dxa"/>
          </w:tcPr>
          <w:p>
            <w:pPr>
              <w:spacing w:line="520" w:lineRule="exact"/>
              <w:jc w:val="center"/>
              <w:rPr>
                <w:rFonts w:hint="eastAsia" w:ascii="宋体" w:hAnsi="宋体" w:eastAsia="宋体" w:cs="宋体"/>
                <w:kern w:val="0"/>
                <w:sz w:val="24"/>
              </w:rPr>
            </w:pPr>
            <w:r>
              <w:rPr>
                <w:rFonts w:hint="eastAsia" w:ascii="宋体" w:hAnsi="宋体" w:eastAsia="宋体" w:cs="宋体"/>
                <w:kern w:val="0"/>
                <w:sz w:val="24"/>
              </w:rPr>
              <w:t>乙方</w:t>
            </w:r>
          </w:p>
        </w:tc>
        <w:tc>
          <w:tcPr>
            <w:tcW w:w="3126" w:type="dxa"/>
          </w:tcPr>
          <w:p>
            <w:pPr>
              <w:spacing w:line="520" w:lineRule="exact"/>
              <w:jc w:val="center"/>
              <w:rPr>
                <w:rFonts w:hint="eastAsia" w:ascii="宋体" w:hAnsi="宋体" w:eastAsia="宋体" w:cs="宋体"/>
                <w:kern w:val="0"/>
                <w:sz w:val="24"/>
              </w:rPr>
            </w:pPr>
            <w:r>
              <w:rPr>
                <w:rFonts w:hint="eastAsia" w:ascii="宋体" w:hAnsi="宋体" w:eastAsia="宋体" w:cs="宋体"/>
                <w:kern w:val="0"/>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2925" w:type="dxa"/>
            <w:vAlign w:val="bottom"/>
          </w:tcPr>
          <w:p>
            <w:pPr>
              <w:spacing w:line="520" w:lineRule="exact"/>
              <w:jc w:val="center"/>
              <w:rPr>
                <w:rFonts w:hint="eastAsia" w:ascii="宋体" w:hAnsi="宋体" w:eastAsia="宋体" w:cs="宋体"/>
                <w:kern w:val="0"/>
                <w:sz w:val="24"/>
              </w:rPr>
            </w:pPr>
            <w:r>
              <w:rPr>
                <w:rFonts w:hint="eastAsia" w:ascii="宋体" w:hAnsi="宋体" w:eastAsia="宋体" w:cs="宋体"/>
                <w:kern w:val="0"/>
                <w:sz w:val="24"/>
              </w:rPr>
              <w:t>（盖章）</w:t>
            </w:r>
          </w:p>
        </w:tc>
        <w:tc>
          <w:tcPr>
            <w:tcW w:w="2927" w:type="dxa"/>
            <w:vAlign w:val="bottom"/>
          </w:tcPr>
          <w:p>
            <w:pPr>
              <w:spacing w:line="520" w:lineRule="exact"/>
              <w:jc w:val="center"/>
              <w:rPr>
                <w:rFonts w:hint="eastAsia" w:ascii="宋体" w:hAnsi="宋体" w:eastAsia="宋体" w:cs="宋体"/>
                <w:kern w:val="0"/>
                <w:sz w:val="24"/>
              </w:rPr>
            </w:pPr>
            <w:r>
              <w:rPr>
                <w:rFonts w:hint="eastAsia" w:ascii="宋体" w:hAnsi="宋体" w:eastAsia="宋体" w:cs="宋体"/>
                <w:kern w:val="0"/>
                <w:sz w:val="24"/>
              </w:rPr>
              <w:t>（盖章）</w:t>
            </w:r>
          </w:p>
        </w:tc>
        <w:tc>
          <w:tcPr>
            <w:tcW w:w="3126" w:type="dxa"/>
            <w:vAlign w:val="bottom"/>
          </w:tcPr>
          <w:p>
            <w:pPr>
              <w:spacing w:line="520" w:lineRule="exact"/>
              <w:jc w:val="center"/>
              <w:rPr>
                <w:rFonts w:hint="eastAsia" w:ascii="宋体" w:hAnsi="宋体" w:eastAsia="宋体" w:cs="宋体"/>
                <w:kern w:val="0"/>
                <w:sz w:val="24"/>
              </w:rPr>
            </w:pPr>
            <w:r>
              <w:rPr>
                <w:rFonts w:hint="eastAsia" w:ascii="宋体" w:hAnsi="宋体" w:eastAsia="宋体" w:cs="宋体"/>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2925"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地址：</w:t>
            </w:r>
          </w:p>
        </w:tc>
        <w:tc>
          <w:tcPr>
            <w:tcW w:w="2927"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地址：</w:t>
            </w:r>
          </w:p>
        </w:tc>
        <w:tc>
          <w:tcPr>
            <w:tcW w:w="3126"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25"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邮政编码：</w:t>
            </w:r>
          </w:p>
        </w:tc>
        <w:tc>
          <w:tcPr>
            <w:tcW w:w="2927"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邮政编码：</w:t>
            </w:r>
          </w:p>
        </w:tc>
        <w:tc>
          <w:tcPr>
            <w:tcW w:w="3126"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925"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账号：</w:t>
            </w:r>
          </w:p>
        </w:tc>
        <w:tc>
          <w:tcPr>
            <w:tcW w:w="2927"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账号：</w:t>
            </w:r>
          </w:p>
        </w:tc>
        <w:tc>
          <w:tcPr>
            <w:tcW w:w="3126" w:type="dxa"/>
          </w:tcPr>
          <w:p>
            <w:pPr>
              <w:spacing w:line="360" w:lineRule="auto"/>
              <w:jc w:val="left"/>
              <w:rPr>
                <w:rFonts w:hint="eastAsia" w:ascii="宋体" w:hAnsi="宋体" w:eastAsia="宋体" w:cs="宋体"/>
                <w:sz w:val="24"/>
              </w:rPr>
            </w:pPr>
            <w:r>
              <w:rPr>
                <w:rFonts w:hint="eastAsia" w:ascii="宋体" w:hAnsi="宋体" w:eastAsia="宋体" w:cs="宋体"/>
                <w:kern w:val="0"/>
                <w:sz w:val="24"/>
              </w:rPr>
              <w:t>账号：</w:t>
            </w:r>
          </w:p>
          <w:p>
            <w:pPr>
              <w:spacing w:line="520" w:lineRule="exact"/>
              <w:jc w:val="left"/>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2925"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开户行：</w:t>
            </w:r>
          </w:p>
        </w:tc>
        <w:tc>
          <w:tcPr>
            <w:tcW w:w="2927"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开户行：</w:t>
            </w:r>
          </w:p>
        </w:tc>
        <w:tc>
          <w:tcPr>
            <w:tcW w:w="3126"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925"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户名：</w:t>
            </w:r>
          </w:p>
        </w:tc>
        <w:tc>
          <w:tcPr>
            <w:tcW w:w="2927"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户名：</w:t>
            </w:r>
          </w:p>
        </w:tc>
        <w:tc>
          <w:tcPr>
            <w:tcW w:w="3126"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925"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全权代表：</w:t>
            </w:r>
          </w:p>
        </w:tc>
        <w:tc>
          <w:tcPr>
            <w:tcW w:w="2927"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全权代表：</w:t>
            </w:r>
          </w:p>
        </w:tc>
        <w:tc>
          <w:tcPr>
            <w:tcW w:w="3126"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2925"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日期：   年  月  日</w:t>
            </w:r>
          </w:p>
        </w:tc>
        <w:tc>
          <w:tcPr>
            <w:tcW w:w="2927"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日期：   年  月  日</w:t>
            </w:r>
          </w:p>
        </w:tc>
        <w:tc>
          <w:tcPr>
            <w:tcW w:w="3126" w:type="dxa"/>
          </w:tcPr>
          <w:p>
            <w:pPr>
              <w:spacing w:line="520" w:lineRule="exact"/>
              <w:rPr>
                <w:rFonts w:hint="eastAsia" w:ascii="宋体" w:hAnsi="宋体" w:eastAsia="宋体" w:cs="宋体"/>
                <w:kern w:val="0"/>
                <w:sz w:val="24"/>
              </w:rPr>
            </w:pPr>
            <w:r>
              <w:rPr>
                <w:rFonts w:hint="eastAsia" w:ascii="宋体" w:hAnsi="宋体" w:eastAsia="宋体" w:cs="宋体"/>
                <w:kern w:val="0"/>
                <w:sz w:val="24"/>
              </w:rPr>
              <w:t>日期：   年  月  日</w:t>
            </w:r>
          </w:p>
        </w:tc>
      </w:tr>
    </w:tbl>
    <w:p>
      <w:pPr>
        <w:pStyle w:val="3"/>
        <w:spacing w:before="0" w:after="0" w:line="240" w:lineRule="auto"/>
        <w:jc w:val="center"/>
        <w:rPr>
          <w:rFonts w:hint="eastAsia" w:ascii="宋体" w:hAnsi="宋体" w:eastAsia="宋体" w:cs="宋体"/>
          <w:bCs/>
          <w:color w:val="FF0000"/>
          <w:sz w:val="32"/>
          <w:szCs w:val="32"/>
        </w:rPr>
      </w:pPr>
      <w:bookmarkStart w:id="115" w:name="_Toc18416"/>
      <w:r>
        <w:rPr>
          <w:rFonts w:hint="eastAsia" w:ascii="宋体" w:hAnsi="宋体" w:eastAsia="宋体" w:cs="宋体"/>
          <w:bCs/>
          <w:sz w:val="32"/>
          <w:szCs w:val="32"/>
        </w:rPr>
        <w:t>第六部分 投标文件格式</w:t>
      </w:r>
      <w:bookmarkEnd w:id="115"/>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编制说明：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rPr>
        <w:t>本投标文件格式，仅起到样式作用，编制投标文件前，请详细阅读招标文件。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rPr>
        <w:t>投标文件的编制应按照本格式提供的内容，做出逐一的明确答复；投标人认为有必要，还可以做其它补充说明。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3.</w:t>
      </w:r>
      <w:r>
        <w:rPr>
          <w:rFonts w:hint="eastAsia" w:ascii="宋体" w:hAnsi="宋体" w:eastAsia="宋体" w:cs="宋体"/>
          <w:sz w:val="24"/>
        </w:rPr>
        <w:t>本招标文件中相关表格如不够填写时，投标人可以自行扩展。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投标文件格式中要求响应的内容应完整，不得随意删减。</w:t>
      </w:r>
    </w:p>
    <w:p>
      <w:pPr>
        <w:spacing w:line="360" w:lineRule="auto"/>
        <w:ind w:firstLine="480" w:firstLineChars="200"/>
        <w:rPr>
          <w:rFonts w:hint="eastAsia" w:ascii="宋体" w:hAnsi="宋体" w:eastAsia="宋体" w:cs="宋体"/>
          <w:b/>
          <w:sz w:val="30"/>
          <w:szCs w:val="30"/>
        </w:rPr>
      </w:pPr>
      <w:r>
        <w:rPr>
          <w:rFonts w:hint="eastAsia" w:ascii="宋体" w:hAnsi="宋体" w:eastAsia="宋体" w:cs="宋体"/>
          <w:sz w:val="24"/>
          <w:lang w:eastAsia="zh-CN"/>
        </w:rPr>
        <w:t>5.</w:t>
      </w:r>
      <w:r>
        <w:rPr>
          <w:rFonts w:hint="eastAsia" w:ascii="宋体" w:hAnsi="宋体" w:eastAsia="宋体" w:cs="宋体"/>
          <w:sz w:val="24"/>
        </w:rPr>
        <w:t>投标文件</w:t>
      </w:r>
      <w:r>
        <w:rPr>
          <w:rFonts w:hint="eastAsia" w:ascii="宋体" w:hAnsi="宋体" w:eastAsia="宋体" w:cs="宋体"/>
          <w:b/>
          <w:bCs/>
          <w:sz w:val="24"/>
        </w:rPr>
        <w:t>须编写目录及页码</w:t>
      </w:r>
      <w:r>
        <w:rPr>
          <w:rFonts w:hint="eastAsia" w:ascii="宋体" w:hAnsi="宋体" w:eastAsia="宋体" w:cs="宋体"/>
          <w:sz w:val="24"/>
        </w:rPr>
        <w:t>。</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32"/>
          <w:szCs w:val="40"/>
        </w:rPr>
      </w:pPr>
      <w:r>
        <w:rPr>
          <w:rFonts w:hint="eastAsia" w:ascii="宋体" w:hAnsi="宋体" w:eastAsia="宋体" w:cs="宋体"/>
          <w:sz w:val="28"/>
          <w:szCs w:val="28"/>
        </w:rPr>
        <w:br w:type="page"/>
      </w:r>
    </w:p>
    <w:p>
      <w:pPr>
        <w:rPr>
          <w:rFonts w:hint="eastAsia" w:ascii="宋体" w:hAnsi="宋体" w:eastAsia="宋体" w:cs="宋体"/>
          <w:b/>
          <w:bCs/>
          <w:sz w:val="72"/>
          <w:szCs w:val="144"/>
        </w:rPr>
      </w:pPr>
      <w:bookmarkStart w:id="116" w:name="OLE_LINK13"/>
      <w:r>
        <w:rPr>
          <w:rFonts w:hint="eastAsia" w:ascii="宋体" w:hAnsi="宋体" w:eastAsia="宋体" w:cs="宋体"/>
          <w:b/>
          <w:bCs/>
          <w:sz w:val="32"/>
          <w:szCs w:val="40"/>
        </w:rPr>
        <w:t>项目编号：CY2025-020</w:t>
      </w:r>
    </w:p>
    <w:p>
      <w:pPr>
        <w:jc w:val="center"/>
        <w:rPr>
          <w:rFonts w:hint="eastAsia" w:ascii="宋体" w:hAnsi="宋体" w:eastAsia="宋体" w:cs="宋体"/>
          <w:b/>
          <w:bCs/>
          <w:sz w:val="48"/>
          <w:szCs w:val="48"/>
        </w:rPr>
      </w:pPr>
    </w:p>
    <w:p>
      <w:pPr>
        <w:numPr>
          <w:ilvl w:val="2"/>
          <w:numId w:val="0"/>
        </w:numPr>
        <w:jc w:val="center"/>
        <w:rPr>
          <w:rFonts w:hint="eastAsia" w:ascii="宋体" w:hAnsi="宋体" w:eastAsia="宋体" w:cs="宋体"/>
          <w:b/>
          <w:bCs/>
          <w:sz w:val="48"/>
          <w:szCs w:val="48"/>
        </w:rPr>
      </w:pPr>
    </w:p>
    <w:p>
      <w:pPr>
        <w:numPr>
          <w:ilvl w:val="2"/>
          <w:numId w:val="0"/>
        </w:numPr>
        <w:spacing w:line="480" w:lineRule="auto"/>
        <w:jc w:val="center"/>
        <w:rPr>
          <w:rFonts w:hint="eastAsia" w:ascii="宋体" w:hAnsi="宋体" w:eastAsia="宋体" w:cs="宋体"/>
          <w:b/>
          <w:bCs/>
          <w:spacing w:val="-11"/>
          <w:sz w:val="44"/>
          <w:szCs w:val="44"/>
        </w:rPr>
      </w:pPr>
    </w:p>
    <w:p>
      <w:pPr>
        <w:numPr>
          <w:ilvl w:val="2"/>
          <w:numId w:val="0"/>
        </w:numPr>
        <w:spacing w:line="480" w:lineRule="auto"/>
        <w:jc w:val="center"/>
        <w:rPr>
          <w:rFonts w:hint="eastAsia" w:ascii="宋体" w:hAnsi="宋体" w:eastAsia="宋体" w:cs="宋体"/>
          <w:b/>
          <w:bCs/>
          <w:sz w:val="48"/>
          <w:szCs w:val="48"/>
        </w:rPr>
      </w:pPr>
      <w:r>
        <w:rPr>
          <w:rFonts w:hint="eastAsia" w:ascii="宋体" w:hAnsi="宋体" w:eastAsia="宋体" w:cs="宋体"/>
          <w:b/>
          <w:bCs/>
          <w:sz w:val="48"/>
          <w:szCs w:val="48"/>
        </w:rPr>
        <w:t>延安市考试管理中心高考综合改革信息化管理平台建设项目</w:t>
      </w:r>
    </w:p>
    <w:p>
      <w:pPr>
        <w:numPr>
          <w:ilvl w:val="2"/>
          <w:numId w:val="0"/>
        </w:numPr>
        <w:jc w:val="center"/>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spacing w:line="600" w:lineRule="auto"/>
        <w:ind w:firstLine="211"/>
        <w:jc w:val="center"/>
        <w:rPr>
          <w:rFonts w:hint="eastAsia" w:ascii="宋体" w:hAnsi="宋体" w:eastAsia="宋体" w:cs="宋体"/>
          <w:b/>
          <w:sz w:val="44"/>
          <w:szCs w:val="44"/>
        </w:rPr>
      </w:pPr>
      <w:r>
        <w:rPr>
          <w:rFonts w:hint="eastAsia" w:ascii="宋体" w:hAnsi="宋体" w:eastAsia="宋体" w:cs="宋体"/>
          <w:b/>
          <w:bCs/>
          <w:sz w:val="44"/>
          <w:szCs w:val="44"/>
        </w:rPr>
        <w:t>投标文件</w:t>
      </w:r>
    </w:p>
    <w:p>
      <w:pPr>
        <w:numPr>
          <w:ilvl w:val="2"/>
          <w:numId w:val="0"/>
        </w:numPr>
        <w:rPr>
          <w:rFonts w:hint="eastAsia" w:ascii="宋体" w:hAnsi="宋体" w:eastAsia="宋体" w:cs="宋体"/>
        </w:rPr>
      </w:pPr>
    </w:p>
    <w:p>
      <w:pPr>
        <w:jc w:val="center"/>
        <w:rPr>
          <w:rFonts w:hint="eastAsia" w:ascii="宋体" w:hAnsi="宋体" w:eastAsia="宋体" w:cs="宋体"/>
          <w:b/>
          <w:bCs/>
          <w:sz w:val="72"/>
          <w:szCs w:val="144"/>
        </w:rPr>
      </w:pPr>
    </w:p>
    <w:p>
      <w:pPr>
        <w:spacing w:line="600" w:lineRule="auto"/>
        <w:ind w:firstLine="1285" w:firstLineChars="400"/>
        <w:rPr>
          <w:rFonts w:hint="eastAsia" w:ascii="宋体" w:hAnsi="宋体" w:eastAsia="宋体" w:cs="宋体"/>
          <w:b/>
          <w:bCs/>
          <w:sz w:val="32"/>
          <w:szCs w:val="32"/>
        </w:rPr>
      </w:pPr>
    </w:p>
    <w:p>
      <w:pPr>
        <w:spacing w:line="600" w:lineRule="auto"/>
        <w:ind w:firstLine="1285" w:firstLineChars="400"/>
        <w:rPr>
          <w:rFonts w:hint="eastAsia" w:ascii="宋体" w:hAnsi="宋体" w:eastAsia="宋体" w:cs="宋体"/>
          <w:b/>
          <w:bCs/>
          <w:sz w:val="32"/>
          <w:szCs w:val="32"/>
        </w:rPr>
      </w:pPr>
    </w:p>
    <w:p>
      <w:pPr>
        <w:spacing w:line="600" w:lineRule="auto"/>
        <w:ind w:firstLine="1285" w:firstLineChars="400"/>
        <w:rPr>
          <w:rFonts w:hint="eastAsia" w:ascii="宋体" w:hAnsi="宋体" w:eastAsia="宋体" w:cs="宋体"/>
          <w:b/>
          <w:bCs/>
          <w:sz w:val="32"/>
          <w:szCs w:val="32"/>
        </w:rPr>
      </w:pPr>
    </w:p>
    <w:p>
      <w:pPr>
        <w:spacing w:line="600" w:lineRule="auto"/>
        <w:ind w:firstLine="1285" w:firstLineChars="400"/>
        <w:rPr>
          <w:rFonts w:hint="eastAsia" w:ascii="宋体" w:hAnsi="宋体" w:eastAsia="宋体" w:cs="宋体"/>
          <w:b/>
          <w:bCs/>
          <w:sz w:val="32"/>
          <w:szCs w:val="32"/>
          <w:u w:val="single"/>
        </w:rPr>
      </w:pPr>
      <w:r>
        <w:rPr>
          <w:rFonts w:hint="eastAsia" w:ascii="宋体" w:hAnsi="宋体" w:eastAsia="宋体" w:cs="宋体"/>
          <w:b/>
          <w:bCs/>
          <w:sz w:val="32"/>
          <w:szCs w:val="32"/>
        </w:rPr>
        <w:t>投标人：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（公章）</w:t>
      </w:r>
    </w:p>
    <w:p>
      <w:pPr>
        <w:spacing w:line="600" w:lineRule="auto"/>
        <w:ind w:firstLine="1285" w:firstLineChars="400"/>
        <w:rPr>
          <w:rFonts w:hint="eastAsia" w:ascii="宋体" w:hAnsi="宋体" w:eastAsia="宋体" w:cs="宋体"/>
          <w:b/>
          <w:bCs/>
          <w:sz w:val="32"/>
          <w:szCs w:val="32"/>
        </w:rPr>
      </w:pPr>
      <w:r>
        <w:rPr>
          <w:rFonts w:hint="eastAsia" w:ascii="宋体" w:hAnsi="宋体" w:eastAsia="宋体" w:cs="宋体"/>
          <w:b/>
          <w:bCs/>
          <w:sz w:val="32"/>
          <w:szCs w:val="32"/>
        </w:rPr>
        <w:t>法定代表人或授权代表：</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（签字或盖章）</w:t>
      </w:r>
    </w:p>
    <w:p>
      <w:pPr>
        <w:spacing w:line="480" w:lineRule="auto"/>
        <w:ind w:firstLine="1285" w:firstLineChars="400"/>
        <w:rPr>
          <w:rFonts w:hint="eastAsia" w:ascii="宋体" w:hAnsi="宋体" w:eastAsia="宋体" w:cs="宋体"/>
          <w:sz w:val="32"/>
          <w:szCs w:val="32"/>
        </w:rPr>
      </w:pPr>
      <w:r>
        <w:rPr>
          <w:rFonts w:hint="eastAsia" w:ascii="宋体" w:hAnsi="宋体" w:eastAsia="宋体" w:cs="宋体"/>
          <w:b/>
          <w:bCs/>
          <w:sz w:val="32"/>
          <w:szCs w:val="32"/>
        </w:rPr>
        <w:t>时    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Pr>
        <w:widowControl/>
        <w:spacing w:line="480" w:lineRule="auto"/>
        <w:jc w:val="center"/>
        <w:rPr>
          <w:rFonts w:hint="eastAsia" w:ascii="宋体" w:hAnsi="宋体" w:eastAsia="宋体" w:cs="宋体"/>
          <w:sz w:val="32"/>
          <w:szCs w:val="32"/>
        </w:rPr>
      </w:pPr>
      <w:r>
        <w:rPr>
          <w:rFonts w:hint="eastAsia" w:ascii="宋体" w:hAnsi="宋体" w:eastAsia="宋体" w:cs="宋体"/>
          <w:sz w:val="32"/>
          <w:szCs w:val="32"/>
        </w:rPr>
        <w:br w:type="page"/>
      </w:r>
    </w:p>
    <w:p>
      <w:pPr>
        <w:widowControl/>
        <w:spacing w:line="480" w:lineRule="auto"/>
        <w:jc w:val="center"/>
        <w:rPr>
          <w:rFonts w:hint="eastAsia" w:ascii="宋体" w:hAnsi="宋体" w:eastAsia="宋体" w:cs="宋体"/>
          <w:sz w:val="32"/>
          <w:szCs w:val="32"/>
        </w:rPr>
      </w:pPr>
      <w:bookmarkStart w:id="117" w:name="_Toc75259380"/>
      <w:r>
        <w:rPr>
          <w:rFonts w:hint="eastAsia" w:ascii="宋体" w:hAnsi="宋体" w:eastAsia="宋体" w:cs="宋体"/>
          <w:b/>
          <w:sz w:val="32"/>
          <w:szCs w:val="28"/>
        </w:rPr>
        <w:t>目  录</w:t>
      </w:r>
      <w:bookmarkEnd w:id="117"/>
    </w:p>
    <w:p>
      <w:pPr>
        <w:pStyle w:val="20"/>
        <w:spacing w:line="480" w:lineRule="auto"/>
        <w:jc w:val="left"/>
        <w:rPr>
          <w:rFonts w:hint="eastAsia" w:eastAsia="宋体" w:cs="宋体"/>
          <w:sz w:val="24"/>
        </w:rPr>
      </w:pPr>
      <w:r>
        <w:rPr>
          <w:rFonts w:hint="eastAsia" w:eastAsia="宋体" w:cs="宋体"/>
          <w:sz w:val="24"/>
        </w:rPr>
        <w:t>一、投标响应函</w:t>
      </w:r>
    </w:p>
    <w:p>
      <w:pPr>
        <w:pStyle w:val="20"/>
        <w:spacing w:line="480" w:lineRule="auto"/>
        <w:jc w:val="left"/>
        <w:rPr>
          <w:rFonts w:hint="eastAsia" w:eastAsia="宋体" w:cs="宋体"/>
          <w:sz w:val="24"/>
        </w:rPr>
      </w:pPr>
      <w:r>
        <w:rPr>
          <w:rFonts w:hint="eastAsia" w:eastAsia="宋体" w:cs="宋体"/>
          <w:sz w:val="24"/>
        </w:rPr>
        <w:t>二、开标一览表</w:t>
      </w:r>
    </w:p>
    <w:p>
      <w:pPr>
        <w:pStyle w:val="20"/>
        <w:spacing w:line="480" w:lineRule="auto"/>
        <w:jc w:val="left"/>
        <w:rPr>
          <w:rFonts w:hint="eastAsia" w:eastAsia="宋体" w:cs="宋体"/>
          <w:sz w:val="24"/>
        </w:rPr>
      </w:pPr>
      <w:r>
        <w:rPr>
          <w:rFonts w:hint="eastAsia" w:eastAsia="宋体" w:cs="宋体"/>
          <w:sz w:val="24"/>
        </w:rPr>
        <w:t>三、法定代表人身份证明及法定代表人授权委托书</w:t>
      </w:r>
    </w:p>
    <w:p>
      <w:pPr>
        <w:pStyle w:val="20"/>
        <w:spacing w:line="480" w:lineRule="auto"/>
        <w:jc w:val="left"/>
        <w:rPr>
          <w:rFonts w:hint="eastAsia" w:eastAsia="宋体" w:cs="宋体"/>
          <w:sz w:val="24"/>
        </w:rPr>
      </w:pPr>
      <w:r>
        <w:rPr>
          <w:rFonts w:hint="eastAsia" w:eastAsia="宋体" w:cs="宋体"/>
          <w:sz w:val="24"/>
        </w:rPr>
        <w:t>四、资格证明文件</w:t>
      </w:r>
    </w:p>
    <w:p>
      <w:pPr>
        <w:pStyle w:val="20"/>
        <w:spacing w:line="480" w:lineRule="auto"/>
        <w:jc w:val="left"/>
        <w:rPr>
          <w:rFonts w:hint="eastAsia" w:eastAsia="宋体" w:cs="宋体"/>
          <w:bCs/>
          <w:sz w:val="24"/>
        </w:rPr>
      </w:pPr>
      <w:r>
        <w:rPr>
          <w:rFonts w:hint="eastAsia" w:eastAsia="宋体" w:cs="宋体"/>
          <w:bCs/>
          <w:sz w:val="24"/>
        </w:rPr>
        <w:t>五、投标保证金缴纳凭证</w:t>
      </w:r>
    </w:p>
    <w:p>
      <w:pPr>
        <w:pStyle w:val="20"/>
        <w:spacing w:line="480" w:lineRule="auto"/>
        <w:jc w:val="left"/>
        <w:rPr>
          <w:rFonts w:hint="eastAsia" w:eastAsia="宋体" w:cs="宋体"/>
          <w:bCs/>
          <w:sz w:val="24"/>
        </w:rPr>
      </w:pPr>
      <w:r>
        <w:rPr>
          <w:rFonts w:hint="eastAsia" w:eastAsia="宋体" w:cs="宋体"/>
          <w:bCs/>
          <w:sz w:val="24"/>
        </w:rPr>
        <w:t>六、商务部分</w:t>
      </w:r>
    </w:p>
    <w:p>
      <w:pPr>
        <w:pStyle w:val="20"/>
        <w:spacing w:line="480" w:lineRule="auto"/>
        <w:jc w:val="left"/>
        <w:rPr>
          <w:rFonts w:hint="eastAsia" w:eastAsia="宋体" w:cs="宋体"/>
          <w:bCs/>
          <w:sz w:val="24"/>
        </w:rPr>
      </w:pPr>
      <w:r>
        <w:rPr>
          <w:rFonts w:hint="eastAsia" w:eastAsia="宋体" w:cs="宋体"/>
          <w:bCs/>
          <w:sz w:val="24"/>
        </w:rPr>
        <w:t>七、技术部分</w:t>
      </w:r>
    </w:p>
    <w:p>
      <w:pPr>
        <w:pStyle w:val="20"/>
        <w:spacing w:line="480" w:lineRule="auto"/>
        <w:jc w:val="left"/>
        <w:rPr>
          <w:rFonts w:hint="eastAsia" w:eastAsia="宋体" w:cs="宋体"/>
          <w:sz w:val="24"/>
        </w:rPr>
      </w:pPr>
      <w:r>
        <w:rPr>
          <w:rFonts w:hint="eastAsia" w:eastAsia="宋体" w:cs="宋体"/>
          <w:bCs/>
          <w:sz w:val="24"/>
        </w:rPr>
        <w:t>八、其他材料</w:t>
      </w:r>
    </w:p>
    <w:p>
      <w:pPr>
        <w:rPr>
          <w:rFonts w:hint="eastAsia" w:ascii="宋体" w:hAnsi="宋体" w:eastAsia="宋体" w:cs="宋体"/>
        </w:rPr>
      </w:pPr>
    </w:p>
    <w:p>
      <w:pPr>
        <w:rPr>
          <w:rFonts w:hint="eastAsia" w:ascii="宋体" w:hAnsi="宋体" w:eastAsia="宋体" w:cs="宋体"/>
        </w:rPr>
      </w:pPr>
    </w:p>
    <w:p>
      <w:pPr>
        <w:widowControl/>
        <w:jc w:val="center"/>
        <w:outlineLvl w:val="1"/>
        <w:rPr>
          <w:rFonts w:hint="eastAsia" w:ascii="宋体" w:hAnsi="宋体" w:eastAsia="宋体" w:cs="宋体"/>
          <w:b/>
          <w:sz w:val="36"/>
          <w:szCs w:val="36"/>
        </w:rPr>
      </w:pPr>
      <w:r>
        <w:rPr>
          <w:rFonts w:hint="eastAsia" w:ascii="宋体" w:hAnsi="宋体" w:eastAsia="宋体" w:cs="宋体"/>
          <w:b/>
          <w:sz w:val="30"/>
          <w:szCs w:val="30"/>
        </w:rPr>
        <w:br w:type="page"/>
      </w:r>
      <w:bookmarkStart w:id="118" w:name="_Toc75259381"/>
      <w:bookmarkStart w:id="119" w:name="_Toc14837"/>
      <w:r>
        <w:rPr>
          <w:rFonts w:hint="eastAsia" w:ascii="宋体" w:hAnsi="宋体" w:eastAsia="宋体" w:cs="宋体"/>
          <w:b/>
          <w:sz w:val="32"/>
        </w:rPr>
        <w:t>一、投标响应函</w:t>
      </w:r>
      <w:bookmarkEnd w:id="118"/>
      <w:bookmarkEnd w:id="119"/>
    </w:p>
    <w:p>
      <w:pPr>
        <w:pStyle w:val="20"/>
        <w:adjustRightInd/>
        <w:snapToGrid/>
        <w:spacing w:line="384" w:lineRule="auto"/>
        <w:ind w:firstLine="482" w:firstLineChars="200"/>
        <w:rPr>
          <w:rFonts w:hint="eastAsia" w:eastAsia="宋体" w:cs="宋体"/>
          <w:b/>
          <w:sz w:val="24"/>
        </w:rPr>
      </w:pPr>
      <w:r>
        <w:rPr>
          <w:rFonts w:hint="eastAsia" w:eastAsia="宋体" w:cs="宋体"/>
          <w:b/>
          <w:sz w:val="24"/>
        </w:rPr>
        <w:t>陕西楚元项目管理有限公司：</w:t>
      </w:r>
    </w:p>
    <w:p>
      <w:pPr>
        <w:spacing w:line="384" w:lineRule="auto"/>
        <w:ind w:firstLine="480" w:firstLineChars="200"/>
        <w:rPr>
          <w:rFonts w:hint="eastAsia" w:ascii="宋体" w:hAnsi="宋体" w:eastAsia="宋体" w:cs="宋体"/>
          <w:sz w:val="24"/>
        </w:rPr>
      </w:pPr>
      <w:bookmarkStart w:id="120" w:name="_Hlk74735128"/>
      <w:r>
        <w:rPr>
          <w:rFonts w:hint="eastAsia" w:ascii="宋体" w:hAnsi="宋体" w:eastAsia="宋体" w:cs="宋体"/>
          <w:sz w:val="24"/>
        </w:rPr>
        <w:t>我单位收到贵公司</w:t>
      </w:r>
      <w:r>
        <w:rPr>
          <w:rFonts w:hint="eastAsia" w:ascii="宋体" w:hAnsi="宋体" w:eastAsia="宋体" w:cs="宋体"/>
          <w:sz w:val="24"/>
          <w:u w:val="single"/>
        </w:rPr>
        <w:t xml:space="preserve">项目名称：          </w:t>
      </w:r>
      <w:r>
        <w:rPr>
          <w:rFonts w:hint="eastAsia" w:ascii="宋体" w:hAnsi="宋体" w:eastAsia="宋体" w:cs="宋体"/>
          <w:sz w:val="24"/>
        </w:rPr>
        <w:t>、</w:t>
      </w:r>
      <w:r>
        <w:rPr>
          <w:rFonts w:hint="eastAsia" w:ascii="宋体" w:hAnsi="宋体" w:eastAsia="宋体" w:cs="宋体"/>
          <w:sz w:val="24"/>
          <w:u w:val="single"/>
        </w:rPr>
        <w:t xml:space="preserve">项目编号：          </w:t>
      </w:r>
      <w:r>
        <w:rPr>
          <w:rFonts w:hint="eastAsia" w:ascii="宋体" w:hAnsi="宋体" w:eastAsia="宋体" w:cs="宋体"/>
          <w:sz w:val="24"/>
        </w:rPr>
        <w:t>招标文件，经详细研究，我们决定参加本次招标活动。为此，我方郑重声明以下诸点，并负法律责任。</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一、愿意按照招标文件中的要求，提供相应的技术服务，完成合同的责任和义务。</w:t>
      </w:r>
    </w:p>
    <w:p>
      <w:pPr>
        <w:wordWrap w:val="0"/>
        <w:spacing w:line="384" w:lineRule="auto"/>
        <w:ind w:firstLine="480" w:firstLineChars="200"/>
        <w:rPr>
          <w:rFonts w:hint="eastAsia" w:ascii="宋体" w:hAnsi="宋体" w:eastAsia="宋体" w:cs="宋体"/>
          <w:sz w:val="24"/>
        </w:rPr>
      </w:pPr>
      <w:r>
        <w:rPr>
          <w:rFonts w:hint="eastAsia" w:ascii="宋体" w:hAnsi="宋体" w:eastAsia="宋体" w:cs="宋体"/>
          <w:sz w:val="24"/>
        </w:rPr>
        <w:t>二、按招标文件的规定，我公司的投标报价为：人民币（大写）：</w:t>
      </w:r>
      <w:r>
        <w:rPr>
          <w:rFonts w:hint="eastAsia" w:ascii="宋体" w:hAnsi="宋体" w:eastAsia="宋体" w:cs="宋体"/>
          <w:sz w:val="32"/>
          <w:szCs w:val="32"/>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元），并对投标报价负法律责任。</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三、我方承诺遵守《中华人民共和国政府采购法》及其实施条例的有关规定，保证在获得中标资格后按照招标文件确定的事项签订政府采购合同，履行双方所签订的合同，并承担合同规定的责任和义务，保证合同签订生效后建设期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四、我方已详细阅读了招标文件，并完全同意招标文件的各项商务要求及实质性要求。</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五、开标后在规定的投标有效期内撤回投标文件，我们愿接受有关处罚决定。</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六、同意向贵方提供可能要求的，与本次招标有关的任何证据或资料。我们完全理解最低投标报价不作为中标的唯一条件，且尊重评标委员会的评审结论和中标结果。</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七、我方的投标文件在开标后有效期为</w:t>
      </w:r>
      <w:r>
        <w:rPr>
          <w:rFonts w:hint="eastAsia" w:ascii="宋体" w:hAnsi="宋体" w:eastAsia="宋体" w:cs="宋体"/>
          <w:sz w:val="24"/>
          <w:lang w:val="en-US" w:eastAsia="zh-CN"/>
        </w:rPr>
        <w:t>120</w:t>
      </w:r>
      <w:r>
        <w:rPr>
          <w:rFonts w:hint="eastAsia" w:ascii="宋体" w:hAnsi="宋体" w:eastAsia="宋体" w:cs="宋体"/>
          <w:sz w:val="24"/>
        </w:rPr>
        <w:t>个日历天，若我方中标，投标文件有效期自动延长至合同执行完毕。</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八、有关于本投标文件的函电，请按下列地址联系。</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投标人全称：</w:t>
      </w:r>
      <w:r>
        <w:rPr>
          <w:rFonts w:hint="eastAsia" w:ascii="宋体" w:hAnsi="宋体" w:eastAsia="宋体" w:cs="宋体"/>
          <w:sz w:val="24"/>
          <w:u w:val="single"/>
        </w:rPr>
        <w:t xml:space="preserve">                           </w:t>
      </w:r>
      <w:r>
        <w:rPr>
          <w:rFonts w:hint="eastAsia" w:ascii="宋体" w:hAnsi="宋体" w:eastAsia="宋体" w:cs="宋体"/>
          <w:sz w:val="24"/>
        </w:rPr>
        <w:t>（公章）</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法定代表人或授权代表：</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账</w:t>
      </w:r>
      <w:r>
        <w:rPr>
          <w:rFonts w:hint="eastAsia" w:ascii="宋体" w:hAnsi="宋体" w:eastAsia="宋体" w:cs="宋体"/>
          <w:sz w:val="24"/>
        </w:rPr>
        <w:t xml:space="preserve">    号：</w:t>
      </w:r>
      <w:r>
        <w:rPr>
          <w:rFonts w:hint="eastAsia" w:ascii="宋体" w:hAnsi="宋体" w:eastAsia="宋体" w:cs="宋体"/>
          <w:sz w:val="24"/>
          <w:u w:val="single"/>
        </w:rPr>
        <w:t xml:space="preserve">                           </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p>
    <w:p>
      <w:pPr>
        <w:spacing w:line="384" w:lineRule="auto"/>
        <w:ind w:firstLine="480" w:firstLineChars="200"/>
        <w:rPr>
          <w:rFonts w:hint="eastAsia" w:ascii="宋体" w:hAnsi="宋体" w:eastAsia="宋体" w:cs="宋体"/>
          <w:sz w:val="24"/>
        </w:rPr>
      </w:pPr>
      <w:r>
        <w:rPr>
          <w:rFonts w:hint="eastAsia" w:ascii="宋体" w:hAnsi="宋体" w:eastAsia="宋体" w:cs="宋体"/>
          <w:sz w:val="24"/>
        </w:rPr>
        <w:t>邮    编：</w:t>
      </w:r>
      <w:r>
        <w:rPr>
          <w:rFonts w:hint="eastAsia" w:ascii="宋体" w:hAnsi="宋体" w:eastAsia="宋体" w:cs="宋体"/>
          <w:sz w:val="24"/>
          <w:u w:val="single"/>
        </w:rPr>
        <w:t xml:space="preserve">                           </w:t>
      </w:r>
    </w:p>
    <w:p>
      <w:pPr>
        <w:spacing w:line="384"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120"/>
    <w:p>
      <w:pPr>
        <w:widowControl/>
        <w:spacing w:line="360" w:lineRule="auto"/>
        <w:jc w:val="center"/>
        <w:outlineLvl w:val="1"/>
        <w:rPr>
          <w:rFonts w:hint="eastAsia" w:ascii="宋体" w:hAnsi="宋体" w:eastAsia="宋体" w:cs="宋体"/>
          <w:b/>
          <w:sz w:val="32"/>
        </w:rPr>
      </w:pPr>
      <w:r>
        <w:rPr>
          <w:rFonts w:hint="eastAsia" w:ascii="宋体" w:hAnsi="宋体" w:eastAsia="宋体" w:cs="宋体"/>
          <w:b/>
          <w:sz w:val="32"/>
        </w:rPr>
        <w:br w:type="page"/>
      </w:r>
      <w:bookmarkStart w:id="121" w:name="_Toc75259382"/>
      <w:bookmarkStart w:id="122" w:name="_Toc26711"/>
      <w:r>
        <w:rPr>
          <w:rFonts w:hint="eastAsia" w:ascii="宋体" w:hAnsi="宋体" w:eastAsia="宋体" w:cs="宋体"/>
          <w:b/>
          <w:sz w:val="32"/>
        </w:rPr>
        <w:t>二、开标一览表</w:t>
      </w:r>
      <w:bookmarkEnd w:id="121"/>
      <w:bookmarkEnd w:id="122"/>
    </w:p>
    <w:p>
      <w:pPr>
        <w:jc w:val="center"/>
        <w:rPr>
          <w:rFonts w:hint="eastAsia" w:ascii="宋体" w:hAnsi="宋体" w:eastAsia="宋体" w:cs="宋体"/>
        </w:rPr>
      </w:pPr>
    </w:p>
    <w:p>
      <w:pPr>
        <w:jc w:val="center"/>
        <w:rPr>
          <w:rFonts w:hint="eastAsia" w:ascii="宋体" w:hAnsi="宋体" w:eastAsia="宋体" w:cs="宋体"/>
        </w:rPr>
      </w:pPr>
    </w:p>
    <w:tbl>
      <w:tblPr>
        <w:tblStyle w:val="26"/>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rPr>
                <w:rFonts w:hint="eastAsia" w:ascii="宋体" w:hAnsi="宋体" w:eastAsia="宋体" w:cs="宋体"/>
                <w:sz w:val="24"/>
              </w:rPr>
            </w:pPr>
            <w:r>
              <w:rPr>
                <w:rFonts w:hint="eastAsia" w:ascii="宋体" w:hAnsi="宋体" w:eastAsia="宋体" w:cs="宋体"/>
                <w:sz w:val="24"/>
              </w:rPr>
              <w:t xml:space="preserve"> 项目名称</w:t>
            </w:r>
          </w:p>
        </w:tc>
        <w:tc>
          <w:tcPr>
            <w:tcW w:w="5444" w:type="dxa"/>
            <w:vAlign w:val="center"/>
          </w:tcPr>
          <w:p>
            <w:pPr>
              <w:rPr>
                <w:rFonts w:hint="eastAsia" w:ascii="宋体" w:hAnsi="宋体" w:eastAsia="宋体" w:cs="宋体"/>
                <w:sz w:val="24"/>
              </w:rPr>
            </w:pPr>
            <w:r>
              <w:rPr>
                <w:rFonts w:hint="eastAsia" w:ascii="宋体" w:hAnsi="宋体" w:eastAsia="宋体" w:cs="宋体"/>
                <w:sz w:val="24"/>
              </w:rPr>
              <w:t>延安市考试管理中心高考综合改革信息化管理平台建设项目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rPr>
                <w:rFonts w:hint="eastAsia" w:ascii="宋体" w:hAnsi="宋体" w:eastAsia="宋体" w:cs="宋体"/>
                <w:sz w:val="24"/>
              </w:rPr>
            </w:pPr>
            <w:r>
              <w:rPr>
                <w:rFonts w:hint="eastAsia" w:ascii="宋体" w:hAnsi="宋体" w:eastAsia="宋体" w:cs="宋体"/>
                <w:sz w:val="24"/>
              </w:rPr>
              <w:t>投标总报价（元）</w:t>
            </w:r>
          </w:p>
        </w:tc>
        <w:tc>
          <w:tcPr>
            <w:tcW w:w="5444" w:type="dxa"/>
            <w:vAlign w:val="center"/>
          </w:tcPr>
          <w:p>
            <w:pPr>
              <w:spacing w:line="360" w:lineRule="auto"/>
              <w:jc w:val="left"/>
              <w:rPr>
                <w:rFonts w:hint="eastAsia" w:ascii="宋体" w:hAnsi="宋体" w:eastAsia="宋体" w:cs="宋体"/>
                <w:sz w:val="24"/>
              </w:rPr>
            </w:pPr>
            <w:r>
              <w:rPr>
                <w:rFonts w:hint="eastAsia" w:ascii="宋体" w:hAnsi="宋体" w:eastAsia="宋体" w:cs="宋体"/>
                <w:sz w:val="24"/>
              </w:rPr>
              <w:t>大写：</w:t>
            </w:r>
          </w:p>
          <w:p>
            <w:pPr>
              <w:spacing w:line="360" w:lineRule="auto"/>
              <w:rPr>
                <w:rFonts w:hint="eastAsia" w:ascii="宋体" w:hAnsi="宋体" w:eastAsia="宋体" w:cs="宋体"/>
                <w:sz w:val="24"/>
                <w:u w:val="single"/>
              </w:rPr>
            </w:pP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rPr>
                <w:rFonts w:hint="eastAsia" w:ascii="宋体" w:hAnsi="宋体" w:eastAsia="宋体" w:cs="宋体"/>
                <w:sz w:val="24"/>
              </w:rPr>
            </w:pPr>
            <w:r>
              <w:rPr>
                <w:rFonts w:hint="eastAsia" w:ascii="宋体" w:hAnsi="宋体" w:eastAsia="宋体" w:cs="宋体"/>
                <w:sz w:val="24"/>
              </w:rPr>
              <w:t>建设期</w:t>
            </w:r>
          </w:p>
        </w:tc>
        <w:tc>
          <w:tcPr>
            <w:tcW w:w="5444" w:type="dxa"/>
            <w:vAlign w:val="center"/>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rPr>
                <w:rFonts w:hint="eastAsia" w:ascii="宋体" w:hAnsi="宋体" w:eastAsia="宋体" w:cs="宋体"/>
                <w:sz w:val="24"/>
              </w:rPr>
            </w:pPr>
            <w:r>
              <w:rPr>
                <w:rFonts w:hint="eastAsia" w:ascii="宋体" w:hAnsi="宋体" w:eastAsia="宋体" w:cs="宋体"/>
                <w:sz w:val="24"/>
              </w:rPr>
              <w:t>质保期</w:t>
            </w:r>
          </w:p>
        </w:tc>
        <w:tc>
          <w:tcPr>
            <w:tcW w:w="5444" w:type="dxa"/>
            <w:vAlign w:val="center"/>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rPr>
                <w:rFonts w:hint="eastAsia" w:ascii="宋体" w:hAnsi="宋体" w:eastAsia="宋体" w:cs="宋体"/>
                <w:sz w:val="24"/>
              </w:rPr>
            </w:pPr>
            <w:r>
              <w:rPr>
                <w:rFonts w:hint="eastAsia" w:ascii="宋体" w:hAnsi="宋体" w:eastAsia="宋体" w:cs="宋体"/>
                <w:sz w:val="24"/>
              </w:rPr>
              <w:t>质量标准</w:t>
            </w:r>
          </w:p>
        </w:tc>
        <w:tc>
          <w:tcPr>
            <w:tcW w:w="5444" w:type="dxa"/>
            <w:vAlign w:val="center"/>
          </w:tcPr>
          <w:p>
            <w:pPr>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rPr>
                <w:rFonts w:hint="eastAsia" w:ascii="宋体" w:hAnsi="宋体" w:eastAsia="宋体" w:cs="宋体"/>
                <w:sz w:val="24"/>
              </w:rPr>
            </w:pPr>
            <w:r>
              <w:rPr>
                <w:rFonts w:hint="eastAsia" w:ascii="宋体" w:hAnsi="宋体" w:eastAsia="宋体" w:cs="宋体"/>
                <w:sz w:val="24"/>
              </w:rPr>
              <w:t>其他说明事项</w:t>
            </w:r>
          </w:p>
        </w:tc>
        <w:tc>
          <w:tcPr>
            <w:tcW w:w="5444" w:type="dxa"/>
            <w:vAlign w:val="center"/>
          </w:tcPr>
          <w:p>
            <w:pPr>
              <w:pStyle w:val="4"/>
              <w:numPr>
                <w:ilvl w:val="2"/>
                <w:numId w:val="0"/>
              </w:numPr>
              <w:rPr>
                <w:rFonts w:hint="eastAsia" w:ascii="宋体" w:hAnsi="宋体" w:eastAsia="宋体" w:cs="宋体"/>
                <w:sz w:val="24"/>
              </w:rPr>
            </w:pPr>
          </w:p>
        </w:tc>
      </w:tr>
    </w:tbl>
    <w:p>
      <w:pPr>
        <w:spacing w:line="360" w:lineRule="auto"/>
        <w:rPr>
          <w:rFonts w:hint="eastAsia" w:ascii="宋体" w:hAnsi="宋体" w:eastAsia="宋体" w:cs="宋体"/>
        </w:rPr>
      </w:pPr>
    </w:p>
    <w:p>
      <w:pPr>
        <w:rPr>
          <w:rFonts w:hint="eastAsia" w:ascii="宋体" w:hAnsi="宋体" w:eastAsia="宋体" w:cs="宋体"/>
        </w:rPr>
      </w:pP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bookmarkStart w:id="123" w:name="_Toc75259383"/>
    </w:p>
    <w:p>
      <w:pPr>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bCs/>
          <w:color w:val="000000"/>
          <w:kern w:val="0"/>
          <w:sz w:val="24"/>
        </w:rPr>
      </w:pPr>
      <w:r>
        <w:rPr>
          <w:rFonts w:hint="eastAsia" w:ascii="宋体" w:hAnsi="宋体" w:eastAsia="宋体" w:cs="宋体"/>
          <w:b/>
          <w:sz w:val="32"/>
          <w:szCs w:val="32"/>
        </w:rPr>
        <w:t>分项报价表</w:t>
      </w:r>
    </w:p>
    <w:p>
      <w:pPr>
        <w:pStyle w:val="56"/>
        <w:rPr>
          <w:rFonts w:hint="eastAsia" w:ascii="宋体" w:hAnsi="宋体" w:eastAsia="宋体" w:cs="宋体"/>
          <w:b/>
          <w:bCs/>
        </w:rPr>
      </w:pPr>
    </w:p>
    <w:p>
      <w:pPr>
        <w:pStyle w:val="56"/>
        <w:rPr>
          <w:rFonts w:hint="eastAsia" w:ascii="宋体" w:hAnsi="宋体" w:eastAsia="宋体" w:cs="宋体"/>
          <w:b/>
          <w:bCs/>
        </w:rPr>
      </w:pPr>
      <w:r>
        <w:rPr>
          <w:rFonts w:hint="eastAsia" w:ascii="宋体" w:hAnsi="宋体" w:eastAsia="宋体" w:cs="宋体"/>
          <w:b/>
          <w:bCs/>
        </w:rPr>
        <w:t xml:space="preserve">项目名称：                                                     </w:t>
      </w:r>
    </w:p>
    <w:p>
      <w:pPr>
        <w:pStyle w:val="56"/>
        <w:jc w:val="both"/>
        <w:rPr>
          <w:rFonts w:hint="eastAsia" w:ascii="宋体" w:hAnsi="宋体" w:eastAsia="宋体" w:cs="宋体"/>
          <w:b/>
          <w:bCs/>
        </w:rPr>
      </w:pPr>
    </w:p>
    <w:p>
      <w:pPr>
        <w:pStyle w:val="56"/>
        <w:jc w:val="both"/>
        <w:rPr>
          <w:rFonts w:hint="eastAsia" w:ascii="宋体" w:hAnsi="宋体" w:eastAsia="宋体" w:cs="宋体"/>
          <w:b/>
          <w:bCs/>
        </w:rPr>
      </w:pPr>
      <w:r>
        <w:rPr>
          <w:rFonts w:hint="eastAsia" w:ascii="宋体" w:hAnsi="宋体" w:eastAsia="宋体" w:cs="宋体"/>
          <w:b/>
          <w:bCs/>
        </w:rPr>
        <w:t>项目编号：                                                      单位：元</w:t>
      </w:r>
    </w:p>
    <w:p>
      <w:pPr>
        <w:pStyle w:val="56"/>
        <w:rPr>
          <w:rFonts w:hint="eastAsia" w:ascii="宋体" w:hAnsi="宋体" w:eastAsia="宋体" w:cs="宋体"/>
          <w:bCs/>
          <w:sz w:val="21"/>
          <w:szCs w:val="21"/>
        </w:rPr>
      </w:pPr>
      <w:r>
        <w:rPr>
          <w:rFonts w:hint="eastAsia" w:ascii="宋体" w:hAnsi="宋体" w:eastAsia="宋体" w:cs="宋体"/>
          <w:b/>
          <w:bCs/>
        </w:rPr>
        <w:t xml:space="preserve">                                                                                                     </w:t>
      </w:r>
    </w:p>
    <w:tbl>
      <w:tblPr>
        <w:tblStyle w:val="26"/>
        <w:tblW w:w="9017"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245"/>
        <w:gridCol w:w="1034"/>
        <w:gridCol w:w="1071"/>
        <w:gridCol w:w="1066"/>
        <w:gridCol w:w="1100"/>
        <w:gridCol w:w="1020"/>
        <w:gridCol w:w="826"/>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17"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1245"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设备名称</w:t>
            </w:r>
          </w:p>
        </w:tc>
        <w:tc>
          <w:tcPr>
            <w:tcW w:w="1034"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品牌</w:t>
            </w:r>
          </w:p>
        </w:tc>
        <w:tc>
          <w:tcPr>
            <w:tcW w:w="1071"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型号</w:t>
            </w:r>
          </w:p>
        </w:tc>
        <w:tc>
          <w:tcPr>
            <w:tcW w:w="1066"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数量</w:t>
            </w:r>
          </w:p>
        </w:tc>
        <w:tc>
          <w:tcPr>
            <w:tcW w:w="1100" w:type="dxa"/>
            <w:vAlign w:val="center"/>
          </w:tcPr>
          <w:p>
            <w:pPr>
              <w:widowControl/>
              <w:spacing w:line="5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单位</w:t>
            </w:r>
          </w:p>
        </w:tc>
        <w:tc>
          <w:tcPr>
            <w:tcW w:w="1020"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单价（元）</w:t>
            </w: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总价（元）</w:t>
            </w: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17"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245"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34"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71"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6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10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2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7" w:type="dxa"/>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245"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34"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71"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6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10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1020"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53" w:type="dxa"/>
            <w:gridSpan w:val="7"/>
            <w:vAlign w:val="center"/>
          </w:tcPr>
          <w:p>
            <w:pPr>
              <w:widowControl/>
              <w:spacing w:line="5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826"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c>
          <w:tcPr>
            <w:tcW w:w="738" w:type="dxa"/>
            <w:vAlign w:val="center"/>
          </w:tcPr>
          <w:p>
            <w:pPr>
              <w:widowControl/>
              <w:spacing w:line="500" w:lineRule="exact"/>
              <w:jc w:val="center"/>
              <w:textAlignment w:val="center"/>
              <w:rPr>
                <w:rFonts w:hint="eastAsia" w:ascii="宋体" w:hAnsi="宋体" w:eastAsia="宋体" w:cs="宋体"/>
                <w:color w:val="000000"/>
                <w:kern w:val="0"/>
                <w:sz w:val="24"/>
                <w:lang w:bidi="ar"/>
              </w:rPr>
            </w:pPr>
          </w:p>
        </w:tc>
      </w:tr>
    </w:tbl>
    <w:p>
      <w:pPr>
        <w:spacing w:line="360" w:lineRule="auto"/>
        <w:ind w:firstLine="3904" w:firstLineChars="1627"/>
        <w:rPr>
          <w:rFonts w:hint="eastAsia" w:ascii="宋体" w:hAnsi="宋体" w:eastAsia="宋体" w:cs="宋体"/>
          <w:sz w:val="24"/>
        </w:rPr>
      </w:pPr>
    </w:p>
    <w:p>
      <w:pPr>
        <w:spacing w:line="360" w:lineRule="auto"/>
        <w:ind w:firstLine="3904" w:firstLineChars="1627"/>
        <w:rPr>
          <w:rFonts w:hint="eastAsia" w:ascii="宋体" w:hAnsi="宋体" w:eastAsia="宋体" w:cs="宋体"/>
          <w:sz w:val="24"/>
        </w:rPr>
      </w:pPr>
    </w:p>
    <w:p>
      <w:pPr>
        <w:spacing w:line="360" w:lineRule="auto"/>
        <w:ind w:firstLine="3904" w:firstLineChars="1627"/>
        <w:rPr>
          <w:rFonts w:hint="eastAsia" w:ascii="宋体" w:hAnsi="宋体" w:eastAsia="宋体" w:cs="宋体"/>
          <w:sz w:val="24"/>
        </w:rPr>
      </w:pPr>
    </w:p>
    <w:p>
      <w:pPr>
        <w:spacing w:line="360" w:lineRule="auto"/>
        <w:ind w:firstLine="3904" w:firstLineChars="1627"/>
        <w:rPr>
          <w:rFonts w:hint="eastAsia" w:ascii="宋体" w:hAnsi="宋体" w:eastAsia="宋体" w:cs="宋体"/>
          <w:sz w:val="24"/>
        </w:rPr>
      </w:pPr>
    </w:p>
    <w:p>
      <w:pPr>
        <w:spacing w:line="360" w:lineRule="auto"/>
        <w:ind w:firstLine="3904" w:firstLineChars="1627"/>
        <w:rPr>
          <w:rFonts w:hint="eastAsia" w:ascii="宋体" w:hAnsi="宋体" w:eastAsia="宋体" w:cs="宋体"/>
          <w:sz w:val="24"/>
        </w:rPr>
      </w:pP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rPr>
      </w:pPr>
      <w:r>
        <w:rPr>
          <w:rFonts w:hint="eastAsia" w:ascii="宋体" w:hAnsi="宋体" w:eastAsia="宋体" w:cs="宋体"/>
          <w:sz w:val="24"/>
        </w:rPr>
        <w:t>日    期：</w:t>
      </w:r>
      <w:r>
        <w:rPr>
          <w:rFonts w:hint="eastAsia" w:ascii="宋体" w:hAnsi="宋体" w:eastAsia="宋体" w:cs="宋体"/>
          <w:sz w:val="24"/>
          <w:u w:val="single"/>
        </w:rPr>
        <w:t xml:space="preserve">                                 </w:t>
      </w:r>
    </w:p>
    <w:bookmarkEnd w:id="123"/>
    <w:p>
      <w:pPr>
        <w:rPr>
          <w:rFonts w:hint="eastAsia" w:ascii="宋体" w:hAnsi="宋体" w:eastAsia="宋体" w:cs="宋体"/>
          <w:bCs/>
          <w:sz w:val="32"/>
          <w:szCs w:val="32"/>
        </w:rPr>
      </w:pPr>
      <w:r>
        <w:rPr>
          <w:rFonts w:hint="eastAsia" w:ascii="宋体" w:hAnsi="宋体" w:eastAsia="宋体" w:cs="宋体"/>
          <w:b/>
          <w:sz w:val="32"/>
          <w:szCs w:val="32"/>
        </w:rPr>
        <w:br w:type="page"/>
      </w:r>
    </w:p>
    <w:p>
      <w:pPr>
        <w:spacing w:line="360" w:lineRule="auto"/>
        <w:jc w:val="center"/>
        <w:rPr>
          <w:rFonts w:hint="eastAsia" w:ascii="宋体" w:hAnsi="宋体" w:eastAsia="宋体" w:cs="宋体"/>
          <w:b/>
          <w:sz w:val="32"/>
          <w:szCs w:val="32"/>
        </w:rPr>
      </w:pPr>
      <w:bookmarkStart w:id="124" w:name="_Toc75259385"/>
      <w:r>
        <w:rPr>
          <w:rFonts w:hint="eastAsia" w:ascii="宋体" w:hAnsi="宋体" w:eastAsia="宋体" w:cs="宋体"/>
          <w:b/>
          <w:sz w:val="32"/>
          <w:szCs w:val="32"/>
        </w:rPr>
        <w:t>技术参数响应表</w:t>
      </w:r>
    </w:p>
    <w:p>
      <w:pPr>
        <w:spacing w:line="360" w:lineRule="auto"/>
        <w:jc w:val="left"/>
        <w:rPr>
          <w:rFonts w:hint="eastAsia" w:ascii="宋体" w:hAnsi="宋体" w:eastAsia="宋体" w:cs="宋体"/>
          <w:b/>
          <w:bCs/>
          <w:spacing w:val="-6"/>
          <w:sz w:val="24"/>
          <w:szCs w:val="32"/>
        </w:rPr>
      </w:pPr>
    </w:p>
    <w:p>
      <w:pPr>
        <w:spacing w:line="360" w:lineRule="auto"/>
        <w:jc w:val="left"/>
        <w:rPr>
          <w:rFonts w:hint="eastAsia" w:ascii="宋体" w:hAnsi="宋体" w:eastAsia="宋体" w:cs="宋体"/>
          <w:sz w:val="24"/>
        </w:rPr>
      </w:pPr>
      <w:r>
        <w:rPr>
          <w:rFonts w:hint="eastAsia" w:ascii="宋体" w:hAnsi="宋体" w:eastAsia="宋体" w:cs="宋体"/>
          <w:sz w:val="24"/>
        </w:rPr>
        <w:t>项目名称：延安市考试管理中心高考综合改革信息化管理平台建设项目</w:t>
      </w:r>
    </w:p>
    <w:tbl>
      <w:tblPr>
        <w:tblStyle w:val="26"/>
        <w:tblW w:w="93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910"/>
        <w:gridCol w:w="2437"/>
        <w:gridCol w:w="1635"/>
        <w:gridCol w:w="1170"/>
        <w:gridCol w:w="13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名称</w:t>
            </w: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招标文件要求</w:t>
            </w: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投标响应情况</w:t>
            </w: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偏离</w:t>
            </w: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rPr>
              <w:t>1</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rPr>
              <w:t>2</w:t>
            </w:r>
          </w:p>
        </w:tc>
        <w:tc>
          <w:tcPr>
            <w:tcW w:w="1910" w:type="dxa"/>
            <w:tcBorders>
              <w:top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rPr>
              <w:t>3</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rPr>
            </w:pPr>
            <w:r>
              <w:rPr>
                <w:rFonts w:hint="eastAsia" w:ascii="宋体" w:hAnsi="宋体" w:eastAsia="宋体" w:cs="宋体"/>
              </w:rPr>
              <w:t>...</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bl>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注：1、投标人可根据招标文件第四部分 采购需求，对所投产品技术参数如实做出偏离说明（负偏离、无偏离、正偏离），表格不够，可自行添加；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rPr>
        <w:t>出现负偏离、正偏离说明原因；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3.</w:t>
      </w:r>
      <w:r>
        <w:rPr>
          <w:rFonts w:hint="eastAsia" w:ascii="宋体" w:hAnsi="宋体" w:eastAsia="宋体" w:cs="宋体"/>
          <w:sz w:val="24"/>
        </w:rPr>
        <w:t>出现偏离会影响评审分值，但不得影响采购人正常使用。</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widowControl/>
        <w:spacing w:line="360" w:lineRule="auto"/>
        <w:jc w:val="center"/>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pPr>
        <w:widowControl/>
        <w:spacing w:line="360" w:lineRule="auto"/>
        <w:jc w:val="center"/>
        <w:rPr>
          <w:rFonts w:hint="eastAsia" w:ascii="宋体" w:hAnsi="宋体" w:eastAsia="宋体" w:cs="宋体"/>
          <w:sz w:val="24"/>
          <w:u w:val="single"/>
        </w:rPr>
      </w:pPr>
    </w:p>
    <w:p>
      <w:pPr>
        <w:widowControl/>
        <w:spacing w:line="360" w:lineRule="auto"/>
        <w:jc w:val="center"/>
        <w:rPr>
          <w:rFonts w:hint="eastAsia" w:ascii="宋体" w:hAnsi="宋体" w:eastAsia="宋体" w:cs="宋体"/>
          <w:sz w:val="24"/>
          <w:u w:val="single"/>
        </w:rPr>
      </w:pPr>
    </w:p>
    <w:p>
      <w:pPr>
        <w:widowControl/>
        <w:spacing w:line="360" w:lineRule="auto"/>
        <w:jc w:val="center"/>
        <w:rPr>
          <w:rFonts w:hint="eastAsia" w:ascii="宋体" w:hAnsi="宋体" w:eastAsia="宋体" w:cs="宋体"/>
          <w:sz w:val="24"/>
          <w:u w:val="single"/>
        </w:rPr>
      </w:pPr>
    </w:p>
    <w:p>
      <w:pPr>
        <w:widowControl/>
        <w:spacing w:line="360" w:lineRule="auto"/>
        <w:jc w:val="center"/>
        <w:rPr>
          <w:rFonts w:hint="eastAsia" w:ascii="宋体" w:hAnsi="宋体" w:eastAsia="宋体" w:cs="宋体"/>
          <w:sz w:val="24"/>
          <w:u w:val="single"/>
        </w:rPr>
      </w:pPr>
    </w:p>
    <w:p>
      <w:pPr>
        <w:widowControl/>
        <w:spacing w:line="360" w:lineRule="auto"/>
        <w:rPr>
          <w:rFonts w:hint="eastAsia" w:ascii="宋体" w:hAnsi="宋体" w:eastAsia="宋体" w:cs="宋体"/>
          <w:sz w:val="24"/>
          <w:u w:val="single"/>
        </w:rPr>
      </w:pPr>
    </w:p>
    <w:p>
      <w:pPr>
        <w:widowControl/>
        <w:spacing w:line="360" w:lineRule="auto"/>
        <w:rPr>
          <w:rFonts w:hint="eastAsia" w:ascii="宋体" w:hAnsi="宋体" w:eastAsia="宋体" w:cs="宋体"/>
          <w:sz w:val="24"/>
          <w:u w:val="single"/>
        </w:rPr>
      </w:pPr>
    </w:p>
    <w:p>
      <w:pPr>
        <w:widowControl/>
        <w:spacing w:line="360" w:lineRule="auto"/>
        <w:jc w:val="center"/>
        <w:outlineLvl w:val="1"/>
        <w:rPr>
          <w:rFonts w:hint="eastAsia" w:ascii="宋体" w:hAnsi="宋体" w:eastAsia="宋体" w:cs="宋体"/>
          <w:b/>
          <w:sz w:val="30"/>
          <w:szCs w:val="30"/>
        </w:rPr>
      </w:pPr>
      <w:bookmarkStart w:id="125" w:name="_Toc2065"/>
      <w:r>
        <w:rPr>
          <w:rFonts w:hint="eastAsia" w:ascii="宋体" w:hAnsi="宋体" w:eastAsia="宋体" w:cs="宋体"/>
          <w:b/>
          <w:sz w:val="32"/>
        </w:rPr>
        <w:t>三、</w:t>
      </w:r>
      <w:bookmarkStart w:id="126" w:name="_Hlk63340562"/>
      <w:r>
        <w:rPr>
          <w:rFonts w:hint="eastAsia" w:ascii="宋体" w:hAnsi="宋体" w:eastAsia="宋体" w:cs="宋体"/>
          <w:b/>
          <w:sz w:val="32"/>
        </w:rPr>
        <w:t>法定代表人（自然人）身份证明</w:t>
      </w:r>
      <w:bookmarkEnd w:id="124"/>
      <w:bookmarkEnd w:id="125"/>
    </w:p>
    <w:bookmarkEnd w:id="126"/>
    <w:p>
      <w:pPr>
        <w:autoSpaceDE w:val="0"/>
        <w:autoSpaceDN w:val="0"/>
        <w:adjustRightInd w:val="0"/>
        <w:spacing w:line="360" w:lineRule="auto"/>
        <w:jc w:val="right"/>
        <w:rPr>
          <w:rFonts w:hint="eastAsia" w:ascii="宋体" w:hAnsi="宋体" w:eastAsia="宋体" w:cs="宋体"/>
          <w:szCs w:val="21"/>
          <w:lang w:val="zh-CN"/>
        </w:rPr>
      </w:pPr>
    </w:p>
    <w:p>
      <w:pPr>
        <w:autoSpaceDE w:val="0"/>
        <w:autoSpaceDN w:val="0"/>
        <w:adjustRightInd w:val="0"/>
        <w:spacing w:line="600" w:lineRule="auto"/>
        <w:ind w:right="105"/>
        <w:jc w:val="left"/>
        <w:rPr>
          <w:rFonts w:hint="eastAsia" w:ascii="宋体" w:hAnsi="宋体" w:eastAsia="宋体" w:cs="宋体"/>
          <w:sz w:val="24"/>
          <w:lang w:val="zh-CN"/>
        </w:rPr>
      </w:pPr>
      <w:r>
        <w:rPr>
          <w:rFonts w:hint="eastAsia" w:ascii="宋体" w:hAnsi="宋体" w:eastAsia="宋体" w:cs="宋体"/>
          <w:sz w:val="24"/>
          <w:lang w:val="zh-CN"/>
        </w:rPr>
        <w:t>投标人名称：</w:t>
      </w:r>
      <w:r>
        <w:rPr>
          <w:rFonts w:hint="eastAsia" w:ascii="宋体" w:hAnsi="宋体" w:eastAsia="宋体" w:cs="宋体"/>
          <w:sz w:val="24"/>
          <w:u w:val="single"/>
          <w:lang w:val="zh-CN"/>
        </w:rPr>
        <w:t xml:space="preserve">                                    </w:t>
      </w:r>
    </w:p>
    <w:p>
      <w:pPr>
        <w:autoSpaceDE w:val="0"/>
        <w:autoSpaceDN w:val="0"/>
        <w:adjustRightInd w:val="0"/>
        <w:spacing w:line="600" w:lineRule="auto"/>
        <w:ind w:right="105"/>
        <w:jc w:val="left"/>
        <w:rPr>
          <w:rFonts w:hint="eastAsia" w:ascii="宋体" w:hAnsi="宋体" w:eastAsia="宋体" w:cs="宋体"/>
          <w:sz w:val="24"/>
          <w:lang w:val="zh-CN"/>
        </w:rPr>
      </w:pPr>
      <w:r>
        <w:rPr>
          <w:rFonts w:hint="eastAsia" w:ascii="宋体" w:hAnsi="宋体" w:eastAsia="宋体" w:cs="宋体"/>
          <w:sz w:val="24"/>
          <w:lang w:val="zh-CN"/>
        </w:rPr>
        <w:t>姓名：</w:t>
      </w:r>
      <w:r>
        <w:rPr>
          <w:rFonts w:hint="eastAsia" w:ascii="宋体" w:hAnsi="宋体" w:eastAsia="宋体" w:cs="宋体"/>
          <w:sz w:val="24"/>
          <w:u w:val="single"/>
          <w:lang w:val="zh-CN"/>
        </w:rPr>
        <w:t xml:space="preserve">      </w:t>
      </w:r>
      <w:r>
        <w:rPr>
          <w:rFonts w:hint="eastAsia" w:ascii="宋体" w:hAnsi="宋体" w:eastAsia="宋体" w:cs="宋体"/>
          <w:sz w:val="24"/>
          <w:lang w:val="zh-CN"/>
        </w:rPr>
        <w:t>性别：</w:t>
      </w:r>
      <w:r>
        <w:rPr>
          <w:rFonts w:hint="eastAsia" w:ascii="宋体" w:hAnsi="宋体" w:eastAsia="宋体" w:cs="宋体"/>
          <w:sz w:val="24"/>
          <w:u w:val="single"/>
          <w:lang w:val="zh-CN"/>
        </w:rPr>
        <w:t xml:space="preserve">      </w:t>
      </w:r>
      <w:r>
        <w:rPr>
          <w:rFonts w:hint="eastAsia" w:ascii="宋体" w:hAnsi="宋体" w:eastAsia="宋体" w:cs="宋体"/>
          <w:sz w:val="24"/>
          <w:lang w:val="zh-CN"/>
        </w:rPr>
        <w:t>年龄：</w:t>
      </w:r>
      <w:r>
        <w:rPr>
          <w:rFonts w:hint="eastAsia" w:ascii="宋体" w:hAnsi="宋体" w:eastAsia="宋体" w:cs="宋体"/>
          <w:sz w:val="24"/>
          <w:u w:val="single"/>
          <w:lang w:val="zh-CN"/>
        </w:rPr>
        <w:t xml:space="preserve">      </w:t>
      </w:r>
      <w:r>
        <w:rPr>
          <w:rFonts w:hint="eastAsia" w:ascii="宋体" w:hAnsi="宋体" w:eastAsia="宋体" w:cs="宋体"/>
          <w:sz w:val="24"/>
          <w:lang w:val="zh-CN"/>
        </w:rPr>
        <w:t>职务：</w:t>
      </w:r>
      <w:r>
        <w:rPr>
          <w:rFonts w:hint="eastAsia" w:ascii="宋体" w:hAnsi="宋体" w:eastAsia="宋体" w:cs="宋体"/>
          <w:sz w:val="24"/>
          <w:u w:val="single"/>
          <w:lang w:val="zh-CN"/>
        </w:rPr>
        <w:t xml:space="preserve">      </w:t>
      </w:r>
      <w:r>
        <w:rPr>
          <w:rFonts w:hint="eastAsia" w:ascii="宋体" w:hAnsi="宋体" w:eastAsia="宋体" w:cs="宋体"/>
          <w:sz w:val="24"/>
          <w:lang w:val="zh-CN"/>
        </w:rPr>
        <w:t>系</w:t>
      </w:r>
      <w:r>
        <w:rPr>
          <w:rFonts w:hint="eastAsia" w:ascii="宋体" w:hAnsi="宋体" w:eastAsia="宋体" w:cs="宋体"/>
          <w:sz w:val="24"/>
          <w:u w:val="single"/>
          <w:lang w:val="zh-CN"/>
        </w:rPr>
        <w:t xml:space="preserve">                 </w:t>
      </w:r>
      <w:r>
        <w:rPr>
          <w:rFonts w:hint="eastAsia" w:ascii="宋体" w:hAnsi="宋体" w:eastAsia="宋体" w:cs="宋体"/>
          <w:sz w:val="24"/>
          <w:lang w:val="zh-CN"/>
        </w:rPr>
        <w:t>（投标人名称）的法定代表人。</w:t>
      </w:r>
    </w:p>
    <w:p>
      <w:pPr>
        <w:autoSpaceDE w:val="0"/>
        <w:autoSpaceDN w:val="0"/>
        <w:adjustRightInd w:val="0"/>
        <w:spacing w:line="600" w:lineRule="auto"/>
        <w:ind w:right="105" w:firstLine="480" w:firstLineChars="200"/>
        <w:jc w:val="left"/>
        <w:rPr>
          <w:rFonts w:hint="eastAsia" w:ascii="宋体" w:hAnsi="宋体" w:eastAsia="宋体" w:cs="宋体"/>
          <w:sz w:val="24"/>
          <w:lang w:val="zh-CN"/>
        </w:rPr>
      </w:pPr>
      <w:r>
        <w:rPr>
          <w:rFonts w:hint="eastAsia" w:ascii="宋体" w:hAnsi="宋体" w:eastAsia="宋体" w:cs="宋体"/>
          <w:sz w:val="24"/>
          <w:lang w:val="zh-CN"/>
        </w:rPr>
        <w:t>特此证明。</w:t>
      </w:r>
    </w:p>
    <w:p>
      <w:pPr>
        <w:autoSpaceDE w:val="0"/>
        <w:autoSpaceDN w:val="0"/>
        <w:adjustRightInd w:val="0"/>
        <w:spacing w:line="360" w:lineRule="auto"/>
        <w:ind w:right="105"/>
        <w:jc w:val="left"/>
        <w:rPr>
          <w:rFonts w:hint="eastAsia" w:ascii="宋体" w:hAnsi="宋体" w:eastAsia="宋体" w:cs="宋体"/>
          <w:sz w:val="24"/>
          <w:lang w:val="zh-CN"/>
        </w:rPr>
      </w:pPr>
      <w:r>
        <w:rPr>
          <w:rFonts w:hint="eastAsia" w:ascii="宋体" w:hAnsi="宋体" w:eastAsia="宋体" w:cs="宋体"/>
          <w:sz w:val="24"/>
          <w:lang w:val="zh-CN"/>
        </w:rPr>
        <w:t>附：法定代表人身份证复印件。</w:t>
      </w:r>
    </w:p>
    <w:tbl>
      <w:tblPr>
        <w:tblStyle w:val="2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tcPr>
          <w:p>
            <w:pPr>
              <w:autoSpaceDE w:val="0"/>
              <w:autoSpaceDN w:val="0"/>
              <w:adjustRightInd w:val="0"/>
              <w:spacing w:line="360" w:lineRule="auto"/>
              <w:ind w:right="105"/>
              <w:jc w:val="left"/>
              <w:rPr>
                <w:rFonts w:hint="eastAsia" w:ascii="宋体" w:hAnsi="宋体" w:eastAsia="宋体" w:cs="宋体"/>
                <w:sz w:val="24"/>
                <w:lang w:val="zh-CN"/>
              </w:rPr>
            </w:pPr>
          </w:p>
        </w:tc>
        <w:tc>
          <w:tcPr>
            <w:tcW w:w="4550" w:type="dxa"/>
          </w:tcPr>
          <w:p>
            <w:pPr>
              <w:autoSpaceDE w:val="0"/>
              <w:autoSpaceDN w:val="0"/>
              <w:adjustRightInd w:val="0"/>
              <w:spacing w:line="360" w:lineRule="auto"/>
              <w:ind w:right="105"/>
              <w:jc w:val="left"/>
              <w:rPr>
                <w:rFonts w:hint="eastAsia" w:ascii="宋体" w:hAnsi="宋体" w:eastAsia="宋体" w:cs="宋体"/>
                <w:sz w:val="24"/>
                <w:lang w:val="zh-CN"/>
              </w:rPr>
            </w:pPr>
          </w:p>
        </w:tc>
      </w:tr>
    </w:tbl>
    <w:p>
      <w:pPr>
        <w:autoSpaceDE w:val="0"/>
        <w:autoSpaceDN w:val="0"/>
        <w:adjustRightInd w:val="0"/>
        <w:spacing w:line="360" w:lineRule="auto"/>
        <w:ind w:right="105"/>
        <w:jc w:val="left"/>
        <w:rPr>
          <w:rFonts w:hint="eastAsia" w:ascii="宋体" w:hAnsi="宋体" w:eastAsia="宋体" w:cs="宋体"/>
          <w:sz w:val="24"/>
          <w:lang w:val="zh-CN"/>
        </w:rPr>
      </w:pPr>
    </w:p>
    <w:p>
      <w:pPr>
        <w:autoSpaceDE w:val="0"/>
        <w:autoSpaceDN w:val="0"/>
        <w:adjustRightInd w:val="0"/>
        <w:spacing w:line="360" w:lineRule="auto"/>
        <w:ind w:right="105"/>
        <w:jc w:val="left"/>
        <w:rPr>
          <w:rFonts w:hint="eastAsia" w:ascii="宋体" w:hAnsi="宋体" w:eastAsia="宋体" w:cs="宋体"/>
          <w:sz w:val="24"/>
          <w:lang w:val="zh-CN"/>
        </w:rPr>
      </w:pPr>
    </w:p>
    <w:p>
      <w:pPr>
        <w:rPr>
          <w:rFonts w:hint="eastAsia" w:ascii="宋体" w:hAnsi="宋体" w:eastAsia="宋体" w:cs="宋体"/>
          <w:lang w:val="zh-CN"/>
        </w:rPr>
      </w:pPr>
    </w:p>
    <w:p>
      <w:pPr>
        <w:autoSpaceDE w:val="0"/>
        <w:autoSpaceDN w:val="0"/>
        <w:adjustRightInd w:val="0"/>
        <w:spacing w:line="360" w:lineRule="auto"/>
        <w:ind w:right="105"/>
        <w:jc w:val="left"/>
        <w:rPr>
          <w:rFonts w:hint="eastAsia" w:ascii="宋体" w:hAnsi="宋体" w:eastAsia="宋体" w:cs="宋体"/>
          <w:sz w:val="24"/>
          <w:lang w:val="zh-CN"/>
        </w:rPr>
      </w:pPr>
    </w:p>
    <w:p>
      <w:pPr>
        <w:autoSpaceDE w:val="0"/>
        <w:autoSpaceDN w:val="0"/>
        <w:adjustRightInd w:val="0"/>
        <w:spacing w:line="360" w:lineRule="auto"/>
        <w:ind w:right="105"/>
        <w:jc w:val="left"/>
        <w:rPr>
          <w:rFonts w:hint="eastAsia" w:ascii="宋体" w:hAnsi="宋体" w:eastAsia="宋体" w:cs="宋体"/>
          <w:sz w:val="24"/>
          <w:lang w:val="zh-CN"/>
        </w:rPr>
      </w:pPr>
      <w:r>
        <w:rPr>
          <w:rFonts w:hint="eastAsia" w:ascii="宋体" w:hAnsi="宋体" w:eastAsia="宋体" w:cs="宋体"/>
          <w:sz w:val="24"/>
          <w:lang w:val="zh-CN"/>
        </w:rPr>
        <w:t>注：自然人</w:t>
      </w:r>
      <w:r>
        <w:rPr>
          <w:rFonts w:hint="eastAsia" w:ascii="宋体" w:hAnsi="宋体" w:eastAsia="宋体" w:cs="宋体"/>
          <w:sz w:val="24"/>
        </w:rPr>
        <w:t>投</w:t>
      </w:r>
      <w:r>
        <w:rPr>
          <w:rFonts w:hint="eastAsia" w:ascii="宋体" w:hAnsi="宋体" w:eastAsia="宋体" w:cs="宋体"/>
          <w:sz w:val="24"/>
          <w:lang w:val="zh-CN"/>
        </w:rPr>
        <w:t>标的此处只附身份证复印件。</w:t>
      </w:r>
    </w:p>
    <w:p>
      <w:pPr>
        <w:autoSpaceDE w:val="0"/>
        <w:autoSpaceDN w:val="0"/>
        <w:adjustRightInd w:val="0"/>
        <w:spacing w:line="360" w:lineRule="auto"/>
        <w:ind w:right="105"/>
        <w:jc w:val="left"/>
        <w:rPr>
          <w:rFonts w:hint="eastAsia" w:ascii="宋体" w:hAnsi="宋体" w:eastAsia="宋体" w:cs="宋体"/>
          <w:szCs w:val="21"/>
          <w:lang w:val="zh-CN"/>
        </w:rPr>
      </w:pPr>
    </w:p>
    <w:p>
      <w:pPr>
        <w:autoSpaceDE w:val="0"/>
        <w:autoSpaceDN w:val="0"/>
        <w:adjustRightInd w:val="0"/>
        <w:spacing w:line="360" w:lineRule="auto"/>
        <w:ind w:right="105"/>
        <w:jc w:val="left"/>
        <w:rPr>
          <w:rFonts w:hint="eastAsia" w:ascii="宋体" w:hAnsi="宋体" w:eastAsia="宋体" w:cs="宋体"/>
          <w:szCs w:val="21"/>
          <w:lang w:val="zh-CN"/>
        </w:rPr>
      </w:pP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pPr>
        <w:autoSpaceDE w:val="0"/>
        <w:autoSpaceDN w:val="0"/>
        <w:adjustRightInd w:val="0"/>
        <w:spacing w:line="360" w:lineRule="auto"/>
        <w:jc w:val="left"/>
        <w:rPr>
          <w:rFonts w:hint="eastAsia" w:ascii="宋体" w:hAnsi="宋体" w:eastAsia="宋体" w:cs="宋体"/>
          <w:szCs w:val="21"/>
          <w:lang w:val="zh-CN"/>
        </w:rPr>
      </w:pPr>
    </w:p>
    <w:p>
      <w:pPr>
        <w:spacing w:line="360" w:lineRule="auto"/>
        <w:ind w:firstLine="210"/>
        <w:jc w:val="center"/>
        <w:rPr>
          <w:rFonts w:hint="eastAsia" w:ascii="宋体" w:hAnsi="宋体" w:eastAsia="宋体" w:cs="宋体"/>
          <w:b/>
          <w:sz w:val="32"/>
          <w:szCs w:val="32"/>
        </w:rPr>
      </w:pPr>
      <w:r>
        <w:rPr>
          <w:rFonts w:hint="eastAsia" w:ascii="宋体" w:hAnsi="宋体" w:eastAsia="宋体" w:cs="宋体"/>
          <w:szCs w:val="21"/>
          <w:lang w:val="zh-CN"/>
        </w:rPr>
        <w:br w:type="page"/>
      </w:r>
      <w:bookmarkStart w:id="127" w:name="_Toc75259386"/>
      <w:r>
        <w:rPr>
          <w:rFonts w:hint="eastAsia" w:ascii="宋体" w:hAnsi="宋体" w:eastAsia="宋体" w:cs="宋体"/>
          <w:b/>
          <w:bCs/>
          <w:sz w:val="32"/>
          <w:szCs w:val="32"/>
        </w:rPr>
        <w:t>法定代表人</w:t>
      </w:r>
      <w:r>
        <w:rPr>
          <w:rFonts w:hint="eastAsia" w:ascii="宋体" w:hAnsi="宋体" w:eastAsia="宋体" w:cs="宋体"/>
          <w:b/>
          <w:sz w:val="32"/>
          <w:szCs w:val="32"/>
        </w:rPr>
        <w:t>授权委托书</w:t>
      </w:r>
      <w:bookmarkEnd w:id="127"/>
    </w:p>
    <w:p>
      <w:pPr>
        <w:autoSpaceDE w:val="0"/>
        <w:autoSpaceDN w:val="0"/>
        <w:spacing w:line="360" w:lineRule="auto"/>
        <w:ind w:firstLine="480" w:firstLineChars="200"/>
        <w:jc w:val="left"/>
        <w:rPr>
          <w:rFonts w:hint="eastAsia" w:ascii="宋体" w:hAnsi="宋体" w:eastAsia="宋体" w:cs="宋体"/>
          <w:sz w:val="24"/>
          <w:lang w:val="zh-CN"/>
        </w:rPr>
      </w:pPr>
      <w:bookmarkStart w:id="128" w:name="_Toc75259387"/>
      <w:r>
        <w:rPr>
          <w:rFonts w:hint="eastAsia" w:ascii="宋体" w:hAnsi="宋体" w:eastAsia="宋体" w:cs="宋体"/>
          <w:sz w:val="24"/>
          <w:lang w:val="zh-CN"/>
        </w:rPr>
        <w:t>本人</w:t>
      </w:r>
      <w:r>
        <w:rPr>
          <w:rFonts w:hint="eastAsia" w:ascii="宋体" w:hAnsi="宋体" w:eastAsia="宋体" w:cs="宋体"/>
          <w:sz w:val="24"/>
          <w:u w:val="single"/>
          <w:lang w:val="zh-CN"/>
        </w:rPr>
        <w:t xml:space="preserve">      </w:t>
      </w:r>
      <w:r>
        <w:rPr>
          <w:rFonts w:hint="eastAsia" w:ascii="宋体" w:hAnsi="宋体" w:eastAsia="宋体" w:cs="宋体"/>
          <w:sz w:val="24"/>
          <w:lang w:val="zh-CN"/>
        </w:rPr>
        <w:t>（姓名）系</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r>
        <w:rPr>
          <w:rFonts w:hint="eastAsia" w:ascii="宋体" w:hAnsi="宋体" w:eastAsia="宋体" w:cs="宋体"/>
          <w:sz w:val="24"/>
        </w:rPr>
        <w:t>投标人</w:t>
      </w:r>
      <w:r>
        <w:rPr>
          <w:rFonts w:hint="eastAsia" w:ascii="宋体" w:hAnsi="宋体" w:eastAsia="宋体" w:cs="宋体"/>
          <w:sz w:val="24"/>
          <w:lang w:val="zh-CN"/>
        </w:rPr>
        <w:t>名称）的法定代表人，现委托</w:t>
      </w:r>
      <w:r>
        <w:rPr>
          <w:rFonts w:hint="eastAsia" w:ascii="宋体" w:hAnsi="宋体" w:eastAsia="宋体" w:cs="宋体"/>
          <w:sz w:val="24"/>
          <w:u w:val="single"/>
          <w:lang w:val="zh-CN"/>
        </w:rPr>
        <w:t xml:space="preserve">      </w:t>
      </w:r>
      <w:r>
        <w:rPr>
          <w:rFonts w:hint="eastAsia" w:ascii="宋体" w:hAnsi="宋体" w:eastAsia="宋体" w:cs="宋体"/>
          <w:sz w:val="24"/>
          <w:lang w:val="zh-CN"/>
        </w:rPr>
        <w:t>（姓名）为我方</w:t>
      </w:r>
      <w:r>
        <w:rPr>
          <w:rFonts w:hint="eastAsia" w:ascii="宋体" w:hAnsi="宋体" w:eastAsia="宋体" w:cs="宋体"/>
          <w:sz w:val="24"/>
        </w:rPr>
        <w:t>授权代表</w:t>
      </w:r>
      <w:r>
        <w:rPr>
          <w:rFonts w:hint="eastAsia" w:ascii="宋体" w:hAnsi="宋体" w:eastAsia="宋体" w:cs="宋体"/>
          <w:sz w:val="24"/>
          <w:lang w:val="zh-CN"/>
        </w:rPr>
        <w:t>。</w:t>
      </w:r>
      <w:r>
        <w:rPr>
          <w:rFonts w:hint="eastAsia" w:ascii="宋体" w:hAnsi="宋体" w:eastAsia="宋体" w:cs="宋体"/>
          <w:sz w:val="24"/>
        </w:rPr>
        <w:t>授权代表</w:t>
      </w:r>
      <w:r>
        <w:rPr>
          <w:rFonts w:hint="eastAsia" w:ascii="宋体" w:hAnsi="宋体" w:eastAsia="宋体" w:cs="宋体"/>
          <w:sz w:val="24"/>
          <w:lang w:val="zh-CN"/>
        </w:rPr>
        <w:t>根据授权，以我方名义签署、澄清确认、递交、撤回、修改</w:t>
      </w:r>
      <w:r>
        <w:rPr>
          <w:rFonts w:hint="eastAsia" w:ascii="宋体" w:hAnsi="宋体" w:eastAsia="宋体" w:cs="宋体"/>
          <w:sz w:val="24"/>
          <w:u w:val="single"/>
        </w:rPr>
        <w:t xml:space="preserve">                    </w:t>
      </w:r>
      <w:r>
        <w:rPr>
          <w:rFonts w:hint="eastAsia" w:ascii="宋体" w:hAnsi="宋体" w:eastAsia="宋体" w:cs="宋体"/>
          <w:sz w:val="24"/>
        </w:rPr>
        <w:t>（项目名称）投标</w:t>
      </w:r>
      <w:r>
        <w:rPr>
          <w:rFonts w:hint="eastAsia" w:ascii="宋体" w:hAnsi="宋体" w:eastAsia="宋体" w:cs="宋体"/>
          <w:sz w:val="24"/>
          <w:lang w:val="zh-CN"/>
        </w:rPr>
        <w:t>文件、签订合同和处理有关事宜，其法律后果由我方承担。</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委托期限：同</w:t>
      </w:r>
      <w:r>
        <w:rPr>
          <w:rFonts w:hint="eastAsia" w:ascii="宋体" w:hAnsi="宋体" w:eastAsia="宋体" w:cs="宋体"/>
          <w:sz w:val="24"/>
        </w:rPr>
        <w:t>投标文件</w:t>
      </w:r>
      <w:r>
        <w:rPr>
          <w:rFonts w:hint="eastAsia" w:ascii="宋体" w:hAnsi="宋体" w:eastAsia="宋体" w:cs="宋体"/>
          <w:sz w:val="24"/>
          <w:lang w:val="zh-CN"/>
        </w:rPr>
        <w:t>有效期。</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被授权人无转委托权。</w:t>
      </w:r>
    </w:p>
    <w:p>
      <w:pPr>
        <w:autoSpaceDE w:val="0"/>
        <w:autoSpaceDN w:val="0"/>
        <w:spacing w:line="360" w:lineRule="auto"/>
        <w:jc w:val="left"/>
        <w:rPr>
          <w:rFonts w:hint="eastAsia" w:ascii="宋体" w:hAnsi="宋体" w:eastAsia="宋体" w:cs="宋体"/>
          <w:sz w:val="24"/>
          <w:lang w:val="zh-CN"/>
        </w:rPr>
      </w:pPr>
      <w:r>
        <w:rPr>
          <w:rFonts w:hint="eastAsia" w:ascii="宋体" w:hAnsi="宋体" w:eastAsia="宋体" w:cs="宋体"/>
          <w:sz w:val="24"/>
          <w:lang w:val="zh-CN"/>
        </w:rPr>
        <w:t>附：法定代表人身份证复印件及被授权人身份证复印件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610" w:type="dxa"/>
          </w:tcPr>
          <w:p>
            <w:pPr>
              <w:autoSpaceDE w:val="0"/>
              <w:autoSpaceDN w:val="0"/>
              <w:spacing w:line="360" w:lineRule="auto"/>
              <w:jc w:val="left"/>
              <w:rPr>
                <w:rFonts w:hint="eastAsia" w:ascii="宋体" w:hAnsi="宋体" w:eastAsia="宋体" w:cs="宋体"/>
                <w:sz w:val="24"/>
                <w:lang w:val="zh-CN"/>
              </w:rPr>
            </w:pPr>
          </w:p>
        </w:tc>
        <w:tc>
          <w:tcPr>
            <w:tcW w:w="4610" w:type="dxa"/>
          </w:tcPr>
          <w:p>
            <w:pPr>
              <w:autoSpaceDE w:val="0"/>
              <w:autoSpaceDN w:val="0"/>
              <w:spacing w:line="360" w:lineRule="auto"/>
              <w:jc w:val="left"/>
              <w:rPr>
                <w:rFonts w:hint="eastAsia" w:ascii="宋体" w:hAnsi="宋体" w:eastAsia="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610" w:type="dxa"/>
          </w:tcPr>
          <w:p>
            <w:pPr>
              <w:autoSpaceDE w:val="0"/>
              <w:autoSpaceDN w:val="0"/>
              <w:spacing w:line="360" w:lineRule="auto"/>
              <w:jc w:val="left"/>
              <w:rPr>
                <w:rFonts w:hint="eastAsia" w:ascii="宋体" w:hAnsi="宋体" w:eastAsia="宋体" w:cs="宋体"/>
                <w:sz w:val="24"/>
                <w:lang w:val="zh-CN"/>
              </w:rPr>
            </w:pPr>
          </w:p>
        </w:tc>
        <w:tc>
          <w:tcPr>
            <w:tcW w:w="4610" w:type="dxa"/>
          </w:tcPr>
          <w:p>
            <w:pPr>
              <w:autoSpaceDE w:val="0"/>
              <w:autoSpaceDN w:val="0"/>
              <w:spacing w:line="360" w:lineRule="auto"/>
              <w:jc w:val="left"/>
              <w:rPr>
                <w:rFonts w:hint="eastAsia" w:ascii="宋体" w:hAnsi="宋体" w:eastAsia="宋体" w:cs="宋体"/>
                <w:sz w:val="24"/>
                <w:lang w:val="zh-CN"/>
              </w:rPr>
            </w:pPr>
          </w:p>
        </w:tc>
      </w:tr>
    </w:tbl>
    <w:p>
      <w:pPr>
        <w:wordWrap w:val="0"/>
        <w:autoSpaceDE w:val="0"/>
        <w:autoSpaceDN w:val="0"/>
        <w:adjustRightInd w:val="0"/>
        <w:spacing w:line="600" w:lineRule="auto"/>
        <w:ind w:firstLine="3360" w:firstLineChars="1400"/>
        <w:rPr>
          <w:rFonts w:hint="eastAsia" w:ascii="宋体" w:hAnsi="宋体" w:eastAsia="宋体" w:cs="宋体"/>
          <w:sz w:val="24"/>
          <w:lang w:val="zh-CN"/>
        </w:rPr>
      </w:pPr>
      <w:r>
        <w:rPr>
          <w:rFonts w:hint="eastAsia" w:ascii="宋体" w:hAnsi="宋体" w:eastAsia="宋体" w:cs="宋体"/>
          <w:sz w:val="24"/>
        </w:rPr>
        <w:t>投标人</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r>
        <w:rPr>
          <w:rFonts w:hint="eastAsia" w:ascii="宋体" w:hAnsi="宋体" w:eastAsia="宋体" w:cs="宋体"/>
          <w:sz w:val="24"/>
          <w:lang w:val="zh-CN"/>
        </w:rPr>
        <w:t>（盖单位公章）</w:t>
      </w:r>
    </w:p>
    <w:p>
      <w:pPr>
        <w:wordWrap w:val="0"/>
        <w:autoSpaceDE w:val="0"/>
        <w:autoSpaceDN w:val="0"/>
        <w:adjustRightInd w:val="0"/>
        <w:spacing w:line="600" w:lineRule="auto"/>
        <w:ind w:firstLine="3360" w:firstLineChars="1400"/>
        <w:rPr>
          <w:rFonts w:hint="eastAsia" w:ascii="宋体" w:hAnsi="宋体" w:eastAsia="宋体" w:cs="宋体"/>
          <w:sz w:val="24"/>
          <w:lang w:val="zh-CN"/>
        </w:rPr>
      </w:pPr>
      <w:r>
        <w:rPr>
          <w:rFonts w:hint="eastAsia" w:ascii="宋体" w:hAnsi="宋体" w:eastAsia="宋体" w:cs="宋体"/>
          <w:sz w:val="24"/>
          <w:lang w:val="zh-CN"/>
        </w:rPr>
        <w:t>法定代表人：</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（签字或盖章）</w:t>
      </w:r>
    </w:p>
    <w:p>
      <w:pPr>
        <w:wordWrap w:val="0"/>
        <w:autoSpaceDE w:val="0"/>
        <w:autoSpaceDN w:val="0"/>
        <w:adjustRightInd w:val="0"/>
        <w:spacing w:line="600" w:lineRule="auto"/>
        <w:ind w:right="210" w:firstLine="3360" w:firstLineChars="1400"/>
        <w:rPr>
          <w:rFonts w:hint="eastAsia" w:ascii="宋体" w:hAnsi="宋体" w:eastAsia="宋体" w:cs="宋体"/>
          <w:sz w:val="24"/>
          <w:lang w:val="zh-CN"/>
        </w:rPr>
      </w:pPr>
      <w:r>
        <w:rPr>
          <w:rFonts w:hint="eastAsia" w:ascii="宋体" w:hAnsi="宋体" w:eastAsia="宋体" w:cs="宋体"/>
          <w:sz w:val="24"/>
        </w:rPr>
        <w:t>授权代表</w:t>
      </w:r>
      <w:r>
        <w:rPr>
          <w:rFonts w:hint="eastAsia" w:ascii="宋体" w:hAnsi="宋体" w:eastAsia="宋体" w:cs="宋体"/>
          <w:sz w:val="24"/>
          <w:lang w:val="zh-CN"/>
        </w:rPr>
        <w:t>：</w:t>
      </w:r>
      <w:r>
        <w:rPr>
          <w:rFonts w:hint="eastAsia" w:ascii="宋体" w:hAnsi="宋体" w:eastAsia="宋体" w:cs="宋体"/>
          <w:sz w:val="24"/>
          <w:u w:val="single"/>
          <w:lang w:val="zh-CN"/>
        </w:rPr>
        <w:t xml:space="preserve">                      </w:t>
      </w:r>
      <w:r>
        <w:rPr>
          <w:rFonts w:hint="eastAsia" w:ascii="宋体" w:hAnsi="宋体" w:eastAsia="宋体" w:cs="宋体"/>
          <w:sz w:val="24"/>
          <w:lang w:val="zh-CN"/>
        </w:rPr>
        <w:t>（签字或盖章）</w:t>
      </w:r>
    </w:p>
    <w:p>
      <w:pPr>
        <w:autoSpaceDE w:val="0"/>
        <w:autoSpaceDN w:val="0"/>
        <w:adjustRightInd w:val="0"/>
        <w:spacing w:line="600" w:lineRule="auto"/>
        <w:ind w:firstLine="6000" w:firstLineChars="2500"/>
        <w:jc w:val="right"/>
        <w:rPr>
          <w:rFonts w:hint="eastAsia" w:ascii="宋体" w:hAnsi="宋体" w:eastAsia="宋体" w:cs="宋体"/>
          <w:szCs w:val="21"/>
          <w:lang w:val="zh-CN"/>
        </w:rPr>
      </w:pPr>
      <w:r>
        <w:rPr>
          <w:rFonts w:hint="eastAsia" w:ascii="宋体" w:hAnsi="宋体" w:eastAsia="宋体" w:cs="宋体"/>
          <w:sz w:val="24"/>
          <w:lang w:val="zh-CN"/>
        </w:rPr>
        <w:t>年    月    日</w:t>
      </w:r>
    </w:p>
    <w:p>
      <w:pPr>
        <w:autoSpaceDE w:val="0"/>
        <w:autoSpaceDN w:val="0"/>
        <w:spacing w:line="360" w:lineRule="auto"/>
        <w:jc w:val="left"/>
        <w:rPr>
          <w:rFonts w:hint="eastAsia" w:ascii="宋体" w:hAnsi="宋体" w:eastAsia="宋体" w:cs="宋体"/>
          <w:b/>
          <w:bCs/>
          <w:sz w:val="22"/>
          <w:szCs w:val="22"/>
          <w:lang w:val="zh-CN"/>
        </w:rPr>
      </w:pPr>
      <w:r>
        <w:rPr>
          <w:rFonts w:hint="eastAsia" w:ascii="宋体" w:hAnsi="宋体" w:eastAsia="宋体" w:cs="宋体"/>
          <w:b/>
          <w:bCs/>
          <w:sz w:val="22"/>
          <w:szCs w:val="22"/>
          <w:lang w:val="zh-CN"/>
        </w:rPr>
        <w:t>注：法定代表人（自然人）本人直接</w:t>
      </w:r>
      <w:r>
        <w:rPr>
          <w:rFonts w:hint="eastAsia" w:ascii="宋体" w:hAnsi="宋体" w:eastAsia="宋体" w:cs="宋体"/>
          <w:b/>
          <w:bCs/>
          <w:sz w:val="22"/>
          <w:szCs w:val="22"/>
        </w:rPr>
        <w:t>参与投标</w:t>
      </w:r>
      <w:r>
        <w:rPr>
          <w:rFonts w:hint="eastAsia" w:ascii="宋体" w:hAnsi="宋体" w:eastAsia="宋体" w:cs="宋体"/>
          <w:b/>
          <w:bCs/>
          <w:sz w:val="22"/>
          <w:szCs w:val="22"/>
          <w:lang w:val="zh-CN"/>
        </w:rPr>
        <w:t>的不填写本部分内容。</w:t>
      </w:r>
    </w:p>
    <w:p>
      <w:pPr>
        <w:autoSpaceDE w:val="0"/>
        <w:autoSpaceDN w:val="0"/>
        <w:spacing w:line="360" w:lineRule="auto"/>
        <w:jc w:val="left"/>
        <w:rPr>
          <w:rFonts w:hint="eastAsia" w:ascii="宋体" w:hAnsi="宋体" w:eastAsia="宋体" w:cs="宋体"/>
          <w:b/>
          <w:bCs/>
          <w:sz w:val="22"/>
          <w:szCs w:val="22"/>
          <w:lang w:val="zh-CN"/>
        </w:rPr>
      </w:pPr>
    </w:p>
    <w:p>
      <w:pPr>
        <w:autoSpaceDE w:val="0"/>
        <w:autoSpaceDN w:val="0"/>
        <w:spacing w:line="360" w:lineRule="auto"/>
        <w:jc w:val="left"/>
        <w:rPr>
          <w:rFonts w:hint="eastAsia" w:ascii="宋体" w:hAnsi="宋体" w:eastAsia="宋体" w:cs="宋体"/>
          <w:b/>
          <w:bCs/>
          <w:sz w:val="22"/>
          <w:szCs w:val="22"/>
          <w:lang w:val="zh-CN"/>
        </w:rPr>
      </w:pPr>
    </w:p>
    <w:p>
      <w:pPr>
        <w:widowControl/>
        <w:jc w:val="center"/>
        <w:outlineLvl w:val="1"/>
        <w:rPr>
          <w:rFonts w:hint="eastAsia" w:ascii="宋体" w:hAnsi="宋体" w:eastAsia="宋体" w:cs="宋体"/>
          <w:b/>
          <w:sz w:val="30"/>
          <w:szCs w:val="30"/>
        </w:rPr>
      </w:pPr>
      <w:bookmarkStart w:id="129" w:name="_Toc16309"/>
      <w:r>
        <w:rPr>
          <w:rFonts w:hint="eastAsia" w:ascii="宋体" w:hAnsi="宋体" w:eastAsia="宋体" w:cs="宋体"/>
          <w:b/>
          <w:sz w:val="32"/>
        </w:rPr>
        <w:t>四、资格证明文件</w:t>
      </w:r>
      <w:bookmarkEnd w:id="128"/>
      <w:bookmarkEnd w:id="129"/>
    </w:p>
    <w:p>
      <w:pPr>
        <w:spacing w:line="560" w:lineRule="exact"/>
        <w:ind w:firstLine="480" w:firstLineChars="200"/>
        <w:rPr>
          <w:rFonts w:hint="eastAsia" w:ascii="宋体" w:hAnsi="宋体" w:eastAsia="宋体" w:cs="宋体"/>
          <w:color w:val="333333"/>
          <w:sz w:val="24"/>
          <w:shd w:val="clear" w:color="auto" w:fill="FFFFFF"/>
        </w:rPr>
      </w:pP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（1）具有独立承担民事责任能力的法人或其他组织，提供合法有效的统一社会信用代码的营业执照（含年度报告）或事业单位法人证书等国家规定的相关证明，自然人参与的提供其身份证明；</w:t>
      </w: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（2）法定代表人直接参加投标须出具身份证，非法定代表人参加投标，须出具法定代表人授权书及被授权人身份证；</w:t>
      </w: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（3）投标人应出具参加政府采购活动前3年内在经营活动中没有重大违法记录的书面声明；</w:t>
      </w: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（4）税收缴纳证明：提供2025年5月至今已缴存的至少一个月的纳税证明或完税证明，纳税证明或完税证明上应有代收机构或税务机关的公章。依法免税的供应商应提供相关文件证明；</w:t>
      </w: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（5）社会保障资金缴纳证明：提供2025年5月至今已缴存的至少一个月的社会保障资金缴存单据或社保机构开具的社会保险参保缴费情况证明，依法不需要缴纳社会保障资金的供应商应提供相关文件证明；</w:t>
      </w: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6）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（7）供应商未被列入“信用中国”网站严重失信主体名单和重大税收违法失信主体；中国政府采购网政府采购严重违法失信行为记录名单中被财政部门禁止参加政府采购活动的供应商；</w:t>
      </w:r>
    </w:p>
    <w:p>
      <w:pPr>
        <w:spacing w:line="560" w:lineRule="exact"/>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（8）中小企业执行情况：本项目专门面向中小企业采购。</w:t>
      </w:r>
    </w:p>
    <w:p>
      <w:pPr>
        <w:spacing w:line="560" w:lineRule="exact"/>
        <w:ind w:firstLine="480" w:firstLineChars="200"/>
        <w:jc w:val="center"/>
        <w:outlineLvl w:val="1"/>
        <w:rPr>
          <w:rFonts w:hint="eastAsia" w:ascii="宋体" w:hAnsi="宋体" w:eastAsia="宋体" w:cs="宋体"/>
          <w:b/>
          <w:sz w:val="32"/>
          <w:szCs w:val="32"/>
        </w:rPr>
      </w:pPr>
      <w:r>
        <w:rPr>
          <w:rFonts w:hint="eastAsia" w:ascii="宋体" w:hAnsi="宋体" w:eastAsia="宋体" w:cs="宋体"/>
          <w:color w:val="333333"/>
          <w:sz w:val="24"/>
          <w:shd w:val="clear" w:color="auto" w:fill="FFFFFF"/>
        </w:rPr>
        <w:br w:type="page"/>
      </w:r>
      <w:bookmarkStart w:id="130" w:name="_Toc19970"/>
      <w:r>
        <w:rPr>
          <w:rFonts w:hint="eastAsia" w:ascii="宋体" w:hAnsi="宋体" w:eastAsia="宋体" w:cs="宋体"/>
          <w:b/>
          <w:sz w:val="32"/>
          <w:szCs w:val="32"/>
        </w:rPr>
        <w:t>五、投标保证金缴纳凭证</w:t>
      </w:r>
      <w:bookmarkEnd w:id="130"/>
    </w:p>
    <w:p>
      <w:pPr>
        <w:spacing w:line="360" w:lineRule="auto"/>
        <w:ind w:left="1262"/>
        <w:rPr>
          <w:rFonts w:hint="eastAsia" w:ascii="宋体" w:hAnsi="宋体" w:eastAsia="宋体" w:cs="宋体"/>
          <w:sz w:val="24"/>
        </w:rPr>
      </w:pPr>
    </w:p>
    <w:tbl>
      <w:tblPr>
        <w:tblStyle w:val="26"/>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粘贴处</w:t>
            </w:r>
          </w:p>
        </w:tc>
      </w:tr>
    </w:tbl>
    <w:p>
      <w:pPr>
        <w:spacing w:line="360" w:lineRule="auto"/>
        <w:ind w:firstLine="716" w:firstLineChars="297"/>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注：须附开户许可证或基本存款账户信息</w:t>
      </w:r>
    </w:p>
    <w:p>
      <w:pPr>
        <w:rPr>
          <w:rFonts w:hint="eastAsia" w:ascii="宋体" w:hAnsi="宋体" w:eastAsia="宋体" w:cs="宋体"/>
        </w:rPr>
      </w:pPr>
    </w:p>
    <w:p>
      <w:pPr>
        <w:widowControl/>
        <w:jc w:val="center"/>
        <w:rPr>
          <w:rFonts w:hint="eastAsia" w:ascii="宋体" w:hAnsi="宋体" w:eastAsia="宋体" w:cs="宋体"/>
          <w:sz w:val="24"/>
        </w:rPr>
      </w:pPr>
      <w:r>
        <w:rPr>
          <w:rFonts w:hint="eastAsia" w:ascii="宋体" w:hAnsi="宋体" w:eastAsia="宋体" w:cs="宋体"/>
          <w:b/>
          <w:kern w:val="13"/>
          <w:sz w:val="24"/>
        </w:rPr>
        <w:br w:type="page"/>
      </w:r>
    </w:p>
    <w:p>
      <w:pPr>
        <w:widowControl/>
        <w:jc w:val="center"/>
        <w:outlineLvl w:val="1"/>
        <w:rPr>
          <w:rFonts w:hint="eastAsia" w:ascii="宋体" w:hAnsi="宋体" w:eastAsia="宋体" w:cs="宋体"/>
          <w:b/>
          <w:sz w:val="32"/>
        </w:rPr>
      </w:pPr>
      <w:bookmarkStart w:id="131" w:name="_Toc500323115"/>
      <w:bookmarkStart w:id="132" w:name="_Toc16310"/>
      <w:bookmarkStart w:id="133" w:name="_Toc16976"/>
      <w:bookmarkStart w:id="134" w:name="_Toc3574"/>
      <w:bookmarkStart w:id="135" w:name="_Toc22114"/>
      <w:r>
        <w:rPr>
          <w:rFonts w:hint="eastAsia" w:ascii="宋体" w:hAnsi="宋体" w:eastAsia="宋体" w:cs="宋体"/>
          <w:b/>
          <w:sz w:val="32"/>
        </w:rPr>
        <w:t>六、</w:t>
      </w:r>
      <w:bookmarkEnd w:id="131"/>
      <w:bookmarkEnd w:id="132"/>
      <w:bookmarkEnd w:id="133"/>
      <w:bookmarkEnd w:id="134"/>
      <w:r>
        <w:rPr>
          <w:rFonts w:hint="eastAsia" w:ascii="宋体" w:hAnsi="宋体" w:eastAsia="宋体" w:cs="宋体"/>
          <w:b/>
          <w:sz w:val="32"/>
        </w:rPr>
        <w:t>商务部分</w:t>
      </w:r>
      <w:bookmarkEnd w:id="135"/>
    </w:p>
    <w:p>
      <w:pPr>
        <w:spacing w:line="360" w:lineRule="auto"/>
        <w:rPr>
          <w:rFonts w:hint="eastAsia" w:ascii="宋体" w:hAnsi="宋体" w:eastAsia="宋体" w:cs="宋体"/>
          <w:bCs/>
          <w:kern w:val="0"/>
          <w:szCs w:val="21"/>
        </w:rPr>
      </w:pPr>
    </w:p>
    <w:p>
      <w:pPr>
        <w:spacing w:line="480" w:lineRule="auto"/>
        <w:ind w:firstLine="480" w:firstLineChars="200"/>
        <w:rPr>
          <w:rFonts w:hint="eastAsia" w:ascii="宋体" w:hAnsi="宋体" w:eastAsia="宋体" w:cs="宋体"/>
          <w:sz w:val="24"/>
        </w:rPr>
      </w:pPr>
      <w:bookmarkStart w:id="136" w:name="_Toc9514"/>
      <w:r>
        <w:rPr>
          <w:rFonts w:hint="eastAsia" w:ascii="宋体" w:hAnsi="宋体" w:eastAsia="宋体" w:cs="宋体"/>
          <w:sz w:val="24"/>
        </w:rPr>
        <w:t>投标方案无固定格式，供应商根据采购需求的采购内容及11.3.1详细评审标准，可自主编写方案说明，包含但不限于采购需求的采购内容及11.3.1详细评审标准的所有内容）</w:t>
      </w:r>
      <w:bookmarkEnd w:id="136"/>
    </w:p>
    <w:p>
      <w:pPr>
        <w:spacing w:line="480" w:lineRule="auto"/>
        <w:ind w:firstLine="480" w:firstLineChars="200"/>
        <w:rPr>
          <w:rFonts w:hint="eastAsia" w:ascii="宋体" w:hAnsi="宋体" w:eastAsia="宋体" w:cs="宋体"/>
          <w:sz w:val="24"/>
        </w:rPr>
      </w:pPr>
    </w:p>
    <w:p>
      <w:pPr>
        <w:spacing w:line="480" w:lineRule="auto"/>
        <w:ind w:firstLine="480" w:firstLineChars="200"/>
        <w:rPr>
          <w:rFonts w:hint="eastAsia" w:ascii="宋体" w:hAnsi="宋体" w:eastAsia="宋体" w:cs="宋体"/>
          <w:sz w:val="24"/>
        </w:rPr>
      </w:pPr>
    </w:p>
    <w:p>
      <w:pPr>
        <w:rPr>
          <w:rFonts w:hint="eastAsia" w:ascii="宋体" w:hAnsi="宋体" w:eastAsia="宋体" w:cs="宋体"/>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2"/>
        <w:ind w:left="0" w:leftChars="0" w:right="1470"/>
        <w:rPr>
          <w:rFonts w:hint="eastAsia" w:ascii="宋体" w:hAnsi="宋体" w:eastAsia="宋体" w:cs="宋体"/>
          <w:color w:val="000000"/>
          <w:sz w:val="28"/>
          <w:szCs w:val="28"/>
        </w:rPr>
      </w:pPr>
    </w:p>
    <w:p>
      <w:pPr>
        <w:widowControl/>
        <w:jc w:val="center"/>
        <w:outlineLvl w:val="1"/>
        <w:rPr>
          <w:rFonts w:hint="eastAsia" w:ascii="宋体" w:hAnsi="宋体" w:eastAsia="宋体" w:cs="宋体"/>
          <w:b/>
          <w:sz w:val="32"/>
        </w:rPr>
      </w:pPr>
      <w:bookmarkStart w:id="137" w:name="_Toc500323116"/>
      <w:bookmarkStart w:id="138" w:name="_Toc14452"/>
      <w:bookmarkStart w:id="139" w:name="_Toc7931"/>
      <w:bookmarkStart w:id="140" w:name="_Toc6747"/>
      <w:bookmarkStart w:id="141" w:name="_Toc26138"/>
      <w:bookmarkStart w:id="142" w:name="_Toc27289"/>
      <w:r>
        <w:rPr>
          <w:rFonts w:hint="eastAsia" w:ascii="宋体" w:hAnsi="宋体" w:eastAsia="宋体" w:cs="宋体"/>
          <w:b/>
          <w:sz w:val="32"/>
        </w:rPr>
        <w:t>七、</w:t>
      </w:r>
      <w:bookmarkEnd w:id="137"/>
      <w:bookmarkEnd w:id="138"/>
      <w:bookmarkEnd w:id="139"/>
      <w:bookmarkEnd w:id="140"/>
      <w:bookmarkEnd w:id="141"/>
      <w:r>
        <w:rPr>
          <w:rFonts w:hint="eastAsia" w:ascii="宋体" w:hAnsi="宋体" w:eastAsia="宋体" w:cs="宋体"/>
          <w:b/>
          <w:sz w:val="32"/>
        </w:rPr>
        <w:t>技术部分</w:t>
      </w:r>
      <w:bookmarkEnd w:id="142"/>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spacing w:line="480" w:lineRule="auto"/>
        <w:ind w:firstLine="480" w:firstLineChars="200"/>
        <w:rPr>
          <w:rFonts w:hint="eastAsia" w:ascii="宋体" w:hAnsi="宋体" w:eastAsia="宋体" w:cs="宋体"/>
          <w:sz w:val="24"/>
        </w:rPr>
      </w:pPr>
      <w:bookmarkStart w:id="143" w:name="_Toc17521"/>
      <w:r>
        <w:rPr>
          <w:rFonts w:hint="eastAsia" w:ascii="宋体" w:hAnsi="宋体" w:eastAsia="宋体" w:cs="宋体"/>
          <w:sz w:val="24"/>
        </w:rPr>
        <w:t>投标方案无固定格式，供应商根据采购需求的采购内容及11.3.1详细评审标准，可自主编写方案说明，包含但不限于采购需求的采购内容及11.3.1详细评审标准的所有内容）</w:t>
      </w:r>
      <w:bookmarkEnd w:id="143"/>
    </w:p>
    <w:p>
      <w:pPr>
        <w:spacing w:line="480" w:lineRule="auto"/>
        <w:ind w:firstLine="480" w:firstLineChars="200"/>
        <w:jc w:val="center"/>
        <w:outlineLvl w:val="1"/>
        <w:rPr>
          <w:rFonts w:hint="eastAsia" w:ascii="宋体" w:hAnsi="宋体" w:eastAsia="宋体" w:cs="宋体"/>
          <w:b/>
          <w:sz w:val="32"/>
        </w:rPr>
      </w:pPr>
      <w:r>
        <w:rPr>
          <w:rFonts w:hint="eastAsia" w:ascii="宋体" w:hAnsi="宋体" w:eastAsia="宋体" w:cs="宋体"/>
          <w:sz w:val="24"/>
        </w:rPr>
        <w:br w:type="page"/>
      </w:r>
      <w:bookmarkStart w:id="144" w:name="_Toc75259390"/>
      <w:bookmarkStart w:id="145" w:name="_Toc10006"/>
      <w:bookmarkStart w:id="146" w:name="_Toc4189"/>
      <w:r>
        <w:rPr>
          <w:rFonts w:hint="eastAsia" w:ascii="宋体" w:hAnsi="宋体" w:eastAsia="宋体" w:cs="宋体"/>
          <w:b/>
          <w:sz w:val="32"/>
        </w:rPr>
        <w:t>八、其他材料</w:t>
      </w:r>
      <w:bookmarkEnd w:id="144"/>
      <w:bookmarkEnd w:id="145"/>
      <w:bookmarkEnd w:id="146"/>
    </w:p>
    <w:p>
      <w:pPr>
        <w:autoSpaceDE w:val="0"/>
        <w:autoSpaceDN w:val="0"/>
        <w:adjustRightInd w:val="0"/>
        <w:spacing w:line="360" w:lineRule="auto"/>
        <w:jc w:val="center"/>
        <w:rPr>
          <w:rFonts w:hint="eastAsia" w:ascii="宋体" w:hAnsi="宋体" w:eastAsia="宋体" w:cs="宋体"/>
          <w:b/>
          <w:sz w:val="28"/>
          <w:szCs w:val="28"/>
          <w:lang w:val="zh-CN"/>
        </w:rPr>
      </w:pPr>
      <w:bookmarkStart w:id="147" w:name="_Hlk74736213"/>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r>
        <w:rPr>
          <w:rFonts w:hint="eastAsia" w:ascii="宋体" w:hAnsi="宋体" w:eastAsia="宋体" w:cs="宋体"/>
          <w:b/>
          <w:sz w:val="28"/>
          <w:szCs w:val="28"/>
          <w:lang w:val="zh-CN"/>
        </w:rPr>
        <w:t>1.投标人拒绝政府采购领域商业贿赂承诺书</w:t>
      </w:r>
    </w:p>
    <w:p>
      <w:pPr>
        <w:rPr>
          <w:rFonts w:hint="eastAsia" w:ascii="宋体" w:hAnsi="宋体" w:eastAsia="宋体" w:cs="宋体"/>
          <w:lang w:val="zh-CN"/>
        </w:rPr>
      </w:pP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为响应党中央、国务院关于治理采购领域商业贿赂行为的号召，我公司</w:t>
      </w:r>
      <w:r>
        <w:rPr>
          <w:rFonts w:hint="eastAsia" w:ascii="宋体" w:hAnsi="宋体" w:eastAsia="宋体" w:cs="宋体"/>
          <w:sz w:val="24"/>
        </w:rPr>
        <w:t>在此</w:t>
      </w:r>
      <w:r>
        <w:rPr>
          <w:rFonts w:hint="eastAsia" w:ascii="宋体" w:hAnsi="宋体" w:eastAsia="宋体" w:cs="宋体"/>
          <w:sz w:val="24"/>
          <w:lang w:val="zh-CN"/>
        </w:rPr>
        <w:t>承诺：</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1.在参与采购活动中遵纪守法、诚信经营、公平竞标。</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2.不向采购人、采购代理机构和采购评审专家进行任何形式的商业贿赂以谋取交易机会。</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3.不向采购代理机构和采购人提供虚假资质文件或采用虚假应标方式参与采购市场竞争并谋取中标、成交。</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4.不采取“围标、陪标”等商业欺诈手段获取采购订单。</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5.不采取不正当手段诋毁、排挤其他投标人。</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6.不在提供商品和服务时“偷梁换柱、以次充好”损害采购人的合法权益。</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7.不与采购人、采购代理机构、采购评审专家或其他投标人恶意串通，进行质疑和投诉，维护采购市场秩序。</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8.尊重和接受采购监督管理部门的监督和采购代理机构招标采购要求，承担因违约行为给采购人造成的损失。</w:t>
      </w:r>
    </w:p>
    <w:p>
      <w:pPr>
        <w:autoSpaceDE w:val="0"/>
        <w:autoSpaceDN w:val="0"/>
        <w:spacing w:line="360" w:lineRule="auto"/>
        <w:ind w:firstLine="480" w:firstLineChars="200"/>
        <w:jc w:val="left"/>
        <w:rPr>
          <w:rFonts w:hint="eastAsia" w:ascii="宋体" w:hAnsi="宋体" w:eastAsia="宋体" w:cs="宋体"/>
          <w:szCs w:val="21"/>
          <w:lang w:val="zh-CN"/>
        </w:rPr>
      </w:pPr>
      <w:r>
        <w:rPr>
          <w:rFonts w:hint="eastAsia" w:ascii="宋体" w:hAnsi="宋体" w:eastAsia="宋体" w:cs="宋体"/>
          <w:sz w:val="24"/>
          <w:lang w:val="zh-CN"/>
        </w:rPr>
        <w:t>9.不发生其他有悖于政府采购公开、公平、公正和诚信原则的行为。</w:t>
      </w:r>
    </w:p>
    <w:p>
      <w:pPr>
        <w:autoSpaceDE w:val="0"/>
        <w:autoSpaceDN w:val="0"/>
        <w:spacing w:line="360" w:lineRule="auto"/>
        <w:ind w:firstLine="420" w:firstLineChars="200"/>
        <w:jc w:val="left"/>
        <w:rPr>
          <w:rFonts w:hint="eastAsia" w:ascii="宋体" w:hAnsi="宋体" w:eastAsia="宋体" w:cs="宋体"/>
          <w:szCs w:val="21"/>
          <w:lang w:val="zh-CN"/>
        </w:rPr>
      </w:pP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rPr>
        <w:t>投标人</w:t>
      </w:r>
      <w:r>
        <w:rPr>
          <w:rFonts w:hint="eastAsia" w:ascii="宋体" w:hAnsi="宋体" w:eastAsia="宋体" w:cs="宋体"/>
          <w:sz w:val="24"/>
          <w:lang w:val="zh-CN"/>
        </w:rPr>
        <w:t>（公章）：</w:t>
      </w:r>
      <w:r>
        <w:rPr>
          <w:rFonts w:hint="eastAsia" w:ascii="宋体" w:hAnsi="宋体" w:eastAsia="宋体" w:cs="宋体"/>
          <w:sz w:val="24"/>
          <w:u w:val="single"/>
        </w:rPr>
        <w:t xml:space="preserve">                     </w:t>
      </w:r>
      <w:r>
        <w:rPr>
          <w:rFonts w:hint="eastAsia" w:ascii="宋体" w:hAnsi="宋体" w:eastAsia="宋体" w:cs="宋体"/>
          <w:sz w:val="24"/>
          <w:lang w:val="zh-CN"/>
        </w:rPr>
        <w:t xml:space="preserve">              </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地址：</w:t>
      </w:r>
      <w:r>
        <w:rPr>
          <w:rFonts w:hint="eastAsia" w:ascii="宋体" w:hAnsi="宋体" w:eastAsia="宋体" w:cs="宋体"/>
          <w:sz w:val="24"/>
          <w:u w:val="single"/>
        </w:rPr>
        <w:t xml:space="preserve">                              </w:t>
      </w:r>
    </w:p>
    <w:p>
      <w:pPr>
        <w:autoSpaceDE w:val="0"/>
        <w:autoSpaceDN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邮编：</w:t>
      </w:r>
      <w:r>
        <w:rPr>
          <w:rFonts w:hint="eastAsia" w:ascii="宋体" w:hAnsi="宋体" w:eastAsia="宋体" w:cs="宋体"/>
          <w:sz w:val="24"/>
          <w:u w:val="single"/>
        </w:rPr>
        <w:t xml:space="preserve">                              </w:t>
      </w:r>
    </w:p>
    <w:p>
      <w:pPr>
        <w:autoSpaceDE w:val="0"/>
        <w:autoSpaceDN w:val="0"/>
        <w:spacing w:line="360" w:lineRule="auto"/>
        <w:ind w:firstLine="480" w:firstLineChars="200"/>
        <w:jc w:val="left"/>
        <w:rPr>
          <w:rFonts w:hint="eastAsia" w:ascii="宋体" w:hAnsi="宋体" w:eastAsia="宋体" w:cs="宋体"/>
          <w:szCs w:val="21"/>
          <w:lang w:val="zh-CN"/>
        </w:rPr>
      </w:pPr>
      <w:r>
        <w:rPr>
          <w:rFonts w:hint="eastAsia" w:ascii="宋体" w:hAnsi="宋体" w:eastAsia="宋体" w:cs="宋体"/>
          <w:sz w:val="24"/>
          <w:lang w:val="zh-CN"/>
        </w:rPr>
        <w:t>电话：</w:t>
      </w:r>
      <w:r>
        <w:rPr>
          <w:rFonts w:hint="eastAsia" w:ascii="宋体" w:hAnsi="宋体" w:eastAsia="宋体" w:cs="宋体"/>
          <w:sz w:val="24"/>
          <w:u w:val="single"/>
        </w:rPr>
        <w:t xml:space="preserve">                              </w:t>
      </w:r>
      <w:r>
        <w:rPr>
          <w:rFonts w:hint="eastAsia" w:ascii="宋体" w:hAnsi="宋体" w:eastAsia="宋体" w:cs="宋体"/>
          <w:szCs w:val="21"/>
          <w:lang w:val="zh-CN"/>
        </w:rPr>
        <w:t xml:space="preserve">                    </w:t>
      </w:r>
      <w:r>
        <w:rPr>
          <w:rFonts w:hint="eastAsia" w:ascii="宋体" w:hAnsi="宋体" w:eastAsia="宋体" w:cs="宋体"/>
          <w:sz w:val="24"/>
          <w:lang w:val="zh-CN"/>
        </w:rPr>
        <w:t xml:space="preserve"> </w:t>
      </w:r>
      <w:r>
        <w:rPr>
          <w:rFonts w:hint="eastAsia" w:ascii="宋体" w:hAnsi="宋体" w:eastAsia="宋体" w:cs="宋体"/>
          <w:szCs w:val="21"/>
          <w:lang w:val="zh-CN"/>
        </w:rPr>
        <w:t xml:space="preserve">      </w:t>
      </w:r>
    </w:p>
    <w:p>
      <w:pPr>
        <w:autoSpaceDE w:val="0"/>
        <w:autoSpaceDN w:val="0"/>
        <w:adjustRightInd w:val="0"/>
        <w:spacing w:line="360" w:lineRule="auto"/>
        <w:ind w:firstLine="420" w:firstLineChars="200"/>
        <w:jc w:val="right"/>
        <w:rPr>
          <w:rFonts w:hint="eastAsia" w:ascii="宋体" w:hAnsi="宋体" w:eastAsia="宋体" w:cs="宋体"/>
          <w:szCs w:val="21"/>
          <w:lang w:val="zh-CN"/>
        </w:rPr>
      </w:pPr>
      <w:r>
        <w:rPr>
          <w:rFonts w:hint="eastAsia" w:ascii="宋体" w:hAnsi="宋体" w:eastAsia="宋体" w:cs="宋体"/>
          <w:szCs w:val="21"/>
          <w:lang w:val="zh-CN"/>
        </w:rPr>
        <w:t xml:space="preserve">                     </w:t>
      </w:r>
    </w:p>
    <w:p>
      <w:pPr>
        <w:autoSpaceDE w:val="0"/>
        <w:autoSpaceDN w:val="0"/>
        <w:adjustRightInd w:val="0"/>
        <w:spacing w:line="360" w:lineRule="auto"/>
        <w:ind w:firstLine="480" w:firstLineChars="200"/>
        <w:jc w:val="right"/>
        <w:rPr>
          <w:rFonts w:hint="eastAsia" w:ascii="宋体" w:hAnsi="宋体" w:eastAsia="宋体" w:cs="宋体"/>
          <w:szCs w:val="21"/>
          <w:lang w:val="zh-CN"/>
        </w:rPr>
      </w:pPr>
      <w:r>
        <w:rPr>
          <w:rFonts w:hint="eastAsia" w:ascii="宋体" w:hAnsi="宋体" w:eastAsia="宋体" w:cs="宋体"/>
          <w:sz w:val="24"/>
          <w:lang w:val="zh-CN"/>
        </w:rPr>
        <w:t xml:space="preserve"> 年    月    日</w:t>
      </w:r>
    </w:p>
    <w:p>
      <w:pPr>
        <w:autoSpaceDE w:val="0"/>
        <w:autoSpaceDN w:val="0"/>
        <w:adjustRightInd w:val="0"/>
        <w:spacing w:line="360" w:lineRule="auto"/>
        <w:ind w:firstLine="420" w:firstLineChars="200"/>
        <w:jc w:val="left"/>
        <w:rPr>
          <w:rFonts w:hint="eastAsia" w:ascii="宋体" w:hAnsi="宋体" w:eastAsia="宋体" w:cs="宋体"/>
          <w:szCs w:val="21"/>
          <w:lang w:val="zh-CN"/>
        </w:rPr>
      </w:pPr>
    </w:p>
    <w:p>
      <w:pPr>
        <w:autoSpaceDE w:val="0"/>
        <w:autoSpaceDN w:val="0"/>
        <w:adjustRightInd w:val="0"/>
        <w:spacing w:line="360" w:lineRule="auto"/>
        <w:jc w:val="left"/>
        <w:rPr>
          <w:rFonts w:hint="eastAsia" w:ascii="宋体" w:hAnsi="宋体" w:eastAsia="宋体" w:cs="宋体"/>
          <w:b/>
          <w:sz w:val="28"/>
          <w:szCs w:val="28"/>
          <w:lang w:val="zh-CN"/>
        </w:rPr>
      </w:pPr>
    </w:p>
    <w:p>
      <w:pPr>
        <w:autoSpaceDE w:val="0"/>
        <w:autoSpaceDN w:val="0"/>
        <w:adjustRightInd w:val="0"/>
        <w:spacing w:line="360" w:lineRule="auto"/>
        <w:jc w:val="center"/>
        <w:rPr>
          <w:rFonts w:hint="eastAsia" w:ascii="宋体" w:hAnsi="宋体" w:eastAsia="宋体" w:cs="宋体"/>
          <w:b/>
          <w:sz w:val="28"/>
          <w:szCs w:val="28"/>
          <w:lang w:val="zh-CN"/>
        </w:rPr>
      </w:pPr>
      <w:r>
        <w:rPr>
          <w:rFonts w:hint="eastAsia" w:ascii="宋体" w:hAnsi="宋体" w:eastAsia="宋体" w:cs="宋体"/>
          <w:b/>
          <w:sz w:val="28"/>
          <w:szCs w:val="28"/>
          <w:lang w:val="zh-CN"/>
        </w:rPr>
        <w:br w:type="page"/>
      </w:r>
      <w:r>
        <w:rPr>
          <w:rFonts w:hint="eastAsia" w:ascii="宋体" w:hAnsi="宋体" w:eastAsia="宋体" w:cs="宋体"/>
          <w:b/>
          <w:sz w:val="28"/>
          <w:szCs w:val="28"/>
          <w:lang w:val="zh-CN"/>
        </w:rPr>
        <w:t>2.投标人资格承诺书</w:t>
      </w:r>
    </w:p>
    <w:p>
      <w:pPr>
        <w:rPr>
          <w:rFonts w:hint="eastAsia" w:ascii="宋体" w:hAnsi="宋体" w:eastAsia="宋体" w:cs="宋体"/>
          <w:lang w:val="zh-CN"/>
        </w:rPr>
      </w:pP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我方承诺，不存在相关法律法规规定的禁止投标的情形。我单位的股权关系、与其他单位的管理关系和其他与本项目有关的利害关系等，作如下说明和承诺：</w:t>
      </w: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1.我方在本项目投标中，不存在与其他投标人单位负责人为同一人或者存在直接控股、管理关系。</w:t>
      </w:r>
    </w:p>
    <w:p>
      <w:pPr>
        <w:autoSpaceDE w:val="0"/>
        <w:autoSpaceDN w:val="0"/>
        <w:adjustRightInd w:val="0"/>
        <w:spacing w:line="360" w:lineRule="auto"/>
        <w:ind w:firstLine="480" w:firstLineChars="200"/>
        <w:jc w:val="left"/>
        <w:rPr>
          <w:rFonts w:hint="eastAsia" w:ascii="宋体" w:hAnsi="宋体" w:eastAsia="宋体" w:cs="宋体"/>
          <w:sz w:val="24"/>
          <w:lang w:val="zh-CN"/>
        </w:rPr>
      </w:pPr>
      <w:bookmarkStart w:id="148" w:name="_Toc10578_WPSOffice_Level2"/>
      <w:bookmarkStart w:id="149" w:name="_Toc14125_WPSOffice_Level2"/>
      <w:bookmarkStart w:id="150" w:name="_Toc16297_WPSOffice_Level2"/>
      <w:r>
        <w:rPr>
          <w:rFonts w:hint="eastAsia" w:ascii="宋体" w:hAnsi="宋体" w:eastAsia="宋体" w:cs="宋体"/>
          <w:sz w:val="24"/>
          <w:lang w:val="zh-CN"/>
        </w:rPr>
        <w:t>1.1股权关系说明</w:t>
      </w:r>
      <w:bookmarkEnd w:id="148"/>
      <w:bookmarkEnd w:id="149"/>
      <w:bookmarkEnd w:id="150"/>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1.1.1我单位法定代表人（单位负责人）姓名：</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p>
    <w:p>
      <w:pPr>
        <w:autoSpaceDE w:val="0"/>
        <w:autoSpaceDN w:val="0"/>
        <w:adjustRightInd w:val="0"/>
        <w:spacing w:line="360" w:lineRule="auto"/>
        <w:ind w:firstLine="480" w:firstLineChars="200"/>
        <w:jc w:val="left"/>
        <w:rPr>
          <w:rFonts w:hint="eastAsia" w:ascii="宋体" w:hAnsi="宋体" w:eastAsia="宋体" w:cs="宋体"/>
          <w:sz w:val="24"/>
          <w:u w:val="single"/>
          <w:lang w:val="zh-CN"/>
        </w:rPr>
      </w:pPr>
      <w:r>
        <w:rPr>
          <w:rFonts w:hint="eastAsia" w:ascii="宋体" w:hAnsi="宋体" w:eastAsia="宋体" w:cs="宋体"/>
          <w:sz w:val="24"/>
          <w:lang w:val="zh-CN"/>
        </w:rPr>
        <w:t>1.1.2我单位控股的单位有</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1.1.3我单位被</w:t>
      </w:r>
      <w:r>
        <w:rPr>
          <w:rFonts w:hint="eastAsia" w:ascii="宋体" w:hAnsi="宋体" w:eastAsia="宋体" w:cs="宋体"/>
          <w:sz w:val="24"/>
          <w:u w:val="single"/>
          <w:lang w:val="zh-CN"/>
        </w:rPr>
        <w:t xml:space="preserve">                      （单位或自然人）  </w:t>
      </w:r>
      <w:r>
        <w:rPr>
          <w:rFonts w:hint="eastAsia" w:ascii="宋体" w:hAnsi="宋体" w:eastAsia="宋体" w:cs="宋体"/>
          <w:sz w:val="24"/>
          <w:lang w:val="zh-CN"/>
        </w:rPr>
        <w:t>控股。</w:t>
      </w:r>
    </w:p>
    <w:p>
      <w:pPr>
        <w:autoSpaceDE w:val="0"/>
        <w:autoSpaceDN w:val="0"/>
        <w:adjustRightInd w:val="0"/>
        <w:spacing w:line="360" w:lineRule="auto"/>
        <w:ind w:firstLine="480" w:firstLineChars="200"/>
        <w:jc w:val="left"/>
        <w:rPr>
          <w:rFonts w:hint="eastAsia" w:ascii="宋体" w:hAnsi="宋体" w:eastAsia="宋体" w:cs="宋体"/>
          <w:sz w:val="24"/>
          <w:lang w:val="zh-CN"/>
        </w:rPr>
      </w:pPr>
      <w:bookmarkStart w:id="151" w:name="_Toc26574_WPSOffice_Level2"/>
      <w:bookmarkStart w:id="152" w:name="_Toc1335_WPSOffice_Level2"/>
      <w:bookmarkStart w:id="153" w:name="_Toc20668_WPSOffice_Level2"/>
      <w:r>
        <w:rPr>
          <w:rFonts w:hint="eastAsia" w:ascii="宋体" w:hAnsi="宋体" w:eastAsia="宋体" w:cs="宋体"/>
          <w:sz w:val="24"/>
          <w:lang w:val="zh-CN"/>
        </w:rPr>
        <w:t>1.2管理关系说明</w:t>
      </w:r>
      <w:bookmarkEnd w:id="151"/>
      <w:bookmarkEnd w:id="152"/>
      <w:bookmarkEnd w:id="153"/>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1.2.1我单位管理的下属单位有</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1.2.2我单位的上级管理单位有</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2.我方与采购人不存在利害关系及其他可能影响招标公正性的情形。</w:t>
      </w: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3.我方没有为采购项目提供整体设计、规范编制或者项目管理、监理、检测等服务；</w:t>
      </w: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4.其他与本项目有关的利害关系说明：</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p>
    <w:p>
      <w:pPr>
        <w:autoSpaceDE w:val="0"/>
        <w:autoSpaceDN w:val="0"/>
        <w:adjustRightIn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5.信用记录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5.1</w:t>
      </w:r>
      <w:r>
        <w:rPr>
          <w:rFonts w:hint="eastAsia" w:ascii="宋体" w:hAnsi="宋体" w:eastAsia="宋体" w:cs="宋体"/>
          <w:sz w:val="24"/>
        </w:rPr>
        <w:t>我方</w:t>
      </w:r>
      <w:r>
        <w:rPr>
          <w:rFonts w:hint="eastAsia" w:ascii="宋体" w:hAnsi="宋体" w:eastAsia="宋体" w:cs="宋体"/>
          <w:sz w:val="24"/>
          <w:u w:val="single"/>
          <w:lang w:val="zh-CN"/>
        </w:rPr>
        <w:t xml:space="preserve">         </w:t>
      </w:r>
      <w:r>
        <w:rPr>
          <w:rFonts w:hint="eastAsia" w:ascii="宋体" w:hAnsi="宋体" w:eastAsia="宋体" w:cs="宋体"/>
          <w:sz w:val="24"/>
        </w:rPr>
        <w:t>（填“未被列入”或“被列入”）失信被执行人名单。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5.2我方</w:t>
      </w:r>
      <w:r>
        <w:rPr>
          <w:rFonts w:hint="eastAsia" w:ascii="宋体" w:hAnsi="宋体" w:eastAsia="宋体" w:cs="宋体"/>
          <w:sz w:val="24"/>
          <w:u w:val="single"/>
          <w:lang w:val="zh-CN"/>
        </w:rPr>
        <w:t xml:space="preserve">          </w:t>
      </w:r>
      <w:r>
        <w:rPr>
          <w:rFonts w:hint="eastAsia" w:ascii="宋体" w:hAnsi="宋体" w:eastAsia="宋体" w:cs="宋体"/>
          <w:sz w:val="24"/>
        </w:rPr>
        <w:t>（填“未被列入”或“被列入”）重大税收违法失信主体名单。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5.3我方</w:t>
      </w:r>
      <w:r>
        <w:rPr>
          <w:rFonts w:hint="eastAsia" w:ascii="宋体" w:hAnsi="宋体" w:eastAsia="宋体" w:cs="宋体"/>
          <w:sz w:val="24"/>
          <w:u w:val="single"/>
          <w:lang w:val="zh-CN"/>
        </w:rPr>
        <w:t xml:space="preserve">          </w:t>
      </w:r>
      <w:r>
        <w:rPr>
          <w:rFonts w:hint="eastAsia" w:ascii="宋体" w:hAnsi="宋体" w:eastAsia="宋体" w:cs="宋体"/>
          <w:sz w:val="24"/>
        </w:rPr>
        <w:t>（填“未被列入”或“被列入”）政府采购严重违法失信行为记录名单。</w:t>
      </w:r>
    </w:p>
    <w:p>
      <w:pPr>
        <w:spacing w:line="500" w:lineRule="exact"/>
        <w:ind w:firstLine="480" w:firstLineChars="200"/>
        <w:rPr>
          <w:rFonts w:hint="eastAsia" w:ascii="宋体" w:hAnsi="宋体" w:eastAsia="宋体" w:cs="宋体"/>
        </w:rPr>
      </w:pPr>
      <w:r>
        <w:rPr>
          <w:rFonts w:hint="eastAsia" w:ascii="宋体" w:hAnsi="宋体" w:eastAsia="宋体" w:cs="宋体"/>
          <w:sz w:val="24"/>
          <w:lang w:val="zh-CN"/>
        </w:rPr>
        <w:t>我方承诺以上说明</w:t>
      </w:r>
      <w:r>
        <w:rPr>
          <w:rFonts w:hint="eastAsia" w:ascii="宋体" w:hAnsi="宋体" w:eastAsia="宋体" w:cs="宋体"/>
          <w:sz w:val="24"/>
        </w:rPr>
        <w:t>如有不实，我方将无条件地退出本项目的采购活动，并遵照《中华人民共和国政府采购法》有关“提供虚假材料的规定”接受处罚。</w:t>
      </w:r>
    </w:p>
    <w:p>
      <w:pPr>
        <w:autoSpaceDE w:val="0"/>
        <w:autoSpaceDN w:val="0"/>
        <w:adjustRightInd w:val="0"/>
        <w:spacing w:line="360" w:lineRule="auto"/>
        <w:jc w:val="left"/>
        <w:rPr>
          <w:rFonts w:hint="eastAsia" w:ascii="宋体" w:hAnsi="宋体" w:eastAsia="宋体" w:cs="宋体"/>
          <w:szCs w:val="21"/>
        </w:rPr>
      </w:pP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pPr>
        <w:autoSpaceDE w:val="0"/>
        <w:autoSpaceDN w:val="0"/>
        <w:adjustRightInd w:val="0"/>
        <w:spacing w:line="360" w:lineRule="auto"/>
        <w:jc w:val="center"/>
        <w:rPr>
          <w:rFonts w:hint="eastAsia" w:ascii="宋体" w:hAnsi="宋体" w:eastAsia="宋体" w:cs="宋体"/>
          <w:b/>
          <w:sz w:val="28"/>
          <w:szCs w:val="28"/>
          <w:lang w:val="zh-CN"/>
        </w:rPr>
      </w:pPr>
      <w:r>
        <w:rPr>
          <w:rFonts w:hint="eastAsia" w:ascii="宋体" w:hAnsi="宋体" w:eastAsia="宋体" w:cs="宋体"/>
        </w:rPr>
        <w:br w:type="page"/>
      </w:r>
      <w:r>
        <w:rPr>
          <w:rFonts w:hint="eastAsia" w:ascii="宋体" w:hAnsi="宋体" w:eastAsia="宋体" w:cs="宋体"/>
          <w:lang w:eastAsia="zh-CN"/>
        </w:rPr>
        <w:t>3.</w:t>
      </w:r>
      <w:r>
        <w:rPr>
          <w:rFonts w:hint="eastAsia" w:ascii="宋体" w:hAnsi="宋体" w:eastAsia="宋体" w:cs="宋体"/>
          <w:b/>
          <w:sz w:val="28"/>
          <w:szCs w:val="28"/>
          <w:lang w:val="zh-CN"/>
        </w:rPr>
        <w:t>投标人书面声明函</w:t>
      </w:r>
    </w:p>
    <w:p>
      <w:pPr>
        <w:autoSpaceDE w:val="0"/>
        <w:autoSpaceDN w:val="0"/>
        <w:adjustRightInd w:val="0"/>
        <w:spacing w:line="360" w:lineRule="auto"/>
        <w:ind w:firstLine="420" w:firstLineChars="200"/>
        <w:jc w:val="left"/>
        <w:rPr>
          <w:rFonts w:hint="eastAsia" w:ascii="宋体" w:hAnsi="宋体" w:eastAsia="宋体" w:cs="宋体"/>
          <w:szCs w:val="21"/>
          <w:lang w:val="zh-CN"/>
        </w:rPr>
      </w:pPr>
    </w:p>
    <w:p>
      <w:pPr>
        <w:spacing w:line="360" w:lineRule="auto"/>
        <w:rPr>
          <w:rFonts w:hint="eastAsia" w:ascii="宋体" w:hAnsi="宋体" w:eastAsia="宋体" w:cs="宋体"/>
          <w:sz w:val="24"/>
        </w:rPr>
      </w:pPr>
      <w:r>
        <w:rPr>
          <w:rFonts w:hint="eastAsia" w:ascii="宋体" w:hAnsi="宋体" w:eastAsia="宋体" w:cs="宋体"/>
          <w:sz w:val="24"/>
        </w:rPr>
        <w:t>陕西楚元项目管理有限公司：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我方作为参加</w:t>
      </w:r>
      <w:r>
        <w:rPr>
          <w:rFonts w:hint="eastAsia" w:ascii="宋体" w:hAnsi="宋体" w:eastAsia="宋体" w:cs="宋体"/>
          <w:sz w:val="24"/>
          <w:u w:val="single"/>
        </w:rPr>
        <w:t xml:space="preserve">        （项目名称）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）的投标人，在此郑重声明：</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lang w:eastAsia="zh-CN"/>
        </w:rPr>
        <w:t>1.</w:t>
      </w:r>
      <w:r>
        <w:rPr>
          <w:rFonts w:hint="eastAsia" w:ascii="宋体" w:hAnsi="宋体" w:eastAsia="宋体" w:cs="宋体"/>
          <w:sz w:val="24"/>
        </w:rPr>
        <w:t>在参加本次政府采购活动前3年内的经营活动中</w:t>
      </w:r>
      <w:r>
        <w:rPr>
          <w:rFonts w:hint="eastAsia" w:ascii="宋体" w:hAnsi="宋体" w:eastAsia="宋体" w:cs="宋体"/>
          <w:sz w:val="24"/>
          <w:u w:val="single"/>
        </w:rPr>
        <w:t xml:space="preserve">       </w:t>
      </w:r>
      <w:r>
        <w:rPr>
          <w:rFonts w:hint="eastAsia" w:ascii="宋体" w:hAnsi="宋体" w:eastAsia="宋体" w:cs="宋体"/>
          <w:sz w:val="24"/>
        </w:rPr>
        <w:t>（填“没有”或“有”）重大违法记录。</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eastAsia="zh-CN"/>
        </w:rPr>
        <w:t>2.</w:t>
      </w:r>
      <w:r>
        <w:rPr>
          <w:rFonts w:hint="eastAsia" w:ascii="宋体" w:hAnsi="宋体" w:eastAsia="宋体" w:cs="宋体"/>
          <w:kern w:val="0"/>
          <w:sz w:val="24"/>
        </w:rPr>
        <w:t>在参加本次政府采购项目经营活动中</w:t>
      </w:r>
      <w:r>
        <w:rPr>
          <w:rFonts w:hint="eastAsia" w:ascii="宋体" w:hAnsi="宋体" w:eastAsia="宋体" w:cs="宋体"/>
          <w:sz w:val="24"/>
          <w:u w:val="single"/>
        </w:rPr>
        <w:t xml:space="preserve">       </w:t>
      </w:r>
      <w:r>
        <w:rPr>
          <w:rFonts w:hint="eastAsia" w:ascii="宋体" w:hAnsi="宋体" w:eastAsia="宋体" w:cs="宋体"/>
          <w:kern w:val="0"/>
          <w:sz w:val="24"/>
        </w:rPr>
        <w:t>（填“没有”或“有”）履行合同所必需的设备和专业技术能力</w:t>
      </w:r>
      <w:r>
        <w:rPr>
          <w:rFonts w:hint="eastAsia" w:ascii="宋体" w:hAnsi="宋体" w:eastAsia="宋体" w:cs="宋体"/>
          <w:b/>
          <w:bCs/>
          <w:kern w:val="0"/>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如有不实，我方将无条件地退出本项目的采购活动，并遵照《中华人民共和国政府采购法》有关“提供虚假材料的规定”接受处罚。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特此声明。</w:t>
      </w:r>
    </w:p>
    <w:p>
      <w:pPr>
        <w:autoSpaceDE w:val="0"/>
        <w:autoSpaceDN w:val="0"/>
        <w:adjustRightInd w:val="0"/>
        <w:spacing w:line="360" w:lineRule="auto"/>
        <w:ind w:firstLine="420" w:firstLineChars="200"/>
        <w:rPr>
          <w:rFonts w:hint="eastAsia" w:ascii="宋体" w:hAnsi="宋体" w:eastAsia="宋体" w:cs="宋体"/>
        </w:rPr>
      </w:pPr>
    </w:p>
    <w:p>
      <w:pPr>
        <w:autoSpaceDE w:val="0"/>
        <w:autoSpaceDN w:val="0"/>
        <w:adjustRightInd w:val="0"/>
        <w:spacing w:line="360" w:lineRule="auto"/>
        <w:ind w:firstLine="420" w:firstLineChars="200"/>
        <w:rPr>
          <w:rFonts w:hint="eastAsia" w:ascii="宋体" w:hAnsi="宋体" w:eastAsia="宋体" w:cs="宋体"/>
        </w:rPr>
      </w:pPr>
    </w:p>
    <w:p>
      <w:pPr>
        <w:spacing w:line="360" w:lineRule="auto"/>
        <w:ind w:firstLine="3904" w:firstLineChars="1627"/>
        <w:rPr>
          <w:rFonts w:hint="eastAsia" w:ascii="宋体" w:hAnsi="宋体" w:eastAsia="宋体" w:cs="宋体"/>
          <w:sz w:val="24"/>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spacing w:line="360" w:lineRule="auto"/>
        <w:ind w:firstLine="3904" w:firstLineChars="1627"/>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pPr>
        <w:spacing w:after="156" w:afterLines="50" w:line="360" w:lineRule="auto"/>
        <w:rPr>
          <w:rFonts w:hint="eastAsia" w:ascii="宋体" w:hAnsi="宋体" w:eastAsia="宋体" w:cs="宋体"/>
          <w:sz w:val="24"/>
          <w:u w:val="single"/>
        </w:rPr>
      </w:pPr>
    </w:p>
    <w:p>
      <w:pPr>
        <w:rPr>
          <w:rFonts w:hint="eastAsia" w:ascii="宋体" w:hAnsi="宋体" w:eastAsia="宋体" w:cs="宋体"/>
          <w:sz w:val="24"/>
          <w:u w:val="single"/>
        </w:rPr>
      </w:pPr>
    </w:p>
    <w:p>
      <w:pPr>
        <w:tabs>
          <w:tab w:val="left" w:pos="0"/>
        </w:tabs>
        <w:suppressAutoHyphens/>
        <w:spacing w:line="360" w:lineRule="auto"/>
        <w:rPr>
          <w:rFonts w:hint="eastAsia" w:ascii="宋体" w:hAnsi="宋体" w:eastAsia="宋体" w:cs="宋体"/>
          <w:b/>
          <w:bCs/>
          <w:sz w:val="28"/>
          <w:szCs w:val="28"/>
        </w:rPr>
      </w:pPr>
      <w:r>
        <w:rPr>
          <w:rFonts w:hint="eastAsia" w:ascii="宋体" w:hAnsi="宋体" w:eastAsia="宋体" w:cs="宋体"/>
          <w:b/>
          <w:bCs/>
          <w:szCs w:val="32"/>
        </w:rPr>
        <w:t>注：投标人在参加政府采购活动前3年内因违法经营被禁止在一定期限内参加政府采购活动，期限届满的，可以参加政府采购活动，但应提供期限届满的证明材料。</w:t>
      </w:r>
      <w:r>
        <w:rPr>
          <w:rFonts w:hint="eastAsia" w:ascii="宋体" w:hAnsi="宋体" w:eastAsia="宋体" w:cs="宋体"/>
          <w:sz w:val="18"/>
        </w:rPr>
        <w:br w:type="page"/>
      </w:r>
      <w:bookmarkStart w:id="154" w:name="_Hlk63418484"/>
      <w:r>
        <w:rPr>
          <w:rFonts w:hint="eastAsia" w:ascii="宋体" w:hAnsi="宋体" w:eastAsia="宋体" w:cs="宋体"/>
          <w:b/>
          <w:bCs/>
          <w:sz w:val="28"/>
          <w:szCs w:val="28"/>
        </w:rPr>
        <w:t>附件一：</w:t>
      </w:r>
    </w:p>
    <w:p>
      <w:pPr>
        <w:jc w:val="center"/>
        <w:rPr>
          <w:rFonts w:hint="eastAsia" w:ascii="宋体" w:hAnsi="宋体" w:eastAsia="宋体" w:cs="宋体"/>
          <w:b/>
          <w:bCs/>
          <w:spacing w:val="15"/>
          <w:sz w:val="28"/>
          <w:szCs w:val="28"/>
          <w:shd w:val="clear" w:color="auto" w:fill="FFFFFF"/>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eastAsia="zh-CN"/>
        </w:rPr>
        <w:t>（</w:t>
      </w:r>
      <w:r>
        <w:rPr>
          <w:rFonts w:hint="eastAsia" w:ascii="宋体" w:hAnsi="宋体" w:eastAsia="宋体" w:cs="宋体"/>
          <w:b/>
          <w:bCs/>
          <w:sz w:val="28"/>
          <w:szCs w:val="28"/>
        </w:rPr>
        <w:t>货物</w:t>
      </w:r>
      <w:r>
        <w:rPr>
          <w:rFonts w:hint="eastAsia" w:ascii="宋体" w:hAnsi="宋体" w:eastAsia="宋体" w:cs="宋体"/>
          <w:b/>
          <w:bCs/>
          <w:sz w:val="28"/>
          <w:szCs w:val="28"/>
          <w:lang w:eastAsia="zh-CN"/>
        </w:rPr>
        <w:t>）</w:t>
      </w:r>
    </w:p>
    <w:p>
      <w:pPr>
        <w:wordWrap w:val="0"/>
        <w:spacing w:line="360" w:lineRule="auto"/>
        <w:ind w:firstLine="480" w:firstLineChars="200"/>
        <w:rPr>
          <w:rFonts w:hint="eastAsia" w:ascii="宋体" w:hAnsi="宋体" w:eastAsia="宋体" w:cs="宋体"/>
          <w:sz w:val="24"/>
        </w:rPr>
      </w:pPr>
    </w:p>
    <w:p>
      <w:pPr>
        <w:pStyle w:val="10"/>
        <w:spacing w:line="440" w:lineRule="exact"/>
        <w:rPr>
          <w:rFonts w:hint="eastAsia" w:ascii="宋体" w:hAnsi="宋体" w:eastAsia="宋体" w:cs="宋体"/>
          <w:szCs w:val="21"/>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采购活动，提供的货物全部由符合政策要求的中小企业制造。相关企业（含联合体中的中小企业、签订分包意向协议的中小企业） 的具体情况如下：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1. </w:t>
      </w:r>
      <w:r>
        <w:rPr>
          <w:rFonts w:hint="eastAsia" w:ascii="宋体" w:hAnsi="宋体" w:eastAsia="宋体" w:cs="宋体"/>
          <w:sz w:val="24"/>
          <w:u w:val="single"/>
        </w:rPr>
        <w:t>（标的名称）</w:t>
      </w:r>
      <w:r>
        <w:rPr>
          <w:rFonts w:hint="eastAsia" w:ascii="宋体" w:hAnsi="宋体" w:eastAsia="宋体" w:cs="宋体"/>
          <w:sz w:val="24"/>
        </w:rPr>
        <w:t xml:space="preserve"> ，属于</w:t>
      </w:r>
      <w:r>
        <w:rPr>
          <w:rFonts w:hint="eastAsia" w:ascii="宋体" w:hAnsi="宋体" w:eastAsia="宋体" w:cs="宋体"/>
          <w:sz w:val="24"/>
          <w:u w:val="single"/>
        </w:rPr>
        <w:t>（采购文件中明确的所属行业）</w:t>
      </w:r>
      <w:r>
        <w:rPr>
          <w:rFonts w:hint="eastAsia" w:ascii="宋体" w:hAnsi="宋体" w:eastAsia="宋体" w:cs="宋体"/>
          <w:sz w:val="24"/>
        </w:rPr>
        <w:t xml:space="preserve"> 行业；制造商为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1</w:t>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u w:val="single"/>
        </w:rPr>
        <w:t>（标的名称）</w:t>
      </w:r>
      <w:r>
        <w:rPr>
          <w:rFonts w:hint="eastAsia" w:ascii="宋体" w:hAnsi="宋体" w:eastAsia="宋体" w:cs="宋体"/>
          <w:sz w:val="24"/>
        </w:rPr>
        <w:t xml:space="preserve"> ，属于</w:t>
      </w:r>
      <w:r>
        <w:rPr>
          <w:rFonts w:hint="eastAsia" w:ascii="宋体" w:hAnsi="宋体" w:eastAsia="宋体" w:cs="宋体"/>
          <w:sz w:val="24"/>
          <w:u w:val="single"/>
        </w:rPr>
        <w:t>（采购文件中明确的所属行业）</w:t>
      </w:r>
      <w:r>
        <w:rPr>
          <w:rFonts w:hint="eastAsia" w:ascii="宋体" w:hAnsi="宋体" w:eastAsia="宋体" w:cs="宋体"/>
          <w:sz w:val="24"/>
        </w:rPr>
        <w:t xml:space="preserve"> 行业；制造商为</w:t>
      </w:r>
      <w:r>
        <w:rPr>
          <w:rFonts w:hint="eastAsia" w:ascii="宋体" w:hAnsi="宋体" w:eastAsia="宋体" w:cs="宋体"/>
          <w:sz w:val="24"/>
          <w:u w:val="single"/>
        </w:rPr>
        <w:t>（企业名称）</w:t>
      </w:r>
      <w:r>
        <w:rPr>
          <w:rFonts w:hint="eastAsia" w:ascii="宋体" w:hAnsi="宋体" w:eastAsia="宋体" w:cs="宋体"/>
          <w:sz w:val="24"/>
        </w:rPr>
        <w:t>，从业人员 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（中型企业、小型企业、微型企业</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 为大企业的情形，也不存在与大企业的负责人为同一人的情 形。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本企业对上述声明内容的真实性负责。如有虚假，将依法承担相应责任。 </w:t>
      </w:r>
    </w:p>
    <w:p>
      <w:pPr>
        <w:spacing w:line="360" w:lineRule="auto"/>
        <w:ind w:firstLine="480" w:firstLineChars="200"/>
        <w:rPr>
          <w:rFonts w:hint="eastAsia" w:ascii="宋体" w:hAnsi="宋体" w:eastAsia="宋体" w:cs="宋体"/>
          <w:sz w:val="24"/>
        </w:rPr>
      </w:pPr>
    </w:p>
    <w:p>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企业名称（盖章）： </w:t>
      </w:r>
    </w:p>
    <w:p>
      <w:pPr>
        <w:spacing w:line="360" w:lineRule="auto"/>
        <w:ind w:firstLine="480" w:firstLineChars="200"/>
        <w:jc w:val="right"/>
        <w:rPr>
          <w:rFonts w:hint="eastAsia" w:ascii="宋体" w:hAnsi="宋体" w:eastAsia="宋体" w:cs="宋体"/>
          <w:szCs w:val="21"/>
        </w:rPr>
      </w:pPr>
      <w:r>
        <w:rPr>
          <w:rFonts w:hint="eastAsia" w:ascii="宋体" w:hAnsi="宋体" w:eastAsia="宋体" w:cs="宋体"/>
          <w:sz w:val="24"/>
        </w:rPr>
        <w:t>日 期：</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p>
    <w:p>
      <w:pPr>
        <w:tabs>
          <w:tab w:val="left" w:pos="0"/>
        </w:tabs>
        <w:spacing w:line="360" w:lineRule="auto"/>
        <w:rPr>
          <w:rFonts w:hint="eastAsia" w:ascii="宋体" w:hAnsi="宋体" w:eastAsia="宋体" w:cs="宋体"/>
          <w:b/>
          <w:bCs/>
          <w:szCs w:val="21"/>
        </w:rPr>
      </w:pPr>
      <w:r>
        <w:rPr>
          <w:rFonts w:hint="eastAsia" w:ascii="宋体" w:hAnsi="宋体" w:eastAsia="宋体" w:cs="宋体"/>
          <w:b/>
          <w:bCs/>
          <w:color w:val="333333"/>
          <w:spacing w:val="15"/>
          <w:szCs w:val="21"/>
          <w:shd w:val="clear" w:color="auto" w:fill="FFFFFF"/>
        </w:rPr>
        <w:t>注：1、从业人员、营业收入、资产总额填报上一年度数据，无上一年度数据的新成立企业可不填报。</w:t>
      </w:r>
    </w:p>
    <w:p>
      <w:pPr>
        <w:tabs>
          <w:tab w:val="left" w:pos="0"/>
        </w:tabs>
        <w:spacing w:line="360" w:lineRule="auto"/>
        <w:rPr>
          <w:rFonts w:hint="eastAsia" w:ascii="宋体" w:hAnsi="宋体" w:eastAsia="宋体" w:cs="宋体"/>
          <w:b/>
          <w:bCs/>
          <w:szCs w:val="21"/>
        </w:rPr>
      </w:pPr>
      <w:r>
        <w:rPr>
          <w:rFonts w:hint="eastAsia" w:ascii="宋体" w:hAnsi="宋体" w:eastAsia="宋体" w:cs="宋体"/>
          <w:b/>
          <w:bCs/>
          <w:szCs w:val="21"/>
          <w:lang w:eastAsia="zh-CN"/>
        </w:rPr>
        <w:t>2.</w:t>
      </w:r>
      <w:r>
        <w:rPr>
          <w:rFonts w:hint="eastAsia" w:ascii="宋体" w:hAnsi="宋体" w:eastAsia="宋体" w:cs="宋体"/>
          <w:b/>
          <w:bCs/>
          <w:szCs w:val="21"/>
        </w:rPr>
        <w:t>如不是该类企业则不需提供相关声明，若提供虚假材料谋取中标、成交的，将按照《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bookmarkEnd w:id="154"/>
    <w:p>
      <w:pPr>
        <w:tabs>
          <w:tab w:val="left" w:pos="0"/>
        </w:tabs>
        <w:suppressAutoHyphens/>
        <w:spacing w:line="360" w:lineRule="auto"/>
        <w:rPr>
          <w:rFonts w:hint="eastAsia" w:ascii="宋体" w:hAnsi="宋体" w:eastAsia="宋体" w:cs="宋体"/>
          <w:b/>
          <w:kern w:val="0"/>
          <w:sz w:val="24"/>
        </w:rPr>
      </w:pPr>
    </w:p>
    <w:p>
      <w:pPr>
        <w:tabs>
          <w:tab w:val="left" w:pos="0"/>
        </w:tabs>
        <w:suppressAutoHyphens/>
        <w:spacing w:line="360" w:lineRule="auto"/>
        <w:rPr>
          <w:rFonts w:hint="eastAsia" w:ascii="宋体" w:hAnsi="宋体" w:eastAsia="宋体" w:cs="宋体"/>
          <w:spacing w:val="6"/>
          <w:sz w:val="30"/>
          <w:szCs w:val="30"/>
        </w:rPr>
      </w:pPr>
      <w:r>
        <w:rPr>
          <w:rFonts w:hint="eastAsia" w:ascii="宋体" w:hAnsi="宋体" w:eastAsia="宋体" w:cs="宋体"/>
          <w:b/>
          <w:kern w:val="0"/>
          <w:sz w:val="24"/>
        </w:rPr>
        <w:t>附件二：</w:t>
      </w:r>
    </w:p>
    <w:p>
      <w:pPr>
        <w:tabs>
          <w:tab w:val="left" w:pos="0"/>
        </w:tabs>
        <w:suppressAutoHyphens/>
        <w:spacing w:line="360" w:lineRule="auto"/>
        <w:jc w:val="center"/>
        <w:rPr>
          <w:rFonts w:hint="eastAsia" w:ascii="宋体" w:hAnsi="宋体" w:eastAsia="宋体" w:cs="宋体"/>
          <w:b/>
          <w:spacing w:val="6"/>
          <w:sz w:val="24"/>
        </w:rPr>
      </w:pPr>
      <w:r>
        <w:rPr>
          <w:rFonts w:hint="eastAsia" w:ascii="宋体" w:hAnsi="宋体" w:eastAsia="宋体" w:cs="宋体"/>
          <w:b/>
          <w:bCs/>
          <w:spacing w:val="15"/>
          <w:kern w:val="0"/>
          <w:sz w:val="28"/>
          <w:szCs w:val="36"/>
          <w:shd w:val="clear" w:color="auto" w:fill="FFFFFF"/>
        </w:rPr>
        <w:t>残疾人福利性单位声明函</w:t>
      </w:r>
    </w:p>
    <w:p>
      <w:pPr>
        <w:tabs>
          <w:tab w:val="left" w:pos="0"/>
        </w:tabs>
        <w:suppressAutoHyphens/>
        <w:spacing w:line="360" w:lineRule="auto"/>
        <w:rPr>
          <w:rFonts w:hint="eastAsia" w:ascii="宋体" w:hAnsi="宋体" w:eastAsia="宋体" w:cs="宋体"/>
          <w:b/>
          <w:spacing w:val="6"/>
          <w:sz w:val="24"/>
        </w:rPr>
      </w:pPr>
    </w:p>
    <w:p>
      <w:pPr>
        <w:tabs>
          <w:tab w:val="left" w:pos="0"/>
        </w:tabs>
        <w:suppressAutoHyphens/>
        <w:spacing w:line="360" w:lineRule="auto"/>
        <w:rPr>
          <w:rFonts w:hint="eastAsia" w:ascii="宋体" w:hAnsi="宋体" w:eastAsia="宋体" w:cs="宋体"/>
          <w:spacing w:val="6"/>
          <w:sz w:val="24"/>
          <w:szCs w:val="32"/>
        </w:rPr>
      </w:pP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spacing w:val="6"/>
          <w:sz w:val="24"/>
          <w:szCs w:val="32"/>
        </w:rPr>
        <w:t>本单位郑重声明，根据《财政部 民政部 中国残疾人联合会关于促进残疾人就业政府采购政策的通知》（财库</w:t>
      </w:r>
      <w:r>
        <w:rPr>
          <w:rFonts w:hint="eastAsia" w:ascii="宋体" w:hAnsi="宋体" w:eastAsia="宋体" w:cs="宋体"/>
          <w:sz w:val="24"/>
          <w:szCs w:val="32"/>
        </w:rPr>
        <w:t>〔2017〕141</w:t>
      </w:r>
      <w:r>
        <w:rPr>
          <w:rFonts w:hint="eastAsia" w:ascii="宋体" w:hAnsi="宋体" w:eastAsia="宋体" w:cs="宋体"/>
          <w:spacing w:val="6"/>
          <w:sz w:val="24"/>
          <w:szCs w:val="32"/>
        </w:rPr>
        <w:t>号）的规定，本单位为符合条件的残疾人福利性单位，且本单位参加</w:t>
      </w:r>
      <w:r>
        <w:rPr>
          <w:rFonts w:hint="eastAsia" w:ascii="宋体" w:hAnsi="宋体" w:eastAsia="宋体" w:cs="宋体"/>
          <w:spacing w:val="15"/>
          <w:sz w:val="24"/>
          <w:szCs w:val="32"/>
          <w:u w:val="single"/>
          <w:shd w:val="clear" w:color="auto" w:fill="FFFFFF"/>
        </w:rPr>
        <w:t xml:space="preserve">          </w:t>
      </w:r>
      <w:r>
        <w:rPr>
          <w:rFonts w:hint="eastAsia" w:ascii="宋体" w:hAnsi="宋体" w:eastAsia="宋体" w:cs="宋体"/>
          <w:spacing w:val="6"/>
          <w:sz w:val="24"/>
          <w:szCs w:val="32"/>
        </w:rPr>
        <w:t>单位的</w:t>
      </w:r>
      <w:r>
        <w:rPr>
          <w:rFonts w:hint="eastAsia" w:ascii="宋体" w:hAnsi="宋体" w:eastAsia="宋体" w:cs="宋体"/>
          <w:spacing w:val="15"/>
          <w:sz w:val="24"/>
          <w:szCs w:val="32"/>
          <w:u w:val="single"/>
          <w:shd w:val="clear" w:color="auto" w:fill="FFFFFF"/>
        </w:rPr>
        <w:t xml:space="preserve">          </w:t>
      </w:r>
      <w:r>
        <w:rPr>
          <w:rFonts w:hint="eastAsia" w:ascii="宋体" w:hAnsi="宋体" w:eastAsia="宋体" w:cs="宋体"/>
          <w:spacing w:val="6"/>
          <w:sz w:val="24"/>
          <w:szCs w:val="32"/>
        </w:rPr>
        <w:t>项目采购活动提供本单位制造的货物（由本单位承担工程/提供服务），或者提供其他残疾人福利性单位制造的货物（不包括使用非残疾人福利性单位注册商标的货物）。</w:t>
      </w:r>
    </w:p>
    <w:p>
      <w:pPr>
        <w:tabs>
          <w:tab w:val="left" w:pos="0"/>
        </w:tabs>
        <w:suppressAutoHyphens/>
        <w:spacing w:line="360" w:lineRule="auto"/>
        <w:ind w:firstLine="504" w:firstLineChars="200"/>
        <w:rPr>
          <w:rFonts w:hint="eastAsia" w:ascii="宋体" w:hAnsi="宋体" w:eastAsia="宋体" w:cs="宋体"/>
          <w:spacing w:val="6"/>
          <w:sz w:val="24"/>
          <w:szCs w:val="32"/>
        </w:rPr>
      </w:pPr>
      <w:r>
        <w:rPr>
          <w:rFonts w:hint="eastAsia" w:ascii="宋体" w:hAnsi="宋体" w:eastAsia="宋体" w:cs="宋体"/>
          <w:spacing w:val="6"/>
          <w:sz w:val="24"/>
          <w:szCs w:val="32"/>
        </w:rPr>
        <w:t>本单位对上述声明的真实性负责。如有虚假，将依法承担相应责任。</w:t>
      </w:r>
    </w:p>
    <w:p>
      <w:pPr>
        <w:numPr>
          <w:ilvl w:val="0"/>
          <w:numId w:val="7"/>
        </w:numPr>
        <w:suppressAutoHyphens/>
        <w:spacing w:line="360" w:lineRule="auto"/>
        <w:rPr>
          <w:rFonts w:hint="eastAsia" w:ascii="宋体" w:hAnsi="宋体" w:eastAsia="宋体" w:cs="宋体"/>
          <w:spacing w:val="6"/>
          <w:sz w:val="24"/>
          <w:szCs w:val="32"/>
        </w:rPr>
      </w:pPr>
    </w:p>
    <w:p>
      <w:pPr>
        <w:numPr>
          <w:ilvl w:val="0"/>
          <w:numId w:val="7"/>
        </w:numPr>
        <w:spacing w:line="588" w:lineRule="exact"/>
        <w:rPr>
          <w:rFonts w:hint="eastAsia" w:ascii="宋体" w:hAnsi="宋体" w:eastAsia="宋体" w:cs="宋体"/>
          <w:spacing w:val="15"/>
          <w:kern w:val="0"/>
          <w:sz w:val="24"/>
          <w:shd w:val="clear" w:color="auto" w:fill="FFFFFF"/>
        </w:rPr>
      </w:pPr>
    </w:p>
    <w:p>
      <w:pPr>
        <w:tabs>
          <w:tab w:val="left" w:pos="0"/>
        </w:tabs>
        <w:suppressAutoHyphens/>
        <w:spacing w:line="360" w:lineRule="auto"/>
        <w:jc w:val="right"/>
        <w:rPr>
          <w:rFonts w:hint="eastAsia" w:ascii="宋体" w:hAnsi="宋体" w:eastAsia="宋体" w:cs="宋体"/>
          <w:spacing w:val="6"/>
          <w:sz w:val="24"/>
          <w:szCs w:val="32"/>
        </w:rPr>
      </w:pPr>
      <w:r>
        <w:rPr>
          <w:rFonts w:hint="eastAsia" w:ascii="宋体" w:hAnsi="宋体" w:eastAsia="宋体" w:cs="宋体"/>
          <w:spacing w:val="6"/>
          <w:sz w:val="24"/>
          <w:szCs w:val="32"/>
        </w:rPr>
        <w:t>企业名称（盖章）：</w:t>
      </w:r>
    </w:p>
    <w:p>
      <w:pPr>
        <w:tabs>
          <w:tab w:val="left" w:pos="0"/>
        </w:tabs>
        <w:suppressAutoHyphens/>
        <w:spacing w:line="360" w:lineRule="auto"/>
        <w:jc w:val="right"/>
        <w:rPr>
          <w:rFonts w:hint="eastAsia" w:ascii="宋体" w:hAnsi="宋体" w:eastAsia="宋体" w:cs="宋体"/>
          <w:spacing w:val="6"/>
          <w:sz w:val="24"/>
          <w:szCs w:val="32"/>
        </w:rPr>
      </w:pPr>
      <w:r>
        <w:rPr>
          <w:rFonts w:hint="eastAsia" w:ascii="宋体" w:hAnsi="宋体" w:eastAsia="宋体" w:cs="宋体"/>
          <w:spacing w:val="6"/>
          <w:sz w:val="24"/>
          <w:szCs w:val="32"/>
        </w:rPr>
        <w:t>日  期： 年 月 日</w:t>
      </w:r>
    </w:p>
    <w:p>
      <w:pPr>
        <w:numPr>
          <w:ilvl w:val="0"/>
          <w:numId w:val="7"/>
        </w:numPr>
        <w:jc w:val="center"/>
        <w:rPr>
          <w:rFonts w:hint="eastAsia" w:ascii="宋体" w:hAnsi="宋体" w:eastAsia="宋体" w:cs="宋体"/>
          <w:b/>
          <w:szCs w:val="21"/>
        </w:rPr>
      </w:pPr>
    </w:p>
    <w:p>
      <w:pPr>
        <w:numPr>
          <w:ilvl w:val="0"/>
          <w:numId w:val="7"/>
        </w:numPr>
        <w:jc w:val="center"/>
        <w:rPr>
          <w:rFonts w:hint="eastAsia" w:ascii="宋体" w:hAnsi="宋体" w:eastAsia="宋体" w:cs="宋体"/>
          <w:b/>
          <w:szCs w:val="21"/>
        </w:rPr>
      </w:pPr>
    </w:p>
    <w:p>
      <w:pPr>
        <w:tabs>
          <w:tab w:val="left" w:pos="0"/>
        </w:tabs>
        <w:spacing w:line="360" w:lineRule="auto"/>
        <w:rPr>
          <w:rFonts w:hint="eastAsia" w:ascii="宋体" w:hAnsi="宋体" w:eastAsia="宋体" w:cs="宋体"/>
          <w:b/>
          <w:szCs w:val="21"/>
        </w:rPr>
      </w:pPr>
      <w:r>
        <w:rPr>
          <w:rFonts w:hint="eastAsia" w:ascii="宋体" w:hAnsi="宋体" w:eastAsia="宋体" w:cs="宋体"/>
          <w:b/>
          <w:szCs w:val="21"/>
        </w:rPr>
        <w:t>注：如不是该类企业则不需提供相关声明，若提供虚假材料谋取中标、成交的，将按照《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tabs>
          <w:tab w:val="left" w:pos="0"/>
        </w:tabs>
        <w:suppressAutoHyphens/>
        <w:spacing w:line="360" w:lineRule="auto"/>
        <w:rPr>
          <w:rFonts w:hint="eastAsia" w:ascii="宋体" w:hAnsi="宋体" w:eastAsia="宋体" w:cs="宋体"/>
          <w:spacing w:val="6"/>
          <w:sz w:val="24"/>
        </w:rPr>
      </w:pPr>
      <w:r>
        <w:rPr>
          <w:rFonts w:hint="eastAsia" w:ascii="宋体" w:hAnsi="宋体" w:eastAsia="宋体" w:cs="宋体"/>
          <w:b/>
          <w:szCs w:val="21"/>
        </w:rPr>
        <w:br w:type="page"/>
      </w:r>
      <w:bookmarkEnd w:id="147"/>
      <w:r>
        <w:rPr>
          <w:rFonts w:hint="eastAsia" w:ascii="宋体" w:hAnsi="宋体" w:eastAsia="宋体" w:cs="宋体"/>
          <w:b/>
          <w:sz w:val="24"/>
        </w:rPr>
        <w:t>附件三</w:t>
      </w:r>
      <w:r>
        <w:rPr>
          <w:rFonts w:hint="eastAsia" w:ascii="宋体" w:hAnsi="宋体" w:eastAsia="宋体" w:cs="宋体"/>
          <w:sz w:val="24"/>
        </w:rPr>
        <w:t>：</w:t>
      </w:r>
    </w:p>
    <w:p>
      <w:pPr>
        <w:jc w:val="center"/>
        <w:rPr>
          <w:rFonts w:hint="eastAsia" w:ascii="宋体" w:hAnsi="宋体" w:eastAsia="宋体" w:cs="宋体"/>
          <w:b/>
          <w:bCs/>
          <w:spacing w:val="15"/>
          <w:szCs w:val="36"/>
          <w:shd w:val="clear" w:color="auto" w:fill="FFFFFF"/>
        </w:rPr>
      </w:pPr>
      <w:r>
        <w:rPr>
          <w:rFonts w:hint="eastAsia" w:ascii="宋体" w:hAnsi="宋体" w:eastAsia="宋体" w:cs="宋体"/>
          <w:b/>
          <w:bCs/>
          <w:sz w:val="28"/>
          <w:szCs w:val="36"/>
        </w:rPr>
        <w:t>监狱企业声明函</w:t>
      </w:r>
    </w:p>
    <w:p>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本单位郑重声明，根据《关于政府采购支持监狱企业发展有关问题的通知》（财库</w:t>
      </w:r>
      <w:r>
        <w:rPr>
          <w:rFonts w:hint="eastAsia" w:ascii="宋体" w:hAnsi="宋体" w:eastAsia="宋体" w:cs="宋体"/>
          <w:sz w:val="24"/>
          <w:szCs w:val="32"/>
        </w:rPr>
        <w:t>〔</w:t>
      </w:r>
      <w:r>
        <w:rPr>
          <w:rFonts w:hint="eastAsia" w:ascii="宋体" w:hAnsi="宋体" w:eastAsia="宋体" w:cs="宋体"/>
          <w:sz w:val="24"/>
        </w:rPr>
        <w:t>2014</w:t>
      </w:r>
      <w:r>
        <w:rPr>
          <w:rFonts w:hint="eastAsia" w:ascii="宋体" w:hAnsi="宋体" w:eastAsia="宋体" w:cs="宋体"/>
          <w:sz w:val="24"/>
          <w:szCs w:val="32"/>
        </w:rPr>
        <w:t>〕</w:t>
      </w:r>
      <w:r>
        <w:rPr>
          <w:rFonts w:hint="eastAsia" w:ascii="宋体" w:hAnsi="宋体" w:eastAsia="宋体" w:cs="宋体"/>
          <w:sz w:val="24"/>
        </w:rPr>
        <w:t>68号）的规定，本单位为符合条件的监狱企业，且本单位参加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项目采购活动提供本单位制造的货物（由本单位承担工程/提供服务），或者提供其他监狱企业制造的货物（不包括使用非监狱企业注册商标的货物）。</w:t>
      </w:r>
    </w:p>
    <w:p>
      <w:pPr>
        <w:wordWrap w:val="0"/>
        <w:spacing w:line="360" w:lineRule="auto"/>
        <w:ind w:firstLine="480" w:firstLineChars="200"/>
        <w:rPr>
          <w:rFonts w:hint="eastAsia" w:ascii="宋体" w:hAnsi="宋体" w:eastAsia="宋体" w:cs="宋体"/>
          <w:spacing w:val="15"/>
          <w:kern w:val="0"/>
          <w:sz w:val="24"/>
          <w:shd w:val="clear" w:color="auto" w:fill="FFFFFF"/>
        </w:rPr>
      </w:pPr>
      <w:r>
        <w:rPr>
          <w:rFonts w:hint="eastAsia" w:ascii="宋体" w:hAnsi="宋体" w:eastAsia="宋体" w:cs="宋体"/>
          <w:sz w:val="24"/>
        </w:rPr>
        <w:t>本单位对上述声明的真实性负责。如有虚假，将依法承担相应责任。</w:t>
      </w:r>
    </w:p>
    <w:p>
      <w:pPr>
        <w:spacing w:line="360" w:lineRule="auto"/>
        <w:ind w:firstLine="504" w:firstLineChars="200"/>
        <w:rPr>
          <w:rFonts w:hint="eastAsia" w:ascii="宋体" w:hAnsi="宋体" w:eastAsia="宋体" w:cs="宋体"/>
          <w:spacing w:val="6"/>
          <w:sz w:val="24"/>
        </w:rPr>
      </w:pPr>
    </w:p>
    <w:p>
      <w:pPr>
        <w:spacing w:line="360" w:lineRule="auto"/>
        <w:ind w:firstLine="504" w:firstLineChars="200"/>
        <w:rPr>
          <w:rFonts w:hint="eastAsia" w:ascii="宋体" w:hAnsi="宋体" w:eastAsia="宋体" w:cs="宋体"/>
          <w:spacing w:val="6"/>
          <w:sz w:val="24"/>
        </w:rPr>
      </w:pPr>
    </w:p>
    <w:p>
      <w:pPr>
        <w:numPr>
          <w:ilvl w:val="0"/>
          <w:numId w:val="7"/>
        </w:numPr>
        <w:suppressAutoHyphens/>
        <w:spacing w:line="360" w:lineRule="auto"/>
        <w:ind w:firstLine="504" w:firstLineChars="200"/>
        <w:jc w:val="right"/>
        <w:rPr>
          <w:rFonts w:hint="eastAsia" w:ascii="宋体" w:hAnsi="宋体" w:eastAsia="宋体" w:cs="宋体"/>
          <w:spacing w:val="6"/>
          <w:sz w:val="24"/>
        </w:rPr>
      </w:pPr>
      <w:r>
        <w:rPr>
          <w:rFonts w:hint="eastAsia" w:ascii="宋体" w:hAnsi="宋体" w:eastAsia="宋体" w:cs="宋体"/>
          <w:spacing w:val="6"/>
          <w:sz w:val="24"/>
        </w:rPr>
        <w:t>企业名称（盖章）：</w:t>
      </w:r>
    </w:p>
    <w:p>
      <w:pPr>
        <w:numPr>
          <w:ilvl w:val="0"/>
          <w:numId w:val="7"/>
        </w:numPr>
        <w:suppressAutoHyphens/>
        <w:spacing w:line="360" w:lineRule="auto"/>
        <w:ind w:firstLine="504" w:firstLineChars="200"/>
        <w:jc w:val="right"/>
        <w:rPr>
          <w:rFonts w:hint="eastAsia" w:ascii="宋体" w:hAnsi="宋体" w:eastAsia="宋体" w:cs="宋体"/>
          <w:spacing w:val="6"/>
          <w:sz w:val="24"/>
        </w:rPr>
      </w:pPr>
      <w:r>
        <w:rPr>
          <w:rFonts w:hint="eastAsia" w:ascii="宋体" w:hAnsi="宋体" w:eastAsia="宋体" w:cs="宋体"/>
          <w:spacing w:val="6"/>
          <w:sz w:val="24"/>
        </w:rPr>
        <w:t>日  期： 年 月 日</w:t>
      </w:r>
    </w:p>
    <w:p>
      <w:pPr>
        <w:rPr>
          <w:rFonts w:hint="eastAsia" w:ascii="宋体" w:hAnsi="宋体" w:eastAsia="宋体" w:cs="宋体"/>
          <w:szCs w:val="21"/>
        </w:rPr>
      </w:pPr>
    </w:p>
    <w:p>
      <w:pPr>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后附：由省级以上监狱管理局、戒毒管理局（含新疆生产建设兵团）出具的属于监狱企业的证明文件</w:t>
      </w:r>
    </w:p>
    <w:p>
      <w:pPr>
        <w:pStyle w:val="4"/>
        <w:numPr>
          <w:ilvl w:val="2"/>
          <w:numId w:val="0"/>
        </w:numPr>
        <w:rPr>
          <w:rFonts w:hint="eastAsia" w:ascii="宋体" w:hAnsi="宋体" w:eastAsia="宋体" w:cs="宋体"/>
        </w:rPr>
      </w:pPr>
    </w:p>
    <w:p>
      <w:pPr>
        <w:spacing w:line="360" w:lineRule="auto"/>
        <w:rPr>
          <w:rFonts w:hint="eastAsia" w:ascii="宋体" w:hAnsi="宋体" w:eastAsia="宋体" w:cs="宋体"/>
          <w:b/>
          <w:szCs w:val="21"/>
        </w:rPr>
      </w:pPr>
      <w:r>
        <w:rPr>
          <w:rFonts w:hint="eastAsia" w:ascii="宋体" w:hAnsi="宋体" w:eastAsia="宋体" w:cs="宋体"/>
          <w:b/>
          <w:szCs w:val="21"/>
        </w:rPr>
        <w:t>注：如不是该类企业则不需提供相关声明，若提供虚假材料谋取中标、成交的，将按照《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bookmarkEnd w:id="116"/>
    <w:p>
      <w:pPr>
        <w:pStyle w:val="4"/>
        <w:numPr>
          <w:ilvl w:val="2"/>
          <w:numId w:val="0"/>
        </w:numPr>
        <w:rPr>
          <w:rFonts w:hint="eastAsia" w:ascii="宋体" w:hAnsi="宋体" w:eastAsia="宋体" w:cs="宋体"/>
        </w:rPr>
      </w:pPr>
    </w:p>
    <w:sectPr>
      <w:headerReference r:id="rId6" w:type="default"/>
      <w:footerReference r:id="rId7" w:type="default"/>
      <w:pgSz w:w="11906" w:h="16838"/>
      <w:pgMar w:top="1417" w:right="1417" w:bottom="1417" w:left="1417"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Bdr>
                              <w:top w:val="none" w:color="auto" w:sz="0" w:space="1"/>
                            </w:pBd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Bdr>
                        <w:top w:val="none" w:color="auto" w:sz="0" w:space="1"/>
                      </w:pBd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hint="eastAsia"/>
      </w:rPr>
      <w:t xml:space="preserve">                        </w:t>
    </w:r>
    <w:r>
      <w:rPr>
        <w:rFonts w:hint="eastAsia"/>
        <w:sz w:val="10"/>
        <w:szCs w:val="16"/>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eastAsia" w:ascii="宋体" w:hAnsi="宋体" w:eastAsia="宋体" w:cs="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DDFE1"/>
    <w:multiLevelType w:val="singleLevel"/>
    <w:tmpl w:val="B40DDFE1"/>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4E7A725F"/>
    <w:multiLevelType w:val="multilevel"/>
    <w:tmpl w:val="4E7A725F"/>
    <w:lvl w:ilvl="0" w:tentative="0">
      <w:start w:val="1"/>
      <w:numFmt w:val="decimal"/>
      <w:pStyle w:val="55"/>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F4B9302"/>
    <w:multiLevelType w:val="singleLevel"/>
    <w:tmpl w:val="4F4B9302"/>
    <w:lvl w:ilvl="0" w:tentative="0">
      <w:start w:val="1"/>
      <w:numFmt w:val="decimal"/>
      <w:suff w:val="nothing"/>
      <w:lvlText w:val="%1、"/>
      <w:lvlJc w:val="left"/>
    </w:lvl>
  </w:abstractNum>
  <w:abstractNum w:abstractNumId="4">
    <w:nsid w:val="5511259B"/>
    <w:multiLevelType w:val="singleLevel"/>
    <w:tmpl w:val="5511259B"/>
    <w:lvl w:ilvl="0" w:tentative="0">
      <w:start w:val="1"/>
      <w:numFmt w:val="decimal"/>
      <w:lvlText w:val="%1."/>
      <w:lvlJc w:val="left"/>
      <w:pPr>
        <w:tabs>
          <w:tab w:val="left" w:pos="312"/>
        </w:tabs>
      </w:pPr>
    </w:lvl>
  </w:abstractNum>
  <w:abstractNum w:abstractNumId="5">
    <w:nsid w:val="5CE4FFC8"/>
    <w:multiLevelType w:val="singleLevel"/>
    <w:tmpl w:val="5CE4FFC8"/>
    <w:lvl w:ilvl="0" w:tentative="0">
      <w:start w:val="1"/>
      <w:numFmt w:val="decimal"/>
      <w:lvlText w:val="%1."/>
      <w:lvlJc w:val="left"/>
      <w:pPr>
        <w:tabs>
          <w:tab w:val="left" w:pos="312"/>
        </w:tabs>
      </w:pPr>
    </w:lvl>
  </w:abstractNum>
  <w:abstractNum w:abstractNumId="6">
    <w:nsid w:val="79575CAC"/>
    <w:multiLevelType w:val="multilevel"/>
    <w:tmpl w:val="79575CAC"/>
    <w:lvl w:ilvl="0" w:tentative="0">
      <w:start w:val="1"/>
      <w:numFmt w:val="decimal"/>
      <w:suff w:val="nothing"/>
      <w:lvlText w:val="%1."/>
      <w:lvlJc w:val="left"/>
      <w:pPr>
        <w:ind w:left="425" w:hanging="425"/>
      </w:pPr>
      <w:rPr>
        <w:rFonts w:hint="eastAsia" w:ascii="新宋体" w:hAnsi="新宋体" w:eastAsia="新宋体"/>
      </w:rPr>
    </w:lvl>
    <w:lvl w:ilvl="1" w:tentative="0">
      <w:start w:val="1"/>
      <w:numFmt w:val="decimal"/>
      <w:suff w:val="nothing"/>
      <w:lvlText w:val="%1.%2."/>
      <w:lvlJc w:val="left"/>
      <w:pPr>
        <w:ind w:left="567" w:hanging="567"/>
      </w:pPr>
      <w:rPr>
        <w:rFonts w:hint="eastAsia" w:ascii="新宋体" w:hAnsi="新宋体" w:eastAsia="新宋体"/>
      </w:rPr>
    </w:lvl>
    <w:lvl w:ilvl="2" w:tentative="0">
      <w:start w:val="1"/>
      <w:numFmt w:val="decimal"/>
      <w:pStyle w:val="5"/>
      <w:suff w:val="nothing"/>
      <w:lvlText w:val="%1.%2.%3."/>
      <w:lvlJc w:val="left"/>
      <w:pPr>
        <w:ind w:left="709" w:hanging="709"/>
      </w:pPr>
      <w:rPr>
        <w:rFonts w:hint="eastAsia" w:ascii="新宋体" w:hAnsi="新宋体" w:eastAsia="新宋体"/>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readOnly" w:enforcement="1" w:cryptProviderType="rsaFull" w:cryptAlgorithmClass="hash" w:cryptAlgorithmType="typeAny" w:cryptAlgorithmSid="4" w:cryptSpinCount="0" w:hash="Me+m48+xpvcHojTzkJS4OBasYxk=" w:salt="lVVNyRE1RzuVpXUP4rIbPA=="/>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IsImhkaWQiOiJkMWIzODA1NTk0ODUyNWM1YTI0MDMwZThjOGQ5YmRmNCIsInVzZXJDb3VudCI6MjF9"/>
    <w:docVar w:name="KSO_WPS_MARK_KEY" w:val="2e30f5e9-a5cd-4a98-97ce-93280a9ce60e"/>
  </w:docVars>
  <w:rsids>
    <w:rsidRoot w:val="538E1483"/>
    <w:rsid w:val="00004C93"/>
    <w:rsid w:val="00165514"/>
    <w:rsid w:val="00213043"/>
    <w:rsid w:val="00233E4A"/>
    <w:rsid w:val="002E21DB"/>
    <w:rsid w:val="004B2E1B"/>
    <w:rsid w:val="004E43BF"/>
    <w:rsid w:val="004F074D"/>
    <w:rsid w:val="005912D5"/>
    <w:rsid w:val="006B4F71"/>
    <w:rsid w:val="006C5F83"/>
    <w:rsid w:val="006F6BEC"/>
    <w:rsid w:val="007423C7"/>
    <w:rsid w:val="007B34C5"/>
    <w:rsid w:val="007B795F"/>
    <w:rsid w:val="007F1FCC"/>
    <w:rsid w:val="00862F4E"/>
    <w:rsid w:val="008F42CB"/>
    <w:rsid w:val="00932EA7"/>
    <w:rsid w:val="009A4975"/>
    <w:rsid w:val="00B270BC"/>
    <w:rsid w:val="00B64E81"/>
    <w:rsid w:val="00B6760D"/>
    <w:rsid w:val="00B8025C"/>
    <w:rsid w:val="00BB66D5"/>
    <w:rsid w:val="00C11035"/>
    <w:rsid w:val="00C4192C"/>
    <w:rsid w:val="00C53C81"/>
    <w:rsid w:val="00C70531"/>
    <w:rsid w:val="00C71119"/>
    <w:rsid w:val="00EB129B"/>
    <w:rsid w:val="00FC02BF"/>
    <w:rsid w:val="012071E5"/>
    <w:rsid w:val="014519A3"/>
    <w:rsid w:val="017B1E7D"/>
    <w:rsid w:val="01830099"/>
    <w:rsid w:val="01A52CC1"/>
    <w:rsid w:val="01B80805"/>
    <w:rsid w:val="01C301AB"/>
    <w:rsid w:val="01EC20E2"/>
    <w:rsid w:val="021332F5"/>
    <w:rsid w:val="022E3A7D"/>
    <w:rsid w:val="025306FA"/>
    <w:rsid w:val="026C6D7F"/>
    <w:rsid w:val="02704AC1"/>
    <w:rsid w:val="027D26BF"/>
    <w:rsid w:val="027F4D04"/>
    <w:rsid w:val="028E4F47"/>
    <w:rsid w:val="0348159A"/>
    <w:rsid w:val="039D3787"/>
    <w:rsid w:val="04013182"/>
    <w:rsid w:val="041A3266"/>
    <w:rsid w:val="04333FF8"/>
    <w:rsid w:val="044004C3"/>
    <w:rsid w:val="04544B29"/>
    <w:rsid w:val="04654DC4"/>
    <w:rsid w:val="048762FD"/>
    <w:rsid w:val="049C1B9D"/>
    <w:rsid w:val="04A10F62"/>
    <w:rsid w:val="04B072CD"/>
    <w:rsid w:val="04DB3D9A"/>
    <w:rsid w:val="04F64013"/>
    <w:rsid w:val="051C0CEF"/>
    <w:rsid w:val="057E6715"/>
    <w:rsid w:val="05803F47"/>
    <w:rsid w:val="05B01562"/>
    <w:rsid w:val="05D62E8D"/>
    <w:rsid w:val="05D84E57"/>
    <w:rsid w:val="05F31C91"/>
    <w:rsid w:val="06471B25"/>
    <w:rsid w:val="06515C5D"/>
    <w:rsid w:val="06952D48"/>
    <w:rsid w:val="06B425B3"/>
    <w:rsid w:val="06B9291D"/>
    <w:rsid w:val="06BC079B"/>
    <w:rsid w:val="0722013F"/>
    <w:rsid w:val="073F0F06"/>
    <w:rsid w:val="079E3E7E"/>
    <w:rsid w:val="08404F36"/>
    <w:rsid w:val="084D31AF"/>
    <w:rsid w:val="086F0B77"/>
    <w:rsid w:val="088C403D"/>
    <w:rsid w:val="089D5EE4"/>
    <w:rsid w:val="08C91775"/>
    <w:rsid w:val="098623FB"/>
    <w:rsid w:val="09976DD7"/>
    <w:rsid w:val="09BA4003"/>
    <w:rsid w:val="09BB7E03"/>
    <w:rsid w:val="09CC13A3"/>
    <w:rsid w:val="09E455C4"/>
    <w:rsid w:val="0A2B6DA6"/>
    <w:rsid w:val="0A3132C5"/>
    <w:rsid w:val="0A5B6057"/>
    <w:rsid w:val="0A742AB5"/>
    <w:rsid w:val="0A7A49BE"/>
    <w:rsid w:val="0A7D5943"/>
    <w:rsid w:val="0AB70F9E"/>
    <w:rsid w:val="0AEC727C"/>
    <w:rsid w:val="0AEE277F"/>
    <w:rsid w:val="0B1E1C49"/>
    <w:rsid w:val="0B2172BD"/>
    <w:rsid w:val="0B6149B5"/>
    <w:rsid w:val="0B7F5D75"/>
    <w:rsid w:val="0B967837"/>
    <w:rsid w:val="0BA852CC"/>
    <w:rsid w:val="0C177C63"/>
    <w:rsid w:val="0C454CAB"/>
    <w:rsid w:val="0C7C5409"/>
    <w:rsid w:val="0CAF61E6"/>
    <w:rsid w:val="0CC25B7D"/>
    <w:rsid w:val="0CF550D2"/>
    <w:rsid w:val="0D5A0848"/>
    <w:rsid w:val="0D801976"/>
    <w:rsid w:val="0DA306EE"/>
    <w:rsid w:val="0DBD4381"/>
    <w:rsid w:val="0DF1349F"/>
    <w:rsid w:val="0E202EB5"/>
    <w:rsid w:val="0E263246"/>
    <w:rsid w:val="0E5256A6"/>
    <w:rsid w:val="0E9854D3"/>
    <w:rsid w:val="0E9B2EC6"/>
    <w:rsid w:val="0EB27397"/>
    <w:rsid w:val="0ED87C76"/>
    <w:rsid w:val="0EF06192"/>
    <w:rsid w:val="0F2A44F0"/>
    <w:rsid w:val="0F2B146F"/>
    <w:rsid w:val="0F2B7270"/>
    <w:rsid w:val="0F6730C7"/>
    <w:rsid w:val="0F8E1513"/>
    <w:rsid w:val="0FAC4347"/>
    <w:rsid w:val="0FBF2BE4"/>
    <w:rsid w:val="0FD46404"/>
    <w:rsid w:val="0FF24D67"/>
    <w:rsid w:val="101C7E7E"/>
    <w:rsid w:val="103A226A"/>
    <w:rsid w:val="104F3958"/>
    <w:rsid w:val="105C0433"/>
    <w:rsid w:val="1060257A"/>
    <w:rsid w:val="10A75B78"/>
    <w:rsid w:val="10B22749"/>
    <w:rsid w:val="10CA7A92"/>
    <w:rsid w:val="10D33DA9"/>
    <w:rsid w:val="110424CC"/>
    <w:rsid w:val="111B1F9F"/>
    <w:rsid w:val="11501174"/>
    <w:rsid w:val="11581E04"/>
    <w:rsid w:val="1174709A"/>
    <w:rsid w:val="11847C41"/>
    <w:rsid w:val="11B36079"/>
    <w:rsid w:val="11BC62A5"/>
    <w:rsid w:val="11C664AC"/>
    <w:rsid w:val="11C6709D"/>
    <w:rsid w:val="11EB7CC0"/>
    <w:rsid w:val="120C7C36"/>
    <w:rsid w:val="1248390A"/>
    <w:rsid w:val="126D4B79"/>
    <w:rsid w:val="12A14823"/>
    <w:rsid w:val="12A82A2A"/>
    <w:rsid w:val="12B02782"/>
    <w:rsid w:val="12BC5E48"/>
    <w:rsid w:val="12CD07BD"/>
    <w:rsid w:val="12DF7E44"/>
    <w:rsid w:val="12E05341"/>
    <w:rsid w:val="1331710B"/>
    <w:rsid w:val="1336140F"/>
    <w:rsid w:val="13702B73"/>
    <w:rsid w:val="137C27E0"/>
    <w:rsid w:val="1384217A"/>
    <w:rsid w:val="138602B7"/>
    <w:rsid w:val="13D824C6"/>
    <w:rsid w:val="13E214AD"/>
    <w:rsid w:val="13E56991"/>
    <w:rsid w:val="13FE555A"/>
    <w:rsid w:val="142B0848"/>
    <w:rsid w:val="144B281D"/>
    <w:rsid w:val="146F4EE8"/>
    <w:rsid w:val="14846311"/>
    <w:rsid w:val="1494463F"/>
    <w:rsid w:val="14A22562"/>
    <w:rsid w:val="14CB5A92"/>
    <w:rsid w:val="150C0A16"/>
    <w:rsid w:val="15201985"/>
    <w:rsid w:val="152165B6"/>
    <w:rsid w:val="152D6842"/>
    <w:rsid w:val="153674A4"/>
    <w:rsid w:val="1540215A"/>
    <w:rsid w:val="15477903"/>
    <w:rsid w:val="155939A6"/>
    <w:rsid w:val="158B6108"/>
    <w:rsid w:val="15BE749A"/>
    <w:rsid w:val="15EC2259"/>
    <w:rsid w:val="163634D4"/>
    <w:rsid w:val="16591B36"/>
    <w:rsid w:val="16635CC9"/>
    <w:rsid w:val="1683496B"/>
    <w:rsid w:val="16A757E2"/>
    <w:rsid w:val="16B94831"/>
    <w:rsid w:val="16BC6358"/>
    <w:rsid w:val="16BF171B"/>
    <w:rsid w:val="16F70EB5"/>
    <w:rsid w:val="17096457"/>
    <w:rsid w:val="172018FF"/>
    <w:rsid w:val="17973BE5"/>
    <w:rsid w:val="17FB49D5"/>
    <w:rsid w:val="18052E77"/>
    <w:rsid w:val="18154643"/>
    <w:rsid w:val="1816671D"/>
    <w:rsid w:val="18496DE3"/>
    <w:rsid w:val="18525B00"/>
    <w:rsid w:val="18816044"/>
    <w:rsid w:val="18DF6EA4"/>
    <w:rsid w:val="18FE17AD"/>
    <w:rsid w:val="19061883"/>
    <w:rsid w:val="19162124"/>
    <w:rsid w:val="19375EE1"/>
    <w:rsid w:val="195A686C"/>
    <w:rsid w:val="19A10699"/>
    <w:rsid w:val="19CD1B5D"/>
    <w:rsid w:val="1A1D29DB"/>
    <w:rsid w:val="1A1F2BFD"/>
    <w:rsid w:val="1A29799F"/>
    <w:rsid w:val="1A383CBF"/>
    <w:rsid w:val="1A3E3A1B"/>
    <w:rsid w:val="1A617CB9"/>
    <w:rsid w:val="1A6C1067"/>
    <w:rsid w:val="1A6D6AE8"/>
    <w:rsid w:val="1ABE55EE"/>
    <w:rsid w:val="1AD51892"/>
    <w:rsid w:val="1AE47A2C"/>
    <w:rsid w:val="1AF02A44"/>
    <w:rsid w:val="1AF15B75"/>
    <w:rsid w:val="1B1C7B86"/>
    <w:rsid w:val="1B1E690C"/>
    <w:rsid w:val="1B232D94"/>
    <w:rsid w:val="1B416BA3"/>
    <w:rsid w:val="1B525FB3"/>
    <w:rsid w:val="1BF84678"/>
    <w:rsid w:val="1C02130A"/>
    <w:rsid w:val="1C136791"/>
    <w:rsid w:val="1C163621"/>
    <w:rsid w:val="1C205EA6"/>
    <w:rsid w:val="1C3C5F7F"/>
    <w:rsid w:val="1CBF2475"/>
    <w:rsid w:val="1CC2197F"/>
    <w:rsid w:val="1CC26695"/>
    <w:rsid w:val="1D217B67"/>
    <w:rsid w:val="1D3C0E85"/>
    <w:rsid w:val="1D3C3AC6"/>
    <w:rsid w:val="1D7930FB"/>
    <w:rsid w:val="1DC67833"/>
    <w:rsid w:val="1DD6376D"/>
    <w:rsid w:val="1DEF6D8A"/>
    <w:rsid w:val="1E1B36DB"/>
    <w:rsid w:val="1E2702D2"/>
    <w:rsid w:val="1EB80371"/>
    <w:rsid w:val="1ED66A28"/>
    <w:rsid w:val="1ED866A8"/>
    <w:rsid w:val="1EF5217E"/>
    <w:rsid w:val="1F15491F"/>
    <w:rsid w:val="1F4C6666"/>
    <w:rsid w:val="1FA97BF0"/>
    <w:rsid w:val="203B2B26"/>
    <w:rsid w:val="20664819"/>
    <w:rsid w:val="20963186"/>
    <w:rsid w:val="20992ED7"/>
    <w:rsid w:val="20A44D89"/>
    <w:rsid w:val="20BE47F2"/>
    <w:rsid w:val="20E36EBF"/>
    <w:rsid w:val="20E64209"/>
    <w:rsid w:val="21005580"/>
    <w:rsid w:val="213C7197"/>
    <w:rsid w:val="213D4C18"/>
    <w:rsid w:val="217B5198"/>
    <w:rsid w:val="217F3103"/>
    <w:rsid w:val="218477E9"/>
    <w:rsid w:val="21A32365"/>
    <w:rsid w:val="21A908AD"/>
    <w:rsid w:val="21B26DD5"/>
    <w:rsid w:val="21E872AF"/>
    <w:rsid w:val="224F6049"/>
    <w:rsid w:val="226B2A6E"/>
    <w:rsid w:val="227E4E0A"/>
    <w:rsid w:val="22A10C5C"/>
    <w:rsid w:val="22A31EF1"/>
    <w:rsid w:val="22BA1922"/>
    <w:rsid w:val="22BD058C"/>
    <w:rsid w:val="22C4560A"/>
    <w:rsid w:val="22CD0827"/>
    <w:rsid w:val="22E51EDA"/>
    <w:rsid w:val="22FF35CB"/>
    <w:rsid w:val="230664CB"/>
    <w:rsid w:val="236D292E"/>
    <w:rsid w:val="238060CC"/>
    <w:rsid w:val="239C7BFA"/>
    <w:rsid w:val="23A82279"/>
    <w:rsid w:val="23AB5058"/>
    <w:rsid w:val="23FB1BB5"/>
    <w:rsid w:val="2409047A"/>
    <w:rsid w:val="240F6752"/>
    <w:rsid w:val="241B4257"/>
    <w:rsid w:val="24575689"/>
    <w:rsid w:val="249C309C"/>
    <w:rsid w:val="24C61723"/>
    <w:rsid w:val="24C97368"/>
    <w:rsid w:val="24D07B95"/>
    <w:rsid w:val="250C6CFC"/>
    <w:rsid w:val="25415D2D"/>
    <w:rsid w:val="25783280"/>
    <w:rsid w:val="259C1492"/>
    <w:rsid w:val="25BC2BEF"/>
    <w:rsid w:val="260470EF"/>
    <w:rsid w:val="26193812"/>
    <w:rsid w:val="26315FB0"/>
    <w:rsid w:val="267A740D"/>
    <w:rsid w:val="26AD0802"/>
    <w:rsid w:val="26D94B49"/>
    <w:rsid w:val="26EA34C6"/>
    <w:rsid w:val="276E08C0"/>
    <w:rsid w:val="27B32BD6"/>
    <w:rsid w:val="28050C76"/>
    <w:rsid w:val="284E0B51"/>
    <w:rsid w:val="28760635"/>
    <w:rsid w:val="28D15A0A"/>
    <w:rsid w:val="290A4A78"/>
    <w:rsid w:val="29274E64"/>
    <w:rsid w:val="297445E7"/>
    <w:rsid w:val="29873ADE"/>
    <w:rsid w:val="298869B1"/>
    <w:rsid w:val="29955CC7"/>
    <w:rsid w:val="29A1535C"/>
    <w:rsid w:val="29D23098"/>
    <w:rsid w:val="29D33D5C"/>
    <w:rsid w:val="29E03A2B"/>
    <w:rsid w:val="29E0703F"/>
    <w:rsid w:val="29FA4AED"/>
    <w:rsid w:val="2A0E0598"/>
    <w:rsid w:val="2A4C2E6E"/>
    <w:rsid w:val="2A5C4ABD"/>
    <w:rsid w:val="2A6E184A"/>
    <w:rsid w:val="2A754104"/>
    <w:rsid w:val="2A8647FB"/>
    <w:rsid w:val="2AEC4179"/>
    <w:rsid w:val="2B0471A2"/>
    <w:rsid w:val="2B1F57CD"/>
    <w:rsid w:val="2B210CD1"/>
    <w:rsid w:val="2B332270"/>
    <w:rsid w:val="2B821FEF"/>
    <w:rsid w:val="2B8A4E7D"/>
    <w:rsid w:val="2C1A16AC"/>
    <w:rsid w:val="2C527E4B"/>
    <w:rsid w:val="2C547DC9"/>
    <w:rsid w:val="2CA8493F"/>
    <w:rsid w:val="2CAD22EA"/>
    <w:rsid w:val="2CB05936"/>
    <w:rsid w:val="2CE52183"/>
    <w:rsid w:val="2CF33A75"/>
    <w:rsid w:val="2D3D22C5"/>
    <w:rsid w:val="2D76092E"/>
    <w:rsid w:val="2DB27D69"/>
    <w:rsid w:val="2DB93FAE"/>
    <w:rsid w:val="2DE977FF"/>
    <w:rsid w:val="2DF95B61"/>
    <w:rsid w:val="2E0E4289"/>
    <w:rsid w:val="2E157DAA"/>
    <w:rsid w:val="2E1B251B"/>
    <w:rsid w:val="2E3005D3"/>
    <w:rsid w:val="2E6D0438"/>
    <w:rsid w:val="2EA17C2D"/>
    <w:rsid w:val="2EED2E72"/>
    <w:rsid w:val="2EF56704"/>
    <w:rsid w:val="2F0106CB"/>
    <w:rsid w:val="2F013082"/>
    <w:rsid w:val="2F433DD1"/>
    <w:rsid w:val="2F8530AA"/>
    <w:rsid w:val="30207172"/>
    <w:rsid w:val="304F36B8"/>
    <w:rsid w:val="308A649E"/>
    <w:rsid w:val="308E3273"/>
    <w:rsid w:val="30C23E8A"/>
    <w:rsid w:val="30EB4558"/>
    <w:rsid w:val="31420A9C"/>
    <w:rsid w:val="31490245"/>
    <w:rsid w:val="31723B02"/>
    <w:rsid w:val="317F3B29"/>
    <w:rsid w:val="319779EB"/>
    <w:rsid w:val="31A65A61"/>
    <w:rsid w:val="31B934DF"/>
    <w:rsid w:val="31CD2AE7"/>
    <w:rsid w:val="31D67BED"/>
    <w:rsid w:val="31DE6AA2"/>
    <w:rsid w:val="31EE25F8"/>
    <w:rsid w:val="320F32F0"/>
    <w:rsid w:val="321B0836"/>
    <w:rsid w:val="32221084"/>
    <w:rsid w:val="324C0413"/>
    <w:rsid w:val="32916D4E"/>
    <w:rsid w:val="32A43020"/>
    <w:rsid w:val="32B46EF9"/>
    <w:rsid w:val="32F12805"/>
    <w:rsid w:val="32FE0237"/>
    <w:rsid w:val="33141852"/>
    <w:rsid w:val="33373894"/>
    <w:rsid w:val="33437FFC"/>
    <w:rsid w:val="33660F1D"/>
    <w:rsid w:val="33705E1F"/>
    <w:rsid w:val="33F34DF0"/>
    <w:rsid w:val="340071A3"/>
    <w:rsid w:val="34057765"/>
    <w:rsid w:val="341D7D55"/>
    <w:rsid w:val="345507E9"/>
    <w:rsid w:val="346B298C"/>
    <w:rsid w:val="348953EB"/>
    <w:rsid w:val="34BD6F13"/>
    <w:rsid w:val="34E564DF"/>
    <w:rsid w:val="34F5482E"/>
    <w:rsid w:val="34F66B57"/>
    <w:rsid w:val="354E2054"/>
    <w:rsid w:val="356419B4"/>
    <w:rsid w:val="35771BC5"/>
    <w:rsid w:val="3591146E"/>
    <w:rsid w:val="359D4003"/>
    <w:rsid w:val="35D80965"/>
    <w:rsid w:val="35DD41CD"/>
    <w:rsid w:val="35EB7636"/>
    <w:rsid w:val="36062A6B"/>
    <w:rsid w:val="36201D7F"/>
    <w:rsid w:val="362426FA"/>
    <w:rsid w:val="364A6DFC"/>
    <w:rsid w:val="364B03CB"/>
    <w:rsid w:val="36592B9B"/>
    <w:rsid w:val="36744066"/>
    <w:rsid w:val="36C450EA"/>
    <w:rsid w:val="36C50230"/>
    <w:rsid w:val="36D6068F"/>
    <w:rsid w:val="37134E69"/>
    <w:rsid w:val="372A1601"/>
    <w:rsid w:val="37387627"/>
    <w:rsid w:val="37E44BCB"/>
    <w:rsid w:val="37F00FD4"/>
    <w:rsid w:val="381A45AC"/>
    <w:rsid w:val="3821593A"/>
    <w:rsid w:val="382316B2"/>
    <w:rsid w:val="387A6511"/>
    <w:rsid w:val="38A464F9"/>
    <w:rsid w:val="38CE513F"/>
    <w:rsid w:val="38D34FF7"/>
    <w:rsid w:val="392748D4"/>
    <w:rsid w:val="39495149"/>
    <w:rsid w:val="39621496"/>
    <w:rsid w:val="397D1296"/>
    <w:rsid w:val="39916116"/>
    <w:rsid w:val="39CB2002"/>
    <w:rsid w:val="39DC7ED5"/>
    <w:rsid w:val="3A704957"/>
    <w:rsid w:val="3B025F76"/>
    <w:rsid w:val="3B094FE2"/>
    <w:rsid w:val="3B4E14F1"/>
    <w:rsid w:val="3B516704"/>
    <w:rsid w:val="3B5F4EEA"/>
    <w:rsid w:val="3B6E698C"/>
    <w:rsid w:val="3B857BD7"/>
    <w:rsid w:val="3BD57167"/>
    <w:rsid w:val="3BE16CCB"/>
    <w:rsid w:val="3BFD2D78"/>
    <w:rsid w:val="3C317D4F"/>
    <w:rsid w:val="3C3E2F5F"/>
    <w:rsid w:val="3C3F0722"/>
    <w:rsid w:val="3C810DD3"/>
    <w:rsid w:val="3C8B6E7A"/>
    <w:rsid w:val="3C9E2902"/>
    <w:rsid w:val="3CB70A48"/>
    <w:rsid w:val="3CE8720B"/>
    <w:rsid w:val="3D0C6BB9"/>
    <w:rsid w:val="3D7147EA"/>
    <w:rsid w:val="3DD03F78"/>
    <w:rsid w:val="3DDF607B"/>
    <w:rsid w:val="3DFA4C63"/>
    <w:rsid w:val="3E1D5166"/>
    <w:rsid w:val="3E23240C"/>
    <w:rsid w:val="3E2B338D"/>
    <w:rsid w:val="3E4464B5"/>
    <w:rsid w:val="3E6469EA"/>
    <w:rsid w:val="3E7147CA"/>
    <w:rsid w:val="3F2567B2"/>
    <w:rsid w:val="3F8844F1"/>
    <w:rsid w:val="3FB1448E"/>
    <w:rsid w:val="3FBA706C"/>
    <w:rsid w:val="3FCA4B09"/>
    <w:rsid w:val="3FD747F6"/>
    <w:rsid w:val="403A58D4"/>
    <w:rsid w:val="405F34A4"/>
    <w:rsid w:val="410B3E5B"/>
    <w:rsid w:val="41284465"/>
    <w:rsid w:val="41651556"/>
    <w:rsid w:val="41947EA6"/>
    <w:rsid w:val="41D028AB"/>
    <w:rsid w:val="422D769A"/>
    <w:rsid w:val="429531AD"/>
    <w:rsid w:val="42A16D5F"/>
    <w:rsid w:val="42AF3B46"/>
    <w:rsid w:val="43310BCC"/>
    <w:rsid w:val="438D1B94"/>
    <w:rsid w:val="43CC1562"/>
    <w:rsid w:val="441873C4"/>
    <w:rsid w:val="449528FE"/>
    <w:rsid w:val="44B75423"/>
    <w:rsid w:val="454B3FF6"/>
    <w:rsid w:val="45CC5F92"/>
    <w:rsid w:val="45CE0E96"/>
    <w:rsid w:val="460728F4"/>
    <w:rsid w:val="46390B44"/>
    <w:rsid w:val="465F3D3F"/>
    <w:rsid w:val="46B27509"/>
    <w:rsid w:val="46BA7686"/>
    <w:rsid w:val="46BD6B9F"/>
    <w:rsid w:val="47542847"/>
    <w:rsid w:val="47745A86"/>
    <w:rsid w:val="478661AE"/>
    <w:rsid w:val="478A52AA"/>
    <w:rsid w:val="47993F84"/>
    <w:rsid w:val="47EA32D8"/>
    <w:rsid w:val="48111527"/>
    <w:rsid w:val="484D05AF"/>
    <w:rsid w:val="485B1AC3"/>
    <w:rsid w:val="485D651B"/>
    <w:rsid w:val="48A028AB"/>
    <w:rsid w:val="48B325DE"/>
    <w:rsid w:val="48B337D7"/>
    <w:rsid w:val="48C47469"/>
    <w:rsid w:val="48CB0E7D"/>
    <w:rsid w:val="48DD765B"/>
    <w:rsid w:val="49547ADD"/>
    <w:rsid w:val="496A1C80"/>
    <w:rsid w:val="4977185E"/>
    <w:rsid w:val="4A146896"/>
    <w:rsid w:val="4A614B3F"/>
    <w:rsid w:val="4A707BA3"/>
    <w:rsid w:val="4A9B77CE"/>
    <w:rsid w:val="4AA56185"/>
    <w:rsid w:val="4AA76173"/>
    <w:rsid w:val="4AAB008E"/>
    <w:rsid w:val="4AC047B0"/>
    <w:rsid w:val="4AC85440"/>
    <w:rsid w:val="4B0E61F2"/>
    <w:rsid w:val="4B1A4B97"/>
    <w:rsid w:val="4B4726FD"/>
    <w:rsid w:val="4B6440BF"/>
    <w:rsid w:val="4B652D40"/>
    <w:rsid w:val="4BC73CDE"/>
    <w:rsid w:val="4BC82845"/>
    <w:rsid w:val="4BE75898"/>
    <w:rsid w:val="4BEA27BB"/>
    <w:rsid w:val="4C0119DC"/>
    <w:rsid w:val="4C2F5C8C"/>
    <w:rsid w:val="4C614434"/>
    <w:rsid w:val="4C6319E4"/>
    <w:rsid w:val="4C7C718B"/>
    <w:rsid w:val="4C9E28EA"/>
    <w:rsid w:val="4CAF5405"/>
    <w:rsid w:val="4CD54258"/>
    <w:rsid w:val="4CF53F5B"/>
    <w:rsid w:val="4D3549A8"/>
    <w:rsid w:val="4DAE06A0"/>
    <w:rsid w:val="4DB04E83"/>
    <w:rsid w:val="4DBB2867"/>
    <w:rsid w:val="4DBF0779"/>
    <w:rsid w:val="4DC24D9D"/>
    <w:rsid w:val="4DC40DEA"/>
    <w:rsid w:val="4DDA5CC7"/>
    <w:rsid w:val="4E10402F"/>
    <w:rsid w:val="4E3221F7"/>
    <w:rsid w:val="4E3C6BD2"/>
    <w:rsid w:val="4E4F2DA9"/>
    <w:rsid w:val="4F745A69"/>
    <w:rsid w:val="4F753437"/>
    <w:rsid w:val="4F7C6D97"/>
    <w:rsid w:val="4F92089C"/>
    <w:rsid w:val="4FA72771"/>
    <w:rsid w:val="4FC21359"/>
    <w:rsid w:val="4FF90C20"/>
    <w:rsid w:val="501A1A7A"/>
    <w:rsid w:val="505D0DBB"/>
    <w:rsid w:val="514C0DAD"/>
    <w:rsid w:val="517045AA"/>
    <w:rsid w:val="51A90A23"/>
    <w:rsid w:val="51C51AB5"/>
    <w:rsid w:val="51D01703"/>
    <w:rsid w:val="528A0579"/>
    <w:rsid w:val="52B25E02"/>
    <w:rsid w:val="52FA40B1"/>
    <w:rsid w:val="532F6D06"/>
    <w:rsid w:val="53486019"/>
    <w:rsid w:val="538C04D9"/>
    <w:rsid w:val="538E1483"/>
    <w:rsid w:val="53933738"/>
    <w:rsid w:val="539574B0"/>
    <w:rsid w:val="53BD1BF0"/>
    <w:rsid w:val="53DF5628"/>
    <w:rsid w:val="53EB143A"/>
    <w:rsid w:val="54054518"/>
    <w:rsid w:val="540E1011"/>
    <w:rsid w:val="54422ADF"/>
    <w:rsid w:val="545710C7"/>
    <w:rsid w:val="545B7804"/>
    <w:rsid w:val="54745318"/>
    <w:rsid w:val="548D462B"/>
    <w:rsid w:val="54B17E17"/>
    <w:rsid w:val="54B90FC5"/>
    <w:rsid w:val="54E44ED6"/>
    <w:rsid w:val="551769A9"/>
    <w:rsid w:val="5567155C"/>
    <w:rsid w:val="556D3B35"/>
    <w:rsid w:val="55E5038A"/>
    <w:rsid w:val="5645062F"/>
    <w:rsid w:val="564B02FA"/>
    <w:rsid w:val="564B3E56"/>
    <w:rsid w:val="565D3B8A"/>
    <w:rsid w:val="566D0271"/>
    <w:rsid w:val="5684637F"/>
    <w:rsid w:val="56892BD1"/>
    <w:rsid w:val="56D67884"/>
    <w:rsid w:val="570064CA"/>
    <w:rsid w:val="57024240"/>
    <w:rsid w:val="57027519"/>
    <w:rsid w:val="570606C5"/>
    <w:rsid w:val="57136356"/>
    <w:rsid w:val="571F34FB"/>
    <w:rsid w:val="57623F96"/>
    <w:rsid w:val="577E47D7"/>
    <w:rsid w:val="57801492"/>
    <w:rsid w:val="57EC2C4F"/>
    <w:rsid w:val="58010C9D"/>
    <w:rsid w:val="583C0450"/>
    <w:rsid w:val="583C439E"/>
    <w:rsid w:val="5853496B"/>
    <w:rsid w:val="585A2A77"/>
    <w:rsid w:val="5878114F"/>
    <w:rsid w:val="587D3437"/>
    <w:rsid w:val="58B23912"/>
    <w:rsid w:val="58F72073"/>
    <w:rsid w:val="59505C28"/>
    <w:rsid w:val="595E6596"/>
    <w:rsid w:val="59A44492"/>
    <w:rsid w:val="59B35F2D"/>
    <w:rsid w:val="59D63A74"/>
    <w:rsid w:val="59EA7E2A"/>
    <w:rsid w:val="5A032C9A"/>
    <w:rsid w:val="5A46271D"/>
    <w:rsid w:val="5A4675AB"/>
    <w:rsid w:val="5AA13726"/>
    <w:rsid w:val="5ADC7773"/>
    <w:rsid w:val="5B0D2022"/>
    <w:rsid w:val="5B233EBA"/>
    <w:rsid w:val="5B264E92"/>
    <w:rsid w:val="5B397E38"/>
    <w:rsid w:val="5B4A2098"/>
    <w:rsid w:val="5B5154DF"/>
    <w:rsid w:val="5B8878FB"/>
    <w:rsid w:val="5BBC4B8E"/>
    <w:rsid w:val="5BD26DC8"/>
    <w:rsid w:val="5C0D61A2"/>
    <w:rsid w:val="5C381F5A"/>
    <w:rsid w:val="5C8F2968"/>
    <w:rsid w:val="5C9522F3"/>
    <w:rsid w:val="5C983278"/>
    <w:rsid w:val="5CB47325"/>
    <w:rsid w:val="5D170190"/>
    <w:rsid w:val="5D501107"/>
    <w:rsid w:val="5E021BE6"/>
    <w:rsid w:val="5E1436C8"/>
    <w:rsid w:val="5E1F70B7"/>
    <w:rsid w:val="5E344E15"/>
    <w:rsid w:val="5E51556C"/>
    <w:rsid w:val="5E712AFE"/>
    <w:rsid w:val="5E8873BA"/>
    <w:rsid w:val="5EA031AD"/>
    <w:rsid w:val="5EA20CD3"/>
    <w:rsid w:val="5EE27322"/>
    <w:rsid w:val="5EEC1AE2"/>
    <w:rsid w:val="5EFA4FE0"/>
    <w:rsid w:val="5EFD5F0A"/>
    <w:rsid w:val="5F507F6E"/>
    <w:rsid w:val="5F67138C"/>
    <w:rsid w:val="5F685614"/>
    <w:rsid w:val="5F9576F1"/>
    <w:rsid w:val="60003F04"/>
    <w:rsid w:val="60083E99"/>
    <w:rsid w:val="60194FC5"/>
    <w:rsid w:val="6043407E"/>
    <w:rsid w:val="60B116A2"/>
    <w:rsid w:val="60BF40B3"/>
    <w:rsid w:val="60C57A73"/>
    <w:rsid w:val="60CE7B5E"/>
    <w:rsid w:val="611E4310"/>
    <w:rsid w:val="611F660B"/>
    <w:rsid w:val="612B1454"/>
    <w:rsid w:val="614442C4"/>
    <w:rsid w:val="6169605F"/>
    <w:rsid w:val="617C6243"/>
    <w:rsid w:val="61803C82"/>
    <w:rsid w:val="620F48D2"/>
    <w:rsid w:val="62365F29"/>
    <w:rsid w:val="625258D6"/>
    <w:rsid w:val="62797F9D"/>
    <w:rsid w:val="62B6027F"/>
    <w:rsid w:val="630D670F"/>
    <w:rsid w:val="63A63014"/>
    <w:rsid w:val="63B30A3C"/>
    <w:rsid w:val="63BD0227"/>
    <w:rsid w:val="63C948C4"/>
    <w:rsid w:val="63CC2F28"/>
    <w:rsid w:val="63CD32CA"/>
    <w:rsid w:val="63FA53C3"/>
    <w:rsid w:val="64216453"/>
    <w:rsid w:val="643364F2"/>
    <w:rsid w:val="6488096B"/>
    <w:rsid w:val="64952D13"/>
    <w:rsid w:val="64A15589"/>
    <w:rsid w:val="65135B60"/>
    <w:rsid w:val="655B7E2E"/>
    <w:rsid w:val="65815634"/>
    <w:rsid w:val="65C07C91"/>
    <w:rsid w:val="65CE3D15"/>
    <w:rsid w:val="65DB1870"/>
    <w:rsid w:val="65E567E2"/>
    <w:rsid w:val="65EB11B2"/>
    <w:rsid w:val="65EB4F15"/>
    <w:rsid w:val="6661190A"/>
    <w:rsid w:val="666178D9"/>
    <w:rsid w:val="66696111"/>
    <w:rsid w:val="66C8504F"/>
    <w:rsid w:val="67123590"/>
    <w:rsid w:val="676D5D3F"/>
    <w:rsid w:val="67BC2E06"/>
    <w:rsid w:val="67BD092C"/>
    <w:rsid w:val="67CE4ADF"/>
    <w:rsid w:val="68014F2E"/>
    <w:rsid w:val="682746DE"/>
    <w:rsid w:val="686D4100"/>
    <w:rsid w:val="687A186D"/>
    <w:rsid w:val="687C2679"/>
    <w:rsid w:val="68890C27"/>
    <w:rsid w:val="689D4BB9"/>
    <w:rsid w:val="689E250C"/>
    <w:rsid w:val="68B855D7"/>
    <w:rsid w:val="68D66149"/>
    <w:rsid w:val="68E372E6"/>
    <w:rsid w:val="696A3A87"/>
    <w:rsid w:val="69965116"/>
    <w:rsid w:val="69D925B6"/>
    <w:rsid w:val="6A6E399A"/>
    <w:rsid w:val="6ABE6E95"/>
    <w:rsid w:val="6ADF78E5"/>
    <w:rsid w:val="6AEC6564"/>
    <w:rsid w:val="6AF955F8"/>
    <w:rsid w:val="6B10458A"/>
    <w:rsid w:val="6B4051E0"/>
    <w:rsid w:val="6B5F36B6"/>
    <w:rsid w:val="6BB43DF4"/>
    <w:rsid w:val="6BCC55E2"/>
    <w:rsid w:val="6BD25AD5"/>
    <w:rsid w:val="6BE935D7"/>
    <w:rsid w:val="6C065B49"/>
    <w:rsid w:val="6C2E088C"/>
    <w:rsid w:val="6C557601"/>
    <w:rsid w:val="6C562E6D"/>
    <w:rsid w:val="6C8240E5"/>
    <w:rsid w:val="6CA141D8"/>
    <w:rsid w:val="6CA707F8"/>
    <w:rsid w:val="6CF55693"/>
    <w:rsid w:val="6D003795"/>
    <w:rsid w:val="6D0D1A0E"/>
    <w:rsid w:val="6D2F5EB0"/>
    <w:rsid w:val="6D741A8D"/>
    <w:rsid w:val="6D7970A3"/>
    <w:rsid w:val="6D9C0FE4"/>
    <w:rsid w:val="6DCF4734"/>
    <w:rsid w:val="6DDC72CD"/>
    <w:rsid w:val="6DEE5C76"/>
    <w:rsid w:val="6E3D27EA"/>
    <w:rsid w:val="6E404E9F"/>
    <w:rsid w:val="6E7156FD"/>
    <w:rsid w:val="6E7C1BAC"/>
    <w:rsid w:val="6EA74418"/>
    <w:rsid w:val="6EA9571C"/>
    <w:rsid w:val="6EDD3662"/>
    <w:rsid w:val="6F2A1462"/>
    <w:rsid w:val="6F2D20F2"/>
    <w:rsid w:val="6F547DC8"/>
    <w:rsid w:val="6F810491"/>
    <w:rsid w:val="6F821E2F"/>
    <w:rsid w:val="6F8306AD"/>
    <w:rsid w:val="6FC14D32"/>
    <w:rsid w:val="6FF0358B"/>
    <w:rsid w:val="704746FE"/>
    <w:rsid w:val="70480FAF"/>
    <w:rsid w:val="707365AB"/>
    <w:rsid w:val="709E6AD1"/>
    <w:rsid w:val="70A751E2"/>
    <w:rsid w:val="70BC17F8"/>
    <w:rsid w:val="711174A1"/>
    <w:rsid w:val="7137174F"/>
    <w:rsid w:val="715E2FB2"/>
    <w:rsid w:val="71777D9E"/>
    <w:rsid w:val="717B17D0"/>
    <w:rsid w:val="71A05FCD"/>
    <w:rsid w:val="71B60D3E"/>
    <w:rsid w:val="71ED62B2"/>
    <w:rsid w:val="71F25676"/>
    <w:rsid w:val="72516841"/>
    <w:rsid w:val="72952BD1"/>
    <w:rsid w:val="72CE757C"/>
    <w:rsid w:val="72D73AA0"/>
    <w:rsid w:val="734325A8"/>
    <w:rsid w:val="73602DCE"/>
    <w:rsid w:val="744D2996"/>
    <w:rsid w:val="74516715"/>
    <w:rsid w:val="74CB28DA"/>
    <w:rsid w:val="74EF2BDF"/>
    <w:rsid w:val="75092705"/>
    <w:rsid w:val="7522503C"/>
    <w:rsid w:val="754C03FE"/>
    <w:rsid w:val="758153F2"/>
    <w:rsid w:val="75A373B3"/>
    <w:rsid w:val="75FC5718"/>
    <w:rsid w:val="760652AE"/>
    <w:rsid w:val="761942CF"/>
    <w:rsid w:val="763444AF"/>
    <w:rsid w:val="76CE2AF9"/>
    <w:rsid w:val="77446974"/>
    <w:rsid w:val="775C3CBE"/>
    <w:rsid w:val="77804B1B"/>
    <w:rsid w:val="7788565A"/>
    <w:rsid w:val="77E62515"/>
    <w:rsid w:val="77EB5FB9"/>
    <w:rsid w:val="77FE2FC7"/>
    <w:rsid w:val="784D28B2"/>
    <w:rsid w:val="78900FA3"/>
    <w:rsid w:val="789D1A6F"/>
    <w:rsid w:val="78DD2859"/>
    <w:rsid w:val="78DE02DA"/>
    <w:rsid w:val="78EE0575"/>
    <w:rsid w:val="78F05DBF"/>
    <w:rsid w:val="78F63C9E"/>
    <w:rsid w:val="79060E03"/>
    <w:rsid w:val="79073671"/>
    <w:rsid w:val="790D269F"/>
    <w:rsid w:val="79646E59"/>
    <w:rsid w:val="79660E24"/>
    <w:rsid w:val="79711576"/>
    <w:rsid w:val="79752E15"/>
    <w:rsid w:val="79982F8C"/>
    <w:rsid w:val="79D7333A"/>
    <w:rsid w:val="79FD4D1C"/>
    <w:rsid w:val="7A281B72"/>
    <w:rsid w:val="7A6F3D08"/>
    <w:rsid w:val="7A905722"/>
    <w:rsid w:val="7AD7365B"/>
    <w:rsid w:val="7AF81F4F"/>
    <w:rsid w:val="7B440A49"/>
    <w:rsid w:val="7B517D5F"/>
    <w:rsid w:val="7B8E01BE"/>
    <w:rsid w:val="7BCA4E23"/>
    <w:rsid w:val="7BF26E13"/>
    <w:rsid w:val="7C106E98"/>
    <w:rsid w:val="7C166E56"/>
    <w:rsid w:val="7C1F6236"/>
    <w:rsid w:val="7C69082B"/>
    <w:rsid w:val="7C9712F4"/>
    <w:rsid w:val="7CA35EEB"/>
    <w:rsid w:val="7CB400F8"/>
    <w:rsid w:val="7D050953"/>
    <w:rsid w:val="7D1A2C2B"/>
    <w:rsid w:val="7D497E9A"/>
    <w:rsid w:val="7D4A1525"/>
    <w:rsid w:val="7DB62A4C"/>
    <w:rsid w:val="7DEF5BA9"/>
    <w:rsid w:val="7E5751DF"/>
    <w:rsid w:val="7EB470EC"/>
    <w:rsid w:val="7EE76874"/>
    <w:rsid w:val="7F272C0A"/>
    <w:rsid w:val="7F3E014D"/>
    <w:rsid w:val="7F626330"/>
    <w:rsid w:val="7F652792"/>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unhideWhenUsed/>
    <w:qFormat/>
    <w:uiPriority w:val="9"/>
    <w:pPr>
      <w:keepNext/>
      <w:keepLines/>
      <w:numPr>
        <w:ilvl w:val="2"/>
        <w:numId w:val="1"/>
      </w:numPr>
      <w:spacing w:before="260" w:after="260"/>
      <w:ind w:left="0" w:firstLine="0"/>
      <w:outlineLvl w:val="2"/>
    </w:pPr>
    <w:rPr>
      <w:bCs/>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tabs>
        <w:tab w:val="left" w:pos="785"/>
      </w:tabs>
    </w:pPr>
    <w:rPr>
      <w:rFonts w:ascii="Verdana" w:hAnsi="Verdana" w:cs="Times New Roman"/>
      <w:szCs w:val="20"/>
    </w:rPr>
  </w:style>
  <w:style w:type="paragraph" w:styleId="8">
    <w:name w:val="index 8"/>
    <w:basedOn w:val="1"/>
    <w:next w:val="1"/>
    <w:unhideWhenUsed/>
    <w:qFormat/>
    <w:uiPriority w:val="99"/>
    <w:pPr>
      <w:ind w:left="1400" w:leftChars="1400"/>
    </w:pPr>
  </w:style>
  <w:style w:type="paragraph" w:styleId="9">
    <w:name w:val="annotation text"/>
    <w:basedOn w:val="1"/>
    <w:link w:val="59"/>
    <w:qFormat/>
    <w:uiPriority w:val="0"/>
    <w:pPr>
      <w:jc w:val="left"/>
    </w:pPr>
  </w:style>
  <w:style w:type="paragraph" w:styleId="10">
    <w:name w:val="Body Text"/>
    <w:basedOn w:val="1"/>
    <w:next w:val="1"/>
    <w:qFormat/>
    <w:uiPriority w:val="99"/>
    <w:rPr>
      <w:rFonts w:ascii="Calibri" w:hAnsi="Calibri" w:cs="Times New Roman"/>
      <w:kern w:val="0"/>
    </w:rPr>
  </w:style>
  <w:style w:type="paragraph" w:styleId="11">
    <w:name w:val="Body Text Indent"/>
    <w:basedOn w:val="1"/>
    <w:qFormat/>
    <w:uiPriority w:val="0"/>
    <w:pPr>
      <w:spacing w:line="360" w:lineRule="auto"/>
      <w:ind w:left="424" w:leftChars="202" w:firstLine="567"/>
    </w:pPr>
    <w:rPr>
      <w:sz w:val="24"/>
    </w:rPr>
  </w:style>
  <w:style w:type="paragraph" w:styleId="12">
    <w:name w:val="Block Text"/>
    <w:basedOn w:val="1"/>
    <w:next w:val="1"/>
    <w:unhideWhenUsed/>
    <w:qFormat/>
    <w:uiPriority w:val="99"/>
    <w:pPr>
      <w:ind w:left="1440" w:leftChars="700" w:right="700" w:rightChars="7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2"/>
    <w:basedOn w:val="1"/>
    <w:qFormat/>
    <w:uiPriority w:val="0"/>
    <w:pPr>
      <w:adjustRightInd w:val="0"/>
      <w:snapToGrid w:val="0"/>
      <w:spacing w:line="480" w:lineRule="atLeast"/>
    </w:pPr>
    <w:rPr>
      <w:rFonts w:ascii="宋体" w:hAnsi="宋体"/>
      <w:sz w:val="28"/>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Title"/>
    <w:next w:val="1"/>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23">
    <w:name w:val="annotation subject"/>
    <w:basedOn w:val="9"/>
    <w:next w:val="9"/>
    <w:link w:val="60"/>
    <w:qFormat/>
    <w:uiPriority w:val="0"/>
    <w:rPr>
      <w:b/>
      <w:bCs/>
    </w:rPr>
  </w:style>
  <w:style w:type="paragraph" w:styleId="24">
    <w:name w:val="Body Text First Indent"/>
    <w:basedOn w:val="10"/>
    <w:unhideWhenUsed/>
    <w:qFormat/>
    <w:uiPriority w:val="99"/>
    <w:pPr>
      <w:ind w:firstLine="420" w:firstLineChars="100"/>
    </w:pPr>
  </w:style>
  <w:style w:type="paragraph" w:styleId="25">
    <w:name w:val="Body Text First Indent 2"/>
    <w:basedOn w:val="11"/>
    <w:unhideWhenUsed/>
    <w:qFormat/>
    <w:uiPriority w:val="99"/>
    <w:pPr>
      <w:spacing w:after="120"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FollowedHyperlink"/>
    <w:basedOn w:val="28"/>
    <w:qFormat/>
    <w:uiPriority w:val="0"/>
    <w:rPr>
      <w:color w:val="800080"/>
      <w:u w:val="none"/>
    </w:rPr>
  </w:style>
  <w:style w:type="character" w:styleId="31">
    <w:name w:val="Emphasis"/>
    <w:basedOn w:val="28"/>
    <w:qFormat/>
    <w:uiPriority w:val="0"/>
    <w:rPr>
      <w:b/>
      <w:bCs/>
    </w:rPr>
  </w:style>
  <w:style w:type="character" w:styleId="32">
    <w:name w:val="HTML Definition"/>
    <w:basedOn w:val="28"/>
    <w:qFormat/>
    <w:uiPriority w:val="0"/>
    <w:rPr>
      <w:rFonts w:ascii="ActionIcon ! important" w:hAnsi="ActionIcon ! important" w:eastAsia="ActionIcon ! important" w:cs="ActionIcon ! important"/>
      <w:vanish/>
      <w:color w:val="3D4B62"/>
      <w:sz w:val="24"/>
      <w:szCs w:val="24"/>
    </w:rPr>
  </w:style>
  <w:style w:type="character" w:styleId="33">
    <w:name w:val="HTML Typewriter"/>
    <w:basedOn w:val="28"/>
    <w:qFormat/>
    <w:uiPriority w:val="0"/>
    <w:rPr>
      <w:rFonts w:hint="default"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basedOn w:val="28"/>
    <w:qFormat/>
    <w:uiPriority w:val="0"/>
    <w:rPr>
      <w:color w:val="0000FF"/>
      <w:u w:val="none"/>
    </w:rPr>
  </w:style>
  <w:style w:type="character" w:styleId="37">
    <w:name w:val="HTML Code"/>
    <w:basedOn w:val="28"/>
    <w:qFormat/>
    <w:uiPriority w:val="0"/>
    <w:rPr>
      <w:rFonts w:hint="default" w:ascii="monospace" w:hAnsi="monospace" w:eastAsia="monospace" w:cs="monospace"/>
      <w:sz w:val="20"/>
    </w:rPr>
  </w:style>
  <w:style w:type="character" w:styleId="38">
    <w:name w:val="annotation reference"/>
    <w:basedOn w:val="28"/>
    <w:qFormat/>
    <w:uiPriority w:val="0"/>
    <w:rPr>
      <w:sz w:val="21"/>
      <w:szCs w:val="21"/>
    </w:rPr>
  </w:style>
  <w:style w:type="character" w:styleId="39">
    <w:name w:val="HTML Cite"/>
    <w:basedOn w:val="28"/>
    <w:qFormat/>
    <w:uiPriority w:val="0"/>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MessageHeader"/>
    <w:basedOn w:val="1"/>
    <w:next w:val="43"/>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sz w:val="28"/>
    </w:rPr>
  </w:style>
  <w:style w:type="paragraph" w:customStyle="1" w:styleId="43">
    <w:name w:val="BodyText"/>
    <w:basedOn w:val="1"/>
    <w:next w:val="1"/>
    <w:qFormat/>
    <w:uiPriority w:val="0"/>
    <w:pPr>
      <w:jc w:val="center"/>
      <w:textAlignment w:val="baseline"/>
    </w:pPr>
  </w:style>
  <w:style w:type="paragraph" w:customStyle="1" w:styleId="44">
    <w:name w:val="List Paragraph1"/>
    <w:qFormat/>
    <w:uiPriority w:val="0"/>
    <w:pPr>
      <w:ind w:firstLine="420" w:firstLineChars="200"/>
    </w:pPr>
    <w:rPr>
      <w:rFonts w:ascii="Calibri" w:hAnsi="Calibri" w:eastAsia="宋体" w:cs="Times New Roman"/>
      <w:lang w:val="en-US" w:eastAsia="zh-CN" w:bidi="ar-SA"/>
    </w:rPr>
  </w:style>
  <w:style w:type="paragraph" w:customStyle="1" w:styleId="45">
    <w:name w:val="正文文本1"/>
    <w:basedOn w:val="1"/>
    <w:qFormat/>
    <w:uiPriority w:val="0"/>
    <w:pPr>
      <w:shd w:val="clear" w:color="auto" w:fill="FFFFFF"/>
      <w:spacing w:after="60" w:line="463" w:lineRule="auto"/>
      <w:ind w:firstLine="400"/>
    </w:pPr>
    <w:rPr>
      <w:rFonts w:ascii="黑体" w:hAnsi="黑体" w:eastAsia="黑体" w:cs="黑体"/>
      <w:sz w:val="34"/>
      <w:szCs w:val="34"/>
      <w:lang w:val="zh-CN" w:bidi="zh-CN"/>
    </w:rPr>
  </w:style>
  <w:style w:type="character" w:customStyle="1" w:styleId="46">
    <w:name w:val="font31"/>
    <w:basedOn w:val="28"/>
    <w:qFormat/>
    <w:uiPriority w:val="0"/>
    <w:rPr>
      <w:rFonts w:hint="eastAsia" w:ascii="仿宋" w:hAnsi="仿宋" w:eastAsia="仿宋" w:cs="仿宋"/>
      <w:b/>
      <w:color w:val="000000"/>
      <w:sz w:val="20"/>
      <w:szCs w:val="20"/>
      <w:u w:val="none"/>
    </w:rPr>
  </w:style>
  <w:style w:type="character" w:customStyle="1" w:styleId="47">
    <w:name w:val="font112"/>
    <w:basedOn w:val="28"/>
    <w:qFormat/>
    <w:uiPriority w:val="0"/>
    <w:rPr>
      <w:rFonts w:hint="eastAsia" w:ascii="仿宋" w:hAnsi="仿宋" w:eastAsia="仿宋" w:cs="仿宋"/>
      <w:color w:val="000000"/>
      <w:sz w:val="20"/>
      <w:szCs w:val="20"/>
      <w:u w:val="none"/>
    </w:rPr>
  </w:style>
  <w:style w:type="character" w:customStyle="1" w:styleId="48">
    <w:name w:val="font101"/>
    <w:basedOn w:val="28"/>
    <w:qFormat/>
    <w:uiPriority w:val="0"/>
    <w:rPr>
      <w:rFonts w:hint="eastAsia" w:ascii="仿宋" w:hAnsi="仿宋" w:eastAsia="仿宋" w:cs="仿宋"/>
      <w:color w:val="000000"/>
      <w:sz w:val="20"/>
      <w:szCs w:val="20"/>
      <w:u w:val="none"/>
    </w:rPr>
  </w:style>
  <w:style w:type="character" w:customStyle="1" w:styleId="49">
    <w:name w:val="font41"/>
    <w:basedOn w:val="28"/>
    <w:qFormat/>
    <w:uiPriority w:val="0"/>
    <w:rPr>
      <w:rFonts w:hint="eastAsia" w:ascii="仿宋" w:hAnsi="仿宋" w:eastAsia="仿宋" w:cs="仿宋"/>
      <w:color w:val="000000"/>
      <w:sz w:val="20"/>
      <w:szCs w:val="20"/>
      <w:u w:val="none"/>
    </w:rPr>
  </w:style>
  <w:style w:type="character" w:customStyle="1" w:styleId="50">
    <w:name w:val="font51"/>
    <w:basedOn w:val="28"/>
    <w:qFormat/>
    <w:uiPriority w:val="0"/>
    <w:rPr>
      <w:rFonts w:hint="eastAsia" w:ascii="仿宋" w:hAnsi="仿宋" w:eastAsia="仿宋" w:cs="仿宋"/>
      <w:b/>
      <w:color w:val="FF0000"/>
      <w:sz w:val="20"/>
      <w:szCs w:val="20"/>
      <w:u w:val="none"/>
    </w:rPr>
  </w:style>
  <w:style w:type="character" w:customStyle="1" w:styleId="51">
    <w:name w:val="font61"/>
    <w:basedOn w:val="28"/>
    <w:qFormat/>
    <w:uiPriority w:val="0"/>
    <w:rPr>
      <w:rFonts w:hint="eastAsia" w:ascii="仿宋" w:hAnsi="仿宋" w:eastAsia="仿宋" w:cs="仿宋"/>
      <w:b/>
      <w:color w:val="000000"/>
      <w:sz w:val="20"/>
      <w:szCs w:val="20"/>
      <w:u w:val="none"/>
    </w:rPr>
  </w:style>
  <w:style w:type="character" w:customStyle="1" w:styleId="52">
    <w:name w:val="font81"/>
    <w:basedOn w:val="28"/>
    <w:qFormat/>
    <w:uiPriority w:val="0"/>
    <w:rPr>
      <w:rFonts w:hint="eastAsia" w:ascii="仿宋" w:hAnsi="仿宋" w:eastAsia="仿宋" w:cs="仿宋"/>
      <w:b/>
      <w:color w:val="C00000"/>
      <w:sz w:val="20"/>
      <w:szCs w:val="20"/>
      <w:u w:val="none"/>
    </w:rPr>
  </w:style>
  <w:style w:type="character" w:customStyle="1" w:styleId="53">
    <w:name w:val="font11"/>
    <w:basedOn w:val="28"/>
    <w:qFormat/>
    <w:uiPriority w:val="0"/>
    <w:rPr>
      <w:rFonts w:hint="eastAsia" w:ascii="仿宋" w:hAnsi="仿宋" w:eastAsia="仿宋" w:cs="仿宋"/>
      <w:b/>
      <w:color w:val="00B050"/>
      <w:sz w:val="20"/>
      <w:szCs w:val="20"/>
      <w:u w:val="none"/>
    </w:rPr>
  </w:style>
  <w:style w:type="character" w:customStyle="1" w:styleId="54">
    <w:name w:val="font71"/>
    <w:basedOn w:val="28"/>
    <w:qFormat/>
    <w:uiPriority w:val="0"/>
    <w:rPr>
      <w:rFonts w:hint="eastAsia" w:ascii="仿宋" w:hAnsi="仿宋" w:eastAsia="仿宋" w:cs="仿宋"/>
      <w:b/>
      <w:color w:val="000000"/>
      <w:sz w:val="20"/>
      <w:szCs w:val="20"/>
      <w:u w:val="none"/>
    </w:rPr>
  </w:style>
  <w:style w:type="paragraph" w:styleId="55">
    <w:name w:val="List Paragraph"/>
    <w:basedOn w:val="1"/>
    <w:qFormat/>
    <w:uiPriority w:val="34"/>
    <w:pPr>
      <w:widowControl/>
      <w:numPr>
        <w:ilvl w:val="0"/>
        <w:numId w:val="2"/>
      </w:numPr>
      <w:ind w:firstLine="0"/>
      <w:contextualSpacing/>
    </w:pPr>
    <w:rPr>
      <w:rFonts w:ascii="Times New Roman" w:hAnsi="Times New Roman" w:cs="Times New Roman"/>
      <w:kern w:val="0"/>
    </w:rPr>
  </w:style>
  <w:style w:type="paragraph" w:customStyle="1" w:styleId="5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7">
    <w:name w:val="Table Text"/>
    <w:basedOn w:val="1"/>
    <w:semiHidden/>
    <w:qFormat/>
    <w:uiPriority w:val="0"/>
    <w:rPr>
      <w:rFonts w:ascii="宋体" w:hAnsi="宋体" w:eastAsia="宋体" w:cs="宋体"/>
      <w:sz w:val="24"/>
      <w:lang w:eastAsia="en-US"/>
    </w:rPr>
  </w:style>
  <w:style w:type="paragraph" w:customStyle="1" w:styleId="58">
    <w:name w:val="宋四1.5首2"/>
    <w:basedOn w:val="1"/>
    <w:qFormat/>
    <w:uiPriority w:val="0"/>
    <w:pPr>
      <w:widowControl/>
      <w:spacing w:line="360" w:lineRule="auto"/>
      <w:ind w:firstLine="200" w:firstLineChars="200"/>
    </w:pPr>
    <w:rPr>
      <w:rFonts w:ascii="宋体" w:hAnsi="宋体" w:eastAsia="宋体" w:cs="宋体"/>
      <w:sz w:val="24"/>
      <w:lang w:eastAsia="zh-Hans"/>
    </w:rPr>
  </w:style>
  <w:style w:type="character" w:customStyle="1" w:styleId="59">
    <w:name w:val="批注文字 字符"/>
    <w:basedOn w:val="28"/>
    <w:link w:val="9"/>
    <w:qFormat/>
    <w:uiPriority w:val="0"/>
    <w:rPr>
      <w:rFonts w:asciiTheme="minorHAnsi" w:hAnsiTheme="minorHAnsi" w:eastAsiaTheme="minorEastAsia" w:cstheme="minorBidi"/>
      <w:kern w:val="2"/>
      <w:sz w:val="21"/>
      <w:szCs w:val="24"/>
    </w:rPr>
  </w:style>
  <w:style w:type="character" w:customStyle="1" w:styleId="60">
    <w:name w:val="批注主题 字符"/>
    <w:basedOn w:val="59"/>
    <w:link w:val="2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2b1b5732-0811-4ca0-97eb-dbeb9f098ffd</errorID>
      <errorWord>2026年02月25日</errorWord>
      <group>L1_Knowledge</group>
      <groupName>知识性问题</groupName>
      <ability>L2_Time</ability>
      <abilityName>日期时间</abilityName>
      <candidateList>
        <item>2026年2月25日</item>
      </candidateList>
      <explain>根据日常书写习惯，月份一般会省略前导零。</explain>
      <paraID>76ED6E95</paraID>
      <start>66</start>
      <end>77</end>
      <status>ignored</status>
      <modifiedWord/>
      <trackRevisions>false</trackRevisions>
    </reviewItem>
    <reviewItem>
      <errorID>13748472-ffc1-48de-9c54-d9d30a96debd</errorID>
      <errorWord>:</errorWord>
      <group>L1_Format</group>
      <groupName>格式问题</groupName>
      <ability>L2_HalfPunc</ability>
      <abilityName>全半角检查</abilityName>
      <candidateList>
        <item>：</item>
      </candidateList>
      <explain>文本全半角错误。</explain>
      <paraID>26BEFFED</paraID>
      <start>32</start>
      <end>33</end>
      <status>modified</status>
      <modifiedWord>：</modifiedWord>
      <trackRevisions>false</trackRevisions>
    </reviewItem>
    <reviewItem>
      <errorID>de9b26e0-e301-4e88-a24e-de26991feed0</errorID>
      <errorWord>；</errorWord>
      <group>L1_Word</group>
      <groupName>字词问题</groupName>
      <ability>L2_Typo</ability>
      <abilityName>字词错误</abilityName>
      <candidateList>
        <item>；在</item>
      </candidateList>
      <explain/>
      <paraID>3F94BD64</paraID>
      <start>37</start>
      <end>38</end>
      <status>ignored</status>
      <modifiedWord/>
      <trackRevisions>false</trackRevisions>
    </reviewItem>
    <reviewItem>
      <errorID>49b25fc3-5ed9-442c-b9f8-09e00a13c998</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20166140</paraID>
      <start>3</start>
      <end>14</end>
      <status>ignored</status>
      <modifiedWord/>
      <trackRevisions>false</trackRevisions>
    </reviewItem>
    <reviewItem>
      <errorID>224540a2-89ce-417e-bc97-8d94f9161eef</errorID>
      <errorWord>2026年02月06日</errorWord>
      <group>L1_Knowledge</group>
      <groupName>知识性问题</groupName>
      <ability>L2_Time</ability>
      <abilityName>日期时间</abilityName>
      <candidateList>
        <item>2026年2月6日</item>
      </candidateList>
      <explain>根据日常书写习惯，月份和日期一般会省略前导零。</explain>
      <paraID>20166140</paraID>
      <start>15</start>
      <end>26</end>
      <status>ignored</status>
      <modifiedWord/>
      <trackRevisions>false</trackRevisions>
    </reviewItem>
    <reviewItem>
      <errorID>70832ada-e2de-4501-8f2d-e672a52d9fbd</errorID>
      <errorWord>2026年02月25日</errorWord>
      <group>L1_Knowledge</group>
      <groupName>知识性问题</groupName>
      <ability>L2_Time</ability>
      <abilityName>日期时间</abilityName>
      <candidateList>
        <item>2026年2月25日</item>
      </candidateList>
      <explain>根据日常书写习惯，月份一般会省略前导零。</explain>
      <paraID>32A530C5</paraID>
      <start>3</start>
      <end>14</end>
      <status>ignored</status>
      <modifiedWord/>
      <trackRevisions>false</trackRevisions>
    </reviewItem>
    <reviewItem>
      <errorID>dfbd2b24-324b-4547-a6b0-e6d59cc5eba4</errorID>
      <errorWord>通知中</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6B410098</paraID>
      <start>30</start>
      <end>33</end>
      <status>ignored</status>
      <modifiedWord/>
      <trackRevisions>false</trackRevisions>
    </reviewItem>
    <reviewItem>
      <errorID>832bdb38-753f-496a-8e20-10634cf21eb3</errorID>
      <errorWord>；</errorWord>
      <group>L1_Word</group>
      <groupName>字词问题</groupName>
      <ability>L2_Typo</ability>
      <abilityName>字词错误</abilityName>
      <candidateList>
        <item>；在</item>
      </candidateList>
      <explain/>
      <paraID>309D3A26</paraID>
      <start>37</start>
      <end>38</end>
      <status>ignored</status>
      <modifiedWord/>
      <trackRevisions>false</trackRevisions>
    </reviewItem>
    <reviewItem>
      <errorID>e3dd7ae5-b29a-4f3f-8f8b-cffae756fe91</errorID>
      <errorWord>律</errorWord>
      <group>L1_Word</group>
      <groupName>字词问题</groupName>
      <ability>L2_Typo</ability>
      <abilityName>字词错误</abilityName>
      <candidateList>
        <item>律和</item>
      </candidateList>
      <explain/>
      <paraID>469EE2A7</paraID>
      <start>6</start>
      <end>7</end>
      <status>ignored</status>
      <modifiedWord/>
      <trackRevisions>false</trackRevisions>
    </reviewItem>
    <reviewItem>
      <errorID>0e2beb23-c4a0-4ec6-bbb1-dc4ab12066ce</errorID>
      <errorWord>，</errorWord>
      <group>L1_Word</group>
      <groupName>字词问题</groupName>
      <ability>L2_Typo</ability>
      <abilityName>字词错误</abilityName>
      <candidateList>
        <item>，具</item>
      </candidateList>
      <explain/>
      <paraID>742C655D</paraID>
      <start>14</start>
      <end>15</end>
      <status>ignored</status>
      <modifiedWord/>
      <trackRevisions>false</trackRevisions>
    </reviewItem>
    <reviewItem>
      <errorID>91b7cabf-0336-46a3-b96e-91abbdd8582b</errorID>
      <errorWord>参数规定</errorWord>
      <group>L1_Knowledge</group>
      <groupName>知识性问题</groupName>
      <ability>L2_Term</ability>
      <abilityName>专业术语</abilityName>
      <candidateList>
        <item>参数设定</item>
      </candidateList>
      <explain/>
      <paraID>64DA6B00</paraID>
      <start>45</start>
      <end>49</end>
      <status>ignored</status>
      <modifiedWord/>
      <trackRevisions>false</trackRevisions>
    </reviewItem>
    <reviewItem>
      <errorID>5d81abc1-e630-4e26-98ca-0ad1cc0eb06f</errorID>
      <errorWord>，能</errorWord>
      <group>L1_Word</group>
      <groupName>字词问题</groupName>
      <ability>L2_Typo</ability>
      <abilityName>字词错误</abilityName>
      <candidateList>
        <item>，</item>
      </candidateList>
      <explain/>
      <paraID>46C133C7</paraID>
      <start>41</start>
      <end>43</end>
      <status>ignored</status>
      <modifiedWord/>
      <trackRevisions>false</trackRevisions>
    </reviewItem>
    <reviewItem>
      <errorID>861057c2-35d5-4099-a1bc-2b28a1e598bb</errorID>
      <errorWord>法律、法规</errorWord>
      <group>L1_Word</group>
      <groupName>字词问题</groupName>
      <ability>L2_Typo</ability>
      <abilityName>字词错误</abilityName>
      <candidateList>
        <item>法律法规</item>
      </candidateList>
      <explain/>
      <paraID>2464654F</paraID>
      <start>7</start>
      <end>12</end>
      <status>ignored</status>
      <modifiedWord/>
      <trackRevisions>false</trackRevisions>
    </reviewItem>
    <reviewItem>
      <errorID>1258c879-556b-4d0c-878e-903e28af3ede</errorID>
      <errorWord>(</errorWord>
      <group>L1_Punc</group>
      <groupName>标点问题</groupName>
      <ability>L2_Punc</ability>
      <abilityName>标点符号检查</abilityName>
      <candidateList>
        <item/>
      </candidateList>
      <explain>同一形式括号套用。</explain>
      <paraID>4FAB397C</paraID>
      <start>40</start>
      <end>41</end>
      <status>ignored</status>
      <modifiedWord/>
      <trackRevisions>false</trackRevisions>
    </reviewItem>
    <reviewItem>
      <errorID>5e0104d9-1983-48e9-bb0b-ed316458e8ab</errorID>
      <errorWord>（</errorWord>
      <group>L1_Punc</group>
      <groupName>标点问题</groupName>
      <ability>L2_Punc</ability>
      <abilityName>标点符号检查</abilityName>
      <candidateList/>
      <explain>同一形式括号套用。</explain>
      <paraID>4FAB397C</paraID>
      <start>55</start>
      <end>56</end>
      <status>ignored</status>
      <modifiedWord/>
      <trackRevisions>false</trackRevisions>
    </reviewItem>
    <reviewItem>
      <errorID>92e48ab2-b2f3-4e06-a262-ebbc8ba03e7e</errorID>
      <errorWord>）</errorWord>
      <group>L1_Punc</group>
      <groupName>标点问题</groupName>
      <ability>L2_Punc</ability>
      <abilityName>标点符号检查</abilityName>
      <candidateList/>
      <explain>同一形式括号套用。</explain>
      <paraID>4FAB397C</paraID>
      <start>60</start>
      <end>61</end>
      <status>ignored</status>
      <modifiedWord/>
      <trackRevisions>false</trackRevisions>
    </reviewItem>
    <reviewItem>
      <errorID>b2cc3d4f-90e2-42e9-ab74-7ccf2a145efb</errorID>
      <errorWord>)</errorWord>
      <group>L1_Punc</group>
      <groupName>标点问题</groupName>
      <ability>L2_Punc</ability>
      <abilityName>标点符号检查</abilityName>
      <candidateList/>
      <explain>同一形式括号套用。</explain>
      <paraID>4FAB397C</paraID>
      <start>87</start>
      <end>88</end>
      <status>ignored</status>
      <modifiedWord/>
      <trackRevisions>false</trackRevisions>
    </reviewItem>
    <reviewItem>
      <errorID>091779f3-ac90-4993-b210-7476f8cc9536</errorID>
      <errorWord>班均</errorWord>
      <group>L1_Word</group>
      <groupName>字词问题</groupName>
      <ability>L2_Typo</ability>
      <abilityName>字词错误</abilityName>
      <candidateList>
        <item>班级</item>
      </candidateList>
      <explain/>
      <paraID>268AA01C</paraID>
      <start>32</start>
      <end>34</end>
      <status>ignored</status>
      <modifiedWord/>
      <trackRevisions>false</trackRevisions>
    </reviewItem>
    <reviewItem>
      <errorID>b8aa66fd-292d-4e30-8cf7-c211b37310cf</errorID>
      <errorWord>生涯</errorWord>
      <group>L1_Word</group>
      <groupName>字词问题</groupName>
      <ability>L2_Typo</ability>
      <abilityName>字词错误</abilityName>
      <candidateList>
        <item>生源</item>
      </candidateList>
      <explain/>
      <paraID>337787B3</paraID>
      <start>16</start>
      <end>18</end>
      <status>ignored</status>
      <modifiedWord/>
      <trackRevisions>false</trackRevisions>
    </reviewItem>
    <reviewItem>
      <errorID>43a35f0b-12d5-45e5-86a5-fe2ae00280bb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1C4739FA</paraID>
      <start>79</start>
      <end>80</end>
      <status>ignored</status>
      <modifiedWord/>
      <trackRevisions>false</trackRevisions>
    </reviewItem>
    <reviewItem>
      <errorID>3e27f62d-11d2-4934-9a6d-b08948b2aab9</errorID>
      <errorWord>模版</errorWord>
      <group>L1_Word</group>
      <groupName>字词问题</groupName>
      <ability>L2_Typo</ability>
      <abilityName>字词错误</abilityName>
      <candidateList>
        <item>模板</item>
      </candidateList>
      <explain>存在发音相同字词的误用。</explain>
      <paraID>535D6A53</paraID>
      <start>87</start>
      <end>89</end>
      <status>ignored</status>
      <modifiedWord/>
      <trackRevisions>false</trackRevisions>
    </reviewItem>
    <reviewItem>
      <errorID>6621c30a-4756-4e3e-a1e1-780b5c3bdb34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535D6A53</paraID>
      <start>269</start>
      <end>270</end>
      <status>ignored</status>
      <modifiedWord/>
      <trackRevisions>false</trackRevisions>
    </reviewItem>
    <reviewItem>
      <errorID>29b45984-7da2-4f3e-8f0c-16bc9ffc8233</errorID>
      <errorWord>0%-30%</errorWord>
      <group>L1_Knowledge</group>
      <groupName>知识性问题</groupName>
      <ability>L2_Knowledge</ability>
      <abilityName>其他知识</abilityName>
      <candidateList>
        <item>0%—30%</item>
      </candidateList>
      <explain>1. “0%-30%”中的单位“%”仅出现在后一个数字上，容易引起歧义；根据《现代汉语标点符号数字用法规范手册》，数字表示范围两边需要使用统一的格式。2. 根据标点国标 4.13 中的规则，数字、时间或地域连接符应使用（视觉上更长的）“—”或“～”。</explain>
      <paraID>519B6F38</paraID>
      <start>92</start>
      <end>98</end>
      <status>ignored</status>
      <modifiedWord/>
      <trackRevisions>false</trackRevisions>
    </reviewItem>
    <reviewItem>
      <errorID>073198a3-a745-43e0-b67a-41497fe4d7ec</errorID>
      <errorWord>30%-60%</errorWord>
      <group>L1_Knowledge</group>
      <groupName>知识性问题</groupName>
      <ability>L2_Knowledge</ability>
      <abilityName>其他知识</abilityName>
      <candidateList>
        <item>30%—60%</item>
      </candidateList>
      <explain>1. “30%-60%”中的单位“%”仅出现在后一个数字上，容易引起歧义；根据《现代汉语标点符号数字用法规范手册》，数字表示范围两边需要使用统一的格式。2. 根据标点国标 4.13 中的规则，数字、时间或地域连接符应使用（视觉上更长的）“—”或“～”。</explain>
      <paraID>519B6F38</paraID>
      <start>99</start>
      <end>106</end>
      <status>ignored</status>
      <modifiedWord/>
      <trackRevisions>false</trackRevisions>
    </reviewItem>
    <reviewItem>
      <errorID>dad78c48-a277-4d89-b25e-9a7feb86b550</errorID>
      <errorWord>60%-80%</errorWord>
      <group>L1_Knowledge</group>
      <groupName>知识性问题</groupName>
      <ability>L2_Knowledge</ability>
      <abilityName>其他知识</abilityName>
      <candidateList>
        <item>60%—80%</item>
      </candidateList>
      <explain>1. “60%-80%”中的单位“%”仅出现在后一个数字上，容易引起歧义；根据《现代汉语标点符号数字用法规范手册》，数字表示范围两边需要使用统一的格式。2. 根据标点国标 4.13 中的规则，数字、时间或地域连接符应使用（视觉上更长的）“—”或“～”。</explain>
      <paraID>519B6F38</paraID>
      <start>107</start>
      <end>114</end>
      <status>ignored</status>
      <modifiedWord/>
      <trackRevisions>false</trackRevisions>
    </reviewItem>
    <reviewItem>
      <errorID>bdb5c04f-ad25-4251-9864-28970a0d85f2</errorID>
      <errorWord>80%-100%</errorWord>
      <group>L1_Knowledge</group>
      <groupName>知识性问题</groupName>
      <ability>L2_Knowledge</ability>
      <abilityName>其他知识</abilityName>
      <candidateList>
        <item>80%—100%</item>
      </candidateList>
      <explain>1. “80%-100%”中的单位“%”仅出现在后一个数字上，容易引起歧义；根据《现代汉语标点符号数字用法规范手册》，数字表示范围两边需要使用统一的格式。2.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519B6F38</paraID>
      <start>115</start>
      <end>123</end>
      <status>ignored</status>
      <modifiedWord/>
      <trackRevisions>false</trackRevisions>
    </reviewItem>
    <reviewItem>
      <errorID>eed1740b-af6a-4569-840e-c78265d079c3</errorID>
      <errorWord>分制</errorWord>
      <group>L1_Word</group>
      <groupName>字词问题</groupName>
      <ability>L2_Typo</ability>
      <abilityName>字词错误</abilityName>
      <candidateList>
        <item>分值</item>
      </candidateList>
      <explain/>
      <paraID>585A8732</paraID>
      <start>124</start>
      <end>126</end>
      <status>unmodified</status>
      <modifiedWord/>
      <trackRevisions>false</trackRevisions>
    </reviewItem>
    <reviewItem>
      <errorID>95d44ed2-bcd8-40a6-a19d-9733575a446f</errorID>
      <errorWord>分制</errorWord>
      <group>L1_Word</group>
      <groupName>字词问题</groupName>
      <ability>L2_Typo</ability>
      <abilityName>字词错误</abilityName>
      <candidateList>
        <item>分值</item>
      </candidateList>
      <explain/>
      <paraID>585A8732</paraID>
      <start>132</start>
      <end>134</end>
      <status>unmodified</status>
      <modifiedWord/>
      <trackRevisions>false</trackRevisions>
    </reviewItem>
    <reviewItem>
      <errorID>bd562b25-a019-4065-94f8-53adc44e7918</errorID>
      <errorWord>预定</errorWord>
      <group>L1_Word</group>
      <groupName>字词问题</groupName>
      <ability>L2_Typo</ability>
      <abilityName>字词错误</abilityName>
      <candidateList>
        <item>预订</item>
      </candidateList>
      <explain>〈动〉预先订购：～报纸｜～酒席。</explain>
      <paraID>7047443F</paraID>
      <start>0</start>
      <end>2</end>
      <status>ignored</status>
      <modifiedWord/>
      <trackRevisions>false</trackRevisions>
    </reviewItem>
    <reviewItem>
      <errorID>5b8ce418-fe33-424d-9f0e-efdb690cde01</errorID>
      <errorWord>选科</errorWord>
      <group>L1_Word</group>
      <groupName>字词问题</groupName>
      <ability>L2_Typo</ability>
      <abilityName>字词错误</abilityName>
      <candidateList>
        <item>选课</item>
      </candidateList>
      <explain/>
      <paraID>77761978</paraID>
      <start>10</start>
      <end>12</end>
      <status>ignored</status>
      <modifiedWord/>
      <trackRevisions>false</trackRevisions>
    </reviewItem>
    <reviewItem>
      <errorID>695680ff-6d46-41d2-aa43-ae486396082f</errorID>
      <errorWord>选科</errorWord>
      <group>L1_Word</group>
      <groupName>字词问题</groupName>
      <ability>L2_Typo</ability>
      <abilityName>字词错误</abilityName>
      <candidateList>
        <item>选课</item>
      </candidateList>
      <explain/>
      <paraID> 8BC0795</paraID>
      <start>10</start>
      <end>12</end>
      <status>ignored</status>
      <modifiedWord/>
      <trackRevisions>false</trackRevisions>
    </reviewItem>
    <reviewItem>
      <errorID>4b9b91f1-de3e-48a5-84d2-899560ed8370</errorID>
      <errorWord>每</errorWord>
      <group>L1_Word</group>
      <groupName>字词问题</groupName>
      <ability>L2_Typo</ability>
      <abilityName>字词错误</abilityName>
      <candidateList>
        <item>每个</item>
      </candidateList>
      <explain/>
      <paraID>16179282</paraID>
      <start>16</start>
      <end>17</end>
      <status>ignored</status>
      <modifiedWord/>
      <trackRevisions>false</trackRevisions>
    </reviewItem>
    <reviewItem>
      <errorID>eda13e54-4b7f-4708-9677-bc79dade1773</errorID>
      <errorWord>模版</errorWord>
      <group>L1_Word</group>
      <groupName>字词问题</groupName>
      <ability>L2_Typo</ability>
      <abilityName>字词错误</abilityName>
      <candidateList>
        <item>模板</item>
      </candidateList>
      <explain>存在发音相同字词的误用。</explain>
      <paraID>3621331D</paraID>
      <start>26</start>
      <end>28</end>
      <status>ignored</status>
      <modifiedWord/>
      <trackRevisions>false</trackRevisions>
    </reviewItem>
    <reviewItem>
      <errorID>3401532e-33dd-454a-9c91-3e642cffa887</errorID>
      <errorWord>跨上</errorWord>
      <group>L1_Word</group>
      <groupName>字词问题</groupName>
      <ability>L2_Typo</ability>
      <abilityName>字词错误</abilityName>
      <candidateList>
        <item>上</item>
      </candidateList>
      <explain/>
      <paraID>51D5BD2D</paraID>
      <start>44</start>
      <end>46</end>
      <status>ignored</status>
      <modifiedWord/>
      <trackRevisions>false</trackRevisions>
    </reviewItem>
    <reviewItem>
      <errorID>e66c53aa-7d72-4c68-b3ce-308a5a0b24a0</errorID>
      <errorWord>、</errorWord>
      <group>L1_Word</group>
      <groupName>字词问题</groupName>
      <ability>L2_Typo</ability>
      <abilityName>字词错误</abilityName>
      <candidateList>
        <item>、对</item>
      </candidateList>
      <explain/>
      <paraID>4FA18CEB</paraID>
      <start>105</start>
      <end>106</end>
      <status>ignored</status>
      <modifiedWord/>
      <trackRevisions>false</trackRevisions>
    </reviewItem>
    <reviewItem>
      <errorID>9835dfef-e099-4b12-b8e9-6ffefd16a51e</errorID>
      <errorWord>、</errorWord>
      <group>L1_Word</group>
      <groupName>字词问题</groupName>
      <ability>L2_Typo</ability>
      <abilityName>字词错误</abilityName>
      <candidateList>
        <item>、对</item>
      </candidateList>
      <explain/>
      <paraID>4FA18CEB</paraID>
      <start>117</start>
      <end>118</end>
      <status>ignored</status>
      <modifiedWord/>
      <trackRevisions>false</trackRevisions>
    </reviewItem>
    <reviewItem>
      <errorID>53ee2eaf-baf3-4b7b-9bf7-f7071c356936</errorID>
      <errorWord>即时</errorWord>
      <group>L1_Word</group>
      <groupName>字词问题</groupName>
      <ability>L2_Typo</ability>
      <abilityName>字词错误</abilityName>
      <candidateList>
        <item>及时</item>
      </candidateList>
      <explain>存在发音相同字词的误用。</explain>
      <paraID>26FAF9F8</paraID>
      <start>48</start>
      <end>50</end>
      <status>ignored</status>
      <modifiedWord/>
      <trackRevisions>false</trackRevisions>
    </reviewItem>
    <reviewItem>
      <errorID>48a35a96-3537-4c67-b949-feacbc588b5f</errorID>
      <errorWord>*</errorWord>
      <group>L1_Punc</group>
      <groupName>标点问题</groupName>
      <ability>L2_Punc</ability>
      <abilityName>标点符号检查</abilityName>
      <candidateList/>
      <explain/>
      <paraID>390386A9</paraID>
      <start>0</start>
      <end>1</end>
      <status>ignored</status>
      <modifiedWord/>
      <trackRevisions>false</trackRevisions>
    </reviewItem>
    <reviewItem>
      <errorID>01f1a53a-da04-49c7-a9e4-9bdb5ab98612</errorID>
      <errorWord>优化区域资源配置</errorWord>
      <group>L1_Political</group>
      <groupName>政治性问题</groupName>
      <ability>L2_Keyword</ability>
      <abilityName>固定表述</abilityName>
      <candidateList>
        <item>优化区域教育资源配置</item>
      </candidateList>
      <explain>词汇“优化区域教育资源配置”在特定场景下为固定表述形式，请确认此处的“优化区域资源配置”是否存在不当。</explain>
      <paraID> 70DE732</paraID>
      <start>120</start>
      <end>128</end>
      <status>ignored</status>
      <modifiedWord/>
      <trackRevisions>false</trackRevisions>
    </reviewItem>
    <reviewItem>
      <errorID>7afb6710-3c28-4d97-80d3-bee405c852ea</errorID>
      <errorWord>日常生涯</errorWord>
      <group>L1_Word</group>
      <groupName>字词问题</groupName>
      <ability>L2_Typo</ability>
      <abilityName>字词错误</abilityName>
      <candidateList>
        <item>日常生活</item>
      </candidateList>
      <explain/>
      <paraID>2A2031F8</paraID>
      <start>38</start>
      <end>42</end>
      <status>ignored</status>
      <modifiedWord/>
      <trackRevisions>false</trackRevisions>
    </reviewItem>
    <reviewItem>
      <errorID>a37376e3-f7b5-4d0c-a947-1e421a57aee2</errorID>
      <errorWord>日常生涯</errorWord>
      <group>L1_Word</group>
      <groupName>字词问题</groupName>
      <ability>L2_Typo</ability>
      <abilityName>字词错误</abilityName>
      <candidateList>
        <item>日常生活</item>
      </candidateList>
      <explain/>
      <paraID>3F0326A2</paraID>
      <start>31</start>
      <end>35</end>
      <status>ignored</status>
      <modifiedWord/>
      <trackRevisions>false</trackRevisions>
    </reviewItem>
    <reviewItem>
      <errorID>404a272d-f677-4673-8e29-68630110c550</errorID>
      <errorWord>依托于</errorWord>
      <group>L1_Word</group>
      <groupName>字词问题</groupName>
      <ability>L2_Typo</ability>
      <abilityName>字词错误</abilityName>
      <candidateList>
        <item>依托</item>
      </candidateList>
      <explain/>
      <paraID>3F0326A2</paraID>
      <start>44</start>
      <end>47</end>
      <status>ignored</status>
      <modifiedWord/>
      <trackRevisions>false</trackRevisions>
    </reviewItem>
    <reviewItem>
      <errorID>2679f129-76ed-495f-bdd5-18a7dc32794a</errorID>
      <errorWord>日常生涯</errorWord>
      <group>L1_Word</group>
      <groupName>字词问题</groupName>
      <ability>L2_Typo</ability>
      <abilityName>字词错误</abilityName>
      <candidateList>
        <item>日常生活</item>
      </candidateList>
      <explain/>
      <paraID> A53725B</paraID>
      <start>36</start>
      <end>40</end>
      <status>ignored</status>
      <modifiedWord/>
      <trackRevisions>false</trackRevisions>
    </reviewItem>
    <reviewItem>
      <errorID>2b79230c-4a47-49e6-b79d-1e92845f49bf</errorID>
      <errorWord>基础实施</errorWord>
      <group>L1_Word</group>
      <groupName>字词问题</groupName>
      <ability>L2_Typo</ability>
      <abilityName>字词错误</abilityName>
      <candidateList>
        <item>基础设施</item>
      </candidateList>
      <explain/>
      <paraID>3185503F</paraID>
      <start>380</start>
      <end>384</end>
      <status>ignored</status>
      <modifiedWord/>
      <trackRevisions>false</trackRevisions>
    </reviewItem>
    <reviewItem>
      <errorID>22ea7fd5-6484-47d9-93a5-2ec2110cd3a8</errorID>
      <errorWord>关注的</errorWord>
      <group>L1_Word</group>
      <groupName>字词问题</groupName>
      <ability>L2_Typo</ability>
      <abilityName>字词错误</abilityName>
      <candidateList>
        <item>关注</item>
      </candidateList>
      <explain/>
      <paraID>7FA649A7</paraID>
      <start>20</start>
      <end>23</end>
      <status>ignored</status>
      <modifiedWord/>
      <trackRevisions>false</trackRevisions>
    </reviewItem>
    <reviewItem>
      <errorID>b7fc2630-c20d-4e8e-bd06-a3e8fad32922</errorID>
      <errorWord>实现</errorWord>
      <group>L1_Word</group>
      <groupName>字词问题</groupName>
      <ability>L2_Typo</ability>
      <abilityName>字词错误</abilityName>
      <candidateList>
        <item>时限</item>
      </candidateList>
      <explain/>
      <paraID>71D58FE3</paraID>
      <start>11</start>
      <end>13</end>
      <status>ignored</status>
      <modifiedWord/>
      <trackRevisions>false</trackRevisions>
    </reviewItem>
    <reviewItem>
      <errorID>5a5898d8-5190-48a4-a0e0-573bd131711b</errorID>
      <errorWord>(</errorWord>
      <group>L1_Format</group>
      <groupName>格式问题</groupName>
      <ability>L2_HalfPunc</ability>
      <abilityName>全半角检查</abilityName>
      <candidateList>
        <item>（</item>
      </candidateList>
      <explain>文本全半角错误。</explain>
      <paraID>1516F5B5</paraID>
      <start>7</start>
      <end>8</end>
      <status>modified</status>
      <modifiedWord>（</modifiedWord>
      <trackRevisions>false</trackRevisions>
    </reviewItem>
    <reviewItem>
      <errorID>d2a5d86b-d692-4088-94e2-932d2244ade7</errorID>
      <errorWord>)</errorWord>
      <group>L1_Format</group>
      <groupName>格式问题</groupName>
      <ability>L2_HalfPunc</ability>
      <abilityName>全半角检查</abilityName>
      <candidateList>
        <item>）</item>
      </candidateList>
      <explain>文本全半角错误。</explain>
      <paraID>1516F5B5</paraID>
      <start>10</start>
      <end>11</end>
      <status>modified</status>
      <modifiedWord>）</modifiedWord>
      <trackRevisions>false</trackRevisions>
    </reviewItem>
    <reviewItem>
      <errorID>2a03bdf2-7c4d-40ba-a50c-d196e8d3364d</errorID>
      <errorWord>(</errorWord>
      <group>L1_Format</group>
      <groupName>格式问题</groupName>
      <ability>L2_HalfPunc</ability>
      <abilityName>全半角检查</abilityName>
      <candidateList>
        <item>（</item>
      </candidateList>
      <explain>文本全半角错误。</explain>
      <paraID>1516F5B5</paraID>
      <start>153</start>
      <end>154</end>
      <status>modified</status>
      <modifiedWord>（</modifiedWord>
      <trackRevisions>false</trackRevisions>
    </reviewItem>
    <reviewItem>
      <errorID>85e1326f-2e33-465e-a2f5-f5962f140f01</errorID>
      <errorWord>)</errorWord>
      <group>L1_Format</group>
      <groupName>格式问题</groupName>
      <ability>L2_HalfPunc</ability>
      <abilityName>全半角检查</abilityName>
      <candidateList>
        <item>）</item>
      </candidateList>
      <explain>文本全半角错误。</explain>
      <paraID>1516F5B5</paraID>
      <start>156</start>
      <end>157</end>
      <status>modified</status>
      <modifiedWord>）</modifiedWord>
      <trackRevisions>false</trackRevisions>
    </reviewItem>
    <reviewItem>
      <errorID>2343abef-813f-4570-b125-5776105e198a</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27FCD800</paraID>
      <start>5</start>
      <end>15</end>
      <status>ignored</status>
      <modifiedWord/>
      <trackRevisions>false</trackRevisions>
    </reviewItem>
    <reviewItem>
      <errorID>6b45bfbe-0b5b-47c4-80d3-1c7d3f828ff8</errorID>
      <errorWord>依</errorWord>
      <group>L1_Word</group>
      <groupName>字词问题</groupName>
      <ability>L2_Typo</ability>
      <abilityName>字词错误</abilityName>
      <candidateList>
        <item>依据</item>
      </candidateList>
      <explain/>
      <paraID>7CC2CAF5</paraID>
      <start>19</start>
      <end>20</end>
      <status>ignored</status>
      <modifiedWord/>
      <trackRevisions>false</trackRevisions>
    </reviewItem>
    <reviewItem>
      <errorID>7d9a3374-fafe-419f-8abf-61ba3389c68d</errorID>
      <errorWord>其它</errorWord>
      <group>L1_Word</group>
      <groupName>字词问题</groupName>
      <ability>L2_Alias</ability>
      <abilityName>也作/曾用词</abilityName>
      <candidateList>
        <item>其他</item>
      </candidateList>
      <explain>词汇[其它]为不规范表述或旧称，其规范书面表述为[其他]。</explain>
      <paraID>7A9E3356</paraID>
      <start>44</start>
      <end>46</end>
      <status>ignored</status>
      <modifiedWord/>
      <trackRevisions>false</trackRevisions>
    </reviewItem>
    <reviewItem>
      <errorID>48439847-8f5c-4c36-81bf-8b21893e6776</errorID>
      <errorWord>、有</errorWord>
      <group>L1_Word</group>
      <groupName>字词问题</groupName>
      <ability>L2_Typo</ability>
      <abilityName>字词错误</abilityName>
      <candidateList>
        <item>、</item>
      </candidateList>
      <explain/>
      <paraID>48635CCE</paraID>
      <start>1</start>
      <end>3</end>
      <status>ignored</status>
      <modifiedWord/>
      <trackRevisions>false</trackRevisions>
    </reviewItem>
    <reviewItem>
      <errorID>1f259b0a-20bb-46e6-8531-cc8326173cac</errorID>
      <errorWord>关于</errorWord>
      <group>L1_Word</group>
      <groupName>字词问题</groupName>
      <ability>L2_Typo</ability>
      <abilityName>字词错误</abilityName>
      <candidateList>
        <item>关</item>
      </candidateList>
      <explain/>
      <paraID>48635CCE</paraID>
      <start>3</start>
      <end>5</end>
      <status>ignored</status>
      <modifiedWord/>
      <trackRevisions>false</trackRevisions>
    </reviewItem>
    <reviewItem>
      <errorID>b549521f-7fa6-4134-a1c3-63518596f9e3</errorID>
      <errorWord>；</errorWord>
      <group>L1_Word</group>
      <groupName>字词问题</groupName>
      <ability>L2_Typo</ability>
      <abilityName>字词错误</abilityName>
      <candidateList>
        <item>；在</item>
      </candidateList>
      <explain/>
      <paraID> 3A2B438</paraID>
      <start>37</start>
      <end>38</end>
      <status>ignored</status>
      <modifiedWord/>
      <trackRevisions>false</trackRevisions>
    </reviewItem>
    <reviewItem>
      <errorID>52e9998b-e830-4928-918e-557352175dad</errorID>
      <errorWord>有悖于</errorWord>
      <group>L1_Word</group>
      <groupName>字词问题</groupName>
      <ability>L2_Typo</ability>
      <abilityName>字词错误</abilityName>
      <candidateList>
        <item>有悖</item>
      </candidateList>
      <explain/>
      <paraID>711A4001</paraID>
      <start>7</start>
      <end>10</end>
      <status>ignored</status>
      <modifiedWord/>
      <trackRevisions>false</trackRevisions>
    </reviewItem>
    <reviewItem>
      <errorID>6316b4cf-116c-4369-9051-108923b833b1</errorID>
      <errorWord>作</errorWord>
      <group>L1_Word</group>
      <groupName>字词问题</groupName>
      <ability>L2_Typo</ability>
      <abilityName>字词错误</abilityName>
      <candidateList>
        <item>做</item>
      </candidateList>
      <explain>存在发音相同字词的误用。</explain>
      <paraID> 1A0986E</paraID>
      <start>60</start>
      <end>61</end>
      <status>ignored</status>
      <modifiedWord/>
      <trackRevisions>false</trackRevisions>
    </reviewItem>
    <reviewItem>
      <errorID>e123b258-dc11-48b4-b68a-aba17c7fa3ae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46C83686</paraID>
      <start>39</start>
      <end>44</end>
      <status>ignored</status>
      <modifiedWord/>
      <trackRevisions>false</trackRevisions>
    </reviewItem>
    <reviewItem>
      <errorID>7ea80a88-a0a5-419d-9dd7-64b80de69f33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7F63217E</paraID>
      <start>39</start>
      <end>44</end>
      <status>ignored</status>
      <modifiedWord/>
      <trackRevisions>false</trackRevisions>
    </reviewItem>
    <reviewItem>
      <errorID>878f209a-61f4-40dc-8751-8b32705bca57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14F7B7EE</paraID>
      <start>39</start>
      <end>44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37c22-4926-463b-8ce9-393ab9c835d5}">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4115</Words>
  <Characters>4468</Characters>
  <Lines>466</Lines>
  <Paragraphs>131</Paragraphs>
  <TotalTime>157</TotalTime>
  <ScaleCrop>false</ScaleCrop>
  <LinksUpToDate>false</LinksUpToDate>
  <CharactersWithSpaces>4638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Administrator</dc:creator>
  <cp:lastModifiedBy>A.ツ丶小猪爱</cp:lastModifiedBy>
  <cp:lastPrinted>2022-08-26T09:26:00Z</cp:lastPrinted>
  <dcterms:modified xsi:type="dcterms:W3CDTF">2026-02-27T03:06:04Z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UUID">
    <vt:lpwstr>v1.0_mb_JTkv4FRecwauV9R5PE+DoQ==</vt:lpwstr>
  </property>
  <property fmtid="{D5CDD505-2E9C-101B-9397-08002B2CF9AE}" pid="4" name="ICV">
    <vt:lpwstr>6C500A1F29624492A402CE0BCC3EA5A0_13</vt:lpwstr>
  </property>
  <property fmtid="{D5CDD505-2E9C-101B-9397-08002B2CF9AE}" pid="5" name="KSOTemplateDocerSaveRecord">
    <vt:lpwstr>eyJoZGlkIjoiYTQ5OTdhZmRkYTUwYWY1NGZkNzhiZTI2YTNmNThhZjIiLCJ1c2VySWQiOiIzMzEwODc0MzgifQ==</vt:lpwstr>
  </property>
</Properties>
</file>