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第三章 磋商项目技术、服务、商务及其他要求</w:t>
      </w:r>
    </w:p>
    <w:p>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4"/>
        <w:outlineLvl w:val="2"/>
      </w:pPr>
      <w:r>
        <w:rPr>
          <w:rFonts w:ascii="仿宋_GB2312" w:hAnsi="仿宋_GB2312" w:eastAsia="仿宋_GB2312" w:cs="仿宋_GB2312"/>
          <w:b/>
          <w:sz w:val="28"/>
        </w:rPr>
        <w:t>3.1采购项目概况</w:t>
      </w:r>
    </w:p>
    <w:p>
      <w:pPr>
        <w:pStyle w:val="4"/>
        <w:ind w:firstLine="480"/>
      </w:pPr>
      <w:r>
        <w:rPr>
          <w:rFonts w:ascii="仿宋_GB2312" w:hAnsi="仿宋_GB2312" w:eastAsia="仿宋_GB2312" w:cs="仿宋_GB2312"/>
        </w:rPr>
        <w:t>项目服务对象为长安区户籍、在长安区辖区内有固定的居住场所，病情稳定且无肇事肇祸倾向，经精神卫生专业医疗机构出院评估可进行社区康复且有康复意愿的居家精神障碍患者(优先关注特困、低保、低保边缘和支出型困难家庭中救助对象，孤寡、独居、空巢老人、困境儿童等民政服务对象)。 针对精障患者的社区康复需求，以一对一、小组(不少于6名服务对象)、活动(不少于30名服务对象参与)的形式开展以下服务: 1.基础服务:组织开展为掌握服务对象基本情况及需求情况的基础性服务,包括:建档、电话探访、入户探访、康复评估、资源指引、康复或政策咨询等。 2.专业服务:为服务对象及其家庭提供个人发展及家属服务等专业康复服务，包括:预防服务训练、服药跟踪、就医复诊陪伴、家属照料技巧指导、喘息服务和减压疏导、躯体管理训练、生活技能康复训练、社交康复训练、家庭支持、职业康复训练、同伴支持、动态评估康复成效等。 3.其他活动性服务:在社区内开展社交康乐服务、社区宣传服务、社区志愿服务、精康宣讲等社区共融服务，促进社区居民与精障患者及其家庭的互动和融合;结合社区内资源情况以及服务对象的实际需求情况，创新开展特色服务或更具探索性的深度服务，如户外康复活动等。</w:t>
      </w:r>
    </w:p>
    <w:p>
      <w:pPr>
        <w:pStyle w:val="4"/>
        <w:outlineLvl w:val="2"/>
      </w:pPr>
      <w:r>
        <w:rPr>
          <w:rFonts w:ascii="仿宋_GB2312" w:hAnsi="仿宋_GB2312" w:eastAsia="仿宋_GB2312" w:cs="仿宋_GB2312"/>
          <w:b/>
          <w:sz w:val="28"/>
        </w:rPr>
        <w:t>3.2服务内容及服务要求</w:t>
      </w:r>
    </w:p>
    <w:p>
      <w:pPr>
        <w:pStyle w:val="4"/>
        <w:outlineLvl w:val="3"/>
      </w:pPr>
      <w:r>
        <w:rPr>
          <w:rFonts w:ascii="仿宋_GB2312" w:hAnsi="仿宋_GB2312" w:eastAsia="仿宋_GB2312" w:cs="仿宋_GB2312"/>
          <w:b/>
          <w:sz w:val="24"/>
        </w:rPr>
        <w:t>3.2.1服务内容</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采购包预算金额（元）: 280,000.00</w:t>
      </w:r>
    </w:p>
    <w:p>
      <w:pPr>
        <w:pStyle w:val="4"/>
      </w:pPr>
      <w:r>
        <w:rPr>
          <w:rFonts w:ascii="仿宋_GB2312" w:hAnsi="仿宋_GB2312" w:eastAsia="仿宋_GB2312" w:cs="仿宋_GB2312"/>
        </w:rPr>
        <w:t>采购包最高限价（元）: 280,000.00</w:t>
      </w:r>
    </w:p>
    <w:p>
      <w:pPr>
        <w:pStyle w:val="4"/>
      </w:pPr>
      <w:r>
        <w:rPr>
          <w:rFonts w:ascii="仿宋_GB2312" w:hAnsi="仿宋_GB2312" w:eastAsia="仿宋_GB2312" w:cs="仿宋_GB2312"/>
        </w:rPr>
        <w:t>供应商报价不允许超过标的金额</w:t>
      </w:r>
    </w:p>
    <w:p>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rPr>
                <w:rFonts w:ascii="仿宋_GB2312" w:hAnsi="仿宋_GB2312" w:eastAsia="仿宋_GB2312" w:cs="仿宋_GB2312"/>
              </w:rPr>
              <w:t>序号</w:t>
            </w:r>
          </w:p>
        </w:tc>
        <w:tc>
          <w:tcPr>
            <w:tcW w:w="831" w:type="dxa"/>
          </w:tcPr>
          <w:p>
            <w:pPr>
              <w:pStyle w:val="4"/>
            </w:pPr>
            <w:r>
              <w:rPr>
                <w:rFonts w:ascii="仿宋_GB2312" w:hAnsi="仿宋_GB2312" w:eastAsia="仿宋_GB2312" w:cs="仿宋_GB2312"/>
              </w:rPr>
              <w:t>标的名称</w:t>
            </w:r>
          </w:p>
        </w:tc>
        <w:tc>
          <w:tcPr>
            <w:tcW w:w="831" w:type="dxa"/>
          </w:tcPr>
          <w:p>
            <w:pPr>
              <w:pStyle w:val="4"/>
            </w:pPr>
            <w:r>
              <w:rPr>
                <w:rFonts w:ascii="仿宋_GB2312" w:hAnsi="仿宋_GB2312" w:eastAsia="仿宋_GB2312" w:cs="仿宋_GB2312"/>
              </w:rPr>
              <w:t>数量</w:t>
            </w:r>
          </w:p>
        </w:tc>
        <w:tc>
          <w:tcPr>
            <w:tcW w:w="831" w:type="dxa"/>
          </w:tcPr>
          <w:p>
            <w:pPr>
              <w:pStyle w:val="4"/>
            </w:pPr>
            <w:r>
              <w:rPr>
                <w:rFonts w:ascii="仿宋_GB2312" w:hAnsi="仿宋_GB2312" w:eastAsia="仿宋_GB2312" w:cs="仿宋_GB2312"/>
              </w:rPr>
              <w:t>标的金额 （元）</w:t>
            </w:r>
          </w:p>
        </w:tc>
        <w:tc>
          <w:tcPr>
            <w:tcW w:w="831" w:type="dxa"/>
          </w:tcPr>
          <w:p>
            <w:pPr>
              <w:pStyle w:val="4"/>
            </w:pPr>
            <w:r>
              <w:rPr>
                <w:rFonts w:ascii="仿宋_GB2312" w:hAnsi="仿宋_GB2312" w:eastAsia="仿宋_GB2312" w:cs="仿宋_GB2312"/>
              </w:rPr>
              <w:t>计量单位</w:t>
            </w:r>
          </w:p>
        </w:tc>
        <w:tc>
          <w:tcPr>
            <w:tcW w:w="831" w:type="dxa"/>
          </w:tcPr>
          <w:p>
            <w:pPr>
              <w:pStyle w:val="4"/>
            </w:pPr>
            <w:r>
              <w:rPr>
                <w:rFonts w:ascii="仿宋_GB2312" w:hAnsi="仿宋_GB2312" w:eastAsia="仿宋_GB2312" w:cs="仿宋_GB2312"/>
              </w:rPr>
              <w:t>所属行业</w:t>
            </w:r>
          </w:p>
        </w:tc>
        <w:tc>
          <w:tcPr>
            <w:tcW w:w="831" w:type="dxa"/>
          </w:tcPr>
          <w:p>
            <w:pPr>
              <w:pStyle w:val="4"/>
            </w:pPr>
            <w:r>
              <w:rPr>
                <w:rFonts w:ascii="仿宋_GB2312" w:hAnsi="仿宋_GB2312" w:eastAsia="仿宋_GB2312" w:cs="仿宋_GB2312"/>
              </w:rPr>
              <w:t>是否核心产品</w:t>
            </w:r>
          </w:p>
        </w:tc>
        <w:tc>
          <w:tcPr>
            <w:tcW w:w="831" w:type="dxa"/>
          </w:tcPr>
          <w:p>
            <w:pPr>
              <w:pStyle w:val="4"/>
            </w:pPr>
            <w:r>
              <w:rPr>
                <w:rFonts w:ascii="仿宋_GB2312" w:hAnsi="仿宋_GB2312" w:eastAsia="仿宋_GB2312" w:cs="仿宋_GB2312"/>
              </w:rPr>
              <w:t>是否允许进口产品</w:t>
            </w:r>
          </w:p>
        </w:tc>
        <w:tc>
          <w:tcPr>
            <w:tcW w:w="831" w:type="dxa"/>
          </w:tcPr>
          <w:p>
            <w:pPr>
              <w:pStyle w:val="4"/>
            </w:pPr>
            <w:r>
              <w:rPr>
                <w:rFonts w:ascii="仿宋_GB2312" w:hAnsi="仿宋_GB2312" w:eastAsia="仿宋_GB2312" w:cs="仿宋_GB2312"/>
              </w:rPr>
              <w:t>是否属于节能产品</w:t>
            </w:r>
          </w:p>
        </w:tc>
        <w:tc>
          <w:tcPr>
            <w:tcW w:w="831" w:type="dxa"/>
          </w:tcPr>
          <w:p>
            <w:pPr>
              <w:pStyle w:val="4"/>
            </w:pPr>
            <w:r>
              <w:rPr>
                <w:rFonts w:ascii="仿宋_GB2312" w:hAnsi="仿宋_GB2312" w:eastAsia="仿宋_GB2312" w:cs="仿宋_GB2312"/>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rPr>
                <w:rFonts w:ascii="仿宋_GB2312" w:hAnsi="仿宋_GB2312" w:eastAsia="仿宋_GB2312" w:cs="仿宋_GB2312"/>
              </w:rPr>
              <w:t>1</w:t>
            </w:r>
          </w:p>
        </w:tc>
        <w:tc>
          <w:tcPr>
            <w:tcW w:w="831" w:type="dxa"/>
          </w:tcPr>
          <w:p>
            <w:pPr>
              <w:pStyle w:val="4"/>
            </w:pPr>
            <w:r>
              <w:rPr>
                <w:rFonts w:ascii="仿宋_GB2312" w:hAnsi="仿宋_GB2312" w:eastAsia="仿宋_GB2312" w:cs="仿宋_GB2312"/>
              </w:rPr>
              <w:t>精神障碍社区康复服务</w:t>
            </w:r>
          </w:p>
        </w:tc>
        <w:tc>
          <w:tcPr>
            <w:tcW w:w="831" w:type="dxa"/>
          </w:tcPr>
          <w:p>
            <w:pPr>
              <w:pStyle w:val="4"/>
              <w:jc w:val="right"/>
            </w:pPr>
            <w:r>
              <w:rPr>
                <w:rFonts w:ascii="仿宋_GB2312" w:hAnsi="仿宋_GB2312" w:eastAsia="仿宋_GB2312" w:cs="仿宋_GB2312"/>
              </w:rPr>
              <w:t>1.00</w:t>
            </w:r>
          </w:p>
        </w:tc>
        <w:tc>
          <w:tcPr>
            <w:tcW w:w="831" w:type="dxa"/>
          </w:tcPr>
          <w:p>
            <w:pPr>
              <w:pStyle w:val="4"/>
              <w:jc w:val="right"/>
            </w:pPr>
            <w:r>
              <w:rPr>
                <w:rFonts w:ascii="仿宋_GB2312" w:hAnsi="仿宋_GB2312" w:eastAsia="仿宋_GB2312" w:cs="仿宋_GB2312"/>
              </w:rPr>
              <w:t>280,000.00</w:t>
            </w:r>
          </w:p>
        </w:tc>
        <w:tc>
          <w:tcPr>
            <w:tcW w:w="831" w:type="dxa"/>
          </w:tcPr>
          <w:p>
            <w:pPr>
              <w:pStyle w:val="4"/>
            </w:pPr>
            <w:r>
              <w:rPr>
                <w:rFonts w:ascii="仿宋_GB2312" w:hAnsi="仿宋_GB2312" w:eastAsia="仿宋_GB2312" w:cs="仿宋_GB2312"/>
              </w:rPr>
              <w:t>项</w:t>
            </w:r>
          </w:p>
        </w:tc>
        <w:tc>
          <w:tcPr>
            <w:tcW w:w="831" w:type="dxa"/>
          </w:tcPr>
          <w:p>
            <w:pPr>
              <w:pStyle w:val="4"/>
            </w:pPr>
            <w:r>
              <w:rPr>
                <w:rFonts w:ascii="仿宋_GB2312" w:hAnsi="仿宋_GB2312" w:eastAsia="仿宋_GB2312" w:cs="仿宋_GB2312"/>
              </w:rPr>
              <w:t>其他未列明行业</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r>
    </w:tbl>
    <w:p>
      <w:pPr>
        <w:pStyle w:val="4"/>
        <w:outlineLvl w:val="2"/>
      </w:pPr>
      <w:r>
        <w:rPr>
          <w:rFonts w:ascii="仿宋_GB2312" w:hAnsi="仿宋_GB2312" w:eastAsia="仿宋_GB2312" w:cs="仿宋_GB2312"/>
          <w:b/>
          <w:sz w:val="28"/>
        </w:rPr>
        <w:t>3.2.2服务要求</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标的名称：精神障碍社区康复服务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 xml:space="preserve"> 序号</w:t>
            </w:r>
          </w:p>
        </w:tc>
        <w:tc>
          <w:tcPr>
            <w:tcW w:w="2769" w:type="dxa"/>
          </w:tcPr>
          <w:p>
            <w:pPr>
              <w:pStyle w:val="4"/>
            </w:pPr>
            <w:r>
              <w:rPr>
                <w:rFonts w:ascii="仿宋_GB2312" w:hAnsi="仿宋_GB2312" w:eastAsia="仿宋_GB2312" w:cs="仿宋_GB2312"/>
              </w:rPr>
              <w:t xml:space="preserve"> 参数性质</w:t>
            </w:r>
          </w:p>
        </w:tc>
        <w:tc>
          <w:tcPr>
            <w:tcW w:w="2769" w:type="dxa"/>
          </w:tcPr>
          <w:p>
            <w:pPr>
              <w:pStyle w:val="4"/>
            </w:pPr>
            <w:r>
              <w:rPr>
                <w:rFonts w:ascii="仿宋_GB2312" w:hAnsi="仿宋_GB2312" w:eastAsia="仿宋_GB2312" w:cs="仿宋_GB2312"/>
              </w:rP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1</w:t>
            </w:r>
          </w:p>
        </w:tc>
        <w:tc>
          <w:tcPr>
            <w:tcW w:w="2769" w:type="dxa"/>
          </w:tcPr>
          <w:p>
            <w:pPr>
              <w:pStyle w:val="4"/>
            </w:pPr>
            <w:r>
              <w:rPr>
                <w:rFonts w:ascii="仿宋_GB2312" w:hAnsi="仿宋_GB2312" w:eastAsia="仿宋_GB2312" w:cs="仿宋_GB2312"/>
              </w:rPr>
              <w:t>★</w:t>
            </w:r>
          </w:p>
        </w:tc>
        <w:tc>
          <w:tcPr>
            <w:tcW w:w="2769" w:type="dxa"/>
          </w:tcPr>
          <w:p>
            <w:pPr>
              <w:pStyle w:val="4"/>
              <w:jc w:val="both"/>
            </w:pPr>
            <w:r>
              <w:rPr>
                <w:rFonts w:ascii="仿宋_GB2312" w:hAnsi="仿宋_GB2312" w:eastAsia="仿宋_GB2312" w:cs="仿宋_GB2312"/>
                <w:b/>
                <w:sz w:val="21"/>
              </w:rPr>
              <w:t>一、项目目标</w:t>
            </w:r>
          </w:p>
          <w:p>
            <w:pPr>
              <w:pStyle w:val="4"/>
              <w:ind w:firstLine="480"/>
            </w:pPr>
            <w:r>
              <w:rPr>
                <w:rFonts w:ascii="仿宋_GB2312" w:hAnsi="仿宋_GB2312" w:eastAsia="仿宋_GB2312" w:cs="仿宋_GB2312"/>
              </w:rPr>
              <w:t>(一)全面了解长安区社区精神障碍患者需求(优先关注特困、低保、低保边缘和支出型困难家庭中救助对象，孤寡、独居、留守、空巢老人、困境儿童),针对特殊家庭的精神障碍患者的个性化需求，提供针对性的专业服务。</w:t>
            </w:r>
          </w:p>
          <w:p>
            <w:pPr>
              <w:pStyle w:val="4"/>
              <w:ind w:firstLine="480"/>
            </w:pPr>
            <w:r>
              <w:rPr>
                <w:rFonts w:ascii="仿宋_GB2312" w:hAnsi="仿宋_GB2312" w:eastAsia="仿宋_GB2312" w:cs="仿宋_GB2312"/>
              </w:rPr>
              <w:t>(二)长安区精神障碍社区康复服务项目服务范围应覆盖长安区各街道，精神障碍社区康复意愿患者登记建档人数至少130人，服务对象数量不少于80人，如承接机构在本辖区内有相关政府购买服务，其服务对象不能与本项目服务对象重复。</w:t>
            </w:r>
          </w:p>
          <w:p>
            <w:pPr>
              <w:pStyle w:val="4"/>
              <w:ind w:firstLine="480"/>
            </w:pPr>
            <w:r>
              <w:rPr>
                <w:rFonts w:ascii="仿宋_GB2312" w:hAnsi="仿宋_GB2312" w:eastAsia="仿宋_GB2312" w:cs="仿宋_GB2312"/>
              </w:rPr>
              <w:t>(三)辖区内登记康复对象接受规范服务率达到45%以上，挖掘区域特点打造长安区精神障碍社区康复品牌，初步构建精神卫生医疗机构、精神障碍社区康复服务机构等不同层级、不同机构的服务转介机制。</w:t>
            </w:r>
          </w:p>
          <w:p>
            <w:pPr>
              <w:pStyle w:val="4"/>
              <w:jc w:val="both"/>
            </w:pPr>
            <w:r>
              <w:rPr>
                <w:rFonts w:ascii="仿宋_GB2312" w:hAnsi="仿宋_GB2312" w:eastAsia="仿宋_GB2312" w:cs="仿宋_GB2312"/>
              </w:rPr>
              <w:t>二、</w:t>
            </w:r>
            <w:r>
              <w:rPr>
                <w:rFonts w:ascii="仿宋_GB2312" w:hAnsi="仿宋_GB2312" w:eastAsia="仿宋_GB2312" w:cs="仿宋_GB2312"/>
                <w:b/>
                <w:sz w:val="21"/>
              </w:rPr>
              <w:t>服务对象</w:t>
            </w:r>
          </w:p>
          <w:p>
            <w:pPr>
              <w:pStyle w:val="4"/>
              <w:ind w:firstLine="480"/>
            </w:pPr>
            <w:r>
              <w:rPr>
                <w:rFonts w:ascii="仿宋_GB2312" w:hAnsi="仿宋_GB2312" w:eastAsia="仿宋_GB2312" w:cs="仿宋_GB2312"/>
              </w:rPr>
              <w:t>项目服务对象为长安区户籍、在长安区辖区内有固定的居住场所，病情稳定且无肇事肇祸倾向，经精神卫生专业医疗机构出院评估可进行社区康复且有康复意愿的居家精神障碍患者(优先关注特困、低保、低保边缘和支出型困难家庭中救助对象，孤寡、独居、空巢老人、困境儿童等民政服务对象)。</w:t>
            </w:r>
          </w:p>
          <w:p>
            <w:pPr>
              <w:pStyle w:val="4"/>
              <w:jc w:val="both"/>
            </w:pPr>
            <w:r>
              <w:rPr>
                <w:rFonts w:ascii="仿宋_GB2312" w:hAnsi="仿宋_GB2312" w:eastAsia="仿宋_GB2312" w:cs="仿宋_GB2312"/>
                <w:b/>
              </w:rPr>
              <w:t>三、服务内容</w:t>
            </w:r>
          </w:p>
          <w:p>
            <w:pPr>
              <w:pStyle w:val="4"/>
              <w:ind w:firstLine="480"/>
            </w:pPr>
            <w:r>
              <w:rPr>
                <w:rFonts w:ascii="仿宋_GB2312" w:hAnsi="仿宋_GB2312" w:eastAsia="仿宋_GB2312" w:cs="仿宋_GB2312"/>
              </w:rPr>
              <w:t>针对精障患者的社区康复需求，以一对一、小组(不少于6名服务对象)、活动(不少于30名服务对象参与)的形式开展以下服务:</w:t>
            </w:r>
          </w:p>
          <w:p>
            <w:pPr>
              <w:pStyle w:val="4"/>
              <w:ind w:firstLine="480"/>
            </w:pPr>
            <w:r>
              <w:rPr>
                <w:rFonts w:ascii="仿宋_GB2312" w:hAnsi="仿宋_GB2312" w:eastAsia="仿宋_GB2312" w:cs="仿宋_GB2312"/>
              </w:rPr>
              <w:t>1.基础服务:组织开展为掌握服务对象基本情况及需求情况的基础性服务,包括:建档、电话探访、入户探访、康复评估、资源指引、康复或政策咨询等。</w:t>
            </w:r>
          </w:p>
          <w:p>
            <w:pPr>
              <w:pStyle w:val="4"/>
              <w:ind w:firstLine="480"/>
            </w:pPr>
            <w:r>
              <w:rPr>
                <w:rFonts w:ascii="仿宋_GB2312" w:hAnsi="仿宋_GB2312" w:eastAsia="仿宋_GB2312" w:cs="仿宋_GB2312"/>
              </w:rPr>
              <w:t>2.专业服务:为服务对象及其家庭提供个人发展及家属服务等专业康复服务，包括:预防服务训练、服药跟踪、就医复诊陪伴、家属照料技巧指导、喘息服务和减压疏导、躯体管理训练、生活技能康复训练、社交康复训练、家庭支持、职业康复训练、同伴支持、动态评估康复成效等。</w:t>
            </w:r>
          </w:p>
          <w:p>
            <w:pPr>
              <w:pStyle w:val="4"/>
              <w:ind w:firstLine="400"/>
              <w:jc w:val="both"/>
            </w:pPr>
            <w:r>
              <w:rPr>
                <w:rFonts w:ascii="仿宋_GB2312" w:hAnsi="仿宋_GB2312" w:eastAsia="仿宋_GB2312" w:cs="仿宋_GB2312"/>
              </w:rPr>
              <w:t>3.其他活动性服务:在社区内开展社交康乐服务、社区宣传服务、社区志愿服务、精康宣讲等社区共融服务，促进社区居民与精障患者及其家庭的互动和融合;结合社区内资源情况以及服务对象的实际需求情况，创新开展特色服务或更具探索性的深度服务，如户外康复活动等。</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0"/>
              <w:gridCol w:w="297"/>
              <w:gridCol w:w="1631"/>
              <w:gridCol w:w="4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75"/>
                    <w:jc w:val="center"/>
                  </w:pPr>
                  <w:r>
                    <w:rPr>
                      <w:rFonts w:ascii="仿宋_GB2312" w:hAnsi="仿宋_GB2312" w:eastAsia="仿宋_GB2312" w:cs="仿宋_GB2312"/>
                      <w:sz w:val="20"/>
                    </w:rPr>
                    <w:t>序号</w:t>
                  </w:r>
                </w:p>
              </w:tc>
              <w:tc>
                <w:tcPr>
                  <w:tcW w:w="300"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pPr>
                    <w:pStyle w:val="4"/>
                    <w:spacing w:before="75"/>
                    <w:jc w:val="center"/>
                  </w:pPr>
                  <w:r>
                    <w:rPr>
                      <w:rFonts w:ascii="仿宋_GB2312" w:hAnsi="仿宋_GB2312" w:eastAsia="仿宋_GB2312" w:cs="仿宋_GB2312"/>
                      <w:sz w:val="20"/>
                    </w:rPr>
                    <w:t>内容</w:t>
                  </w:r>
                </w:p>
              </w:tc>
              <w:tc>
                <w:tcPr>
                  <w:tcW w:w="1668"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pPr>
                    <w:pStyle w:val="4"/>
                    <w:spacing w:before="75"/>
                    <w:jc w:val="center"/>
                  </w:pPr>
                  <w:r>
                    <w:rPr>
                      <w:rFonts w:ascii="仿宋_GB2312" w:hAnsi="仿宋_GB2312" w:eastAsia="仿宋_GB2312" w:cs="仿宋_GB2312"/>
                      <w:sz w:val="20"/>
                    </w:rPr>
                    <w:t>说明</w:t>
                  </w:r>
                </w:p>
              </w:tc>
              <w:tc>
                <w:tcPr>
                  <w:tcW w:w="386" w:type="dxa"/>
                  <w:tcBorders>
                    <w:top w:val="single" w:color="000000" w:sz="4" w:space="0"/>
                    <w:left w:val="single" w:color="000000" w:sz="4" w:space="0"/>
                    <w:bottom w:val="nil"/>
                    <w:right w:val="single" w:color="000000" w:sz="4" w:space="0"/>
                  </w:tcBorders>
                  <w:tcMar>
                    <w:top w:w="0" w:type="dxa"/>
                    <w:left w:w="0" w:type="dxa"/>
                    <w:bottom w:w="0" w:type="dxa"/>
                    <w:right w:w="0" w:type="dxa"/>
                  </w:tcMar>
                  <w:vAlign w:val="top"/>
                </w:tcPr>
                <w:p>
                  <w:pPr>
                    <w:pStyle w:val="4"/>
                    <w:spacing w:before="210"/>
                    <w:jc w:val="center"/>
                  </w:pPr>
                  <w:r>
                    <w:rPr>
                      <w:rFonts w:ascii="仿宋_GB2312" w:hAnsi="仿宋_GB2312" w:eastAsia="仿宋_GB2312" w:cs="仿宋_GB2312"/>
                      <w:sz w:val="20"/>
                    </w:rPr>
                    <w:t>人次数(次)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1</w:t>
                  </w:r>
                </w:p>
              </w:tc>
              <w:tc>
                <w:tcPr>
                  <w:tcW w:w="3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基础服务</w:t>
                  </w:r>
                </w:p>
              </w:tc>
              <w:tc>
                <w:tcPr>
                  <w:tcW w:w="16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1.服务机构至少需服务辖区内80名服务对象，每人次康复服务不少于1小时，电访服务不少于15分钟。需针对服务对象完成包括但不限于以下服务内容：名单梳理与意愿排查、建立个人档案、定期面访、 电访、资料整理等，需提供960人次。</w:t>
                  </w:r>
                </w:p>
                <w:p>
                  <w:pPr>
                    <w:pStyle w:val="4"/>
                    <w:jc w:val="left"/>
                  </w:pPr>
                  <w:r>
                    <w:rPr>
                      <w:rFonts w:ascii="仿宋_GB2312" w:hAnsi="仿宋_GB2312" w:eastAsia="仿宋_GB2312" w:cs="仿宋_GB2312"/>
                      <w:sz w:val="20"/>
                    </w:rPr>
                    <w:t>2.动态评估康复成效(一季度一次), 需提供320人次。</w:t>
                  </w:r>
                </w:p>
                <w:p>
                  <w:pPr>
                    <w:pStyle w:val="4"/>
                    <w:jc w:val="left"/>
                  </w:pPr>
                  <w:r>
                    <w:rPr>
                      <w:rFonts w:ascii="仿宋_GB2312" w:hAnsi="仿宋_GB2312" w:eastAsia="仿宋_GB2312" w:cs="仿宋_GB2312"/>
                      <w:sz w:val="20"/>
                    </w:rPr>
                    <w:t>小计服务人次数1280次。</w:t>
                  </w:r>
                </w:p>
              </w:tc>
              <w:tc>
                <w:tcPr>
                  <w:tcW w:w="3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1280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2</w:t>
                  </w:r>
                </w:p>
              </w:tc>
              <w:tc>
                <w:tcPr>
                  <w:tcW w:w="3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直接服务项目</w:t>
                  </w:r>
                </w:p>
              </w:tc>
              <w:tc>
                <w:tcPr>
                  <w:tcW w:w="16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基础性康复服务：</w:t>
                  </w:r>
                </w:p>
                <w:p>
                  <w:pPr>
                    <w:pStyle w:val="4"/>
                    <w:jc w:val="left"/>
                  </w:pPr>
                  <w:r>
                    <w:rPr>
                      <w:rFonts w:ascii="仿宋_GB2312" w:hAnsi="仿宋_GB2312" w:eastAsia="仿宋_GB2312" w:cs="仿宋_GB2312"/>
                      <w:sz w:val="20"/>
                    </w:rPr>
                    <w:t>服药训练、家庭康复指导、家属照料  技巧指导、躯体管理训练、生活技能训练、心理咨询、手工能力训练，其中两项至少一个月一次，需提供1920人次。</w:t>
                  </w:r>
                </w:p>
                <w:p>
                  <w:pPr>
                    <w:pStyle w:val="4"/>
                    <w:jc w:val="left"/>
                  </w:pPr>
                  <w:r>
                    <w:rPr>
                      <w:rFonts w:ascii="仿宋_GB2312" w:hAnsi="仿宋_GB2312" w:eastAsia="仿宋_GB2312" w:cs="仿宋_GB2312"/>
                      <w:sz w:val="20"/>
                    </w:rPr>
                    <w:t>个性化康复项目：</w:t>
                  </w:r>
                </w:p>
                <w:p>
                  <w:pPr>
                    <w:pStyle w:val="4"/>
                    <w:jc w:val="left"/>
                  </w:pPr>
                  <w:r>
                    <w:rPr>
                      <w:rFonts w:ascii="仿宋_GB2312" w:hAnsi="仿宋_GB2312" w:eastAsia="仿宋_GB2312" w:cs="仿宋_GB2312"/>
                      <w:sz w:val="20"/>
                    </w:rPr>
                    <w:t>1.社交技能训练、家庭支持、职业康复训练等，其中两项至少一月一次，需提供1920人次。</w:t>
                  </w:r>
                </w:p>
                <w:p>
                  <w:pPr>
                    <w:pStyle w:val="4"/>
                    <w:jc w:val="left"/>
                  </w:pPr>
                  <w:r>
                    <w:rPr>
                      <w:rFonts w:ascii="仿宋_GB2312" w:hAnsi="仿宋_GB2312" w:eastAsia="仿宋_GB2312" w:cs="仿宋_GB2312"/>
                      <w:sz w:val="20"/>
                    </w:rPr>
                    <w:t>2.专业支持和督导（聘请专业人员提供专业支持与指导），其中一项至少两个月一次，需提供约480人次。</w:t>
                  </w:r>
                </w:p>
                <w:p>
                  <w:pPr>
                    <w:pStyle w:val="4"/>
                    <w:jc w:val="left"/>
                  </w:pPr>
                  <w:r>
                    <w:rPr>
                      <w:rFonts w:ascii="仿宋_GB2312" w:hAnsi="仿宋_GB2312" w:eastAsia="仿宋_GB2312" w:cs="仿宋_GB2312"/>
                      <w:sz w:val="20"/>
                    </w:rPr>
                    <w:t>3.职业体验800小时， 需提供约38人次。</w:t>
                  </w:r>
                </w:p>
                <w:p>
                  <w:pPr>
                    <w:pStyle w:val="4"/>
                    <w:jc w:val="left"/>
                  </w:pPr>
                  <w:r>
                    <w:rPr>
                      <w:rFonts w:ascii="仿宋_GB2312" w:hAnsi="仿宋_GB2312" w:eastAsia="仿宋_GB2312" w:cs="仿宋_GB2312"/>
                      <w:sz w:val="20"/>
                    </w:rPr>
                    <w:t>4.个案不少于5个，每人提供服务不少于5次，需提供约25人次。</w:t>
                  </w:r>
                </w:p>
                <w:p>
                  <w:pPr>
                    <w:pStyle w:val="4"/>
                    <w:jc w:val="left"/>
                  </w:pPr>
                  <w:r>
                    <w:rPr>
                      <w:rFonts w:ascii="仿宋_GB2312" w:hAnsi="仿宋_GB2312" w:eastAsia="仿宋_GB2312" w:cs="仿宋_GB2312"/>
                      <w:sz w:val="20"/>
                    </w:rPr>
                    <w:t>说明：小组康复活动应不少于6名服务对象参与，活动时间不少于2小时。</w:t>
                  </w:r>
                </w:p>
                <w:p>
                  <w:pPr>
                    <w:pStyle w:val="4"/>
                    <w:jc w:val="left"/>
                  </w:pPr>
                  <w:r>
                    <w:rPr>
                      <w:rFonts w:ascii="仿宋_GB2312" w:hAnsi="仿宋_GB2312" w:eastAsia="仿宋_GB2312" w:cs="仿宋_GB2312"/>
                      <w:sz w:val="20"/>
                    </w:rPr>
                    <w:t>小计服务人次数4383次</w:t>
                  </w:r>
                </w:p>
              </w:tc>
              <w:tc>
                <w:tcPr>
                  <w:tcW w:w="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4383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3</w:t>
                  </w:r>
                </w:p>
              </w:tc>
              <w:tc>
                <w:tcPr>
                  <w:tcW w:w="3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其他活动项目</w:t>
                  </w:r>
                </w:p>
              </w:tc>
              <w:tc>
                <w:tcPr>
                  <w:tcW w:w="16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1.讲座/工作坊/沙龙类活动不少于6场；</w:t>
                  </w:r>
                </w:p>
                <w:p>
                  <w:pPr>
                    <w:pStyle w:val="4"/>
                    <w:jc w:val="left"/>
                  </w:pPr>
                  <w:r>
                    <w:rPr>
                      <w:rFonts w:ascii="仿宋_GB2312" w:hAnsi="仿宋_GB2312" w:eastAsia="仿宋_GB2312" w:cs="仿宋_GB2312"/>
                      <w:sz w:val="20"/>
                    </w:rPr>
                    <w:t>2.户外活动不少于6场，（费用应包含但不限于当次活动中所需保险费、交通餐补、专业人员及其他有关费用）。</w:t>
                  </w:r>
                </w:p>
                <w:p>
                  <w:pPr>
                    <w:pStyle w:val="4"/>
                    <w:jc w:val="left"/>
                  </w:pPr>
                  <w:r>
                    <w:rPr>
                      <w:rFonts w:ascii="仿宋_GB2312" w:hAnsi="仿宋_GB2312" w:eastAsia="仿宋_GB2312" w:cs="仿宋_GB2312"/>
                      <w:sz w:val="20"/>
                    </w:rPr>
                    <w:t>3.以上活动项目应不少于30人参与，需提供360人次。</w:t>
                  </w:r>
                </w:p>
                <w:p>
                  <w:pPr>
                    <w:pStyle w:val="4"/>
                    <w:jc w:val="left"/>
                  </w:pPr>
                  <w:r>
                    <w:rPr>
                      <w:rFonts w:ascii="仿宋_GB2312" w:hAnsi="仿宋_GB2312" w:eastAsia="仿宋_GB2312" w:cs="仿宋_GB2312"/>
                      <w:sz w:val="20"/>
                    </w:rPr>
                    <w:t>小计服务人次数360次</w:t>
                  </w:r>
                </w:p>
              </w:tc>
              <w:tc>
                <w:tcPr>
                  <w:tcW w:w="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360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合计</w:t>
                  </w:r>
                </w:p>
              </w:tc>
              <w:tc>
                <w:tcPr>
                  <w:tcW w:w="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0"/>
                    </w:rPr>
                    <w:t>6023</w:t>
                  </w:r>
                </w:p>
              </w:tc>
            </w:tr>
          </w:tbl>
          <w:p>
            <w:pPr>
              <w:pStyle w:val="4"/>
              <w:jc w:val="both"/>
            </w:pPr>
            <w:r>
              <w:rPr>
                <w:rFonts w:ascii="仿宋_GB2312" w:hAnsi="仿宋_GB2312" w:eastAsia="仿宋_GB2312" w:cs="仿宋_GB2312"/>
                <w:b/>
              </w:rPr>
              <w:t>四、项目任务</w:t>
            </w:r>
          </w:p>
          <w:p>
            <w:pPr>
              <w:pStyle w:val="4"/>
            </w:pPr>
            <w:r>
              <w:rPr>
                <w:rFonts w:ascii="仿宋_GB2312" w:hAnsi="仿宋_GB2312" w:eastAsia="仿宋_GB2312" w:cs="仿宋_GB2312"/>
                <w:b/>
              </w:rPr>
              <w:t>(一)项目筹备工作</w:t>
            </w:r>
          </w:p>
          <w:p>
            <w:pPr>
              <w:pStyle w:val="4"/>
              <w:ind w:firstLine="400"/>
            </w:pPr>
            <w:r>
              <w:rPr>
                <w:rFonts w:ascii="仿宋_GB2312" w:hAnsi="仿宋_GB2312" w:eastAsia="仿宋_GB2312" w:cs="仿宋_GB2312"/>
              </w:rPr>
              <w:t>1.确定服务场地</w:t>
            </w:r>
          </w:p>
          <w:p>
            <w:pPr>
              <w:pStyle w:val="4"/>
              <w:ind w:firstLine="400"/>
            </w:pPr>
            <w:r>
              <w:rPr>
                <w:rFonts w:ascii="仿宋_GB2312" w:hAnsi="仿宋_GB2312" w:eastAsia="仿宋_GB2312" w:cs="仿宋_GB2312"/>
              </w:rPr>
              <w:t>按照《民政部 国家卫生健康委员会 中国残联关于印发〈精神障碍社区康复服务工作规范〉的通知》（民发〔2020〕147号）规定，服务场地内应配置必要的精神障碍康复设施设备，服务场地符合消防等规范要求，按照福彩金有关使用，使用规范标志、文字、标牌对福彩公益金进行宣传。</w:t>
            </w:r>
          </w:p>
          <w:p>
            <w:pPr>
              <w:pStyle w:val="4"/>
              <w:ind w:firstLine="400"/>
            </w:pPr>
            <w:r>
              <w:rPr>
                <w:rFonts w:ascii="仿宋_GB2312" w:hAnsi="仿宋_GB2312" w:eastAsia="仿宋_GB2312" w:cs="仿宋_GB2312"/>
              </w:rPr>
              <w:t>2.开展项目需求调研</w:t>
            </w:r>
          </w:p>
          <w:p>
            <w:pPr>
              <w:pStyle w:val="4"/>
              <w:ind w:firstLine="400"/>
            </w:pPr>
            <w:r>
              <w:rPr>
                <w:rFonts w:ascii="仿宋_GB2312" w:hAnsi="仿宋_GB2312" w:eastAsia="仿宋_GB2312" w:cs="仿宋_GB2312"/>
              </w:rPr>
              <w:t>服务机构围绕精神障碍患者的不同需求开展工作调研，全面掌握本区服务对象基本情况，摸清精神障碍患者底数及需求，掌握辖区内康复资源底数，确定符合服务机构实际的服务内容、实施方式、覆盖人群等购买服务要素。</w:t>
            </w:r>
          </w:p>
          <w:p>
            <w:pPr>
              <w:pStyle w:val="4"/>
            </w:pPr>
            <w:r>
              <w:rPr>
                <w:rFonts w:ascii="仿宋_GB2312" w:hAnsi="仿宋_GB2312" w:eastAsia="仿宋_GB2312" w:cs="仿宋_GB2312"/>
                <w:b/>
              </w:rPr>
              <w:t>（二）推进项目工作</w:t>
            </w:r>
          </w:p>
          <w:p>
            <w:pPr>
              <w:pStyle w:val="4"/>
              <w:ind w:firstLine="480"/>
            </w:pPr>
            <w:r>
              <w:rPr>
                <w:rFonts w:ascii="仿宋_GB2312" w:hAnsi="仿宋_GB2312" w:eastAsia="仿宋_GB2312" w:cs="仿宋_GB2312"/>
              </w:rPr>
              <w:t>1.开展服务对象评估</w:t>
            </w:r>
          </w:p>
          <w:p>
            <w:pPr>
              <w:pStyle w:val="4"/>
              <w:ind w:firstLine="480"/>
            </w:pPr>
            <w:r>
              <w:rPr>
                <w:rFonts w:ascii="仿宋_GB2312" w:hAnsi="仿宋_GB2312" w:eastAsia="仿宋_GB2312" w:cs="仿宋_GB2312"/>
              </w:rPr>
              <w:t>（1）基线评估</w:t>
            </w:r>
          </w:p>
          <w:p>
            <w:pPr>
              <w:pStyle w:val="4"/>
              <w:ind w:firstLine="480"/>
            </w:pPr>
            <w:r>
              <w:rPr>
                <w:rFonts w:ascii="仿宋_GB2312" w:hAnsi="仿宋_GB2312" w:eastAsia="仿宋_GB2312" w:cs="仿宋_GB2312"/>
              </w:rPr>
              <w:t>服务机构应派专业工作人员对刚参加服务的患者，服务团队与其及监护人进行面谈，详细了解患者当前的精神和身体健康状况、家庭结构、居住环境、成长过程、兴趣爱好等情况，收集资料并填写心理社交功能评估表、精神状况综合评估表。在1个月内，根据评估结果制订个性化康复计划，并开始提供针对性康复服务。</w:t>
            </w:r>
          </w:p>
          <w:p>
            <w:pPr>
              <w:pStyle w:val="4"/>
              <w:ind w:firstLine="480"/>
            </w:pPr>
            <w:r>
              <w:rPr>
                <w:rFonts w:ascii="仿宋_GB2312" w:hAnsi="仿宋_GB2312" w:eastAsia="仿宋_GB2312" w:cs="仿宋_GB2312"/>
              </w:rPr>
              <w:t>（2)过程评估</w:t>
            </w:r>
          </w:p>
          <w:p>
            <w:pPr>
              <w:pStyle w:val="4"/>
              <w:ind w:firstLine="480"/>
            </w:pPr>
            <w:r>
              <w:rPr>
                <w:rFonts w:ascii="仿宋_GB2312" w:hAnsi="仿宋_GB2312" w:eastAsia="仿宋_GB2312" w:cs="仿宋_GB2312"/>
              </w:rPr>
              <w:t>每3个月，服务团队对患者进行阶段性评估，回顾总结前阶段康复情况。填写心理社交功能评估表、精神状况综合评估表、社会适应能力评估表、社会功能缺陷筛选量表（SDSS）。根据评估情况，对康复训练效果达到预期目标的患者提出新的康复目标，制定新的康复措施和计划；对康复训练效果不理想者，修正原康复计划、调整康复目标和康复措施。</w:t>
            </w:r>
          </w:p>
          <w:p>
            <w:pPr>
              <w:pStyle w:val="4"/>
              <w:ind w:firstLine="480"/>
            </w:pPr>
            <w:r>
              <w:rPr>
                <w:rFonts w:ascii="仿宋_GB2312" w:hAnsi="仿宋_GB2312" w:eastAsia="仿宋_GB2312" w:cs="仿宋_GB2312"/>
              </w:rPr>
              <w:t>2.提供社区康复服务</w:t>
            </w:r>
          </w:p>
          <w:p>
            <w:pPr>
              <w:pStyle w:val="4"/>
              <w:ind w:firstLine="480"/>
            </w:pPr>
            <w:r>
              <w:rPr>
                <w:rFonts w:ascii="仿宋_GB2312" w:hAnsi="仿宋_GB2312" w:eastAsia="仿宋_GB2312" w:cs="仿宋_GB2312"/>
              </w:rPr>
              <w:t>针对评估后筛选出的精神障碍患者的个性化需求，有针对性的设计分类服务体系和康复清单，做到一人一档，签订康复协议，为精神障碍患者量身定制服务方案，方案要满足患者回归社区需求。社区康复服务内容主要包括生活技能训练、社交能力训练、职业康复训练、心理康复、同伴支持、家庭支持等。患者接受训练前均需由专业人员进行评估，确保患者适合该项康复服务。开展康复训练前进行环境安全评估，至少配备2名工作人员为宜。训练中坚持正性强化、优势视角原则，激发精神障碍患者康复训练动机。</w:t>
            </w:r>
          </w:p>
          <w:p>
            <w:pPr>
              <w:pStyle w:val="4"/>
              <w:ind w:firstLine="480"/>
            </w:pPr>
            <w:r>
              <w:rPr>
                <w:rFonts w:ascii="仿宋_GB2312" w:hAnsi="仿宋_GB2312" w:eastAsia="仿宋_GB2312" w:cs="仿宋_GB2312"/>
              </w:rPr>
              <w:t>3.项目服务实施方式</w:t>
            </w:r>
          </w:p>
          <w:p>
            <w:pPr>
              <w:pStyle w:val="4"/>
              <w:ind w:firstLine="480"/>
            </w:pPr>
            <w:r>
              <w:rPr>
                <w:rFonts w:ascii="仿宋_GB2312" w:hAnsi="仿宋_GB2312" w:eastAsia="仿宋_GB2312" w:cs="仿宋_GB2312"/>
              </w:rPr>
              <w:t>服务承接机构按照灵活多样、便民惠民、注重实效的原则，根据服务对象特点及主要实施场景，确定康复服务的实施方式。通过组织集体活动、集中培训、个案追踪也可以采用上门访问、电话访问等形式，在区民政局认可的服务地点或服务机构内接受定点服务，或接受居家康复服务。</w:t>
            </w:r>
          </w:p>
          <w:p>
            <w:pPr>
              <w:pStyle w:val="4"/>
              <w:ind w:firstLine="480"/>
            </w:pPr>
            <w:r>
              <w:rPr>
                <w:rFonts w:ascii="仿宋_GB2312" w:hAnsi="仿宋_GB2312" w:eastAsia="仿宋_GB2312" w:cs="仿宋_GB2312"/>
              </w:rPr>
              <w:t>4.开展患者个案康复计划</w:t>
            </w:r>
          </w:p>
          <w:p>
            <w:pPr>
              <w:pStyle w:val="4"/>
              <w:ind w:firstLine="480"/>
            </w:pPr>
            <w:r>
              <w:rPr>
                <w:rFonts w:ascii="仿宋_GB2312" w:hAnsi="仿宋_GB2312" w:eastAsia="仿宋_GB2312" w:cs="仿宋_GB2312"/>
              </w:rPr>
              <w:t>针对社区精神障碍患者的个性化需求，进一步提高社区康复服务的精准化和专业化程度。形式以个案、小组为主，内容涉及医疗、情绪、社交等，运用专业技巧帮助患者解决生活困扰，提高生活质量和生活满意度，用“专业化服务能力指数”换取服务对象的“幸福指数”。服务机构每年至少开展个体康复计划5人，定期调整修正康复计划和措施，确保个案康复取得实质成效。</w:t>
            </w:r>
          </w:p>
          <w:p>
            <w:pPr>
              <w:pStyle w:val="4"/>
              <w:ind w:firstLine="480"/>
            </w:pPr>
            <w:r>
              <w:rPr>
                <w:rFonts w:ascii="仿宋_GB2312" w:hAnsi="仿宋_GB2312" w:eastAsia="仿宋_GB2312" w:cs="仿宋_GB2312"/>
              </w:rPr>
              <w:t>5.开展服务培训</w:t>
            </w:r>
          </w:p>
          <w:p>
            <w:pPr>
              <w:pStyle w:val="4"/>
              <w:ind w:firstLine="480"/>
            </w:pPr>
            <w:r>
              <w:rPr>
                <w:rFonts w:ascii="仿宋_GB2312" w:hAnsi="仿宋_GB2312" w:eastAsia="仿宋_GB2312" w:cs="仿宋_GB2312"/>
              </w:rPr>
              <w:t>服务承接机构的工作人员每年至少开展2次培训，使其了解 开展精神康复工作的知识和技术，包括本土经验与模式，特别重 视与社区康复精神障碍患者实际生活相关的政策与办理途径。新 上岗的康复服务机构工作人员，在上岗前应接受相关业务的培训 或具备相应的工作技能。</w:t>
            </w:r>
          </w:p>
          <w:p>
            <w:pPr>
              <w:pStyle w:val="4"/>
            </w:pPr>
            <w:r>
              <w:rPr>
                <w:rFonts w:ascii="仿宋_GB2312" w:hAnsi="仿宋_GB2312" w:eastAsia="仿宋_GB2312" w:cs="仿宋_GB2312"/>
                <w:b/>
              </w:rPr>
              <w:t>（三）项目验收</w:t>
            </w:r>
          </w:p>
          <w:p>
            <w:pPr>
              <w:pStyle w:val="4"/>
              <w:ind w:firstLine="480"/>
            </w:pPr>
            <w:r>
              <w:rPr>
                <w:rFonts w:ascii="仿宋_GB2312" w:hAnsi="仿宋_GB2312" w:eastAsia="仿宋_GB2312" w:cs="仿宋_GB2312"/>
              </w:rPr>
              <w:t>2026年6月下旬，区民政局将对服务机构承接的服务项目进行中期评估，对承接机构履行合同情况、精神障碍患者或家属满意度测评、开展服务质量效益进行绩效评价，及时收集掌握服务对象的意见和建议，根据评价结果支付资金。2026年12月，区民政局将组织评估，并将相关情况进行通报。服务项目承接机构应将工作的基本情况、主要做法、测评结果及成效、存在的问题及建议形成汇报材料每半年反馈至区民政局。</w:t>
            </w:r>
          </w:p>
          <w:p>
            <w:pPr>
              <w:pStyle w:val="4"/>
              <w:jc w:val="both"/>
            </w:pPr>
            <w:r>
              <w:rPr>
                <w:rFonts w:ascii="仿宋_GB2312" w:hAnsi="仿宋_GB2312" w:eastAsia="仿宋_GB2312" w:cs="仿宋_GB2312"/>
                <w:b/>
                <w:sz w:val="21"/>
              </w:rPr>
              <w:t>五、商务要求（服务期限、款项结算）</w:t>
            </w:r>
          </w:p>
          <w:p>
            <w:pPr>
              <w:pStyle w:val="4"/>
              <w:jc w:val="both"/>
            </w:pPr>
            <w:r>
              <w:rPr>
                <w:rFonts w:ascii="仿宋_GB2312" w:hAnsi="仿宋_GB2312" w:eastAsia="仿宋_GB2312" w:cs="仿宋_GB2312"/>
              </w:rPr>
              <w:t>（一）服务期限</w:t>
            </w:r>
          </w:p>
          <w:p>
            <w:pPr>
              <w:pStyle w:val="4"/>
              <w:jc w:val="both"/>
            </w:pPr>
            <w:r>
              <w:rPr>
                <w:rFonts w:ascii="仿宋_GB2312" w:hAnsi="仿宋_GB2312" w:eastAsia="仿宋_GB2312" w:cs="仿宋_GB2312"/>
              </w:rPr>
              <w:t>1.服务期限：自合同签订之日起1年。</w:t>
            </w:r>
          </w:p>
          <w:p>
            <w:pPr>
              <w:pStyle w:val="4"/>
              <w:jc w:val="both"/>
            </w:pPr>
            <w:r>
              <w:rPr>
                <w:rFonts w:ascii="仿宋_GB2312" w:hAnsi="仿宋_GB2312" w:eastAsia="仿宋_GB2312" w:cs="仿宋_GB2312"/>
              </w:rPr>
              <w:t>2.服务地点：采购人指定地点。</w:t>
            </w:r>
          </w:p>
          <w:p>
            <w:pPr>
              <w:pStyle w:val="4"/>
              <w:jc w:val="both"/>
            </w:pPr>
            <w:r>
              <w:rPr>
                <w:rFonts w:ascii="仿宋_GB2312" w:hAnsi="仿宋_GB2312" w:eastAsia="仿宋_GB2312" w:cs="仿宋_GB2312"/>
              </w:rPr>
              <w:t>（二）款项结算</w:t>
            </w:r>
          </w:p>
          <w:p>
            <w:pPr>
              <w:pStyle w:val="4"/>
              <w:jc w:val="both"/>
            </w:pPr>
            <w:r>
              <w:rPr>
                <w:rFonts w:ascii="仿宋_GB2312" w:hAnsi="仿宋_GB2312" w:eastAsia="仿宋_GB2312" w:cs="仿宋_GB2312"/>
              </w:rPr>
              <w:t>1.合同签订后，达到付款条件起10日，支付合同总金额的40%。</w:t>
            </w:r>
          </w:p>
          <w:p>
            <w:pPr>
              <w:pStyle w:val="4"/>
              <w:jc w:val="both"/>
            </w:pPr>
            <w:r>
              <w:rPr>
                <w:rFonts w:ascii="仿宋_GB2312" w:hAnsi="仿宋_GB2312" w:eastAsia="仿宋_GB2312" w:cs="仿宋_GB2312"/>
              </w:rPr>
              <w:t>2.合同签订后，满六个月，达到付款条件起10日，支付合同总金额的40%。</w:t>
            </w:r>
          </w:p>
          <w:p>
            <w:pPr>
              <w:pStyle w:val="4"/>
              <w:jc w:val="both"/>
            </w:pPr>
            <w:r>
              <w:rPr>
                <w:rFonts w:ascii="仿宋_GB2312" w:hAnsi="仿宋_GB2312" w:eastAsia="仿宋_GB2312" w:cs="仿宋_GB2312"/>
              </w:rPr>
              <w:t>3.服务期满后，达到付款条件起10日，支付合同总金额的20%。</w:t>
            </w:r>
          </w:p>
          <w:p>
            <w:pPr>
              <w:pStyle w:val="4"/>
              <w:jc w:val="both"/>
            </w:pPr>
            <w:r>
              <w:rPr>
                <w:rFonts w:ascii="仿宋_GB2312" w:hAnsi="仿宋_GB2312" w:eastAsia="仿宋_GB2312" w:cs="仿宋_GB2312"/>
              </w:rPr>
              <w:t>4.乙方应于甲方每次付款前提供等额正规发票。最后一次付款时应提供剩余款项全额正规发票。</w:t>
            </w:r>
          </w:p>
          <w:p>
            <w:pPr>
              <w:pStyle w:val="4"/>
              <w:jc w:val="both"/>
            </w:pPr>
            <w:r>
              <w:rPr>
                <w:rFonts w:ascii="仿宋_GB2312" w:hAnsi="仿宋_GB2312" w:eastAsia="仿宋_GB2312" w:cs="仿宋_GB2312"/>
              </w:rPr>
              <w:t>注：项目通过市、区民政局或第三方机构的评估考核后向服务机构支付约定的服务费用。各期款项的支付，均以采购人完成财政资金申请及审批流程为前提，实际资金到账及支付时间以财政部门最终审批拨付结果为准。因财政部门资金审批、拨付的正常行政流程导致的款项支付延迟，采购人不承担违约责任。</w:t>
            </w:r>
          </w:p>
          <w:p>
            <w:pPr>
              <w:pStyle w:val="4"/>
              <w:jc w:val="both"/>
            </w:pPr>
            <w:r>
              <w:rPr>
                <w:rFonts w:ascii="仿宋_GB2312" w:hAnsi="仿宋_GB2312" w:eastAsia="仿宋_GB2312" w:cs="仿宋_GB2312"/>
                <w:b/>
                <w:sz w:val="21"/>
              </w:rPr>
              <w:t>六、工作要求</w:t>
            </w:r>
          </w:p>
          <w:p>
            <w:pPr>
              <w:pStyle w:val="4"/>
              <w:jc w:val="both"/>
            </w:pPr>
            <w:r>
              <w:rPr>
                <w:rFonts w:ascii="仿宋_GB2312" w:hAnsi="仿宋_GB2312" w:eastAsia="仿宋_GB2312" w:cs="仿宋_GB2312"/>
              </w:rPr>
              <w:t>（一）加强监督管理</w:t>
            </w:r>
          </w:p>
          <w:p>
            <w:pPr>
              <w:pStyle w:val="4"/>
              <w:ind w:firstLine="400"/>
              <w:jc w:val="both"/>
            </w:pPr>
            <w:r>
              <w:rPr>
                <w:rFonts w:ascii="仿宋_GB2312" w:hAnsi="仿宋_GB2312" w:eastAsia="仿宋_GB2312" w:cs="仿宋_GB2312"/>
              </w:rPr>
              <w:t>服务承接机构要严格按照政府购买服务相关要求，切实做好项目资金的支出和使用工作，做到专款专用，严禁截留或挪作它用，接受社会监督和有关部门审计，确保落实绩效目标；加强对项目实施全程督导和监督检查，及时收集和掌握服务对象意见和建议，动态掌握项目实施情况。市、区民政局及第三方将定期对项目实施情况进行评估考核，考核结果作为资金支付依据。</w:t>
            </w:r>
          </w:p>
          <w:p>
            <w:pPr>
              <w:pStyle w:val="4"/>
              <w:jc w:val="both"/>
            </w:pPr>
            <w:r>
              <w:rPr>
                <w:rFonts w:ascii="仿宋_GB2312" w:hAnsi="仿宋_GB2312" w:eastAsia="仿宋_GB2312" w:cs="仿宋_GB2312"/>
              </w:rPr>
              <w:t>（二）加强宣传总结</w:t>
            </w:r>
          </w:p>
          <w:p>
            <w:pPr>
              <w:pStyle w:val="4"/>
              <w:ind w:firstLine="400"/>
              <w:jc w:val="both"/>
            </w:pPr>
            <w:r>
              <w:rPr>
                <w:rFonts w:ascii="仿宋_GB2312" w:hAnsi="仿宋_GB2312" w:eastAsia="仿宋_GB2312" w:cs="仿宋_GB2312"/>
              </w:rPr>
              <w:t>服务承接机构通过发放宣传单、利用各类媒体资源等方式，宣传精神障碍社区康复适应人群、康复措施、注意事项、消除公众对精神障碍患者的歧视。同时，要以全国助残日、精神卫生日等重大节日为契机，全方位、深层次、多角度进行宣传；每月报送项目推进情况、每半年报送精神障碍社区康复服务项目阶段性总结报告至区民政局。</w:t>
            </w:r>
          </w:p>
          <w:p>
            <w:pPr>
              <w:pStyle w:val="4"/>
            </w:pPr>
            <w:r>
              <w:rPr>
                <w:rFonts w:ascii="仿宋_GB2312" w:hAnsi="仿宋_GB2312" w:eastAsia="仿宋_GB2312" w:cs="仿宋_GB2312"/>
                <w:b/>
                <w:sz w:val="21"/>
              </w:rPr>
              <w:t>七、违约责任</w:t>
            </w:r>
          </w:p>
          <w:p>
            <w:pPr>
              <w:pStyle w:val="4"/>
            </w:pPr>
            <w:r>
              <w:rPr>
                <w:rFonts w:ascii="仿宋_GB2312" w:hAnsi="仿宋_GB2312" w:eastAsia="仿宋_GB2312" w:cs="仿宋_GB2312"/>
              </w:rPr>
              <w:t>按《中华人民共和国政府采购法》第七十三条、《中华人民共和国民法典》第五百七十七条中的相关条款执行。未按合同或磋商文件要求提供的产品或者服务，质量不能满足采购人技术要求，采购单位有权终止合同，甚至对供应商违约行为进行追究。</w:t>
            </w:r>
          </w:p>
        </w:tc>
      </w:tr>
    </w:tbl>
    <w:p>
      <w:pPr>
        <w:pStyle w:val="4"/>
        <w:outlineLvl w:val="2"/>
      </w:pPr>
      <w:r>
        <w:rPr>
          <w:rFonts w:ascii="仿宋_GB2312" w:hAnsi="仿宋_GB2312" w:eastAsia="仿宋_GB2312" w:cs="仿宋_GB2312"/>
          <w:b/>
          <w:sz w:val="28"/>
        </w:rPr>
        <w:t>3.2.3人员配置要求</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承接机构需配备一支熟悉社区精神康复服务能力强的团队。</w:t>
      </w:r>
    </w:p>
    <w:p>
      <w:pPr>
        <w:pStyle w:val="4"/>
        <w:outlineLvl w:val="2"/>
      </w:pPr>
      <w:r>
        <w:rPr>
          <w:rFonts w:ascii="仿宋_GB2312" w:hAnsi="仿宋_GB2312" w:eastAsia="仿宋_GB2312" w:cs="仿宋_GB2312"/>
          <w:b/>
          <w:sz w:val="28"/>
        </w:rPr>
        <w:t>3.2.4设施设备要求</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满足项目需求。</w:t>
      </w:r>
    </w:p>
    <w:p>
      <w:pPr>
        <w:pStyle w:val="4"/>
        <w:outlineLvl w:val="2"/>
      </w:pPr>
      <w:r>
        <w:rPr>
          <w:rFonts w:ascii="仿宋_GB2312" w:hAnsi="仿宋_GB2312" w:eastAsia="仿宋_GB2312" w:cs="仿宋_GB2312"/>
          <w:b/>
          <w:sz w:val="28"/>
        </w:rPr>
        <w:t>3.2.5其他要求</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无。</w:t>
      </w:r>
    </w:p>
    <w:p>
      <w:pPr>
        <w:pStyle w:val="4"/>
        <w:outlineLvl w:val="2"/>
      </w:pPr>
      <w:r>
        <w:rPr>
          <w:rFonts w:ascii="仿宋_GB2312" w:hAnsi="仿宋_GB2312" w:eastAsia="仿宋_GB2312" w:cs="仿宋_GB2312"/>
          <w:b/>
          <w:sz w:val="28"/>
        </w:rPr>
        <w:t>3.3商务要求</w:t>
      </w:r>
    </w:p>
    <w:p>
      <w:pPr>
        <w:pStyle w:val="4"/>
        <w:outlineLvl w:val="3"/>
      </w:pPr>
      <w:r>
        <w:rPr>
          <w:rFonts w:ascii="仿宋_GB2312" w:hAnsi="仿宋_GB2312" w:eastAsia="仿宋_GB2312" w:cs="仿宋_GB2312"/>
          <w:b/>
          <w:sz w:val="24"/>
        </w:rPr>
        <w:t>3.3.1服务期限</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自合同签订之日起1年。</w:t>
      </w:r>
    </w:p>
    <w:p>
      <w:pPr>
        <w:pStyle w:val="4"/>
        <w:outlineLvl w:val="3"/>
      </w:pPr>
      <w:r>
        <w:rPr>
          <w:rFonts w:ascii="仿宋_GB2312" w:hAnsi="仿宋_GB2312" w:eastAsia="仿宋_GB2312" w:cs="仿宋_GB2312"/>
          <w:b/>
          <w:sz w:val="24"/>
        </w:rPr>
        <w:t>3.3.2服务地点</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采购人指定地点</w:t>
      </w:r>
    </w:p>
    <w:p>
      <w:pPr>
        <w:pStyle w:val="4"/>
        <w:outlineLvl w:val="3"/>
      </w:pPr>
      <w:r>
        <w:rPr>
          <w:rFonts w:ascii="仿宋_GB2312" w:hAnsi="仿宋_GB2312" w:eastAsia="仿宋_GB2312" w:cs="仿宋_GB2312"/>
          <w:b/>
          <w:sz w:val="24"/>
        </w:rPr>
        <w:t>3.3.3考核（验收）标准和方法</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详见合同</w:t>
      </w:r>
    </w:p>
    <w:p>
      <w:pPr>
        <w:pStyle w:val="4"/>
        <w:outlineLvl w:val="3"/>
      </w:pPr>
      <w:r>
        <w:rPr>
          <w:rFonts w:ascii="仿宋_GB2312" w:hAnsi="仿宋_GB2312" w:eastAsia="仿宋_GB2312" w:cs="仿宋_GB2312"/>
          <w:b/>
          <w:sz w:val="24"/>
        </w:rPr>
        <w:t>3.3.4支付方式</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分期付款</w:t>
      </w:r>
    </w:p>
    <w:p>
      <w:pPr>
        <w:pStyle w:val="4"/>
        <w:outlineLvl w:val="3"/>
      </w:pPr>
      <w:r>
        <w:rPr>
          <w:rFonts w:ascii="仿宋_GB2312" w:hAnsi="仿宋_GB2312" w:eastAsia="仿宋_GB2312" w:cs="仿宋_GB2312"/>
          <w:b/>
          <w:sz w:val="24"/>
        </w:rPr>
        <w:t>3.3.5支付约定</w:t>
      </w:r>
    </w:p>
    <w:p>
      <w:pPr>
        <w:pStyle w:val="4"/>
      </w:pPr>
      <w:r>
        <w:rPr>
          <w:rFonts w:ascii="仿宋_GB2312" w:hAnsi="仿宋_GB2312" w:eastAsia="仿宋_GB2312" w:cs="仿宋_GB2312"/>
        </w:rPr>
        <w:t>采购包1： 付款条件说明： 合同签订后，达到付款条件起10日内，支付合同总金额的40.00% ，达到付款条件起 10 日内，支付合同总金额的 40.00%。</w:t>
      </w:r>
    </w:p>
    <w:p>
      <w:pPr>
        <w:pStyle w:val="4"/>
      </w:pPr>
      <w:r>
        <w:rPr>
          <w:rFonts w:ascii="仿宋_GB2312" w:hAnsi="仿宋_GB2312" w:eastAsia="仿宋_GB2312" w:cs="仿宋_GB2312"/>
        </w:rPr>
        <w:t>采购包1： 付款条件说明： 合同签订后满六个月后，达到付款条件起10日，支付合同总金额的40% ，达到付款条件起 10 日内，支付合同总金额的 40.00%。</w:t>
      </w:r>
    </w:p>
    <w:p>
      <w:pPr>
        <w:pStyle w:val="4"/>
      </w:pPr>
      <w:r>
        <w:rPr>
          <w:rFonts w:ascii="仿宋_GB2312" w:hAnsi="仿宋_GB2312" w:eastAsia="仿宋_GB2312" w:cs="仿宋_GB2312"/>
        </w:rPr>
        <w:t>采购包1： 付款条件说明： 服务期满后，达到付款条件起10日，支付合同总金额的20% ，达到付款条件起 10 日内，支付合同总金额的 20.00%。</w:t>
      </w:r>
    </w:p>
    <w:p>
      <w:pPr>
        <w:pStyle w:val="4"/>
        <w:outlineLvl w:val="3"/>
      </w:pPr>
      <w:r>
        <w:rPr>
          <w:rFonts w:ascii="仿宋_GB2312" w:hAnsi="仿宋_GB2312" w:eastAsia="仿宋_GB2312" w:cs="仿宋_GB2312"/>
          <w:b/>
          <w:sz w:val="24"/>
        </w:rPr>
        <w:t>3.3.6违约责任及解决争议的方法</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按《中华人民共和国政府采购法》第七十三条、《中华人民共和国民法典》第五百七十七条中的相关条款执行。未按合同或磋商文件要求提供的产品或者服务，质量不能满足采购人技术要求，采购单位有权终止合同，甚至对供应商违约行为进行追究。</w:t>
      </w:r>
    </w:p>
    <w:p>
      <w:pPr>
        <w:pStyle w:val="4"/>
        <w:outlineLvl w:val="2"/>
      </w:pPr>
      <w:r>
        <w:rPr>
          <w:rFonts w:ascii="仿宋_GB2312" w:hAnsi="仿宋_GB2312" w:eastAsia="仿宋_GB2312" w:cs="仿宋_GB2312"/>
          <w:b/>
          <w:sz w:val="28"/>
        </w:rPr>
        <w:t>3.4其他要求</w:t>
      </w:r>
    </w:p>
    <w:p>
      <w:r>
        <w:rPr>
          <w:rFonts w:ascii="仿宋_GB2312" w:hAnsi="仿宋_GB2312" w:eastAsia="仿宋_GB2312" w:cs="仿宋_GB2312"/>
        </w:rPr>
        <w:t>投标时供应商无需提供纸质版响应文件。成交供应商在领取成交通知书时将纸质版响应文件正本1份、副本2份，打印盖章后提交至招标代理公司处，以便采购人进行留存备案等工作，成交供应商应保持响应文件纸质版内容与电子版内容完全一致，否则将承担一切法律责任。纸质版响应文件 一律采用书籍（胶装）方式装订且单面或双面打印。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C62B8"/>
    <w:rsid w:val="072C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2026-03-05T08:21:00Z</dcterms:created>
  <dc:creator>天高云淡  18092393822</dc:creator>
  <cp:lastModifiedBy>天高云淡  18092393822</cp:lastModifiedBy>
  <dcterms:modified xsi:type="dcterms:W3CDTF">2026-03-05T08:22:09Z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7E34A253CDD94DE9B3C305DA7BD07192</vt:lpwstr>
  </property>
</Properties>
</file>