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E86CD">
      <w:pPr>
        <w:rPr>
          <w:rFonts w:hint="eastAsia" w:hAnsi="宋体" w:eastAsia="宋体" w:cs="宋体"/>
          <w:b/>
          <w:color w:val="auto"/>
          <w:sz w:val="36"/>
          <w:highlight w:val="none"/>
          <w:lang w:eastAsia="zh-CN"/>
        </w:rPr>
      </w:pPr>
      <w:r>
        <w:rPr>
          <w:rFonts w:hint="eastAsia" w:hAnsi="宋体" w:cs="宋体"/>
          <w:b/>
          <w:bCs/>
          <w:color w:val="auto"/>
          <w:sz w:val="32"/>
          <w:szCs w:val="32"/>
          <w:highlight w:val="none"/>
        </w:rPr>
        <w:t>项目编号：SXZCZB2026-ZCCS-0311</w:t>
      </w:r>
    </w:p>
    <w:p w14:paraId="4E242ECA">
      <w:pPr>
        <w:rPr>
          <w:rFonts w:hAnsi="宋体" w:cs="宋体"/>
          <w:b/>
          <w:color w:val="auto"/>
          <w:sz w:val="36"/>
          <w:highlight w:val="none"/>
        </w:rPr>
      </w:pPr>
      <w:r>
        <w:rPr>
          <w:rFonts w:hint="eastAsia" w:hAnsi="宋体" w:cs="宋体"/>
          <w:b/>
          <w:color w:val="auto"/>
          <w:sz w:val="36"/>
          <w:highlight w:val="none"/>
        </w:rPr>
        <w:t xml:space="preserve"> </w:t>
      </w:r>
    </w:p>
    <w:p w14:paraId="6267CE5D">
      <w:pPr>
        <w:rPr>
          <w:rFonts w:hAnsi="宋体" w:cs="宋体"/>
          <w:b/>
          <w:color w:val="auto"/>
          <w:sz w:val="36"/>
          <w:highlight w:val="none"/>
        </w:rPr>
      </w:pPr>
    </w:p>
    <w:p w14:paraId="02BF9ABE">
      <w:pPr>
        <w:rPr>
          <w:rFonts w:hAnsi="宋体" w:cs="宋体"/>
          <w:b/>
          <w:color w:val="auto"/>
          <w:sz w:val="56"/>
          <w:szCs w:val="56"/>
          <w:highlight w:val="none"/>
        </w:rPr>
      </w:pPr>
    </w:p>
    <w:p w14:paraId="3B38434B">
      <w:pPr>
        <w:jc w:val="center"/>
        <w:rPr>
          <w:rFonts w:hAnsi="宋体" w:cs="宋体"/>
          <w:b/>
          <w:color w:val="auto"/>
          <w:sz w:val="36"/>
          <w:szCs w:val="36"/>
          <w:highlight w:val="none"/>
        </w:rPr>
      </w:pPr>
      <w:r>
        <w:rPr>
          <w:rFonts w:hint="eastAsia" w:hAnsi="宋体" w:cs="宋体"/>
          <w:b/>
          <w:color w:val="auto"/>
          <w:sz w:val="44"/>
          <w:szCs w:val="44"/>
          <w:highlight w:val="none"/>
        </w:rPr>
        <w:t>陕西省秦巴山区汉江丹江流域中央财政国土绿化示范项目（丹凤县2024年度）碳汇监测</w:t>
      </w:r>
    </w:p>
    <w:p w14:paraId="79F7346F">
      <w:pPr>
        <w:spacing w:line="780" w:lineRule="auto"/>
        <w:jc w:val="center"/>
        <w:rPr>
          <w:rFonts w:hAnsi="宋体" w:cs="宋体"/>
          <w:b/>
          <w:color w:val="auto"/>
          <w:sz w:val="72"/>
          <w:szCs w:val="72"/>
          <w:highlight w:val="none"/>
        </w:rPr>
      </w:pPr>
    </w:p>
    <w:p w14:paraId="7176125F">
      <w:pPr>
        <w:spacing w:line="780" w:lineRule="auto"/>
        <w:jc w:val="center"/>
        <w:rPr>
          <w:rFonts w:hint="eastAsia" w:hAnsi="宋体" w:cs="宋体"/>
          <w:b/>
          <w:color w:val="auto"/>
          <w:sz w:val="72"/>
          <w:szCs w:val="72"/>
          <w:highlight w:val="none"/>
        </w:rPr>
      </w:pPr>
    </w:p>
    <w:p w14:paraId="38713E6C">
      <w:pPr>
        <w:spacing w:line="780" w:lineRule="auto"/>
        <w:jc w:val="center"/>
        <w:rPr>
          <w:rFonts w:hAnsi="宋体" w:cs="宋体"/>
          <w:b/>
          <w:color w:val="auto"/>
          <w:sz w:val="72"/>
          <w:szCs w:val="72"/>
          <w:highlight w:val="none"/>
        </w:rPr>
      </w:pPr>
      <w:r>
        <w:rPr>
          <w:rFonts w:hint="eastAsia" w:hAnsi="宋体" w:cs="宋体"/>
          <w:b/>
          <w:color w:val="auto"/>
          <w:sz w:val="72"/>
          <w:szCs w:val="72"/>
          <w:highlight w:val="none"/>
        </w:rPr>
        <w:t>竞争性磋商文件</w:t>
      </w:r>
    </w:p>
    <w:p w14:paraId="0914EEC8">
      <w:pPr>
        <w:rPr>
          <w:rFonts w:hAnsi="宋体" w:cs="宋体"/>
          <w:color w:val="auto"/>
          <w:highlight w:val="none"/>
        </w:rPr>
      </w:pPr>
      <w:bookmarkStart w:id="0" w:name="_Toc363463325"/>
    </w:p>
    <w:p w14:paraId="0112716E">
      <w:pPr>
        <w:rPr>
          <w:rFonts w:hAnsi="宋体" w:cs="宋体"/>
          <w:color w:val="auto"/>
          <w:highlight w:val="none"/>
        </w:rPr>
      </w:pPr>
    </w:p>
    <w:p w14:paraId="0699E307">
      <w:pPr>
        <w:rPr>
          <w:rFonts w:hAnsi="宋体" w:cs="宋体"/>
          <w:color w:val="auto"/>
          <w:highlight w:val="none"/>
        </w:rPr>
      </w:pPr>
    </w:p>
    <w:bookmarkEnd w:id="0"/>
    <w:p w14:paraId="2A8E1441">
      <w:pPr>
        <w:rPr>
          <w:rFonts w:hAnsi="宋体" w:cs="宋体"/>
          <w:color w:val="auto"/>
          <w:sz w:val="18"/>
          <w:szCs w:val="18"/>
          <w:highlight w:val="none"/>
        </w:rPr>
      </w:pPr>
    </w:p>
    <w:p w14:paraId="39D00CAA">
      <w:pPr>
        <w:jc w:val="center"/>
        <w:rPr>
          <w:rFonts w:hAnsi="宋体" w:cs="宋体"/>
          <w:b/>
          <w:bCs/>
          <w:color w:val="auto"/>
          <w:sz w:val="32"/>
          <w:szCs w:val="32"/>
          <w:highlight w:val="none"/>
        </w:rPr>
      </w:pPr>
    </w:p>
    <w:p w14:paraId="19438B9E">
      <w:pPr>
        <w:pStyle w:val="8"/>
        <w:jc w:val="both"/>
        <w:rPr>
          <w:color w:val="auto"/>
          <w:highlight w:val="none"/>
        </w:rPr>
      </w:pPr>
    </w:p>
    <w:p w14:paraId="294E61F9">
      <w:pPr>
        <w:jc w:val="center"/>
        <w:rPr>
          <w:rFonts w:hint="eastAsia" w:hAnsi="宋体" w:cs="宋体"/>
          <w:b/>
          <w:bCs/>
          <w:color w:val="auto"/>
          <w:sz w:val="32"/>
          <w:szCs w:val="32"/>
          <w:highlight w:val="none"/>
        </w:rPr>
      </w:pPr>
    </w:p>
    <w:p w14:paraId="2AD05AB2">
      <w:pPr>
        <w:jc w:val="center"/>
        <w:rPr>
          <w:rFonts w:hint="eastAsia" w:hAnsi="宋体" w:cs="宋体"/>
          <w:b/>
          <w:bCs/>
          <w:color w:val="auto"/>
          <w:sz w:val="32"/>
          <w:szCs w:val="32"/>
          <w:highlight w:val="none"/>
        </w:rPr>
      </w:pPr>
    </w:p>
    <w:p w14:paraId="7B20C7A6">
      <w:pPr>
        <w:jc w:val="center"/>
        <w:rPr>
          <w:rFonts w:hAnsi="宋体" w:cs="宋体"/>
          <w:b/>
          <w:bCs/>
          <w:color w:val="auto"/>
          <w:sz w:val="32"/>
          <w:szCs w:val="32"/>
          <w:highlight w:val="none"/>
        </w:rPr>
      </w:pPr>
      <w:r>
        <w:rPr>
          <w:rFonts w:hint="eastAsia" w:hAnsi="宋体" w:cs="宋体"/>
          <w:b/>
          <w:bCs/>
          <w:color w:val="auto"/>
          <w:sz w:val="32"/>
          <w:szCs w:val="32"/>
          <w:highlight w:val="none"/>
        </w:rPr>
        <w:t>陕西至诚项目管理集团有限公司</w:t>
      </w:r>
    </w:p>
    <w:p w14:paraId="435928A0">
      <w:pPr>
        <w:pStyle w:val="9"/>
        <w:ind w:left="0" w:leftChars="0" w:firstLine="0" w:firstLineChars="0"/>
        <w:jc w:val="center"/>
        <w:rPr>
          <w:b/>
          <w:bCs/>
          <w:color w:val="auto"/>
          <w:sz w:val="36"/>
          <w:szCs w:val="36"/>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color w:val="auto"/>
          <w:sz w:val="32"/>
          <w:szCs w:val="32"/>
          <w:highlight w:val="none"/>
        </w:rPr>
        <w:t>二〇二</w:t>
      </w:r>
      <w:r>
        <w:rPr>
          <w:rFonts w:hint="eastAsia"/>
          <w:b/>
          <w:bCs/>
          <w:color w:val="auto"/>
          <w:sz w:val="32"/>
          <w:szCs w:val="32"/>
          <w:highlight w:val="none"/>
          <w:lang w:val="en-US" w:eastAsia="zh-CN"/>
        </w:rPr>
        <w:t>六</w:t>
      </w:r>
      <w:r>
        <w:rPr>
          <w:rFonts w:hint="eastAsia"/>
          <w:b/>
          <w:bCs/>
          <w:color w:val="auto"/>
          <w:sz w:val="32"/>
          <w:szCs w:val="32"/>
          <w:highlight w:val="none"/>
        </w:rPr>
        <w:t>年</w:t>
      </w:r>
      <w:r>
        <w:rPr>
          <w:rFonts w:hint="eastAsia"/>
          <w:b/>
          <w:bCs/>
          <w:color w:val="auto"/>
          <w:sz w:val="32"/>
          <w:szCs w:val="32"/>
          <w:highlight w:val="none"/>
          <w:lang w:val="en-US" w:eastAsia="zh-CN"/>
        </w:rPr>
        <w:t>三</w:t>
      </w:r>
      <w:r>
        <w:rPr>
          <w:rFonts w:hint="eastAsia"/>
          <w:b/>
          <w:bCs/>
          <w:color w:val="auto"/>
          <w:sz w:val="32"/>
          <w:szCs w:val="32"/>
          <w:highlight w:val="none"/>
        </w:rPr>
        <w:t>月</w:t>
      </w:r>
    </w:p>
    <w:p w14:paraId="1F89D536">
      <w:pPr>
        <w:rPr>
          <w:rFonts w:hAnsi="宋体" w:cs="宋体"/>
          <w:color w:val="auto"/>
          <w:highlight w:val="none"/>
        </w:rPr>
      </w:pPr>
    </w:p>
    <w:p w14:paraId="4CDE1872">
      <w:pPr>
        <w:jc w:val="center"/>
        <w:rPr>
          <w:rFonts w:hAnsi="宋体" w:cs="宋体"/>
          <w:b/>
          <w:color w:val="auto"/>
          <w:sz w:val="44"/>
          <w:szCs w:val="44"/>
          <w:highlight w:val="none"/>
        </w:rPr>
      </w:pPr>
      <w:r>
        <w:rPr>
          <w:rFonts w:hint="eastAsia" w:hAnsi="宋体" w:cs="宋体"/>
          <w:b/>
          <w:color w:val="auto"/>
          <w:sz w:val="44"/>
          <w:szCs w:val="44"/>
          <w:highlight w:val="none"/>
        </w:rPr>
        <w:t>目 录</w:t>
      </w:r>
    </w:p>
    <w:p w14:paraId="73853E59">
      <w:pPr>
        <w:jc w:val="center"/>
        <w:rPr>
          <w:color w:val="auto"/>
          <w:highlight w:val="none"/>
        </w:rPr>
      </w:pPr>
      <w:bookmarkStart w:id="1" w:name="_Toc389582033"/>
      <w:bookmarkStart w:id="2" w:name="_Toc20858"/>
      <w:bookmarkStart w:id="3" w:name="_Toc20652"/>
      <w:bookmarkStart w:id="4" w:name="_Toc19886"/>
      <w:bookmarkStart w:id="5" w:name="_Toc16218"/>
      <w:bookmarkStart w:id="6" w:name="_Toc5293"/>
      <w:bookmarkStart w:id="7" w:name="_Toc21518"/>
      <w:bookmarkStart w:id="8" w:name="_Toc27420"/>
      <w:bookmarkStart w:id="9" w:name="_Toc363474016"/>
      <w:bookmarkStart w:id="10" w:name="_Toc363473971"/>
      <w:bookmarkStart w:id="11" w:name="_Toc403077638"/>
    </w:p>
    <w:p w14:paraId="4B6CCE15">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highlight w:val="none"/>
        </w:rPr>
      </w:pPr>
      <w:r>
        <w:rPr>
          <w:rFonts w:hint="eastAsia" w:hAnsi="宋体" w:cs="宋体"/>
          <w:bCs/>
          <w:color w:val="auto"/>
          <w:sz w:val="28"/>
          <w:szCs w:val="28"/>
          <w:highlight w:val="none"/>
        </w:rPr>
        <w:fldChar w:fldCharType="begin"/>
      </w:r>
      <w:r>
        <w:rPr>
          <w:rFonts w:hint="eastAsia" w:hAnsi="宋体" w:cs="宋体"/>
          <w:bCs/>
          <w:color w:val="auto"/>
          <w:sz w:val="28"/>
          <w:szCs w:val="28"/>
          <w:highlight w:val="none"/>
        </w:rPr>
        <w:instrText xml:space="preserve">TOC \o "1-3" \h \u </w:instrText>
      </w:r>
      <w:r>
        <w:rPr>
          <w:rFonts w:hint="eastAsia" w:hAnsi="宋体" w:cs="宋体"/>
          <w:bCs/>
          <w:color w:val="auto"/>
          <w:sz w:val="28"/>
          <w:szCs w:val="28"/>
          <w:highlight w:val="none"/>
        </w:rPr>
        <w:fldChar w:fldCharType="separate"/>
      </w: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_Toc2450 </w:instrText>
      </w:r>
      <w:r>
        <w:rPr>
          <w:rFonts w:hint="eastAsia" w:hAnsi="宋体" w:cs="宋体"/>
          <w:bCs/>
          <w:sz w:val="28"/>
          <w:szCs w:val="28"/>
          <w:highlight w:val="none"/>
        </w:rPr>
        <w:fldChar w:fldCharType="separate"/>
      </w:r>
      <w:r>
        <w:rPr>
          <w:rFonts w:hint="eastAsia" w:ascii="宋体" w:eastAsia="宋体" w:cs="宋体"/>
          <w:bCs/>
          <w:sz w:val="28"/>
          <w:szCs w:val="28"/>
          <w:highlight w:val="none"/>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_Toc2450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hAnsi="宋体" w:cs="宋体"/>
          <w:bCs/>
          <w:color w:val="auto"/>
          <w:sz w:val="28"/>
          <w:szCs w:val="28"/>
          <w:highlight w:val="none"/>
        </w:rPr>
        <w:fldChar w:fldCharType="end"/>
      </w:r>
    </w:p>
    <w:p w14:paraId="793BD01A">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highlight w:val="none"/>
        </w:rPr>
      </w:pP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_Toc24005 </w:instrText>
      </w:r>
      <w:r>
        <w:rPr>
          <w:rFonts w:hint="eastAsia" w:hAnsi="宋体" w:cs="宋体"/>
          <w:bCs/>
          <w:sz w:val="28"/>
          <w:szCs w:val="28"/>
          <w:highlight w:val="none"/>
        </w:rPr>
        <w:fldChar w:fldCharType="separate"/>
      </w:r>
      <w:r>
        <w:rPr>
          <w:rFonts w:hint="eastAsia" w:hAnsi="宋体" w:cs="宋体"/>
          <w:bCs/>
          <w:kern w:val="2"/>
          <w:sz w:val="28"/>
          <w:szCs w:val="28"/>
          <w:highlight w:val="none"/>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_Toc24005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hAnsi="宋体" w:cs="宋体"/>
          <w:bCs/>
          <w:color w:val="auto"/>
          <w:sz w:val="28"/>
          <w:szCs w:val="28"/>
          <w:highlight w:val="none"/>
        </w:rPr>
        <w:fldChar w:fldCharType="end"/>
      </w:r>
    </w:p>
    <w:p w14:paraId="2F9066C5">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highlight w:val="none"/>
        </w:rPr>
      </w:pP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_Toc28495 </w:instrText>
      </w:r>
      <w:r>
        <w:rPr>
          <w:rFonts w:hint="eastAsia" w:hAnsi="宋体" w:cs="宋体"/>
          <w:bCs/>
          <w:sz w:val="28"/>
          <w:szCs w:val="28"/>
          <w:highlight w:val="none"/>
        </w:rPr>
        <w:fldChar w:fldCharType="separate"/>
      </w:r>
      <w:r>
        <w:rPr>
          <w:rFonts w:hint="eastAsia" w:ascii="宋体" w:eastAsia="宋体" w:cs="宋体"/>
          <w:bCs/>
          <w:sz w:val="28"/>
          <w:szCs w:val="28"/>
          <w:highlight w:val="none"/>
          <w:lang w:val="en-US" w:eastAsia="zh-CN"/>
        </w:rPr>
        <w:t>第三章</w:t>
      </w:r>
      <w:r>
        <w:rPr>
          <w:rFonts w:hint="eastAsia" w:ascii="宋体" w:eastAsia="宋体" w:cs="宋体"/>
          <w:bCs/>
          <w:sz w:val="28"/>
          <w:szCs w:val="28"/>
          <w:highlight w:val="none"/>
        </w:rPr>
        <w:t xml:space="preserve">  评审方法</w:t>
      </w:r>
      <w:r>
        <w:rPr>
          <w:sz w:val="28"/>
          <w:szCs w:val="28"/>
          <w:highlight w:val="none"/>
        </w:rPr>
        <w:tab/>
      </w:r>
      <w:r>
        <w:rPr>
          <w:sz w:val="28"/>
          <w:szCs w:val="28"/>
          <w:highlight w:val="none"/>
        </w:rPr>
        <w:fldChar w:fldCharType="begin"/>
      </w:r>
      <w:r>
        <w:rPr>
          <w:sz w:val="28"/>
          <w:szCs w:val="28"/>
          <w:highlight w:val="none"/>
        </w:rPr>
        <w:instrText xml:space="preserve"> PAGEREF _Toc28495 \h </w:instrText>
      </w:r>
      <w:r>
        <w:rPr>
          <w:sz w:val="28"/>
          <w:szCs w:val="28"/>
          <w:highlight w:val="none"/>
        </w:rPr>
        <w:fldChar w:fldCharType="separate"/>
      </w:r>
      <w:r>
        <w:rPr>
          <w:sz w:val="28"/>
          <w:szCs w:val="28"/>
          <w:highlight w:val="none"/>
        </w:rPr>
        <w:t>24</w:t>
      </w:r>
      <w:r>
        <w:rPr>
          <w:sz w:val="28"/>
          <w:szCs w:val="28"/>
          <w:highlight w:val="none"/>
        </w:rPr>
        <w:fldChar w:fldCharType="end"/>
      </w:r>
      <w:r>
        <w:rPr>
          <w:rFonts w:hint="eastAsia" w:hAnsi="宋体" w:cs="宋体"/>
          <w:bCs/>
          <w:color w:val="auto"/>
          <w:sz w:val="28"/>
          <w:szCs w:val="28"/>
          <w:highlight w:val="none"/>
        </w:rPr>
        <w:fldChar w:fldCharType="end"/>
      </w:r>
    </w:p>
    <w:p w14:paraId="670F211A">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highlight w:val="none"/>
        </w:rPr>
      </w:pP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_Toc19847 </w:instrText>
      </w:r>
      <w:r>
        <w:rPr>
          <w:rFonts w:hint="eastAsia" w:hAnsi="宋体" w:cs="宋体"/>
          <w:bCs/>
          <w:sz w:val="28"/>
          <w:szCs w:val="28"/>
          <w:highlight w:val="none"/>
        </w:rPr>
        <w:fldChar w:fldCharType="separate"/>
      </w:r>
      <w:r>
        <w:rPr>
          <w:rFonts w:hint="eastAsia" w:ascii="宋体" w:eastAsia="宋体" w:cs="宋体"/>
          <w:bCs/>
          <w:sz w:val="28"/>
          <w:szCs w:val="28"/>
          <w:highlight w:val="none"/>
        </w:rPr>
        <w:t>第四章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_Toc19847 \h </w:instrText>
      </w:r>
      <w:r>
        <w:rPr>
          <w:sz w:val="28"/>
          <w:szCs w:val="28"/>
          <w:highlight w:val="none"/>
        </w:rPr>
        <w:fldChar w:fldCharType="separate"/>
      </w:r>
      <w:r>
        <w:rPr>
          <w:sz w:val="28"/>
          <w:szCs w:val="28"/>
          <w:highlight w:val="none"/>
        </w:rPr>
        <w:t>32</w:t>
      </w:r>
      <w:r>
        <w:rPr>
          <w:sz w:val="28"/>
          <w:szCs w:val="28"/>
          <w:highlight w:val="none"/>
        </w:rPr>
        <w:fldChar w:fldCharType="end"/>
      </w:r>
      <w:r>
        <w:rPr>
          <w:rFonts w:hint="eastAsia" w:hAnsi="宋体" w:cs="宋体"/>
          <w:bCs/>
          <w:color w:val="auto"/>
          <w:sz w:val="28"/>
          <w:szCs w:val="28"/>
          <w:highlight w:val="none"/>
        </w:rPr>
        <w:fldChar w:fldCharType="end"/>
      </w:r>
    </w:p>
    <w:p w14:paraId="10509ECC">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highlight w:val="none"/>
        </w:rPr>
      </w:pP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_Toc27762 </w:instrText>
      </w:r>
      <w:r>
        <w:rPr>
          <w:rFonts w:hint="eastAsia" w:hAnsi="宋体" w:cs="宋体"/>
          <w:bCs/>
          <w:sz w:val="28"/>
          <w:szCs w:val="28"/>
          <w:highlight w:val="none"/>
        </w:rPr>
        <w:fldChar w:fldCharType="separate"/>
      </w:r>
      <w:r>
        <w:rPr>
          <w:rFonts w:hint="eastAsia" w:ascii="宋体" w:eastAsia="宋体" w:cs="宋体"/>
          <w:bCs/>
          <w:sz w:val="28"/>
          <w:szCs w:val="28"/>
          <w:highlight w:val="none"/>
        </w:rPr>
        <w:t>第五章  磋商内容及技术要求</w:t>
      </w:r>
      <w:r>
        <w:rPr>
          <w:sz w:val="28"/>
          <w:szCs w:val="28"/>
          <w:highlight w:val="none"/>
        </w:rPr>
        <w:tab/>
      </w:r>
      <w:r>
        <w:rPr>
          <w:sz w:val="28"/>
          <w:szCs w:val="28"/>
          <w:highlight w:val="none"/>
        </w:rPr>
        <w:fldChar w:fldCharType="begin"/>
      </w:r>
      <w:r>
        <w:rPr>
          <w:sz w:val="28"/>
          <w:szCs w:val="28"/>
          <w:highlight w:val="none"/>
        </w:rPr>
        <w:instrText xml:space="preserve"> PAGEREF _Toc27762 \h </w:instrText>
      </w:r>
      <w:r>
        <w:rPr>
          <w:sz w:val="28"/>
          <w:szCs w:val="28"/>
          <w:highlight w:val="none"/>
        </w:rPr>
        <w:fldChar w:fldCharType="separate"/>
      </w:r>
      <w:r>
        <w:rPr>
          <w:sz w:val="28"/>
          <w:szCs w:val="28"/>
          <w:highlight w:val="none"/>
        </w:rPr>
        <w:t>38</w:t>
      </w:r>
      <w:r>
        <w:rPr>
          <w:sz w:val="28"/>
          <w:szCs w:val="28"/>
          <w:highlight w:val="none"/>
        </w:rPr>
        <w:fldChar w:fldCharType="end"/>
      </w:r>
      <w:r>
        <w:rPr>
          <w:rFonts w:hint="eastAsia" w:hAnsi="宋体" w:cs="宋体"/>
          <w:bCs/>
          <w:color w:val="auto"/>
          <w:sz w:val="28"/>
          <w:szCs w:val="28"/>
          <w:highlight w:val="none"/>
        </w:rPr>
        <w:fldChar w:fldCharType="end"/>
      </w:r>
    </w:p>
    <w:p w14:paraId="77C15252">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highlight w:val="none"/>
        </w:rPr>
      </w:pP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_Toc20030 </w:instrText>
      </w:r>
      <w:r>
        <w:rPr>
          <w:rFonts w:hint="eastAsia" w:hAnsi="宋体" w:cs="宋体"/>
          <w:bCs/>
          <w:sz w:val="28"/>
          <w:szCs w:val="28"/>
          <w:highlight w:val="none"/>
        </w:rPr>
        <w:fldChar w:fldCharType="separate"/>
      </w:r>
      <w:r>
        <w:rPr>
          <w:rFonts w:hint="eastAsia" w:ascii="宋体" w:eastAsia="宋体" w:cs="宋体"/>
          <w:sz w:val="28"/>
          <w:szCs w:val="28"/>
          <w:highlight w:val="none"/>
        </w:rPr>
        <w:t>第六章  竞争性磋商响应文件格式</w:t>
      </w:r>
      <w:r>
        <w:rPr>
          <w:sz w:val="28"/>
          <w:szCs w:val="28"/>
          <w:highlight w:val="none"/>
        </w:rPr>
        <w:tab/>
      </w:r>
      <w:r>
        <w:rPr>
          <w:sz w:val="28"/>
          <w:szCs w:val="28"/>
          <w:highlight w:val="none"/>
        </w:rPr>
        <w:fldChar w:fldCharType="begin"/>
      </w:r>
      <w:r>
        <w:rPr>
          <w:sz w:val="28"/>
          <w:szCs w:val="28"/>
          <w:highlight w:val="none"/>
        </w:rPr>
        <w:instrText xml:space="preserve"> PAGEREF _Toc20030 \h </w:instrText>
      </w:r>
      <w:r>
        <w:rPr>
          <w:sz w:val="28"/>
          <w:szCs w:val="28"/>
          <w:highlight w:val="none"/>
        </w:rPr>
        <w:fldChar w:fldCharType="separate"/>
      </w:r>
      <w:r>
        <w:rPr>
          <w:sz w:val="28"/>
          <w:szCs w:val="28"/>
          <w:highlight w:val="none"/>
        </w:rPr>
        <w:t>44</w:t>
      </w:r>
      <w:r>
        <w:rPr>
          <w:sz w:val="28"/>
          <w:szCs w:val="28"/>
          <w:highlight w:val="none"/>
        </w:rPr>
        <w:fldChar w:fldCharType="end"/>
      </w:r>
      <w:r>
        <w:rPr>
          <w:rFonts w:hint="eastAsia" w:hAnsi="宋体" w:cs="宋体"/>
          <w:bCs/>
          <w:color w:val="auto"/>
          <w:sz w:val="28"/>
          <w:szCs w:val="28"/>
          <w:highlight w:val="none"/>
        </w:rPr>
        <w:fldChar w:fldCharType="end"/>
      </w:r>
    </w:p>
    <w:p w14:paraId="05D374FF">
      <w:pPr>
        <w:pStyle w:val="16"/>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Ansi="宋体" w:cs="宋体"/>
          <w:bCs/>
          <w:color w:val="auto"/>
          <w:sz w:val="36"/>
          <w:szCs w:val="36"/>
          <w:highlight w:val="none"/>
        </w:rPr>
      </w:pPr>
      <w:r>
        <w:rPr>
          <w:rFonts w:hint="eastAsia" w:hAnsi="宋体" w:cs="宋体"/>
          <w:bCs/>
          <w:color w:val="auto"/>
          <w:sz w:val="28"/>
          <w:szCs w:val="28"/>
          <w:highlight w:val="none"/>
        </w:rPr>
        <w:fldChar w:fldCharType="end"/>
      </w:r>
    </w:p>
    <w:p w14:paraId="596AEF5E">
      <w:pPr>
        <w:pStyle w:val="2"/>
        <w:spacing w:beforeLines="100"/>
        <w:jc w:val="center"/>
        <w:rPr>
          <w:rFonts w:ascii="宋体" w:eastAsia="宋体" w:cs="宋体"/>
          <w:bCs/>
          <w:color w:val="auto"/>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docGrid w:type="lines" w:linePitch="312" w:charSpace="0"/>
        </w:sectPr>
      </w:pPr>
    </w:p>
    <w:p w14:paraId="77B12343">
      <w:pPr>
        <w:pStyle w:val="2"/>
        <w:keepNext w:val="0"/>
        <w:keepLines/>
        <w:pageBreakBefore/>
        <w:spacing w:beforeLines="50" w:afterLines="50" w:line="360" w:lineRule="auto"/>
        <w:jc w:val="center"/>
        <w:rPr>
          <w:rFonts w:ascii="宋体" w:eastAsia="宋体" w:cs="宋体"/>
          <w:bCs/>
          <w:color w:val="auto"/>
          <w:sz w:val="36"/>
          <w:szCs w:val="36"/>
          <w:highlight w:val="none"/>
        </w:rPr>
      </w:pPr>
      <w:bookmarkStart w:id="12" w:name="_Toc25782"/>
      <w:bookmarkStart w:id="13" w:name="_Toc2705"/>
      <w:bookmarkStart w:id="14" w:name="_Toc423973071"/>
      <w:bookmarkStart w:id="15" w:name="_Toc2450"/>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bookmarkEnd w:id="14"/>
      <w:bookmarkEnd w:id="15"/>
    </w:p>
    <w:p w14:paraId="0DEEE5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sz w:val="24"/>
          <w:szCs w:val="24"/>
          <w:highlight w:val="none"/>
        </w:rPr>
      </w:pPr>
      <w:bookmarkStart w:id="16" w:name="_Toc2929"/>
      <w:bookmarkStart w:id="17" w:name="_Toc389582035"/>
      <w:bookmarkStart w:id="18" w:name="_Toc423973072"/>
      <w:bookmarkStart w:id="19" w:name="_Toc29249"/>
      <w:r>
        <w:rPr>
          <w:rStyle w:val="25"/>
          <w:rFonts w:hint="eastAsia" w:ascii="宋体" w:hAnsi="宋体" w:eastAsia="宋体" w:cs="宋体"/>
          <w:b/>
          <w:bCs/>
          <w:i w:val="0"/>
          <w:iCs w:val="0"/>
          <w:caps w:val="0"/>
          <w:color w:val="333333"/>
          <w:spacing w:val="0"/>
          <w:sz w:val="24"/>
          <w:szCs w:val="24"/>
          <w:highlight w:val="none"/>
          <w:shd w:val="clear" w:fill="FFFFFF"/>
        </w:rPr>
        <w:t>项目概况</w:t>
      </w:r>
    </w:p>
    <w:p w14:paraId="38F1FB2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陕西省秦巴山区汉江丹江流域中央财政国土绿化示范项目（丹凤县2024年度）碳汇监测采购项目的潜在供应商应在陕西省西安市经济技术开发区未央路171-1号银池道拉斯财富中心21楼03室获取采购文件，并于 2026年03月12日 14时00分 （北京时间）前提交响应文件。</w:t>
      </w:r>
    </w:p>
    <w:p w14:paraId="651D0E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333333"/>
          <w:spacing w:val="0"/>
          <w:sz w:val="24"/>
          <w:szCs w:val="24"/>
          <w:highlight w:val="none"/>
          <w:shd w:val="clear" w:fill="FFFFFF"/>
        </w:rPr>
      </w:pPr>
      <w:r>
        <w:rPr>
          <w:rStyle w:val="25"/>
          <w:rFonts w:hint="eastAsia" w:ascii="宋体" w:hAnsi="宋体" w:eastAsia="宋体" w:cs="宋体"/>
          <w:b/>
          <w:bCs/>
          <w:i w:val="0"/>
          <w:iCs w:val="0"/>
          <w:caps w:val="0"/>
          <w:color w:val="333333"/>
          <w:spacing w:val="0"/>
          <w:sz w:val="24"/>
          <w:szCs w:val="24"/>
          <w:highlight w:val="none"/>
          <w:shd w:val="clear" w:fill="FFFFFF"/>
        </w:rPr>
        <w:t>一、项目基本情况</w:t>
      </w:r>
    </w:p>
    <w:p w14:paraId="3D0F808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项目编号：SXZCZB2026-ZCCS-0311</w:t>
      </w:r>
    </w:p>
    <w:p w14:paraId="75BFE72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项目名称：陕西省秦巴山区汉江丹江流域中央财政国土绿化示范项目（丹凤县2024年度）碳汇监测</w:t>
      </w:r>
    </w:p>
    <w:p w14:paraId="6AE1BFB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采购方式：竞争性磋商</w:t>
      </w:r>
    </w:p>
    <w:p w14:paraId="707E1FE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预算金额：1,100,000.00元</w:t>
      </w:r>
    </w:p>
    <w:p w14:paraId="492A865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采购需求：</w:t>
      </w:r>
    </w:p>
    <w:p w14:paraId="2C075B8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合同包1(陕西省秦巴山区汉江丹江流域中央财政国土绿化示范项目（丹凤县2024年度）碳汇监测):</w:t>
      </w:r>
    </w:p>
    <w:p w14:paraId="734E1ED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合同包预算金额：1,100,000.00元</w:t>
      </w:r>
    </w:p>
    <w:p w14:paraId="482656C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合同包最高限价：1,100,000.00元</w:t>
      </w:r>
    </w:p>
    <w:tbl>
      <w:tblPr>
        <w:tblStyle w:val="22"/>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638"/>
        <w:gridCol w:w="3856"/>
        <w:gridCol w:w="722"/>
        <w:gridCol w:w="1155"/>
        <w:gridCol w:w="1680"/>
      </w:tblGrid>
      <w:tr w14:paraId="13EB57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B5A4BF">
            <w:pPr>
              <w:keepNext w:val="0"/>
              <w:keepLines w:val="0"/>
              <w:widowControl/>
              <w:suppressLineNumbers w:val="0"/>
              <w:wordWrap w:val="0"/>
              <w:spacing w:before="0" w:beforeAutospacing="0" w:after="0" w:afterAutospacing="0" w:line="360" w:lineRule="atLeast"/>
              <w:ind w:left="0" w:right="0"/>
              <w:jc w:val="center"/>
              <w:outlineLvl w:val="9"/>
              <w:rPr>
                <w:b/>
                <w:bCs/>
                <w:sz w:val="24"/>
                <w:szCs w:val="24"/>
                <w:highlight w:val="none"/>
              </w:rPr>
            </w:pPr>
            <w:r>
              <w:rPr>
                <w:rFonts w:ascii="宋体" w:hAnsi="宋体" w:eastAsia="宋体" w:cs="宋体"/>
                <w:b/>
                <w:bCs/>
                <w:kern w:val="0"/>
                <w:sz w:val="24"/>
                <w:szCs w:val="24"/>
                <w:highlight w:val="none"/>
                <w:lang w:val="en-US" w:eastAsia="zh-CN" w:bidi="ar"/>
              </w:rPr>
              <w:t>品目号</w:t>
            </w:r>
          </w:p>
        </w:tc>
        <w:tc>
          <w:tcPr>
            <w:tcW w:w="10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EF52B">
            <w:pPr>
              <w:keepNext w:val="0"/>
              <w:keepLines w:val="0"/>
              <w:widowControl/>
              <w:suppressLineNumbers w:val="0"/>
              <w:wordWrap w:val="0"/>
              <w:spacing w:before="0" w:beforeAutospacing="0" w:after="0" w:afterAutospacing="0" w:line="360" w:lineRule="atLeast"/>
              <w:ind w:left="0" w:right="0"/>
              <w:jc w:val="center"/>
              <w:outlineLvl w:val="9"/>
              <w:rPr>
                <w:b/>
                <w:bCs/>
                <w:sz w:val="24"/>
                <w:szCs w:val="24"/>
                <w:highlight w:val="none"/>
              </w:rPr>
            </w:pPr>
            <w:r>
              <w:rPr>
                <w:rFonts w:ascii="宋体" w:hAnsi="宋体" w:eastAsia="宋体" w:cs="宋体"/>
                <w:b/>
                <w:bCs/>
                <w:kern w:val="0"/>
                <w:sz w:val="24"/>
                <w:szCs w:val="24"/>
                <w:highlight w:val="none"/>
                <w:lang w:val="en-US" w:eastAsia="zh-CN" w:bidi="ar"/>
              </w:rPr>
              <w:t>品目名称</w:t>
            </w:r>
          </w:p>
        </w:tc>
        <w:tc>
          <w:tcPr>
            <w:tcW w:w="2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CC8BEB">
            <w:pPr>
              <w:keepNext w:val="0"/>
              <w:keepLines w:val="0"/>
              <w:widowControl/>
              <w:suppressLineNumbers w:val="0"/>
              <w:wordWrap w:val="0"/>
              <w:spacing w:before="0" w:beforeAutospacing="0" w:after="0" w:afterAutospacing="0" w:line="360" w:lineRule="atLeast"/>
              <w:ind w:left="0" w:right="0"/>
              <w:jc w:val="center"/>
              <w:outlineLvl w:val="9"/>
              <w:rPr>
                <w:b/>
                <w:bCs/>
                <w:sz w:val="24"/>
                <w:szCs w:val="24"/>
                <w:highlight w:val="none"/>
              </w:rPr>
            </w:pPr>
            <w:r>
              <w:rPr>
                <w:rFonts w:ascii="宋体" w:hAnsi="宋体" w:eastAsia="宋体" w:cs="宋体"/>
                <w:b/>
                <w:bCs/>
                <w:kern w:val="0"/>
                <w:sz w:val="24"/>
                <w:szCs w:val="24"/>
                <w:highlight w:val="none"/>
                <w:lang w:val="en-US" w:eastAsia="zh-CN" w:bidi="ar"/>
              </w:rPr>
              <w:t>采购标的</w:t>
            </w:r>
          </w:p>
        </w:tc>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E8316C">
            <w:pPr>
              <w:keepNext w:val="0"/>
              <w:keepLines w:val="0"/>
              <w:widowControl/>
              <w:suppressLineNumbers w:val="0"/>
              <w:wordWrap w:val="0"/>
              <w:spacing w:before="0" w:beforeAutospacing="0" w:after="0" w:afterAutospacing="0" w:line="360" w:lineRule="atLeast"/>
              <w:ind w:left="0" w:right="0"/>
              <w:jc w:val="center"/>
              <w:outlineLvl w:val="9"/>
              <w:rPr>
                <w:b/>
                <w:bCs/>
                <w:sz w:val="24"/>
                <w:szCs w:val="24"/>
                <w:highlight w:val="none"/>
              </w:rPr>
            </w:pPr>
            <w:r>
              <w:rPr>
                <w:rFonts w:ascii="宋体" w:hAnsi="宋体" w:eastAsia="宋体" w:cs="宋体"/>
                <w:b/>
                <w:bCs/>
                <w:kern w:val="0"/>
                <w:sz w:val="24"/>
                <w:szCs w:val="24"/>
                <w:highlight w:val="none"/>
                <w:lang w:val="en-US" w:eastAsia="zh-CN" w:bidi="ar"/>
              </w:rPr>
              <w:t>数量（单位）</w:t>
            </w:r>
          </w:p>
        </w:tc>
        <w:tc>
          <w:tcPr>
            <w:tcW w:w="7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7E336E">
            <w:pPr>
              <w:keepNext w:val="0"/>
              <w:keepLines w:val="0"/>
              <w:widowControl/>
              <w:suppressLineNumbers w:val="0"/>
              <w:wordWrap w:val="0"/>
              <w:spacing w:before="0" w:beforeAutospacing="0" w:after="0" w:afterAutospacing="0" w:line="360" w:lineRule="atLeast"/>
              <w:ind w:left="0" w:right="0"/>
              <w:jc w:val="center"/>
              <w:outlineLvl w:val="9"/>
              <w:rPr>
                <w:b/>
                <w:bCs/>
                <w:sz w:val="24"/>
                <w:szCs w:val="24"/>
                <w:highlight w:val="none"/>
              </w:rPr>
            </w:pPr>
            <w:r>
              <w:rPr>
                <w:rFonts w:ascii="宋体" w:hAnsi="宋体" w:eastAsia="宋体" w:cs="宋体"/>
                <w:b/>
                <w:bCs/>
                <w:kern w:val="0"/>
                <w:sz w:val="24"/>
                <w:szCs w:val="24"/>
                <w:highlight w:val="none"/>
                <w:lang w:val="en-US" w:eastAsia="zh-CN" w:bidi="ar"/>
              </w:rPr>
              <w:t>技术规格、参数及要求</w:t>
            </w:r>
          </w:p>
        </w:tc>
        <w:tc>
          <w:tcPr>
            <w:tcW w:w="5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BBDFDD">
            <w:pPr>
              <w:keepNext w:val="0"/>
              <w:keepLines w:val="0"/>
              <w:widowControl/>
              <w:suppressLineNumbers w:val="0"/>
              <w:wordWrap w:val="0"/>
              <w:spacing w:before="0" w:beforeAutospacing="0" w:after="0" w:afterAutospacing="0" w:line="360" w:lineRule="atLeast"/>
              <w:ind w:left="0" w:right="0"/>
              <w:jc w:val="center"/>
              <w:outlineLvl w:val="9"/>
              <w:rPr>
                <w:b/>
                <w:bCs/>
                <w:sz w:val="24"/>
                <w:szCs w:val="24"/>
                <w:highlight w:val="none"/>
              </w:rPr>
            </w:pPr>
            <w:r>
              <w:rPr>
                <w:rFonts w:ascii="宋体" w:hAnsi="宋体" w:eastAsia="宋体" w:cs="宋体"/>
                <w:b/>
                <w:bCs/>
                <w:kern w:val="0"/>
                <w:sz w:val="24"/>
                <w:szCs w:val="24"/>
                <w:highlight w:val="none"/>
                <w:lang w:val="en-US" w:eastAsia="zh-CN" w:bidi="ar"/>
              </w:rPr>
              <w:t>品目预算(元)</w:t>
            </w:r>
          </w:p>
        </w:tc>
      </w:tr>
      <w:tr w14:paraId="74DD46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2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EE2ACD">
            <w:pPr>
              <w:keepNext w:val="0"/>
              <w:keepLines w:val="0"/>
              <w:widowControl/>
              <w:suppressLineNumbers w:val="0"/>
              <w:wordWrap w:val="0"/>
              <w:spacing w:before="0" w:beforeAutospacing="0" w:after="0" w:afterAutospacing="0" w:line="360" w:lineRule="atLeast"/>
              <w:ind w:left="0" w:right="0"/>
              <w:jc w:val="center"/>
              <w:outlineLvl w:val="9"/>
              <w:rPr>
                <w:sz w:val="24"/>
                <w:szCs w:val="24"/>
                <w:highlight w:val="none"/>
              </w:rPr>
            </w:pPr>
            <w:r>
              <w:rPr>
                <w:rFonts w:ascii="宋体" w:hAnsi="宋体" w:eastAsia="宋体" w:cs="宋体"/>
                <w:kern w:val="0"/>
                <w:sz w:val="24"/>
                <w:szCs w:val="24"/>
                <w:highlight w:val="none"/>
                <w:lang w:val="en-US" w:eastAsia="zh-CN" w:bidi="ar"/>
              </w:rPr>
              <w:t>1-1</w:t>
            </w:r>
          </w:p>
        </w:tc>
        <w:tc>
          <w:tcPr>
            <w:tcW w:w="10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C333B2">
            <w:pPr>
              <w:keepNext w:val="0"/>
              <w:keepLines w:val="0"/>
              <w:widowControl/>
              <w:suppressLineNumbers w:val="0"/>
              <w:wordWrap w:val="0"/>
              <w:spacing w:before="0" w:beforeAutospacing="0" w:after="0" w:afterAutospacing="0" w:line="360" w:lineRule="atLeast"/>
              <w:ind w:left="0" w:right="0"/>
              <w:jc w:val="center"/>
              <w:outlineLvl w:val="9"/>
              <w:rPr>
                <w:sz w:val="24"/>
                <w:szCs w:val="24"/>
                <w:highlight w:val="none"/>
              </w:rPr>
            </w:pPr>
            <w:r>
              <w:rPr>
                <w:rFonts w:ascii="宋体" w:hAnsi="宋体" w:eastAsia="宋体" w:cs="宋体"/>
                <w:kern w:val="0"/>
                <w:sz w:val="24"/>
                <w:szCs w:val="24"/>
                <w:highlight w:val="none"/>
                <w:lang w:val="en-US" w:eastAsia="zh-CN" w:bidi="ar"/>
              </w:rPr>
              <w:t>碳汇监测与评估服务</w:t>
            </w:r>
          </w:p>
        </w:tc>
        <w:tc>
          <w:tcPr>
            <w:tcW w:w="2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AC336D">
            <w:pPr>
              <w:keepNext w:val="0"/>
              <w:keepLines w:val="0"/>
              <w:widowControl/>
              <w:suppressLineNumbers w:val="0"/>
              <w:wordWrap w:val="0"/>
              <w:spacing w:before="0" w:beforeAutospacing="0" w:after="0" w:afterAutospacing="0" w:line="360" w:lineRule="atLeast"/>
              <w:ind w:left="0" w:right="0"/>
              <w:jc w:val="center"/>
              <w:outlineLvl w:val="9"/>
              <w:rPr>
                <w:sz w:val="24"/>
                <w:szCs w:val="24"/>
                <w:highlight w:val="none"/>
              </w:rPr>
            </w:pPr>
            <w:r>
              <w:rPr>
                <w:rFonts w:ascii="宋体" w:hAnsi="宋体" w:eastAsia="宋体" w:cs="宋体"/>
                <w:kern w:val="0"/>
                <w:sz w:val="24"/>
                <w:szCs w:val="24"/>
                <w:highlight w:val="none"/>
                <w:lang w:val="en-US" w:eastAsia="zh-CN" w:bidi="ar"/>
              </w:rPr>
              <w:t>陕西省秦巴山区汉江丹江流域中央财政国土绿化示范项目（丹凤县 2024年度）碳汇监测</w:t>
            </w:r>
          </w:p>
        </w:tc>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B62798">
            <w:pPr>
              <w:keepNext w:val="0"/>
              <w:keepLines w:val="0"/>
              <w:widowControl/>
              <w:suppressLineNumbers w:val="0"/>
              <w:wordWrap w:val="0"/>
              <w:spacing w:before="0" w:beforeAutospacing="0" w:after="0" w:afterAutospacing="0" w:line="360" w:lineRule="atLeast"/>
              <w:ind w:left="0" w:right="0"/>
              <w:jc w:val="center"/>
              <w:outlineLvl w:val="9"/>
              <w:rPr>
                <w:sz w:val="24"/>
                <w:szCs w:val="24"/>
                <w:highlight w:val="none"/>
              </w:rPr>
            </w:pPr>
            <w:r>
              <w:rPr>
                <w:rFonts w:ascii="宋体" w:hAnsi="宋体" w:eastAsia="宋体" w:cs="宋体"/>
                <w:kern w:val="0"/>
                <w:sz w:val="24"/>
                <w:szCs w:val="24"/>
                <w:highlight w:val="none"/>
                <w:lang w:val="en-US" w:eastAsia="zh-CN" w:bidi="ar"/>
              </w:rPr>
              <w:t>1(批)</w:t>
            </w:r>
          </w:p>
        </w:tc>
        <w:tc>
          <w:tcPr>
            <w:tcW w:w="7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24B97E">
            <w:pPr>
              <w:keepNext w:val="0"/>
              <w:keepLines w:val="0"/>
              <w:widowControl/>
              <w:suppressLineNumbers w:val="0"/>
              <w:wordWrap w:val="0"/>
              <w:spacing w:before="0" w:beforeAutospacing="0" w:after="0" w:afterAutospacing="0" w:line="360" w:lineRule="atLeast"/>
              <w:ind w:left="0" w:right="0"/>
              <w:jc w:val="center"/>
              <w:outlineLvl w:val="9"/>
              <w:rPr>
                <w:sz w:val="24"/>
                <w:szCs w:val="24"/>
                <w:highlight w:val="none"/>
              </w:rPr>
            </w:pPr>
            <w:r>
              <w:rPr>
                <w:rFonts w:ascii="宋体" w:hAnsi="宋体" w:eastAsia="宋体" w:cs="宋体"/>
                <w:kern w:val="0"/>
                <w:sz w:val="24"/>
                <w:szCs w:val="24"/>
                <w:highlight w:val="none"/>
                <w:lang w:val="en-US" w:eastAsia="zh-CN" w:bidi="ar"/>
              </w:rPr>
              <w:t>详见采购文件</w:t>
            </w:r>
          </w:p>
        </w:tc>
        <w:tc>
          <w:tcPr>
            <w:tcW w:w="5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7A644E">
            <w:pPr>
              <w:keepNext w:val="0"/>
              <w:keepLines w:val="0"/>
              <w:widowControl/>
              <w:suppressLineNumbers w:val="0"/>
              <w:wordWrap/>
              <w:spacing w:before="0" w:beforeAutospacing="0" w:after="0" w:afterAutospacing="0" w:line="360" w:lineRule="atLeast"/>
              <w:ind w:left="0" w:right="0"/>
              <w:jc w:val="right"/>
              <w:outlineLvl w:val="9"/>
              <w:rPr>
                <w:sz w:val="24"/>
                <w:szCs w:val="24"/>
                <w:highlight w:val="none"/>
              </w:rPr>
            </w:pPr>
            <w:r>
              <w:rPr>
                <w:rFonts w:ascii="宋体" w:hAnsi="宋体" w:eastAsia="宋体" w:cs="宋体"/>
                <w:kern w:val="0"/>
                <w:sz w:val="24"/>
                <w:szCs w:val="24"/>
                <w:highlight w:val="none"/>
                <w:lang w:val="en-US" w:eastAsia="zh-CN" w:bidi="ar"/>
              </w:rPr>
              <w:t>1,100,000.00</w:t>
            </w:r>
          </w:p>
        </w:tc>
      </w:tr>
    </w:tbl>
    <w:p w14:paraId="54784C1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本合同包不接受联合体投标</w:t>
      </w:r>
    </w:p>
    <w:p w14:paraId="40D2F78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合同履行期限：详见磋商文件</w:t>
      </w:r>
    </w:p>
    <w:p w14:paraId="6FE7D8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333333"/>
          <w:spacing w:val="0"/>
          <w:sz w:val="24"/>
          <w:szCs w:val="24"/>
          <w:highlight w:val="none"/>
          <w:shd w:val="clear" w:fill="FFFFFF"/>
        </w:rPr>
      </w:pPr>
      <w:r>
        <w:rPr>
          <w:rStyle w:val="25"/>
          <w:rFonts w:hint="eastAsia" w:ascii="宋体" w:hAnsi="宋体" w:eastAsia="宋体" w:cs="宋体"/>
          <w:b/>
          <w:bCs/>
          <w:i w:val="0"/>
          <w:iCs w:val="0"/>
          <w:caps w:val="0"/>
          <w:color w:val="333333"/>
          <w:spacing w:val="0"/>
          <w:sz w:val="24"/>
          <w:szCs w:val="24"/>
          <w:highlight w:val="none"/>
          <w:shd w:val="clear" w:fill="FFFFFF"/>
        </w:rPr>
        <w:t>二、申请人的资格要求：</w:t>
      </w:r>
    </w:p>
    <w:p w14:paraId="14742F5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1.满足《中华人民共和国政府采购法》第二十二条规定;</w:t>
      </w:r>
    </w:p>
    <w:p w14:paraId="25926F6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2.落实政府采购政策需满足的资格要求：</w:t>
      </w:r>
    </w:p>
    <w:p w14:paraId="7B337E7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合同包1(陕西省秦巴山区汉江丹江流域中央财政国土绿化示范项目（丹凤县2024年度）碳汇监测)落实政府采购政策需满足的资格要求如下:</w:t>
      </w:r>
    </w:p>
    <w:p w14:paraId="6DA1B96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（1）《政府采购促进中小企业发展管理办法》（财库〔2020〕46号）；</w:t>
      </w:r>
    </w:p>
    <w:p w14:paraId="6743BD4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（2）《财政部司法部关于政府采购支持监狱企业发展有关问题的通知》（财库〔2014〕68号）；</w:t>
      </w:r>
    </w:p>
    <w:p w14:paraId="4238811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（3）《关于促进残疾人就业政府采购政策的通知》（财库〔2017〕141号）；</w:t>
      </w:r>
    </w:p>
    <w:p w14:paraId="3A0EB77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（4）《节能产品政府采购实施意见》（财库〔2004〕185号）；</w:t>
      </w:r>
    </w:p>
    <w:p w14:paraId="3A67F74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（5）《环境标志产品政府采购实施的意见》（财库〔2006〕90号）；</w:t>
      </w:r>
    </w:p>
    <w:p w14:paraId="66F645C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（6）《国务院办公厅关于建立政府强制采购节能产品制度的通知》（国办发〔2007〕51号）；</w:t>
      </w:r>
    </w:p>
    <w:p w14:paraId="43C73B7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（7）财政部发展改革委生态环境部市场监管总局关于调整优化节能产品、环境标志产品政府采购执行机制的通知（财库〔2019〕9号）；</w:t>
      </w:r>
    </w:p>
    <w:p w14:paraId="25952C5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（8）《关于印发环境标志产品政府采购品目清单的通知》--（财库〔2019〕18号）；</w:t>
      </w:r>
    </w:p>
    <w:p w14:paraId="20DF91B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（9）《关于印发节能产品政府采购品目清单的通知》--（财库〔2019〕19号）；</w:t>
      </w:r>
    </w:p>
    <w:p w14:paraId="728ABA8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（10）《市场监管总局关于发布参与实施政府采购节能产品、环境标志产品认证机构名录的公告》—2019年第16号；</w:t>
      </w:r>
    </w:p>
    <w:p w14:paraId="63693BF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（11）《关于运用政府采购政策支持乡村产业振兴的通知》（财库〔2021〕19号）；</w:t>
      </w:r>
    </w:p>
    <w:p w14:paraId="74F9BB6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（12）陕西省财政厅关于印发《陕西省中小企业政府采购信用融资办法》（陕财办采〔2018〕23号），相关政策、业务流程、办理平台（详见http://www.ccgp-shaanxi.gov.cn/zcdservice/zcd/shanxi/）；</w:t>
      </w:r>
    </w:p>
    <w:p w14:paraId="7505193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（13）《陕西省财政厅关于加快推进我省中小企业政府采购信用融资工作的通知》（陕财办采〔2020〕15号）；</w:t>
      </w:r>
    </w:p>
    <w:p w14:paraId="300ACBA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（14）《关于进一步加强政府绿色采购有关问题的通知》（陕财办采〔2021〕29号）；</w:t>
      </w:r>
    </w:p>
    <w:p w14:paraId="05C68DF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（15）《陕西省财政厅陕西省工业和信息化厅关于运用政府采购政策支持首台（套）及创新产品有关事项的通知》（陕财办采〔2021〕17号）；</w:t>
      </w:r>
    </w:p>
    <w:p w14:paraId="6EBB065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（16）《关于进一步加大政府采购支持中小企业力度的通知》（财库〔2022〕19号）、《关于落实政府采购支持中小企业政策有关事项的通知》（陕财办采函〔2022〕10号）；</w:t>
      </w:r>
    </w:p>
    <w:p w14:paraId="2637B9D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（17）其他需要落实的政府采购政策。</w:t>
      </w:r>
    </w:p>
    <w:p w14:paraId="65CF720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3.本项目的特定资格要求：</w:t>
      </w:r>
    </w:p>
    <w:p w14:paraId="08362D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合同包1(陕西省秦巴山区汉江丹江流域中央财政国土绿化示范项目（丹凤县2024年度）碳汇监测)特定资格要求如下:</w:t>
      </w:r>
    </w:p>
    <w:p w14:paraId="25C8360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（1）提供合格有效的法人或者其他组织的营业执照等证明文件，自然人的身份证明；</w:t>
      </w:r>
    </w:p>
    <w:p w14:paraId="379345E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（2）提供法定代表人授权书（附法定代表人、被授权人身份证复印件），法定代表人直接参加的，须提供法定代表人身份证明及身份证复印件；</w:t>
      </w:r>
    </w:p>
    <w:p w14:paraId="3AD6B1B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财务状况：提供递交磋商响应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77CAF53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（4）税收缴纳证明：提供递交磋商响应文件截止日前一年内已缴纳的至少一个月的纳税证明或完税证明（任意税种），依法免税的单位应提供相关证明材料；</w:t>
      </w:r>
    </w:p>
    <w:p w14:paraId="7F27A7B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社会保障资金缴纳证明：提供递交磋商响应文件截止日前一年内已缴存的至少一个月的社会保障资金缴存单据或社保机构开具的社会保险参保缴费情况证明，依法不需要缴纳社会保障资金的单位应提供相关证明材料；</w:t>
      </w:r>
    </w:p>
    <w:p w14:paraId="0F9D0ED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3F98BBC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（7）参加政府采购活动前3年内，在经营活动中没有重大违法记录的书面声明；</w:t>
      </w:r>
    </w:p>
    <w:p w14:paraId="43CFD42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（8）提供具有履行合同所必需的设备和专业技术能力的书面承诺；</w:t>
      </w:r>
    </w:p>
    <w:p w14:paraId="0C5C3A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（9）控股管理关系：提供直接控股和管理关系清单。若与其他供应商存在单位负责人为同一人或者存在直接控股、管理关系的，则投标无效；</w:t>
      </w:r>
    </w:p>
    <w:p w14:paraId="0EF30A4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（10）供应商须提供中小企业声明函；</w:t>
      </w:r>
    </w:p>
    <w:p w14:paraId="059270B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（11）本项目不接受联合体磋商（提供承诺书）。</w:t>
      </w:r>
    </w:p>
    <w:p w14:paraId="36F5F6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333333"/>
          <w:spacing w:val="0"/>
          <w:sz w:val="24"/>
          <w:szCs w:val="24"/>
          <w:highlight w:val="none"/>
          <w:shd w:val="clear" w:fill="FFFFFF"/>
        </w:rPr>
      </w:pPr>
      <w:r>
        <w:rPr>
          <w:rStyle w:val="25"/>
          <w:rFonts w:hint="eastAsia" w:ascii="宋体" w:hAnsi="宋体" w:eastAsia="宋体" w:cs="宋体"/>
          <w:b/>
          <w:bCs/>
          <w:i w:val="0"/>
          <w:iCs w:val="0"/>
          <w:caps w:val="0"/>
          <w:color w:val="333333"/>
          <w:spacing w:val="0"/>
          <w:sz w:val="24"/>
          <w:szCs w:val="24"/>
          <w:highlight w:val="none"/>
          <w:shd w:val="clear" w:fill="FFFFFF"/>
        </w:rPr>
        <w:t>三、获取采购文件</w:t>
      </w:r>
    </w:p>
    <w:p w14:paraId="64B104C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时间：2026年03月02日至2026年03月06日，每天上午09:00:00至12:00:00，下午14:00:00至17:00:00（北京时间）</w:t>
      </w:r>
    </w:p>
    <w:p w14:paraId="11E7550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途径：陕西省西安市经济技术开发区未央路171-1号银池道拉斯财富中心21楼03室</w:t>
      </w:r>
    </w:p>
    <w:p w14:paraId="5622823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方式：现场获取</w:t>
      </w:r>
    </w:p>
    <w:p w14:paraId="4A14BCC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售价：0元</w:t>
      </w:r>
    </w:p>
    <w:p w14:paraId="12191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333333"/>
          <w:spacing w:val="0"/>
          <w:sz w:val="24"/>
          <w:szCs w:val="24"/>
          <w:highlight w:val="none"/>
          <w:shd w:val="clear" w:fill="FFFFFF"/>
        </w:rPr>
      </w:pPr>
      <w:r>
        <w:rPr>
          <w:rStyle w:val="25"/>
          <w:rFonts w:hint="eastAsia" w:ascii="宋体" w:hAnsi="宋体" w:eastAsia="宋体" w:cs="宋体"/>
          <w:b/>
          <w:bCs/>
          <w:i w:val="0"/>
          <w:iCs w:val="0"/>
          <w:caps w:val="0"/>
          <w:color w:val="333333"/>
          <w:spacing w:val="0"/>
          <w:sz w:val="24"/>
          <w:szCs w:val="24"/>
          <w:highlight w:val="none"/>
          <w:shd w:val="clear" w:fill="FFFFFF"/>
        </w:rPr>
        <w:t>四、响应文件提交</w:t>
      </w:r>
    </w:p>
    <w:p w14:paraId="218F845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截止时间：2026年03月12日14时00分00秒（北京时间）</w:t>
      </w:r>
    </w:p>
    <w:p w14:paraId="7CD6A39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地点：陕西省西安市经济技术开发区未央路171-1号银池道拉斯财富中心21楼03室</w:t>
      </w:r>
    </w:p>
    <w:p w14:paraId="24916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333333"/>
          <w:spacing w:val="0"/>
          <w:sz w:val="24"/>
          <w:szCs w:val="24"/>
          <w:highlight w:val="none"/>
          <w:shd w:val="clear" w:fill="FFFFFF"/>
        </w:rPr>
      </w:pPr>
      <w:r>
        <w:rPr>
          <w:rStyle w:val="25"/>
          <w:rFonts w:hint="eastAsia" w:ascii="宋体" w:hAnsi="宋体" w:eastAsia="宋体" w:cs="宋体"/>
          <w:b/>
          <w:bCs/>
          <w:i w:val="0"/>
          <w:iCs w:val="0"/>
          <w:caps w:val="0"/>
          <w:color w:val="333333"/>
          <w:spacing w:val="0"/>
          <w:sz w:val="24"/>
          <w:szCs w:val="24"/>
          <w:highlight w:val="none"/>
          <w:shd w:val="clear" w:fill="FFFFFF"/>
        </w:rPr>
        <w:t>五、开启</w:t>
      </w:r>
    </w:p>
    <w:p w14:paraId="1AD5913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时间：2026年03月12日 14时00分00秒（北京时间）</w:t>
      </w:r>
    </w:p>
    <w:p w14:paraId="69698FD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地点：陕西省西安市经济技术开发区未央路171-1号银池道拉斯财富中心21楼03室</w:t>
      </w:r>
    </w:p>
    <w:p w14:paraId="2096EE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333333"/>
          <w:spacing w:val="0"/>
          <w:sz w:val="24"/>
          <w:szCs w:val="24"/>
          <w:highlight w:val="none"/>
          <w:shd w:val="clear" w:fill="FFFFFF"/>
        </w:rPr>
      </w:pPr>
      <w:r>
        <w:rPr>
          <w:rStyle w:val="25"/>
          <w:rFonts w:hint="eastAsia" w:ascii="宋体" w:hAnsi="宋体" w:eastAsia="宋体" w:cs="宋体"/>
          <w:b/>
          <w:bCs/>
          <w:i w:val="0"/>
          <w:iCs w:val="0"/>
          <w:caps w:val="0"/>
          <w:color w:val="333333"/>
          <w:spacing w:val="0"/>
          <w:sz w:val="24"/>
          <w:szCs w:val="24"/>
          <w:highlight w:val="none"/>
          <w:shd w:val="clear" w:fill="FFFFFF"/>
        </w:rPr>
        <w:t>六、公告期限</w:t>
      </w:r>
    </w:p>
    <w:p w14:paraId="5BBCF64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自本公告发布之日起3个工作日。</w:t>
      </w:r>
    </w:p>
    <w:p w14:paraId="68A0FD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333333"/>
          <w:spacing w:val="0"/>
          <w:sz w:val="24"/>
          <w:szCs w:val="24"/>
          <w:highlight w:val="none"/>
          <w:shd w:val="clear" w:fill="FFFFFF"/>
        </w:rPr>
      </w:pPr>
      <w:r>
        <w:rPr>
          <w:rStyle w:val="25"/>
          <w:rFonts w:hint="eastAsia" w:ascii="宋体" w:hAnsi="宋体" w:eastAsia="宋体" w:cs="宋体"/>
          <w:b/>
          <w:bCs/>
          <w:i w:val="0"/>
          <w:iCs w:val="0"/>
          <w:caps w:val="0"/>
          <w:color w:val="333333"/>
          <w:spacing w:val="0"/>
          <w:sz w:val="24"/>
          <w:szCs w:val="24"/>
          <w:highlight w:val="none"/>
          <w:shd w:val="clear" w:fill="FFFFFF"/>
        </w:rPr>
        <w:t>七、其他补充事宜</w:t>
      </w:r>
    </w:p>
    <w:p w14:paraId="4A9B0F9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lang w:val="en-US" w:eastAsia="zh-CN"/>
        </w:rPr>
        <w:t>（1）供应商领取采购文件时，请携带单位介绍信及经办人身份证原件及复印件加盖公章；</w:t>
      </w:r>
    </w:p>
    <w:p w14:paraId="2CE1B59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lang w:val="en-US" w:eastAsia="zh-CN"/>
        </w:rPr>
        <w:t>（2）供应商按照《陕西省财政厅关于政府采购供应商注册登记有关事项的通知》中的要求，通过陕西省政府采购网（http://www.ccgp-shaanxi.gov.cn/）注册登记加入陕西省政府采购供应商库；</w:t>
      </w:r>
    </w:p>
    <w:p w14:paraId="041D6D9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lang w:val="en-US" w:eastAsia="zh-CN"/>
        </w:rPr>
        <w:t>（3）本项目专门面向中小企业采购。</w:t>
      </w:r>
    </w:p>
    <w:p w14:paraId="4B553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333333"/>
          <w:spacing w:val="0"/>
          <w:sz w:val="24"/>
          <w:szCs w:val="24"/>
          <w:highlight w:val="none"/>
          <w:shd w:val="clear" w:fill="FFFFFF"/>
        </w:rPr>
      </w:pPr>
      <w:r>
        <w:rPr>
          <w:rStyle w:val="25"/>
          <w:rFonts w:hint="eastAsia" w:ascii="宋体" w:hAnsi="宋体" w:eastAsia="宋体" w:cs="宋体"/>
          <w:b/>
          <w:bCs/>
          <w:i w:val="0"/>
          <w:iCs w:val="0"/>
          <w:caps w:val="0"/>
          <w:color w:val="333333"/>
          <w:spacing w:val="0"/>
          <w:sz w:val="24"/>
          <w:szCs w:val="24"/>
          <w:highlight w:val="none"/>
          <w:shd w:val="clear" w:fill="FFFFFF"/>
        </w:rPr>
        <w:t>八、对本次招标提出询问，请按以下方式联系。</w:t>
      </w:r>
    </w:p>
    <w:p w14:paraId="31B8768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1.采购人信息</w:t>
      </w:r>
    </w:p>
    <w:p w14:paraId="30B17A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名称：丹凤县林业局</w:t>
      </w:r>
    </w:p>
    <w:p w14:paraId="6B96CC4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地址：陕西省商洛市丹凤县北新街44号</w:t>
      </w:r>
    </w:p>
    <w:p w14:paraId="29C35DC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联系方式：0914-3320623</w:t>
      </w:r>
    </w:p>
    <w:p w14:paraId="5B639CC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2.采购代理机构信息</w:t>
      </w:r>
    </w:p>
    <w:p w14:paraId="5F1479A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名称：陕西至诚项目管理集团有限公司</w:t>
      </w:r>
    </w:p>
    <w:p w14:paraId="5B71BB5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地址：陕西省西安市经济技术开发区未央路171-1号银池道拉斯财富中心21楼03室</w:t>
      </w:r>
    </w:p>
    <w:p w14:paraId="15EF94B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联系方式：029-88219779</w:t>
      </w:r>
    </w:p>
    <w:p w14:paraId="440B44D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3.项目联系方式</w:t>
      </w:r>
    </w:p>
    <w:p w14:paraId="1062BE3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项目联系人：康乐、孙洋、常瑛</w:t>
      </w:r>
    </w:p>
    <w:p w14:paraId="3E568C7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电话：029-88219779</w:t>
      </w:r>
    </w:p>
    <w:p w14:paraId="190652E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陕西至诚项目管理集团有限公司</w:t>
      </w:r>
    </w:p>
    <w:p w14:paraId="78CB1E1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Ansi="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202</w:t>
      </w: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lang w:val="en-US" w:eastAsia="zh-CN"/>
        </w:rPr>
        <w:t>年</w:t>
      </w:r>
      <w:r>
        <w:rPr>
          <w:rFonts w:hint="eastAsia" w:ascii="宋体" w:hAnsi="宋体" w:cs="宋体"/>
          <w:i w:val="0"/>
          <w:iCs w:val="0"/>
          <w:caps w:val="0"/>
          <w:color w:val="auto"/>
          <w:spacing w:val="0"/>
          <w:sz w:val="24"/>
          <w:szCs w:val="24"/>
          <w:highlight w:val="none"/>
          <w:shd w:val="clear" w:fill="FFFFFF"/>
          <w:lang w:val="en-US" w:eastAsia="zh-CN"/>
        </w:rPr>
        <w:t>02</w:t>
      </w:r>
      <w:r>
        <w:rPr>
          <w:rFonts w:hint="eastAsia" w:ascii="宋体" w:hAnsi="宋体" w:eastAsia="宋体" w:cs="宋体"/>
          <w:i w:val="0"/>
          <w:iCs w:val="0"/>
          <w:caps w:val="0"/>
          <w:color w:val="auto"/>
          <w:spacing w:val="0"/>
          <w:sz w:val="24"/>
          <w:szCs w:val="24"/>
          <w:highlight w:val="none"/>
          <w:shd w:val="clear" w:fill="FFFFFF"/>
          <w:lang w:val="en-US" w:eastAsia="zh-CN"/>
        </w:rPr>
        <w:t>月</w:t>
      </w:r>
      <w:r>
        <w:rPr>
          <w:rFonts w:hint="eastAsia" w:ascii="宋体" w:hAnsi="宋体" w:cs="宋体"/>
          <w:i w:val="0"/>
          <w:iCs w:val="0"/>
          <w:caps w:val="0"/>
          <w:color w:val="auto"/>
          <w:spacing w:val="0"/>
          <w:sz w:val="24"/>
          <w:szCs w:val="24"/>
          <w:highlight w:val="none"/>
          <w:shd w:val="clear" w:fill="FFFFFF"/>
          <w:lang w:val="en-US" w:eastAsia="zh-CN"/>
        </w:rPr>
        <w:t>28</w:t>
      </w:r>
      <w:r>
        <w:rPr>
          <w:rFonts w:hint="eastAsia" w:ascii="宋体" w:hAnsi="宋体" w:eastAsia="宋体" w:cs="宋体"/>
          <w:i w:val="0"/>
          <w:iCs w:val="0"/>
          <w:caps w:val="0"/>
          <w:color w:val="auto"/>
          <w:spacing w:val="0"/>
          <w:sz w:val="24"/>
          <w:szCs w:val="24"/>
          <w:highlight w:val="none"/>
          <w:shd w:val="clear" w:fill="FFFFFF"/>
          <w:lang w:val="en-US" w:eastAsia="zh-CN"/>
        </w:rPr>
        <w:t>日</w:t>
      </w:r>
      <w:r>
        <w:rPr>
          <w:rFonts w:hint="eastAsia" w:hAnsi="宋体" w:cs="宋体"/>
          <w:color w:val="auto"/>
          <w:highlight w:val="none"/>
        </w:rPr>
        <w:br w:type="page"/>
      </w:r>
    </w:p>
    <w:p w14:paraId="3D2E4736">
      <w:pPr>
        <w:spacing w:line="348" w:lineRule="auto"/>
        <w:ind w:right="119"/>
        <w:jc w:val="center"/>
        <w:outlineLvl w:val="0"/>
        <w:rPr>
          <w:rFonts w:hAnsi="宋体" w:cs="宋体"/>
          <w:bCs/>
          <w:color w:val="auto"/>
          <w:sz w:val="36"/>
          <w:szCs w:val="36"/>
          <w:highlight w:val="none"/>
        </w:rPr>
      </w:pPr>
      <w:bookmarkStart w:id="20" w:name="_Toc24005"/>
      <w:bookmarkStart w:id="21" w:name="_Toc14793"/>
      <w:bookmarkStart w:id="22" w:name="_Toc3334"/>
      <w:r>
        <w:rPr>
          <w:rFonts w:hint="eastAsia" w:hAnsi="宋体" w:cs="宋体"/>
          <w:b/>
          <w:bCs/>
          <w:color w:val="auto"/>
          <w:kern w:val="2"/>
          <w:sz w:val="36"/>
          <w:szCs w:val="36"/>
          <w:highlight w:val="none"/>
        </w:rPr>
        <w:t xml:space="preserve">第二章  </w:t>
      </w:r>
      <w:bookmarkEnd w:id="16"/>
      <w:bookmarkEnd w:id="17"/>
      <w:bookmarkStart w:id="23" w:name="OLE_LINK3"/>
      <w:r>
        <w:rPr>
          <w:rFonts w:hint="eastAsia" w:hAnsi="宋体" w:cs="宋体"/>
          <w:b/>
          <w:bCs/>
          <w:color w:val="auto"/>
          <w:kern w:val="2"/>
          <w:sz w:val="36"/>
          <w:szCs w:val="36"/>
          <w:highlight w:val="none"/>
        </w:rPr>
        <w:t>供应商须知</w:t>
      </w:r>
      <w:bookmarkEnd w:id="18"/>
      <w:bookmarkEnd w:id="19"/>
      <w:bookmarkEnd w:id="20"/>
      <w:bookmarkEnd w:id="21"/>
      <w:bookmarkEnd w:id="22"/>
      <w:bookmarkEnd w:id="23"/>
    </w:p>
    <w:p w14:paraId="0450AA95">
      <w:pPr>
        <w:spacing w:line="440" w:lineRule="exact"/>
        <w:jc w:val="center"/>
        <w:outlineLvl w:val="1"/>
        <w:rPr>
          <w:rFonts w:hAnsi="宋体" w:cs="宋体"/>
          <w:b/>
          <w:bCs/>
          <w:color w:val="auto"/>
          <w:sz w:val="32"/>
          <w:szCs w:val="32"/>
          <w:highlight w:val="none"/>
        </w:rPr>
      </w:pPr>
      <w:bookmarkStart w:id="24" w:name="_Toc4724"/>
      <w:bookmarkStart w:id="25" w:name="_Toc14200"/>
      <w:bookmarkStart w:id="26" w:name="_Toc18299"/>
      <w:bookmarkStart w:id="27" w:name="_Toc23180"/>
      <w:bookmarkStart w:id="28" w:name="_Toc8846"/>
      <w:bookmarkStart w:id="29" w:name="_Toc16830"/>
      <w:r>
        <w:rPr>
          <w:rFonts w:hint="eastAsia" w:hAnsi="宋体" w:cs="宋体"/>
          <w:b/>
          <w:bCs/>
          <w:color w:val="auto"/>
          <w:sz w:val="32"/>
          <w:szCs w:val="32"/>
          <w:highlight w:val="none"/>
        </w:rPr>
        <w:t>供应商须知前附表</w:t>
      </w:r>
      <w:bookmarkEnd w:id="24"/>
      <w:bookmarkEnd w:id="25"/>
      <w:bookmarkEnd w:id="26"/>
      <w:bookmarkEnd w:id="27"/>
      <w:bookmarkEnd w:id="28"/>
      <w:bookmarkEnd w:id="29"/>
    </w:p>
    <w:p w14:paraId="6FC6329D">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090"/>
        <w:gridCol w:w="7215"/>
      </w:tblGrid>
      <w:tr w14:paraId="180D9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15AD9CEF">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090" w:type="dxa"/>
            <w:vAlign w:val="center"/>
          </w:tcPr>
          <w:p w14:paraId="0D2979A1">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215" w:type="dxa"/>
          </w:tcPr>
          <w:p w14:paraId="61141098">
            <w:pPr>
              <w:spacing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2E079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744BFB81">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090" w:type="dxa"/>
            <w:vAlign w:val="center"/>
          </w:tcPr>
          <w:p w14:paraId="724E2DC8">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215" w:type="dxa"/>
          </w:tcPr>
          <w:p w14:paraId="45670A12">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1516A379">
            <w:pPr>
              <w:spacing w:line="360" w:lineRule="auto"/>
              <w:rPr>
                <w:rFonts w:hAnsi="宋体" w:cs="宋体"/>
                <w:color w:val="auto"/>
                <w:szCs w:val="24"/>
                <w:highlight w:val="none"/>
              </w:rPr>
            </w:pPr>
            <w:r>
              <w:rPr>
                <w:rFonts w:hint="eastAsia" w:hAnsi="宋体" w:cs="宋体"/>
                <w:color w:val="auto"/>
                <w:szCs w:val="24"/>
                <w:highlight w:val="none"/>
              </w:rPr>
              <w:t>地        址：陕西省西安市经济技术开发区未央路171-1号银池道拉斯财富中心21楼03室</w:t>
            </w:r>
          </w:p>
          <w:p w14:paraId="33658305">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邮        编：7100</w:t>
            </w:r>
            <w:r>
              <w:rPr>
                <w:rFonts w:hint="eastAsia" w:hAnsi="宋体" w:cs="宋体"/>
                <w:color w:val="auto"/>
                <w:szCs w:val="24"/>
                <w:highlight w:val="none"/>
                <w:lang w:val="en-US" w:eastAsia="zh-CN"/>
              </w:rPr>
              <w:t>00</w:t>
            </w:r>
          </w:p>
          <w:p w14:paraId="0AA9D796">
            <w:pPr>
              <w:spacing w:line="360" w:lineRule="auto"/>
              <w:rPr>
                <w:rFonts w:hAnsi="宋体" w:cs="宋体"/>
                <w:color w:val="auto"/>
                <w:szCs w:val="24"/>
                <w:highlight w:val="none"/>
              </w:rPr>
            </w:pPr>
            <w:r>
              <w:rPr>
                <w:rFonts w:hint="eastAsia" w:hAnsi="宋体" w:cs="宋体"/>
                <w:color w:val="auto"/>
                <w:szCs w:val="24"/>
                <w:highlight w:val="none"/>
              </w:rPr>
              <w:t>电        话：029-88219779</w:t>
            </w:r>
          </w:p>
          <w:p w14:paraId="083DA1FA">
            <w:pPr>
              <w:spacing w:line="360" w:lineRule="auto"/>
              <w:rPr>
                <w:rFonts w:hAnsi="宋体" w:cs="宋体"/>
                <w:color w:val="auto"/>
                <w:szCs w:val="24"/>
                <w:highlight w:val="none"/>
              </w:rPr>
            </w:pPr>
            <w:r>
              <w:rPr>
                <w:rFonts w:hint="eastAsia" w:hAnsi="宋体" w:cs="宋体"/>
                <w:color w:val="auto"/>
                <w:szCs w:val="24"/>
                <w:highlight w:val="none"/>
              </w:rPr>
              <w:t>传        真：/</w:t>
            </w:r>
          </w:p>
        </w:tc>
      </w:tr>
      <w:tr w14:paraId="2EEF9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592" w:type="dxa"/>
            <w:vAlign w:val="center"/>
          </w:tcPr>
          <w:p w14:paraId="1949FBC6">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090" w:type="dxa"/>
            <w:vAlign w:val="center"/>
          </w:tcPr>
          <w:p w14:paraId="65D7F57C">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215" w:type="dxa"/>
            <w:vAlign w:val="center"/>
          </w:tcPr>
          <w:p w14:paraId="792AC0E0">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559A1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592" w:type="dxa"/>
            <w:vAlign w:val="center"/>
          </w:tcPr>
          <w:p w14:paraId="1C011EAF">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090" w:type="dxa"/>
            <w:vAlign w:val="center"/>
          </w:tcPr>
          <w:p w14:paraId="1C22098F">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215" w:type="dxa"/>
            <w:vAlign w:val="center"/>
          </w:tcPr>
          <w:p w14:paraId="33DE918F">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0FA03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537FE7D0">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090" w:type="dxa"/>
            <w:vAlign w:val="center"/>
          </w:tcPr>
          <w:p w14:paraId="135D694E">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215" w:type="dxa"/>
            <w:vAlign w:val="center"/>
          </w:tcPr>
          <w:p w14:paraId="619A532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本次磋商的最小单元为“</w:t>
            </w:r>
            <w:r>
              <w:rPr>
                <w:rFonts w:hint="eastAsia" w:hAnsi="宋体" w:cs="宋体"/>
                <w:color w:val="auto"/>
                <w:szCs w:val="24"/>
                <w:highlight w:val="none"/>
                <w:lang w:val="en-US" w:eastAsia="zh-CN"/>
              </w:rPr>
              <w:t>项目</w:t>
            </w:r>
            <w:r>
              <w:rPr>
                <w:rFonts w:hint="eastAsia" w:hAnsi="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tc>
      </w:tr>
      <w:tr w14:paraId="07B5E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6CF1EE54">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090" w:type="dxa"/>
            <w:vAlign w:val="center"/>
          </w:tcPr>
          <w:p w14:paraId="5EE74A58">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215" w:type="dxa"/>
          </w:tcPr>
          <w:p w14:paraId="7ABD4E5A">
            <w:pPr>
              <w:spacing w:line="360" w:lineRule="auto"/>
              <w:ind w:firstLine="480"/>
              <w:rPr>
                <w:rFonts w:hAnsi="宋体" w:cs="宋体"/>
                <w:color w:val="auto"/>
                <w:szCs w:val="24"/>
                <w:highlight w:val="none"/>
              </w:rPr>
            </w:pPr>
            <w:r>
              <w:rPr>
                <w:rFonts w:hint="eastAsia" w:hAnsi="宋体" w:cs="宋体"/>
                <w:color w:val="auto"/>
                <w:szCs w:val="24"/>
                <w:highlight w:val="none"/>
              </w:rPr>
              <w:t>磋商报价：是供应商为完成本项目要求的全部服务内容最终价格的体现。</w:t>
            </w:r>
          </w:p>
          <w:p w14:paraId="66AFDCD6">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68C92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2E997751">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090" w:type="dxa"/>
            <w:vAlign w:val="center"/>
          </w:tcPr>
          <w:p w14:paraId="3F942E33">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215" w:type="dxa"/>
          </w:tcPr>
          <w:p w14:paraId="79E4D9BA">
            <w:pPr>
              <w:spacing w:line="360" w:lineRule="auto"/>
              <w:rPr>
                <w:rFonts w:hint="eastAsia" w:hAnsi="宋体" w:cs="宋体"/>
                <w:b/>
                <w:bCs/>
                <w:color w:val="auto"/>
                <w:szCs w:val="24"/>
                <w:highlight w:val="none"/>
              </w:rPr>
            </w:pPr>
            <w:r>
              <w:rPr>
                <w:rFonts w:hint="eastAsia" w:hAnsi="宋体" w:cs="宋体"/>
                <w:b/>
                <w:bCs/>
                <w:color w:val="auto"/>
                <w:szCs w:val="24"/>
                <w:highlight w:val="none"/>
              </w:rPr>
              <w:t>特定资格证明文件：</w:t>
            </w:r>
          </w:p>
          <w:p w14:paraId="7C0A50C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（1）提供合格有效的法人或者其他组织的营业执照等证明文件，自然人的身份证明；</w:t>
            </w:r>
          </w:p>
          <w:p w14:paraId="6965B15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（2）提供法定代表人授权书（附法定代表人、被授权人身份证复印件），法定代表人直接参加的，须提供法定代表人身份证明及身份证复印件；</w:t>
            </w:r>
          </w:p>
          <w:p w14:paraId="6ED0376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财务状况：提供递交磋商响应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0724E2F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（4）税收缴纳证明：提供递交磋商响应文件截止日前一年内已缴纳的至少一个月的纳税证明或完税证明（任意税种），依法免税的单位应提供相关证明材料；</w:t>
            </w:r>
          </w:p>
          <w:p w14:paraId="17DA103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社会保障资金缴纳证明：提供递交磋商响应文件截止日前一年内已缴存的至少一个月的社会保障资金缴存单据或社保机构开具的社会保险参保缴费情况证明，依法不需要缴纳社会保障资金的单位应提供相关证明材料；</w:t>
            </w:r>
          </w:p>
          <w:p w14:paraId="6DB8F40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3DA0E7C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（7）参加政府采购活动前3年内，在经营活动中没有重大违法记录的书面声明；</w:t>
            </w:r>
          </w:p>
          <w:p w14:paraId="2351BA0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（8）提供具有履行合同所必需的设备和专业技术能力的书面承诺；</w:t>
            </w:r>
          </w:p>
          <w:p w14:paraId="0E198D8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（9）控股管理关系：提供直接控股和管理关系清单。若与其他供应商存在单位负责人为同一人或者存在直接控股、管理关系的，则投标无效；</w:t>
            </w:r>
          </w:p>
          <w:p w14:paraId="34D1E8E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（10）供应商须提供中小企业声明函；</w:t>
            </w:r>
          </w:p>
          <w:p w14:paraId="60F73BE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（11）本项目不接受联合体磋商（提供承诺书）。</w:t>
            </w:r>
          </w:p>
          <w:p w14:paraId="49321C0C">
            <w:pPr>
              <w:numPr>
                <w:ilvl w:val="0"/>
                <w:numId w:val="0"/>
              </w:numPr>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hAnsi="宋体" w:cs="宋体"/>
                <w:b/>
                <w:bCs/>
                <w:color w:val="auto"/>
                <w:szCs w:val="24"/>
                <w:highlight w:val="none"/>
              </w:rPr>
              <w:t>以上</w:t>
            </w:r>
            <w:r>
              <w:rPr>
                <w:rFonts w:hint="eastAsia" w:hAnsi="宋体" w:cs="宋体"/>
                <w:b/>
                <w:bCs/>
                <w:color w:val="auto"/>
                <w:szCs w:val="24"/>
                <w:highlight w:val="none"/>
                <w:lang w:val="en-US" w:eastAsia="zh-CN"/>
              </w:rPr>
              <w:t>1-11项</w:t>
            </w:r>
            <w:r>
              <w:rPr>
                <w:rFonts w:hint="eastAsia" w:hAnsi="宋体" w:cs="宋体"/>
                <w:b/>
                <w:bCs/>
                <w:color w:val="auto"/>
                <w:szCs w:val="24"/>
                <w:highlight w:val="none"/>
              </w:rPr>
              <w:t>为必备资质，缺一项或某项达不到要求，按无效磋商处理。</w:t>
            </w:r>
          </w:p>
        </w:tc>
      </w:tr>
      <w:tr w14:paraId="4BF0D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707DDCFE">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1090" w:type="dxa"/>
            <w:vAlign w:val="center"/>
          </w:tcPr>
          <w:p w14:paraId="00D33405">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215" w:type="dxa"/>
          </w:tcPr>
          <w:p w14:paraId="089DDB4E">
            <w:pPr>
              <w:spacing w:line="360" w:lineRule="auto"/>
              <w:ind w:firstLine="465"/>
              <w:rPr>
                <w:rFonts w:hAnsi="宋体" w:cs="宋体"/>
                <w:color w:val="auto"/>
                <w:szCs w:val="24"/>
                <w:highlight w:val="none"/>
              </w:rPr>
            </w:pPr>
            <w:r>
              <w:rPr>
                <w:rFonts w:hint="eastAsia" w:hAnsi="宋体" w:cs="宋体"/>
                <w:b/>
                <w:bCs/>
                <w:color w:val="auto"/>
                <w:szCs w:val="24"/>
                <w:highlight w:val="none"/>
              </w:rPr>
              <w:t>磋商保证金：本项目不缴纳磋商保证金</w:t>
            </w:r>
          </w:p>
          <w:p w14:paraId="3056512E">
            <w:pPr>
              <w:spacing w:line="360" w:lineRule="auto"/>
              <w:ind w:firstLine="465"/>
              <w:rPr>
                <w:rFonts w:hAnsi="宋体" w:cs="宋体"/>
                <w:color w:val="auto"/>
                <w:szCs w:val="24"/>
                <w:highlight w:val="none"/>
              </w:rPr>
            </w:pPr>
            <w:r>
              <w:rPr>
                <w:rFonts w:hint="eastAsia" w:hAnsi="宋体" w:cs="宋体"/>
                <w:color w:val="auto"/>
                <w:szCs w:val="24"/>
                <w:highlight w:val="none"/>
              </w:rPr>
              <w:t>磋商保证金的有效期与磋商有效期一致。</w:t>
            </w:r>
            <w:r>
              <w:rPr>
                <w:rFonts w:hint="eastAsia" w:hAnsi="宋体" w:cs="宋体"/>
                <w:color w:val="auto"/>
                <w:szCs w:val="22"/>
                <w:highlight w:val="none"/>
              </w:rPr>
              <w:t>担保机构出具的保函的有效期为磋商有效期延长一个月。</w:t>
            </w:r>
          </w:p>
          <w:p w14:paraId="42B67DA3">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14:paraId="1463CD29">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供应商以银行转账、电汇形式交纳保证金的，须从基本账户转出，并且在磋商响应文件递交截止前到达采购代理机构指定账户（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6D1D64F4">
            <w:pP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14:paraId="4E917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2FA924FF">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1090" w:type="dxa"/>
            <w:vAlign w:val="center"/>
          </w:tcPr>
          <w:p w14:paraId="096A0DF8">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215" w:type="dxa"/>
            <w:vAlign w:val="center"/>
          </w:tcPr>
          <w:p w14:paraId="0A390B3B">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35EE2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261E5249">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1090" w:type="dxa"/>
            <w:vAlign w:val="center"/>
          </w:tcPr>
          <w:p w14:paraId="14F097B4">
            <w:pPr>
              <w:spacing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215" w:type="dxa"/>
            <w:vAlign w:val="center"/>
          </w:tcPr>
          <w:p w14:paraId="76284B1B">
            <w:pPr>
              <w:spacing w:line="360" w:lineRule="auto"/>
              <w:rPr>
                <w:rFonts w:hAnsi="宋体" w:cs="宋体"/>
                <w:color w:val="auto"/>
                <w:szCs w:val="24"/>
                <w:highlight w:val="none"/>
              </w:rPr>
            </w:pPr>
            <w:r>
              <w:rPr>
                <w:rFonts w:hint="eastAsia" w:hAnsi="宋体" w:cs="宋体"/>
                <w:color w:val="auto"/>
                <w:szCs w:val="24"/>
                <w:highlight w:val="none"/>
              </w:rPr>
              <w:t>正本的份数：壹份；副本的份数：贰份；报价一览表：壹份；电子版（U盘）：壹份（需在盘面上标注供应商全称、项目名称、编号</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包号</w:t>
            </w:r>
            <w:r>
              <w:rPr>
                <w:rFonts w:hint="eastAsia" w:hAnsi="宋体" w:cs="宋体"/>
                <w:color w:val="auto"/>
                <w:szCs w:val="24"/>
                <w:highlight w:val="none"/>
              </w:rPr>
              <w:t>）。</w:t>
            </w:r>
          </w:p>
        </w:tc>
      </w:tr>
      <w:tr w14:paraId="5D4D0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3FA8FA33">
            <w:pPr>
              <w:spacing w:line="360" w:lineRule="auto"/>
              <w:jc w:val="center"/>
              <w:rPr>
                <w:rFonts w:hAnsi="宋体" w:cs="宋体"/>
                <w:color w:val="auto"/>
                <w:szCs w:val="24"/>
                <w:highlight w:val="none"/>
              </w:rPr>
            </w:pPr>
            <w:r>
              <w:rPr>
                <w:rFonts w:hint="eastAsia" w:hAnsi="宋体" w:cs="宋体"/>
                <w:color w:val="auto"/>
                <w:szCs w:val="24"/>
                <w:highlight w:val="none"/>
              </w:rPr>
              <w:t>10</w:t>
            </w:r>
          </w:p>
        </w:tc>
        <w:tc>
          <w:tcPr>
            <w:tcW w:w="1090" w:type="dxa"/>
            <w:vAlign w:val="center"/>
          </w:tcPr>
          <w:p w14:paraId="2EB2B28F">
            <w:pPr>
              <w:spacing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215" w:type="dxa"/>
            <w:vAlign w:val="center"/>
          </w:tcPr>
          <w:p w14:paraId="6F533EBA">
            <w:pPr>
              <w:spacing w:line="360" w:lineRule="auto"/>
              <w:rPr>
                <w:rFonts w:hAnsi="宋体" w:cs="宋体"/>
                <w:color w:val="auto"/>
                <w:szCs w:val="24"/>
                <w:highlight w:val="none"/>
              </w:rPr>
            </w:pPr>
            <w:r>
              <w:rPr>
                <w:rFonts w:hint="eastAsia" w:hAnsi="宋体" w:cs="宋体"/>
                <w:color w:val="auto"/>
                <w:szCs w:val="24"/>
                <w:highlight w:val="none"/>
              </w:rPr>
              <w:t>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tc>
      </w:tr>
      <w:tr w14:paraId="2A1DD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5FF6DDC5">
            <w:pPr>
              <w:spacing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1090" w:type="dxa"/>
            <w:vAlign w:val="center"/>
          </w:tcPr>
          <w:p w14:paraId="03DA8D77">
            <w:pPr>
              <w:spacing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215" w:type="dxa"/>
          </w:tcPr>
          <w:p w14:paraId="5A126C85">
            <w:pPr>
              <w:spacing w:line="360" w:lineRule="auto"/>
              <w:rPr>
                <w:rFonts w:hAnsi="宋体" w:cs="宋体"/>
                <w:color w:val="auto"/>
                <w:szCs w:val="24"/>
                <w:highlight w:val="none"/>
              </w:rPr>
            </w:pPr>
            <w:r>
              <w:rPr>
                <w:rFonts w:hint="eastAsia" w:hAnsi="宋体" w:cs="宋体"/>
                <w:color w:val="auto"/>
                <w:szCs w:val="24"/>
                <w:highlight w:val="none"/>
              </w:rPr>
              <w:t>磋商响应文件递交截止时间：详见磋商公告</w:t>
            </w:r>
          </w:p>
          <w:p w14:paraId="43B9E446">
            <w:pPr>
              <w:spacing w:line="360" w:lineRule="auto"/>
              <w:jc w:val="left"/>
              <w:rPr>
                <w:rFonts w:hAnsi="宋体" w:cs="宋体"/>
                <w:color w:val="auto"/>
                <w:szCs w:val="24"/>
                <w:highlight w:val="none"/>
              </w:rPr>
            </w:pPr>
            <w:r>
              <w:rPr>
                <w:rFonts w:hint="eastAsia" w:hAnsi="宋体" w:cs="宋体"/>
                <w:color w:val="auto"/>
                <w:szCs w:val="24"/>
                <w:highlight w:val="none"/>
              </w:rPr>
              <w:t>磋商响应文件递交地址：</w:t>
            </w:r>
            <w:r>
              <w:rPr>
                <w:rFonts w:hint="eastAsia" w:ascii="宋体" w:hAnsi="宋体" w:eastAsia="宋体" w:cs="宋体"/>
                <w:sz w:val="24"/>
                <w:szCs w:val="24"/>
                <w:highlight w:val="none"/>
              </w:rPr>
              <w:t>陕西省西安市经济技术开发区未央路171-1号银池道拉斯财富中心21楼03室</w:t>
            </w:r>
          </w:p>
          <w:p w14:paraId="2D935154">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1E42A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7C3BE1A0">
            <w:pPr>
              <w:spacing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1090" w:type="dxa"/>
            <w:vAlign w:val="center"/>
          </w:tcPr>
          <w:p w14:paraId="697A31C5">
            <w:pPr>
              <w:spacing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215" w:type="dxa"/>
            <w:vAlign w:val="center"/>
          </w:tcPr>
          <w:p w14:paraId="0040FE5E">
            <w:pPr>
              <w:spacing w:line="360" w:lineRule="auto"/>
              <w:rPr>
                <w:rFonts w:hAnsi="宋体" w:cs="宋体"/>
                <w:color w:val="auto"/>
                <w:szCs w:val="24"/>
                <w:highlight w:val="none"/>
              </w:rPr>
            </w:pPr>
            <w:r>
              <w:rPr>
                <w:rFonts w:hint="eastAsia" w:hAnsi="宋体" w:cs="宋体"/>
                <w:color w:val="auto"/>
                <w:szCs w:val="24"/>
                <w:highlight w:val="none"/>
              </w:rPr>
              <w:t>磋商时间：详见磋商公告</w:t>
            </w:r>
          </w:p>
          <w:p w14:paraId="658B6F77">
            <w:pPr>
              <w:spacing w:line="360" w:lineRule="auto"/>
              <w:rPr>
                <w:rFonts w:hAnsi="宋体" w:cs="宋体"/>
                <w:color w:val="auto"/>
                <w:szCs w:val="24"/>
                <w:highlight w:val="none"/>
              </w:rPr>
            </w:pPr>
            <w:r>
              <w:rPr>
                <w:rFonts w:hint="eastAsia" w:hAnsi="宋体" w:cs="宋体"/>
                <w:color w:val="auto"/>
                <w:szCs w:val="24"/>
                <w:highlight w:val="none"/>
              </w:rPr>
              <w:t>磋商地点：</w:t>
            </w:r>
            <w:r>
              <w:rPr>
                <w:rFonts w:hint="eastAsia" w:ascii="宋体" w:hAnsi="宋体" w:eastAsia="宋体" w:cs="宋体"/>
                <w:sz w:val="24"/>
                <w:szCs w:val="24"/>
                <w:highlight w:val="none"/>
              </w:rPr>
              <w:t>陕西省西安市经济技术开发区未央路171-1号银池道拉斯财富中心21楼03室</w:t>
            </w:r>
          </w:p>
        </w:tc>
      </w:tr>
      <w:tr w14:paraId="2634D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92" w:type="dxa"/>
            <w:vAlign w:val="center"/>
          </w:tcPr>
          <w:p w14:paraId="523636C8">
            <w:pPr>
              <w:spacing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1090" w:type="dxa"/>
            <w:vAlign w:val="center"/>
          </w:tcPr>
          <w:p w14:paraId="1ECA34DB">
            <w:pPr>
              <w:spacing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215" w:type="dxa"/>
            <w:vAlign w:val="center"/>
          </w:tcPr>
          <w:p w14:paraId="425E91A8">
            <w:pPr>
              <w:spacing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289CC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0585A112">
            <w:pPr>
              <w:spacing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1090" w:type="dxa"/>
            <w:vAlign w:val="center"/>
          </w:tcPr>
          <w:p w14:paraId="2562C02B">
            <w:pPr>
              <w:spacing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215" w:type="dxa"/>
            <w:vAlign w:val="center"/>
          </w:tcPr>
          <w:p w14:paraId="076EA597">
            <w:pPr>
              <w:spacing w:line="360" w:lineRule="auto"/>
              <w:rPr>
                <w:rFonts w:hAnsi="宋体" w:cs="宋体"/>
                <w:color w:val="auto"/>
                <w:szCs w:val="24"/>
                <w:highlight w:val="none"/>
              </w:rPr>
            </w:pPr>
            <w:r>
              <w:rPr>
                <w:rFonts w:hint="eastAsia" w:hAnsi="宋体" w:cs="宋体"/>
                <w:color w:val="auto"/>
                <w:szCs w:val="24"/>
                <w:highlight w:val="none"/>
              </w:rPr>
              <w:t>代理服务费：</w:t>
            </w:r>
          </w:p>
          <w:p w14:paraId="734131A5">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w:t>
            </w:r>
            <w:r>
              <w:rPr>
                <w:rFonts w:hint="eastAsia" w:hAnsi="宋体" w:cs="宋体"/>
                <w:color w:val="auto"/>
                <w:szCs w:val="24"/>
                <w:highlight w:val="none"/>
                <w:lang w:val="en-US" w:eastAsia="zh-CN"/>
              </w:rPr>
              <w:t>及</w:t>
            </w:r>
            <w:r>
              <w:rPr>
                <w:rFonts w:hint="eastAsia" w:hAnsi="宋体" w:cs="宋体"/>
                <w:color w:val="auto"/>
                <w:szCs w:val="24"/>
                <w:highlight w:val="none"/>
              </w:rPr>
              <w:t>国家发展和改革委员会办公厅颁发的《关于招标代理服务收费有关问题的通知》（发改办价格〔2003〕857号）的有关规定执行。</w:t>
            </w:r>
          </w:p>
          <w:p w14:paraId="51BD223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w:t>
            </w:r>
            <w:r>
              <w:rPr>
                <w:rFonts w:hint="eastAsia" w:hAnsi="宋体" w:cs="宋体"/>
                <w:color w:val="auto"/>
                <w:szCs w:val="24"/>
                <w:highlight w:val="none"/>
                <w:lang w:val="en-US" w:eastAsia="zh-CN"/>
              </w:rPr>
              <w:t>由中标单位支付。</w:t>
            </w:r>
            <w:r>
              <w:rPr>
                <w:rFonts w:hint="eastAsia" w:hAnsi="宋体" w:cs="宋体"/>
                <w:color w:val="auto"/>
                <w:szCs w:val="24"/>
                <w:highlight w:val="none"/>
              </w:rPr>
              <w:t>依据成交金额向招标代理机构交纳招标代理服务费。</w:t>
            </w:r>
          </w:p>
        </w:tc>
      </w:tr>
      <w:tr w14:paraId="5A6A2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76F78ECB">
            <w:pPr>
              <w:spacing w:afterLines="50" w:line="360" w:lineRule="auto"/>
              <w:jc w:val="center"/>
              <w:rPr>
                <w:rFonts w:hAnsi="宋体" w:cs="宋体"/>
                <w:color w:val="auto"/>
                <w:szCs w:val="24"/>
                <w:highlight w:val="none"/>
              </w:rPr>
            </w:pPr>
            <w:r>
              <w:rPr>
                <w:rFonts w:hint="eastAsia" w:hAnsi="宋体" w:cs="宋体"/>
                <w:color w:val="auto"/>
                <w:szCs w:val="24"/>
                <w:highlight w:val="none"/>
              </w:rPr>
              <w:t>15</w:t>
            </w:r>
          </w:p>
        </w:tc>
        <w:tc>
          <w:tcPr>
            <w:tcW w:w="1090" w:type="dxa"/>
            <w:vAlign w:val="center"/>
          </w:tcPr>
          <w:p w14:paraId="4B2DBA1F">
            <w:pPr>
              <w:spacing w:line="360" w:lineRule="auto"/>
              <w:jc w:val="center"/>
              <w:rPr>
                <w:rFonts w:hAnsi="宋体" w:cs="宋体"/>
                <w:color w:val="auto"/>
                <w:szCs w:val="24"/>
                <w:highlight w:val="none"/>
              </w:rPr>
            </w:pPr>
            <w:r>
              <w:rPr>
                <w:rFonts w:hint="eastAsia" w:hAnsi="宋体" w:cs="宋体"/>
                <w:color w:val="auto"/>
                <w:szCs w:val="24"/>
                <w:highlight w:val="none"/>
              </w:rPr>
              <w:t>踏勘</w:t>
            </w:r>
          </w:p>
          <w:p w14:paraId="4B04C291">
            <w:pPr>
              <w:spacing w:line="360" w:lineRule="auto"/>
              <w:jc w:val="center"/>
              <w:rPr>
                <w:rFonts w:hAnsi="宋体" w:cs="宋体"/>
                <w:color w:val="auto"/>
                <w:szCs w:val="24"/>
                <w:highlight w:val="none"/>
              </w:rPr>
            </w:pPr>
            <w:r>
              <w:rPr>
                <w:rFonts w:hint="eastAsia" w:hAnsi="宋体" w:cs="宋体"/>
                <w:color w:val="auto"/>
                <w:szCs w:val="24"/>
                <w:highlight w:val="none"/>
              </w:rPr>
              <w:t>现场</w:t>
            </w:r>
          </w:p>
        </w:tc>
        <w:tc>
          <w:tcPr>
            <w:tcW w:w="7215" w:type="dxa"/>
            <w:vAlign w:val="center"/>
          </w:tcPr>
          <w:p w14:paraId="6115896C">
            <w:pPr>
              <w:spacing w:line="360" w:lineRule="auto"/>
              <w:rPr>
                <w:rFonts w:hAnsi="宋体" w:cs="宋体"/>
                <w:color w:val="auto"/>
                <w:szCs w:val="24"/>
                <w:highlight w:val="none"/>
              </w:rPr>
            </w:pPr>
            <w:r>
              <w:rPr>
                <w:rFonts w:hint="eastAsia" w:hAnsi="宋体" w:cs="宋体"/>
                <w:color w:val="auto"/>
                <w:szCs w:val="24"/>
                <w:highlight w:val="none"/>
              </w:rPr>
              <w:t>1）招标代理机构不组织统一踏勘，各供应商自行踏勘，相关费用及安全由供应商自行承担，踏勘时遵守相关规定，不得扰民。</w:t>
            </w:r>
          </w:p>
          <w:p w14:paraId="7528F8E7">
            <w:pPr>
              <w:spacing w:line="360" w:lineRule="auto"/>
              <w:rPr>
                <w:rFonts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tc>
      </w:tr>
      <w:tr w14:paraId="565EA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83DDCA5">
            <w:pPr>
              <w:spacing w:afterLines="50" w:line="360" w:lineRule="auto"/>
              <w:jc w:val="center"/>
              <w:rPr>
                <w:rFonts w:hAnsi="宋体" w:cs="宋体"/>
                <w:color w:val="auto"/>
                <w:szCs w:val="24"/>
                <w:highlight w:val="none"/>
              </w:rPr>
            </w:pPr>
            <w:r>
              <w:rPr>
                <w:rFonts w:hint="eastAsia" w:hAnsi="宋体" w:cs="宋体"/>
                <w:color w:val="auto"/>
                <w:szCs w:val="24"/>
                <w:highlight w:val="none"/>
              </w:rPr>
              <w:t>16</w:t>
            </w:r>
          </w:p>
        </w:tc>
        <w:tc>
          <w:tcPr>
            <w:tcW w:w="1090" w:type="dxa"/>
            <w:vAlign w:val="center"/>
          </w:tcPr>
          <w:p w14:paraId="1073CA4E">
            <w:pPr>
              <w:jc w:val="center"/>
              <w:rPr>
                <w:rFonts w:hAnsi="宋体" w:cs="宋体"/>
                <w:b/>
                <w:bCs/>
                <w:color w:val="auto"/>
                <w:szCs w:val="24"/>
                <w:highlight w:val="none"/>
              </w:rPr>
            </w:pPr>
            <w:r>
              <w:rPr>
                <w:rFonts w:hint="eastAsia" w:hAnsi="宋体" w:cs="宋体"/>
                <w:b/>
                <w:bCs/>
                <w:color w:val="auto"/>
                <w:szCs w:val="24"/>
                <w:highlight w:val="none"/>
              </w:rPr>
              <w:t>银行</w:t>
            </w:r>
          </w:p>
          <w:p w14:paraId="2AAFD6FD">
            <w:pPr>
              <w:jc w:val="center"/>
              <w:rPr>
                <w:rFonts w:hAnsi="宋体" w:cs="宋体"/>
                <w:b/>
                <w:bCs/>
                <w:color w:val="auto"/>
                <w:szCs w:val="24"/>
                <w:highlight w:val="none"/>
              </w:rPr>
            </w:pPr>
            <w:r>
              <w:rPr>
                <w:rFonts w:hint="eastAsia" w:hAnsi="宋体" w:cs="宋体"/>
                <w:b/>
                <w:bCs/>
                <w:color w:val="auto"/>
                <w:szCs w:val="24"/>
                <w:highlight w:val="none"/>
              </w:rPr>
              <w:t>账户</w:t>
            </w:r>
          </w:p>
          <w:p w14:paraId="6F1B46B5">
            <w:pPr>
              <w:jc w:val="center"/>
              <w:rPr>
                <w:rFonts w:hAnsi="宋体" w:cs="宋体"/>
                <w:color w:val="auto"/>
                <w:szCs w:val="24"/>
                <w:highlight w:val="none"/>
              </w:rPr>
            </w:pPr>
            <w:r>
              <w:rPr>
                <w:rFonts w:hint="eastAsia" w:hAnsi="宋体" w:cs="宋体"/>
                <w:b/>
                <w:bCs/>
                <w:color w:val="auto"/>
                <w:szCs w:val="24"/>
                <w:highlight w:val="none"/>
              </w:rPr>
              <w:t>信息</w:t>
            </w:r>
          </w:p>
        </w:tc>
        <w:tc>
          <w:tcPr>
            <w:tcW w:w="7215" w:type="dxa"/>
            <w:vAlign w:val="center"/>
          </w:tcPr>
          <w:p w14:paraId="47A4FD5B">
            <w:pPr>
              <w:spacing w:line="520" w:lineRule="exact"/>
              <w:rPr>
                <w:rFonts w:hAnsi="宋体" w:cs="宋体"/>
                <w:b/>
                <w:bCs/>
                <w:color w:val="auto"/>
                <w:szCs w:val="24"/>
                <w:highlight w:val="none"/>
              </w:rPr>
            </w:pPr>
            <w:r>
              <w:rPr>
                <w:rFonts w:hint="eastAsia" w:hAnsi="宋体" w:cs="宋体"/>
                <w:b/>
                <w:bCs/>
                <w:color w:val="auto"/>
                <w:szCs w:val="24"/>
                <w:highlight w:val="none"/>
              </w:rPr>
              <w:t>1、保证金及代理服务费账户：</w:t>
            </w:r>
          </w:p>
          <w:p w14:paraId="3C4076FF">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①采购代理机构开户名称: 陕西至诚项目管理集团有限公司</w:t>
            </w:r>
          </w:p>
          <w:p w14:paraId="5D1D912E">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②开户行名称：中国建设银行股份有限公司西安高新技术产业开发区支行</w:t>
            </w:r>
          </w:p>
          <w:p w14:paraId="4B472E0B">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③账号：61050192090000002152</w:t>
            </w:r>
          </w:p>
        </w:tc>
      </w:tr>
      <w:tr w14:paraId="3FDBC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26A924E0">
            <w:pPr>
              <w:spacing w:afterLines="50" w:line="360" w:lineRule="auto"/>
              <w:jc w:val="center"/>
              <w:rPr>
                <w:rFonts w:hAnsi="宋体" w:cs="宋体"/>
                <w:color w:val="auto"/>
                <w:szCs w:val="24"/>
                <w:highlight w:val="none"/>
              </w:rPr>
            </w:pPr>
            <w:r>
              <w:rPr>
                <w:rFonts w:hint="eastAsia" w:hAnsi="宋体" w:cs="宋体"/>
                <w:color w:val="auto"/>
                <w:szCs w:val="24"/>
                <w:highlight w:val="none"/>
              </w:rPr>
              <w:t>17</w:t>
            </w:r>
          </w:p>
        </w:tc>
        <w:tc>
          <w:tcPr>
            <w:tcW w:w="1090" w:type="dxa"/>
            <w:vAlign w:val="center"/>
          </w:tcPr>
          <w:p w14:paraId="49A2F757">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项目</w:t>
            </w:r>
          </w:p>
          <w:p w14:paraId="25C1E614">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性质</w:t>
            </w:r>
          </w:p>
        </w:tc>
        <w:tc>
          <w:tcPr>
            <w:tcW w:w="7215" w:type="dxa"/>
            <w:vAlign w:val="center"/>
          </w:tcPr>
          <w:p w14:paraId="0EAD0E66">
            <w:pPr>
              <w:spacing w:line="500" w:lineRule="exact"/>
              <w:rPr>
                <w:rFonts w:hAnsi="宋体" w:cs="宋体"/>
                <w:b/>
                <w:bCs/>
                <w:color w:val="auto"/>
                <w:szCs w:val="24"/>
                <w:highlight w:val="none"/>
              </w:rPr>
            </w:pPr>
            <w:r>
              <w:rPr>
                <w:rFonts w:hint="eastAsia" w:hAnsi="宋体" w:cs="宋体"/>
                <w:b/>
                <w:bCs/>
                <w:color w:val="auto"/>
                <w:szCs w:val="24"/>
                <w:highlight w:val="none"/>
              </w:rPr>
              <w:t>本项目专门面向中小企业</w:t>
            </w:r>
          </w:p>
        </w:tc>
      </w:tr>
      <w:tr w14:paraId="788BF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59CFB9A">
            <w:pPr>
              <w:spacing w:afterLines="50" w:line="360" w:lineRule="auto"/>
              <w:jc w:val="center"/>
              <w:rPr>
                <w:rFonts w:hAnsi="宋体" w:cs="宋体"/>
                <w:color w:val="auto"/>
                <w:szCs w:val="24"/>
                <w:highlight w:val="none"/>
              </w:rPr>
            </w:pPr>
            <w:r>
              <w:rPr>
                <w:rFonts w:hint="eastAsia" w:hAnsi="宋体" w:cs="宋体"/>
                <w:color w:val="auto"/>
                <w:szCs w:val="24"/>
                <w:highlight w:val="none"/>
              </w:rPr>
              <w:t>18</w:t>
            </w:r>
          </w:p>
        </w:tc>
        <w:tc>
          <w:tcPr>
            <w:tcW w:w="1090" w:type="dxa"/>
            <w:vAlign w:val="center"/>
          </w:tcPr>
          <w:p w14:paraId="3CFE050F">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lang w:val="en-US" w:eastAsia="zh-CN"/>
              </w:rPr>
              <w:t>项目</w:t>
            </w:r>
            <w:r>
              <w:rPr>
                <w:rFonts w:hint="eastAsia" w:hAnsi="宋体" w:cs="宋体"/>
                <w:b/>
                <w:bCs/>
                <w:color w:val="auto"/>
                <w:szCs w:val="24"/>
                <w:highlight w:val="none"/>
              </w:rPr>
              <w:t>所属行业</w:t>
            </w:r>
          </w:p>
        </w:tc>
        <w:tc>
          <w:tcPr>
            <w:tcW w:w="7215" w:type="dxa"/>
            <w:vAlign w:val="center"/>
          </w:tcPr>
          <w:p w14:paraId="7345D1EE">
            <w:pPr>
              <w:spacing w:line="500" w:lineRule="exact"/>
              <w:rPr>
                <w:rFonts w:hint="default" w:hAnsi="宋体" w:eastAsia="宋体" w:cs="宋体"/>
                <w:b/>
                <w:bCs/>
                <w:color w:val="auto"/>
                <w:szCs w:val="24"/>
                <w:highlight w:val="none"/>
                <w:lang w:val="en-US" w:eastAsia="zh-CN"/>
              </w:rPr>
            </w:pPr>
            <w:r>
              <w:rPr>
                <w:rFonts w:hint="default" w:hAnsi="宋体" w:eastAsia="宋体" w:cs="宋体"/>
                <w:b/>
                <w:bCs/>
                <w:color w:val="auto"/>
                <w:szCs w:val="24"/>
                <w:highlight w:val="none"/>
                <w:lang w:val="en-US" w:eastAsia="zh-CN"/>
              </w:rPr>
              <w:t>农、林、牧、渔业</w:t>
            </w:r>
          </w:p>
        </w:tc>
      </w:tr>
      <w:tr w14:paraId="2924B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5B843400">
            <w:pPr>
              <w:spacing w:afterLines="50"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19</w:t>
            </w:r>
          </w:p>
        </w:tc>
        <w:tc>
          <w:tcPr>
            <w:tcW w:w="1090" w:type="dxa"/>
            <w:vAlign w:val="center"/>
          </w:tcPr>
          <w:p w14:paraId="167F30B1">
            <w:pPr>
              <w:widowControl/>
              <w:spacing w:line="360" w:lineRule="auto"/>
              <w:jc w:val="center"/>
              <w:rPr>
                <w:rFonts w:hAnsi="宋体" w:cs="宋体"/>
                <w:b/>
                <w:bCs/>
                <w:color w:val="auto"/>
                <w:szCs w:val="24"/>
                <w:highlight w:val="none"/>
              </w:rPr>
            </w:pPr>
            <w:r>
              <w:rPr>
                <w:rFonts w:hint="eastAsia" w:hAnsi="宋体" w:cs="宋体"/>
                <w:color w:val="auto"/>
                <w:kern w:val="2"/>
                <w:szCs w:val="24"/>
                <w:highlight w:val="none"/>
              </w:rPr>
              <w:t>其他</w:t>
            </w:r>
          </w:p>
        </w:tc>
        <w:tc>
          <w:tcPr>
            <w:tcW w:w="7215" w:type="dxa"/>
            <w:vAlign w:val="center"/>
          </w:tcPr>
          <w:p w14:paraId="0886B17A">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2874CE5B">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14:paraId="398860AD">
            <w:pPr>
              <w:spacing w:line="500" w:lineRule="exact"/>
              <w:ind w:firstLine="480" w:firstLineChars="200"/>
              <w:rPr>
                <w:rFonts w:hAnsi="宋体" w:cs="宋体"/>
                <w:b/>
                <w:bCs/>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373B4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592" w:type="dxa"/>
            <w:vAlign w:val="center"/>
          </w:tcPr>
          <w:p w14:paraId="11F5DF62">
            <w:pPr>
              <w:spacing w:afterLines="50"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rPr>
              <w:t>2</w:t>
            </w:r>
            <w:r>
              <w:rPr>
                <w:rFonts w:hint="eastAsia" w:hAnsi="宋体" w:cs="宋体"/>
                <w:color w:val="auto"/>
                <w:szCs w:val="24"/>
                <w:highlight w:val="none"/>
                <w:lang w:val="en-US" w:eastAsia="zh-CN"/>
              </w:rPr>
              <w:t>0</w:t>
            </w:r>
          </w:p>
        </w:tc>
        <w:tc>
          <w:tcPr>
            <w:tcW w:w="1090" w:type="dxa"/>
            <w:vAlign w:val="center"/>
          </w:tcPr>
          <w:p w14:paraId="52EAC4BB">
            <w:pPr>
              <w:spacing w:line="312" w:lineRule="auto"/>
              <w:jc w:val="center"/>
              <w:rPr>
                <w:rFonts w:hAnsi="宋体" w:cs="宋体"/>
                <w:color w:val="auto"/>
                <w:kern w:val="2"/>
                <w:szCs w:val="24"/>
                <w:highlight w:val="none"/>
              </w:rPr>
            </w:pPr>
            <w:r>
              <w:rPr>
                <w:rFonts w:hint="eastAsia" w:hAnsi="宋体" w:cs="宋体"/>
                <w:color w:val="auto"/>
                <w:szCs w:val="24"/>
                <w:highlight w:val="none"/>
              </w:rPr>
              <w:t>价格得分扣减</w:t>
            </w:r>
          </w:p>
        </w:tc>
        <w:tc>
          <w:tcPr>
            <w:tcW w:w="7215" w:type="dxa"/>
            <w:vAlign w:val="center"/>
          </w:tcPr>
          <w:p w14:paraId="1795BF16">
            <w:pPr>
              <w:spacing w:line="500" w:lineRule="exact"/>
              <w:ind w:firstLine="480" w:firstLineChars="200"/>
              <w:rPr>
                <w:rFonts w:hint="default" w:hAnsi="宋体" w:eastAsia="宋体" w:cs="宋体"/>
                <w:color w:val="auto"/>
                <w:szCs w:val="32"/>
                <w:highlight w:val="none"/>
                <w:lang w:val="en-US" w:eastAsia="zh-CN"/>
              </w:rPr>
            </w:pPr>
            <w:r>
              <w:rPr>
                <w:rFonts w:hint="eastAsia" w:hAnsi="宋体" w:cs="宋体"/>
                <w:color w:val="auto"/>
                <w:szCs w:val="32"/>
                <w:highlight w:val="none"/>
              </w:rPr>
              <w:t>对符合《政府采购促进中小企业发展管理办法》(财库(2020)46号)规定的小微企业(监狱企业视同小型、微型企业)的报价给予10%(10%-20%)的扣除,用扣除后的价格参加评审。</w:t>
            </w:r>
            <w:r>
              <w:rPr>
                <w:rFonts w:hint="eastAsia" w:hAnsi="宋体" w:cs="宋体"/>
                <w:color w:val="auto"/>
                <w:szCs w:val="32"/>
                <w:highlight w:val="none"/>
                <w:lang w:val="en-US" w:eastAsia="zh-CN"/>
              </w:rPr>
              <w:t>本项目为专门面向中小企业采购，不再进行价格得分的扣减。</w:t>
            </w:r>
          </w:p>
        </w:tc>
      </w:tr>
      <w:tr w14:paraId="46345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49DE4F21">
            <w:pPr>
              <w:widowControl/>
              <w:spacing w:line="360" w:lineRule="auto"/>
              <w:jc w:val="center"/>
              <w:rPr>
                <w:rFonts w:hint="eastAsia" w:hAnsi="宋体" w:eastAsia="宋体" w:cs="宋体"/>
                <w:b/>
                <w:bCs/>
                <w:color w:val="auto"/>
                <w:szCs w:val="24"/>
                <w:highlight w:val="none"/>
                <w:lang w:val="en-US" w:eastAsia="zh-CN"/>
              </w:rPr>
            </w:pPr>
            <w:r>
              <w:rPr>
                <w:rFonts w:hint="eastAsia" w:hAnsi="宋体" w:cs="宋体"/>
                <w:b/>
                <w:bCs/>
                <w:color w:val="auto"/>
                <w:szCs w:val="24"/>
                <w:highlight w:val="none"/>
              </w:rPr>
              <w:t>2</w:t>
            </w:r>
            <w:r>
              <w:rPr>
                <w:rFonts w:hint="eastAsia" w:hAnsi="宋体" w:cs="宋体"/>
                <w:b/>
                <w:bCs/>
                <w:color w:val="auto"/>
                <w:szCs w:val="24"/>
                <w:highlight w:val="none"/>
                <w:lang w:val="en-US" w:eastAsia="zh-CN"/>
              </w:rPr>
              <w:t>1</w:t>
            </w:r>
          </w:p>
        </w:tc>
        <w:tc>
          <w:tcPr>
            <w:tcW w:w="1090" w:type="dxa"/>
            <w:vAlign w:val="center"/>
          </w:tcPr>
          <w:p w14:paraId="1F97422A">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215" w:type="dxa"/>
            <w:vAlign w:val="center"/>
          </w:tcPr>
          <w:p w14:paraId="60C83C36">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61AF1C11">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7E166DE1">
      <w:pPr>
        <w:spacing w:beforeLines="50" w:afterLines="50"/>
        <w:jc w:val="center"/>
        <w:outlineLvl w:val="2"/>
        <w:rPr>
          <w:rFonts w:hAnsi="宋体" w:cs="宋体"/>
          <w:color w:val="auto"/>
          <w:sz w:val="32"/>
          <w:szCs w:val="32"/>
          <w:highlight w:val="none"/>
        </w:rPr>
      </w:pPr>
      <w:bookmarkStart w:id="30" w:name="_Toc363474017"/>
      <w:bookmarkStart w:id="31" w:name="_Toc363473972"/>
      <w:bookmarkStart w:id="32" w:name="_Toc403077639"/>
      <w:r>
        <w:rPr>
          <w:rFonts w:hint="eastAsia" w:hAnsi="宋体" w:cs="宋体"/>
          <w:b/>
          <w:color w:val="auto"/>
          <w:sz w:val="32"/>
          <w:szCs w:val="32"/>
          <w:highlight w:val="none"/>
        </w:rPr>
        <w:br w:type="page"/>
      </w:r>
      <w:bookmarkStart w:id="33" w:name="_Toc30660"/>
      <w:bookmarkStart w:id="34" w:name="_Toc3623"/>
      <w:bookmarkStart w:id="35" w:name="_Toc27537"/>
      <w:bookmarkStart w:id="36" w:name="_Toc4670"/>
      <w:bookmarkStart w:id="37" w:name="_Toc22284"/>
      <w:bookmarkStart w:id="38" w:name="_Toc19694"/>
      <w:r>
        <w:rPr>
          <w:rFonts w:hint="eastAsia" w:hAnsi="宋体" w:cs="宋体"/>
          <w:b/>
          <w:color w:val="auto"/>
          <w:sz w:val="32"/>
          <w:szCs w:val="32"/>
          <w:highlight w:val="none"/>
        </w:rPr>
        <w:t>一.总  则</w:t>
      </w:r>
      <w:bookmarkEnd w:id="30"/>
      <w:bookmarkEnd w:id="31"/>
      <w:bookmarkEnd w:id="32"/>
      <w:bookmarkEnd w:id="33"/>
      <w:bookmarkEnd w:id="34"/>
      <w:bookmarkEnd w:id="35"/>
      <w:bookmarkEnd w:id="36"/>
      <w:bookmarkEnd w:id="37"/>
      <w:bookmarkEnd w:id="38"/>
    </w:p>
    <w:p w14:paraId="0F337EDC">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3894615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1.1本次竞争性磋商所签合同使用财政拨款支付，资金已落实到位。</w:t>
      </w:r>
    </w:p>
    <w:p w14:paraId="499D2052">
      <w:pPr>
        <w:numPr>
          <w:ilvl w:val="0"/>
          <w:numId w:val="1"/>
        </w:numPr>
        <w:spacing w:line="500" w:lineRule="exact"/>
        <w:rPr>
          <w:rFonts w:hAnsi="宋体" w:cs="宋体"/>
          <w:b/>
          <w:color w:val="auto"/>
          <w:szCs w:val="24"/>
          <w:highlight w:val="none"/>
        </w:rPr>
      </w:pPr>
      <w:bookmarkStart w:id="39" w:name="_Toc403077640"/>
      <w:bookmarkStart w:id="40" w:name="_Toc363473973"/>
      <w:bookmarkStart w:id="41" w:name="_Toc363474018"/>
      <w:r>
        <w:rPr>
          <w:rFonts w:hint="eastAsia" w:hAnsi="宋体" w:cs="宋体"/>
          <w:b/>
          <w:color w:val="auto"/>
          <w:szCs w:val="24"/>
          <w:highlight w:val="none"/>
        </w:rPr>
        <w:t>名词解释</w:t>
      </w:r>
    </w:p>
    <w:p w14:paraId="1AF2A906">
      <w:pPr>
        <w:tabs>
          <w:tab w:val="left" w:pos="7665"/>
        </w:tabs>
        <w:spacing w:line="360" w:lineRule="auto"/>
        <w:ind w:firstLine="480" w:firstLineChars="200"/>
        <w:rPr>
          <w:rFonts w:hint="eastAsia" w:hAnsi="宋体" w:eastAsia="宋体" w:cs="宋体"/>
          <w:color w:val="auto"/>
          <w:szCs w:val="22"/>
          <w:highlight w:val="none"/>
          <w:lang w:eastAsia="zh-CN"/>
        </w:rPr>
      </w:pPr>
      <w:r>
        <w:rPr>
          <w:rFonts w:hint="eastAsia" w:hAnsi="宋体" w:cs="宋体"/>
          <w:color w:val="auto"/>
          <w:szCs w:val="22"/>
          <w:highlight w:val="none"/>
        </w:rPr>
        <w:t>2.1采购人：丹凤县林业局</w:t>
      </w:r>
    </w:p>
    <w:p w14:paraId="72321C98">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14:paraId="5D4CE49E">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1A8ED0FC">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62499BB3">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038A5890">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3C9A5B1B">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13EBF635">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5ABB2BEF">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2DBD42F6">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42BE2F">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2180AF6E">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710F7C97">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3.1《中华人民共和国政府采购法》第二十二条第一款规定的供应商基本资格条件:</w:t>
      </w:r>
    </w:p>
    <w:p w14:paraId="4780683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3AE96C9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57E91FF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22FAAD7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2AB0692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4AB0515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3C7FB951">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5EE2628E">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CF2DE26">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1DDB560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4555CED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4799A638">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64390F2C">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379D7789">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22F8AFE3">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7A90809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638D7664">
      <w:pPr>
        <w:keepNext/>
        <w:keepLines/>
        <w:spacing w:beforeLines="100" w:afterLines="50" w:line="360" w:lineRule="auto"/>
        <w:jc w:val="center"/>
        <w:outlineLvl w:val="2"/>
        <w:rPr>
          <w:rFonts w:hAnsi="宋体" w:cs="宋体"/>
          <w:b/>
          <w:color w:val="auto"/>
          <w:sz w:val="32"/>
          <w:szCs w:val="32"/>
          <w:highlight w:val="none"/>
        </w:rPr>
      </w:pPr>
      <w:bookmarkStart w:id="42" w:name="_Toc30698"/>
      <w:bookmarkStart w:id="43" w:name="_Toc27903"/>
      <w:bookmarkStart w:id="44" w:name="_Toc31742"/>
      <w:bookmarkStart w:id="45" w:name="_Toc15249"/>
      <w:bookmarkStart w:id="46" w:name="_Toc29834"/>
      <w:bookmarkStart w:id="47" w:name="_Toc12362"/>
      <w:r>
        <w:rPr>
          <w:rFonts w:hint="eastAsia" w:hAnsi="宋体" w:cs="宋体"/>
          <w:b/>
          <w:color w:val="auto"/>
          <w:sz w:val="32"/>
          <w:szCs w:val="32"/>
          <w:highlight w:val="none"/>
        </w:rPr>
        <w:t>二.竞争性磋商文件</w:t>
      </w:r>
      <w:bookmarkEnd w:id="39"/>
      <w:bookmarkEnd w:id="40"/>
      <w:bookmarkEnd w:id="41"/>
      <w:bookmarkEnd w:id="42"/>
      <w:bookmarkEnd w:id="43"/>
      <w:bookmarkEnd w:id="44"/>
      <w:bookmarkEnd w:id="45"/>
      <w:bookmarkEnd w:id="46"/>
      <w:bookmarkEnd w:id="47"/>
    </w:p>
    <w:p w14:paraId="26CB46D8">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154D9C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01D7EA0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第一章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竞争性磋商公告</w:t>
      </w:r>
    </w:p>
    <w:p w14:paraId="583ECA6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第二章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供应商须知</w:t>
      </w:r>
    </w:p>
    <w:p w14:paraId="7A8FDF3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第三章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评审方法</w:t>
      </w:r>
    </w:p>
    <w:p w14:paraId="2F41D10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第四章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合同条款及格式</w:t>
      </w:r>
    </w:p>
    <w:p w14:paraId="2286EB2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第五章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磋商内容及技术要求</w:t>
      </w:r>
    </w:p>
    <w:p w14:paraId="278E354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竞争性磋商响应文件构成及格式</w:t>
      </w:r>
    </w:p>
    <w:p w14:paraId="1CE08BC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0EDE721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4B9FFB5D">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4C183CF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06EC87A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636301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7.3已经购买竞争性磋商文件的供应商对竞争性磋商文件有疑问的，均应在磋商截止之日起3日前以书面形式向采购代理机构提出。采购代理机构视情况必要时将书面答复传送给所有获取竞争性磋商文件的供应商。</w:t>
      </w:r>
    </w:p>
    <w:p w14:paraId="58CE99B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25272226">
      <w:pPr>
        <w:keepNext/>
        <w:keepLines/>
        <w:spacing w:beforeLines="100" w:afterLines="50" w:line="360" w:lineRule="auto"/>
        <w:jc w:val="center"/>
        <w:outlineLvl w:val="2"/>
        <w:rPr>
          <w:rFonts w:hAnsi="宋体" w:cs="宋体"/>
          <w:b/>
          <w:color w:val="auto"/>
          <w:sz w:val="32"/>
          <w:szCs w:val="32"/>
          <w:highlight w:val="none"/>
        </w:rPr>
      </w:pPr>
      <w:bookmarkStart w:id="48" w:name="_Toc363474019"/>
      <w:bookmarkStart w:id="49" w:name="_Toc363473974"/>
      <w:bookmarkStart w:id="50" w:name="_Toc5801"/>
      <w:bookmarkStart w:id="51" w:name="_Toc403077641"/>
      <w:bookmarkStart w:id="52" w:name="_Toc26653"/>
      <w:bookmarkStart w:id="53" w:name="_Toc28227"/>
      <w:bookmarkStart w:id="54" w:name="_Toc13771"/>
      <w:bookmarkStart w:id="55" w:name="_Toc9512"/>
      <w:bookmarkStart w:id="56" w:name="_Toc4913"/>
      <w:r>
        <w:rPr>
          <w:rFonts w:hint="eastAsia" w:hAnsi="宋体" w:cs="宋体"/>
          <w:b/>
          <w:color w:val="auto"/>
          <w:sz w:val="32"/>
          <w:szCs w:val="32"/>
          <w:highlight w:val="none"/>
        </w:rPr>
        <w:t>三.磋商响应文件的编制</w:t>
      </w:r>
      <w:bookmarkEnd w:id="48"/>
      <w:bookmarkEnd w:id="49"/>
      <w:bookmarkEnd w:id="50"/>
      <w:bookmarkEnd w:id="51"/>
      <w:bookmarkEnd w:id="52"/>
      <w:bookmarkEnd w:id="53"/>
      <w:bookmarkEnd w:id="54"/>
      <w:bookmarkEnd w:id="55"/>
      <w:bookmarkEnd w:id="56"/>
    </w:p>
    <w:p w14:paraId="483C11A5">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3CE1668A">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0EA324B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41B0E7B2">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29F0B40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1D25B8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7E46468F">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2EA0D10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6ADBA47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254D2DB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7BC8EEC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6E33FC7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w:t>
      </w:r>
      <w:r>
        <w:rPr>
          <w:rFonts w:hint="eastAsia" w:hAnsi="宋体" w:cs="宋体"/>
          <w:color w:val="auto"/>
          <w:szCs w:val="24"/>
          <w:highlight w:val="none"/>
          <w:lang w:val="en-US" w:eastAsia="zh-CN"/>
        </w:rPr>
        <w:t>包</w:t>
      </w:r>
      <w:r>
        <w:rPr>
          <w:rFonts w:hint="eastAsia" w:hAnsi="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p w14:paraId="244C15D4">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6F42ABE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2B091924">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7744A2A5">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7BD88AFB">
      <w:pPr>
        <w:spacing w:line="360" w:lineRule="auto"/>
        <w:ind w:firstLine="480"/>
        <w:rPr>
          <w:rFonts w:hAnsi="宋体" w:cs="宋体"/>
          <w:color w:val="auto"/>
          <w:szCs w:val="24"/>
          <w:highlight w:val="none"/>
        </w:rPr>
      </w:pPr>
      <w:r>
        <w:rPr>
          <w:rFonts w:hint="eastAsia" w:hAnsi="宋体" w:cs="宋体"/>
          <w:color w:val="auto"/>
          <w:szCs w:val="24"/>
          <w:highlight w:val="none"/>
        </w:rPr>
        <w:t>11.1磋商报价：磋商报价是供应商为完成本项目要求的全部服务内容最终价格的体现。</w:t>
      </w:r>
    </w:p>
    <w:p w14:paraId="3BBC49E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w:t>
      </w:r>
    </w:p>
    <w:p w14:paraId="19B24F6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02FDFF3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76F1456C">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2BCAB57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04649717">
      <w:pPr>
        <w:spacing w:line="360" w:lineRule="auto"/>
        <w:rPr>
          <w:rFonts w:hAnsi="宋体" w:cs="宋体"/>
          <w:b/>
          <w:color w:val="auto"/>
          <w:szCs w:val="24"/>
          <w:highlight w:val="none"/>
        </w:rPr>
      </w:pPr>
      <w:r>
        <w:rPr>
          <w:rFonts w:hint="eastAsia" w:hAnsi="宋体" w:cs="宋体"/>
          <w:b/>
          <w:color w:val="auto"/>
          <w:szCs w:val="24"/>
          <w:highlight w:val="none"/>
        </w:rPr>
        <w:t>13.证明服务符合竞争性磋商文件规定的文件</w:t>
      </w:r>
    </w:p>
    <w:p w14:paraId="3EAB3C0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13.1供应商应在竞争性磋商响应文件中提交服务满足竞争性磋商文件要求并符合国家法律法规、行业管理部门要求的其他强制性标准的证明文件。</w:t>
      </w:r>
    </w:p>
    <w:p w14:paraId="79BE703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13.2 供应商须提供全部服务内容的详细说明。</w:t>
      </w:r>
    </w:p>
    <w:p w14:paraId="5FE19A5C">
      <w:pPr>
        <w:spacing w:line="360" w:lineRule="auto"/>
        <w:rPr>
          <w:rFonts w:hAnsi="宋体" w:cs="宋体"/>
          <w:b/>
          <w:color w:val="auto"/>
          <w:szCs w:val="24"/>
          <w:highlight w:val="none"/>
        </w:rPr>
      </w:pPr>
      <w:r>
        <w:rPr>
          <w:rFonts w:hint="eastAsia" w:hAnsi="宋体" w:cs="宋体"/>
          <w:b/>
          <w:color w:val="auto"/>
          <w:szCs w:val="24"/>
          <w:highlight w:val="none"/>
        </w:rPr>
        <w:t>14.磋商保证金</w:t>
      </w:r>
    </w:p>
    <w:p w14:paraId="38C5B06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49560DA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5119BCF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3D83B7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6ABF150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25A7B42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14.6未成交供应商的磋商保证金，将在成交通知书发出后五个工作日内按原账户退还；成交供应商的磋商保证金，在采购合同签订并按规定缴纳成交代理服务费后五个工作日内退还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0A58596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6DB93BB">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44FDB67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14:paraId="719003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547B40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供应商成交后放弃成交或未能按规定签订合同；或未能按规定缴纳成交代理服务费。</w:t>
      </w:r>
    </w:p>
    <w:p w14:paraId="7CD942A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62D994B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338A7EB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11AE1303">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4A0669AF">
      <w:pPr>
        <w:spacing w:line="360" w:lineRule="auto"/>
        <w:ind w:firstLine="480" w:firstLineChars="200"/>
        <w:rPr>
          <w:rFonts w:hAnsi="宋体" w:cs="宋体"/>
          <w:color w:val="auto"/>
          <w:szCs w:val="24"/>
          <w:highlight w:val="none"/>
        </w:rPr>
      </w:pPr>
      <w:bookmarkStart w:id="57"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57"/>
    </w:p>
    <w:p w14:paraId="0A09D51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40A0E6FC">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542615F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电子版（U盘）</w:t>
      </w:r>
      <w:r>
        <w:rPr>
          <w:rFonts w:hint="eastAsia" w:hAnsi="宋体" w:cs="宋体"/>
          <w:color w:val="auto"/>
          <w:szCs w:val="24"/>
          <w:highlight w:val="none"/>
        </w:rPr>
        <w:t>并在盘面标注供应商全称、项目名称、项目编号，并与竞争性磋商响应文件同时递交。</w:t>
      </w:r>
    </w:p>
    <w:p w14:paraId="22CFE647">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76DBA1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6673B84E">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16.4供应商名称应填写全称。磋商响应文件正本及所有副本必须逐页加盖供应商公章（鲜章），否则按无效处理。</w:t>
      </w:r>
    </w:p>
    <w:p w14:paraId="27C015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476EBE47">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50C98647">
      <w:pPr>
        <w:keepNext/>
        <w:keepLines/>
        <w:spacing w:beforeLines="100" w:afterLines="50" w:line="360" w:lineRule="auto"/>
        <w:jc w:val="center"/>
        <w:outlineLvl w:val="2"/>
        <w:rPr>
          <w:rFonts w:hAnsi="宋体" w:cs="宋体"/>
          <w:b/>
          <w:color w:val="auto"/>
          <w:sz w:val="32"/>
          <w:szCs w:val="32"/>
          <w:highlight w:val="none"/>
        </w:rPr>
      </w:pPr>
      <w:bookmarkStart w:id="58" w:name="_Toc12266"/>
      <w:bookmarkStart w:id="59" w:name="_Toc13194"/>
      <w:bookmarkStart w:id="60" w:name="_Toc28120"/>
      <w:bookmarkStart w:id="61" w:name="_Toc18686"/>
      <w:bookmarkStart w:id="62" w:name="_Toc20799"/>
      <w:bookmarkStart w:id="63" w:name="_Toc12968"/>
      <w:r>
        <w:rPr>
          <w:rFonts w:hint="eastAsia" w:hAnsi="宋体" w:cs="宋体"/>
          <w:b/>
          <w:color w:val="auto"/>
          <w:sz w:val="32"/>
          <w:szCs w:val="32"/>
          <w:highlight w:val="none"/>
        </w:rPr>
        <w:t>四.竞争性磋商响应文件的递交</w:t>
      </w:r>
      <w:bookmarkEnd w:id="58"/>
      <w:bookmarkEnd w:id="59"/>
      <w:bookmarkEnd w:id="60"/>
      <w:bookmarkEnd w:id="61"/>
      <w:bookmarkEnd w:id="62"/>
      <w:bookmarkEnd w:id="63"/>
    </w:p>
    <w:p w14:paraId="2F836473">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1C2430C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35A6EC00">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p w14:paraId="06B2F7C4">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476B29DF">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07658096">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2B8B16F2">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3）正本或副本“请勿在＿＿＿＿＿(磋商时间)之前启封”。</w:t>
      </w:r>
    </w:p>
    <w:p w14:paraId="1563D79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17.4如果供应商未对竞争性磋商响应文件按上述要求进行完好密封，由此产生的不利后果由供应商自行承担。</w:t>
      </w:r>
    </w:p>
    <w:p w14:paraId="71EF075E">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59D4894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029F947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01BD062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09F22223">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490834C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26FE61D3">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3B82F13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05FAE20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24D14A9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08655A87">
      <w:pPr>
        <w:keepNext/>
        <w:keepLines/>
        <w:spacing w:beforeLines="100" w:afterLines="50" w:line="360" w:lineRule="auto"/>
        <w:jc w:val="center"/>
        <w:outlineLvl w:val="2"/>
        <w:rPr>
          <w:rFonts w:hAnsi="宋体" w:cs="宋体"/>
          <w:b/>
          <w:color w:val="auto"/>
          <w:sz w:val="32"/>
          <w:szCs w:val="32"/>
          <w:highlight w:val="none"/>
        </w:rPr>
      </w:pPr>
      <w:bookmarkStart w:id="64" w:name="_Toc30850"/>
      <w:bookmarkStart w:id="65" w:name="_Toc25852"/>
      <w:bookmarkStart w:id="66" w:name="_Toc13669"/>
      <w:bookmarkStart w:id="67" w:name="_Toc363473976"/>
      <w:bookmarkStart w:id="68" w:name="_Toc15436"/>
      <w:bookmarkStart w:id="69" w:name="_Toc363474021"/>
      <w:bookmarkStart w:id="70" w:name="_Toc22043"/>
      <w:bookmarkStart w:id="71" w:name="_Toc403077643"/>
      <w:bookmarkStart w:id="72" w:name="_Toc12297"/>
      <w:r>
        <w:rPr>
          <w:rFonts w:hint="eastAsia" w:hAnsi="宋体" w:cs="宋体"/>
          <w:b/>
          <w:color w:val="auto"/>
          <w:sz w:val="32"/>
          <w:szCs w:val="32"/>
          <w:highlight w:val="none"/>
        </w:rPr>
        <w:t>五.磋商与评标</w:t>
      </w:r>
      <w:bookmarkEnd w:id="64"/>
      <w:bookmarkEnd w:id="65"/>
      <w:bookmarkEnd w:id="66"/>
      <w:bookmarkEnd w:id="67"/>
      <w:bookmarkEnd w:id="68"/>
      <w:bookmarkEnd w:id="69"/>
      <w:bookmarkEnd w:id="70"/>
      <w:bookmarkEnd w:id="71"/>
      <w:bookmarkEnd w:id="72"/>
    </w:p>
    <w:p w14:paraId="7BDC1C2F">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5E9A269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39A50DFC">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21.2采购代理机构将做好磋商记录，存档备查。</w:t>
      </w:r>
    </w:p>
    <w:p w14:paraId="19B0EB4F">
      <w:pPr>
        <w:spacing w:line="360" w:lineRule="auto"/>
        <w:rPr>
          <w:rFonts w:hAnsi="宋体" w:cs="宋体"/>
          <w:b/>
          <w:color w:val="auto"/>
          <w:szCs w:val="24"/>
          <w:highlight w:val="none"/>
        </w:rPr>
      </w:pPr>
      <w:r>
        <w:rPr>
          <w:rFonts w:hint="eastAsia" w:hAnsi="宋体" w:cs="宋体"/>
          <w:b/>
          <w:color w:val="auto"/>
          <w:szCs w:val="24"/>
          <w:highlight w:val="none"/>
        </w:rPr>
        <w:t>22．评审程序</w:t>
      </w:r>
    </w:p>
    <w:p w14:paraId="1C78140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C379477">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351E521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w:t>
      </w: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资格审查小组和磋商小组</w:t>
      </w:r>
      <w:r>
        <w:rPr>
          <w:rFonts w:hAnsi="宋体"/>
          <w:color w:val="auto"/>
          <w:szCs w:val="24"/>
          <w:highlight w:val="none"/>
        </w:rPr>
        <w:t>。</w:t>
      </w:r>
      <w:r>
        <w:rPr>
          <w:rFonts w:hint="eastAsia" w:hAnsi="宋体"/>
          <w:color w:val="auto"/>
          <w:szCs w:val="24"/>
          <w:highlight w:val="none"/>
        </w:rPr>
        <w:t>资格审查小组由采购人代表和代理机构代表组成，成员人数应当为3人以上单数。磋商小组由采购人代表和评审专家组成，成员人数应当为3人以上单数，其中采购人代表须持有授权书。磋商小组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r>
        <w:rPr>
          <w:rFonts w:hint="eastAsia" w:hAnsi="宋体" w:cs="宋体"/>
          <w:color w:val="auto"/>
          <w:szCs w:val="24"/>
          <w:highlight w:val="none"/>
        </w:rPr>
        <w:t>。</w:t>
      </w:r>
    </w:p>
    <w:p w14:paraId="70DF5A8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2C4D27D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18FD0B2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251EE3C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2097CEC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7C37A93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4A6CD55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5B01126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23ECDF86">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7659C45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05D728E8">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39F3BFB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79DDC2F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551286A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2146B3F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6951778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464DAC6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4F5199F7">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4955EB6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2）竞争性磋商响应文件未按竞争性磋商文件要求密封、签署、盖章的；</w:t>
      </w:r>
    </w:p>
    <w:p w14:paraId="1EC4A6C8">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3）供应商未提交有效的磋商保证金或金额不足的、磋商保证金形式不符合竞争性磋商文件要求的；</w:t>
      </w:r>
    </w:p>
    <w:p w14:paraId="5CB71C53">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4）资格证明文件不全的或无效的，或不符合国家规定的；</w:t>
      </w:r>
    </w:p>
    <w:p w14:paraId="61DAE08F">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5）竞争性磋商响应文件无供应商公章、无法定代表人签字或签字人无法定代表人有效委托书的；</w:t>
      </w:r>
    </w:p>
    <w:p w14:paraId="62621CE4">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54F382E4">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7）供应商在同一份竞争性磋商响应文件中，有两个或多个报价的；</w:t>
      </w:r>
    </w:p>
    <w:p w14:paraId="642E306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8）存在有重大缺漏项和重大偏离的；</w:t>
      </w:r>
    </w:p>
    <w:p w14:paraId="68FCCC25">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711290AF">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10）磋商总报价低于成本或者高于竞争性磋商文件公布的采购预算的。</w:t>
      </w:r>
    </w:p>
    <w:p w14:paraId="21A393EA">
      <w:pPr>
        <w:pStyle w:val="19"/>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4D374749">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12）竞争性磋商响应文件不符合法律法规要求的；</w:t>
      </w:r>
    </w:p>
    <w:p w14:paraId="5B15DAC6">
      <w:pPr>
        <w:pStyle w:val="19"/>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37C5200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54225D1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7F4F3B0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7A1C2D1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67554A9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28354431">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30E8CAB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1AF0A98E">
      <w:pPr>
        <w:jc w:val="left"/>
        <w:rPr>
          <w:rFonts w:hAnsi="宋体" w:cs="宋体"/>
          <w:b/>
          <w:color w:val="auto"/>
          <w:szCs w:val="24"/>
          <w:highlight w:val="none"/>
        </w:rPr>
      </w:pPr>
      <w:r>
        <w:rPr>
          <w:rFonts w:hint="eastAsia" w:hAnsi="宋体" w:cs="宋体"/>
          <w:b/>
          <w:color w:val="auto"/>
          <w:szCs w:val="24"/>
          <w:highlight w:val="none"/>
        </w:rPr>
        <w:t>25．评审方法</w:t>
      </w:r>
    </w:p>
    <w:p w14:paraId="3ECA3B3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542CEC68">
      <w:pPr>
        <w:keepNext/>
        <w:keepLines/>
        <w:spacing w:beforeLines="100" w:afterLines="50" w:line="360" w:lineRule="auto"/>
        <w:jc w:val="center"/>
        <w:outlineLvl w:val="2"/>
        <w:rPr>
          <w:rFonts w:hAnsi="宋体" w:cs="宋体"/>
          <w:b/>
          <w:color w:val="auto"/>
          <w:sz w:val="32"/>
          <w:szCs w:val="32"/>
          <w:highlight w:val="none"/>
        </w:rPr>
      </w:pPr>
      <w:bookmarkStart w:id="73" w:name="_Toc15100"/>
      <w:bookmarkStart w:id="74" w:name="_Toc24420"/>
      <w:bookmarkStart w:id="75" w:name="_Toc29146"/>
      <w:bookmarkStart w:id="76" w:name="_Toc29694"/>
      <w:bookmarkStart w:id="77" w:name="_Toc7759"/>
      <w:bookmarkStart w:id="78" w:name="_Toc31356"/>
      <w:r>
        <w:rPr>
          <w:rFonts w:hint="eastAsia" w:hAnsi="宋体" w:cs="宋体"/>
          <w:b/>
          <w:color w:val="auto"/>
          <w:sz w:val="32"/>
          <w:szCs w:val="32"/>
          <w:highlight w:val="none"/>
        </w:rPr>
        <w:t>六.成交、通知与签约</w:t>
      </w:r>
      <w:bookmarkEnd w:id="73"/>
      <w:bookmarkEnd w:id="74"/>
      <w:bookmarkEnd w:id="75"/>
      <w:bookmarkEnd w:id="76"/>
      <w:bookmarkEnd w:id="77"/>
      <w:bookmarkEnd w:id="78"/>
    </w:p>
    <w:p w14:paraId="6B8D4E5A">
      <w:pPr>
        <w:spacing w:line="360" w:lineRule="auto"/>
        <w:rPr>
          <w:rFonts w:hAnsi="宋体" w:cs="宋体"/>
          <w:b/>
          <w:color w:val="auto"/>
          <w:szCs w:val="24"/>
          <w:highlight w:val="none"/>
        </w:rPr>
      </w:pPr>
      <w:r>
        <w:rPr>
          <w:rFonts w:hint="eastAsia" w:hAnsi="宋体" w:cs="宋体"/>
          <w:b/>
          <w:color w:val="auto"/>
          <w:szCs w:val="24"/>
          <w:highlight w:val="none"/>
        </w:rPr>
        <w:t>26．成交程序</w:t>
      </w:r>
    </w:p>
    <w:p w14:paraId="6F9C791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1A5B813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4544365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3B6FCF3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5182CD9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35BD5E0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7270182C">
      <w:pPr>
        <w:spacing w:line="360" w:lineRule="auto"/>
        <w:rPr>
          <w:rFonts w:hAnsi="宋体" w:cs="宋体"/>
          <w:b/>
          <w:color w:val="auto"/>
          <w:szCs w:val="24"/>
          <w:highlight w:val="none"/>
        </w:rPr>
      </w:pPr>
      <w:r>
        <w:rPr>
          <w:rFonts w:hint="eastAsia" w:hAnsi="宋体" w:cs="宋体"/>
          <w:b/>
          <w:color w:val="auto"/>
          <w:szCs w:val="24"/>
          <w:highlight w:val="none"/>
        </w:rPr>
        <w:t>27．成交通知</w:t>
      </w:r>
    </w:p>
    <w:p w14:paraId="4D20C68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511F24B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5572FA0E">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382B92F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0992EE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353F81CB">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61A7CA87">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w:t>
      </w:r>
      <w:r>
        <w:rPr>
          <w:rFonts w:hint="eastAsia" w:hAnsi="宋体" w:cs="宋体"/>
          <w:color w:val="auto"/>
          <w:szCs w:val="24"/>
          <w:highlight w:val="none"/>
          <w:lang w:val="en-US" w:eastAsia="zh-CN"/>
        </w:rPr>
        <w:t>及</w:t>
      </w:r>
      <w:r>
        <w:rPr>
          <w:rFonts w:hint="eastAsia" w:hAnsi="宋体" w:cs="宋体"/>
          <w:color w:val="auto"/>
          <w:szCs w:val="24"/>
          <w:highlight w:val="none"/>
        </w:rPr>
        <w:t>国家发展和改革委员会办公厅颁发的《关于招标代理服务收费有关问题的通知》（发改办价格〔2003〕857号）的有关规定执行。</w:t>
      </w:r>
    </w:p>
    <w:p w14:paraId="70A284B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29.229.2本项目代理服务费合同包1、合同包2、合同包5由采购人支付，合同包3、合同包4由中标单位支付。依据成交金额向招标代理机构交纳招标代理服务费。</w:t>
      </w:r>
    </w:p>
    <w:p w14:paraId="024A9079">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6949D0DA">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1、采购代理机构开户名称: 陕西至诚项目管理集团有限公司</w:t>
      </w:r>
    </w:p>
    <w:p w14:paraId="08A0AC1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14:paraId="6FB752D7">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3、账号：61050192090000002152。</w:t>
      </w:r>
    </w:p>
    <w:p w14:paraId="41CA29DF">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573A7CB0">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32919A1">
      <w:pPr>
        <w:spacing w:line="500" w:lineRule="exact"/>
        <w:ind w:right="12" w:firstLine="480"/>
        <w:rPr>
          <w:rStyle w:val="25"/>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2461BC95">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BF48C3A">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069EB32C">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43751A75">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510FB822">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72447682">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25F7583A">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476A6DA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5E67C369">
      <w:pPr>
        <w:spacing w:line="500" w:lineRule="exact"/>
        <w:ind w:right="12" w:firstLine="480" w:firstLineChars="200"/>
        <w:rPr>
          <w:rStyle w:val="25"/>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06720B74">
      <w:pPr>
        <w:widowControl/>
        <w:spacing w:line="360" w:lineRule="auto"/>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14:paraId="1B2776A2">
      <w:pPr>
        <w:widowControl/>
        <w:spacing w:line="360" w:lineRule="auto"/>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14:paraId="671AD9C7">
      <w:pPr>
        <w:widowControl/>
        <w:spacing w:line="360" w:lineRule="auto"/>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14:paraId="6C76C1F1">
      <w:pPr>
        <w:widowControl/>
        <w:spacing w:line="360" w:lineRule="auto"/>
        <w:ind w:firstLine="480" w:firstLineChars="200"/>
        <w:rPr>
          <w:rFonts w:hAnsi="宋体" w:cs="宋体"/>
          <w:color w:val="auto"/>
          <w:highlight w:val="none"/>
        </w:rPr>
      </w:pPr>
      <w:r>
        <w:rPr>
          <w:rFonts w:hint="eastAsia" w:hAnsi="宋体" w:cs="宋体"/>
          <w:color w:val="auto"/>
          <w:highlight w:val="none"/>
        </w:rPr>
        <w:t>30.6.3未在法定期限内提出质疑的；</w:t>
      </w:r>
    </w:p>
    <w:p w14:paraId="0EFEA0E9">
      <w:pPr>
        <w:widowControl/>
        <w:spacing w:line="360" w:lineRule="auto"/>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14:paraId="11CEEC74">
      <w:pPr>
        <w:widowControl/>
        <w:spacing w:line="360" w:lineRule="auto"/>
        <w:ind w:firstLine="480" w:firstLineChars="200"/>
        <w:rPr>
          <w:rFonts w:hAnsi="宋体" w:cs="宋体"/>
          <w:color w:val="auto"/>
          <w:highlight w:val="none"/>
        </w:rPr>
      </w:pPr>
      <w:r>
        <w:rPr>
          <w:rFonts w:hint="eastAsia" w:hAnsi="宋体" w:cs="宋体"/>
          <w:color w:val="auto"/>
          <w:highlight w:val="none"/>
        </w:rPr>
        <w:t>30.6.5应当提交授权书而未提交的；</w:t>
      </w:r>
    </w:p>
    <w:p w14:paraId="3F4288AC">
      <w:pPr>
        <w:widowControl/>
        <w:spacing w:line="360" w:lineRule="auto"/>
        <w:ind w:firstLine="480" w:firstLineChars="200"/>
        <w:rPr>
          <w:rFonts w:hAnsi="宋体" w:cs="宋体"/>
          <w:color w:val="auto"/>
          <w:highlight w:val="none"/>
        </w:rPr>
      </w:pPr>
      <w:r>
        <w:rPr>
          <w:rFonts w:hint="eastAsia" w:hAnsi="宋体" w:cs="宋体"/>
          <w:color w:val="auto"/>
          <w:highlight w:val="none"/>
        </w:rPr>
        <w:t>30.6.6以非法手段取得证据、材料的；</w:t>
      </w:r>
    </w:p>
    <w:p w14:paraId="466A62E5">
      <w:pPr>
        <w:widowControl/>
        <w:spacing w:line="360" w:lineRule="auto"/>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14:paraId="3574CC15">
      <w:pPr>
        <w:widowControl/>
        <w:spacing w:line="360" w:lineRule="auto"/>
        <w:ind w:firstLine="480" w:firstLineChars="200"/>
        <w:rPr>
          <w:rFonts w:hAnsi="宋体" w:cs="宋体"/>
          <w:color w:val="auto"/>
          <w:highlight w:val="none"/>
        </w:rPr>
      </w:pPr>
      <w:r>
        <w:rPr>
          <w:rFonts w:hint="eastAsia" w:hAnsi="宋体" w:cs="宋体"/>
          <w:color w:val="auto"/>
          <w:highlight w:val="none"/>
        </w:rPr>
        <w:t>30.6.8不符合法律、法规、规章和政府采购监管机构规定的其他条件的。</w:t>
      </w:r>
    </w:p>
    <w:p w14:paraId="29964D4B">
      <w:pPr>
        <w:widowControl/>
        <w:spacing w:line="360" w:lineRule="auto"/>
        <w:ind w:firstLine="480" w:firstLineChars="200"/>
        <w:rPr>
          <w:rFonts w:hAnsi="宋体" w:cs="宋体"/>
          <w:color w:val="auto"/>
          <w:highlight w:val="none"/>
        </w:rPr>
      </w:pPr>
      <w:r>
        <w:rPr>
          <w:rFonts w:hint="eastAsia" w:hAnsi="宋体" w:cs="宋体"/>
          <w:color w:val="auto"/>
          <w:highlight w:val="none"/>
        </w:rPr>
        <w:t>30.7质疑答复</w:t>
      </w:r>
    </w:p>
    <w:p w14:paraId="24ED9000">
      <w:pPr>
        <w:widowControl/>
        <w:spacing w:line="360" w:lineRule="auto"/>
        <w:ind w:firstLine="480" w:firstLineChars="200"/>
        <w:rPr>
          <w:rFonts w:hAnsi="宋体" w:cs="宋体"/>
          <w:color w:val="auto"/>
          <w:highlight w:val="none"/>
        </w:rPr>
      </w:pPr>
      <w:r>
        <w:rPr>
          <w:rFonts w:hint="eastAsia" w:hAnsi="宋体" w:cs="宋体"/>
          <w:color w:val="auto"/>
          <w:highlight w:val="none"/>
        </w:rPr>
        <w:t>30.7.1采购人或采购代理机构在收到质疑函后7个工作日内作出答复，并以书面形式通知质疑供应商和其他有关供应商。</w:t>
      </w:r>
    </w:p>
    <w:p w14:paraId="3AE430DB">
      <w:pPr>
        <w:spacing w:line="360" w:lineRule="auto"/>
        <w:rPr>
          <w:rFonts w:hAnsi="宋体" w:cs="宋体"/>
          <w:b/>
          <w:color w:val="auto"/>
          <w:szCs w:val="24"/>
          <w:highlight w:val="none"/>
        </w:rPr>
      </w:pPr>
      <w:r>
        <w:rPr>
          <w:rFonts w:hint="eastAsia" w:hAnsi="宋体" w:cs="宋体"/>
          <w:b/>
          <w:color w:val="auto"/>
          <w:szCs w:val="24"/>
          <w:highlight w:val="none"/>
        </w:rPr>
        <w:t>31.其他</w:t>
      </w:r>
    </w:p>
    <w:p w14:paraId="5DA8D46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273F6FF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61A3A3B6">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1C844714">
      <w:pPr>
        <w:spacing w:line="360" w:lineRule="auto"/>
        <w:ind w:firstLine="480" w:firstLineChars="200"/>
        <w:rPr>
          <w:rFonts w:hAnsi="宋体" w:cs="宋体"/>
          <w:color w:val="auto"/>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79" w:name="_Toc363474023"/>
    </w:p>
    <w:p w14:paraId="3BA09577">
      <w:pPr>
        <w:pStyle w:val="2"/>
        <w:numPr>
          <w:ilvl w:val="0"/>
          <w:numId w:val="0"/>
        </w:numPr>
        <w:jc w:val="center"/>
        <w:rPr>
          <w:rFonts w:ascii="宋体" w:eastAsia="宋体" w:cs="宋体"/>
          <w:color w:val="auto"/>
          <w:highlight w:val="none"/>
        </w:rPr>
      </w:pPr>
      <w:bookmarkStart w:id="80" w:name="_Toc423973074"/>
      <w:bookmarkStart w:id="81" w:name="_Toc403077645"/>
      <w:bookmarkStart w:id="82" w:name="_Toc25783"/>
      <w:r>
        <w:rPr>
          <w:rFonts w:hint="eastAsia" w:ascii="宋体" w:eastAsia="宋体" w:cs="宋体"/>
          <w:bCs/>
          <w:color w:val="auto"/>
          <w:sz w:val="36"/>
          <w:szCs w:val="36"/>
          <w:highlight w:val="none"/>
        </w:rPr>
        <w:br w:type="page"/>
      </w:r>
      <w:bookmarkStart w:id="83" w:name="_Toc28495"/>
      <w:bookmarkStart w:id="84" w:name="_Toc22973"/>
      <w:r>
        <w:rPr>
          <w:rFonts w:hint="eastAsia" w:ascii="宋体" w:eastAsia="宋体" w:cs="宋体"/>
          <w:bCs/>
          <w:color w:val="auto"/>
          <w:sz w:val="36"/>
          <w:szCs w:val="36"/>
          <w:highlight w:val="none"/>
          <w:lang w:val="en-US" w:eastAsia="zh-CN"/>
        </w:rPr>
        <w:t>第三章</w:t>
      </w:r>
      <w:r>
        <w:rPr>
          <w:rFonts w:hint="eastAsia" w:ascii="宋体" w:eastAsia="宋体" w:cs="宋体"/>
          <w:bCs/>
          <w:color w:val="auto"/>
          <w:sz w:val="36"/>
          <w:szCs w:val="36"/>
          <w:highlight w:val="none"/>
        </w:rPr>
        <w:t xml:space="preserve">  </w:t>
      </w:r>
      <w:bookmarkStart w:id="85" w:name="_Toc9687"/>
      <w:r>
        <w:rPr>
          <w:rFonts w:hint="eastAsia" w:ascii="宋体" w:eastAsia="宋体" w:cs="宋体"/>
          <w:bCs/>
          <w:color w:val="auto"/>
          <w:sz w:val="36"/>
          <w:szCs w:val="36"/>
          <w:highlight w:val="none"/>
        </w:rPr>
        <w:t>评审方法</w:t>
      </w:r>
      <w:bookmarkEnd w:id="83"/>
      <w:bookmarkEnd w:id="84"/>
      <w:bookmarkEnd w:id="85"/>
    </w:p>
    <w:p w14:paraId="62F5F01B">
      <w:pPr>
        <w:spacing w:line="360" w:lineRule="auto"/>
        <w:outlineLvl w:val="1"/>
        <w:rPr>
          <w:rFonts w:hAnsi="宋体" w:cs="宋体"/>
          <w:b/>
          <w:color w:val="auto"/>
          <w:szCs w:val="24"/>
          <w:highlight w:val="none"/>
        </w:rPr>
      </w:pPr>
      <w:bookmarkStart w:id="86" w:name="_Toc28665"/>
      <w:bookmarkStart w:id="87" w:name="_Toc26649"/>
      <w:bookmarkStart w:id="88" w:name="_Toc32051"/>
      <w:bookmarkStart w:id="89" w:name="_Toc128"/>
      <w:bookmarkStart w:id="90" w:name="_Toc23722"/>
      <w:bookmarkStart w:id="91" w:name="_Toc7988"/>
      <w:bookmarkStart w:id="92" w:name="_Toc23762"/>
      <w:r>
        <w:rPr>
          <w:rFonts w:hint="eastAsia" w:hAnsi="宋体" w:cs="宋体"/>
          <w:b/>
          <w:color w:val="auto"/>
          <w:szCs w:val="24"/>
          <w:highlight w:val="none"/>
        </w:rPr>
        <w:t>一、评审方法</w:t>
      </w:r>
      <w:bookmarkEnd w:id="86"/>
      <w:bookmarkEnd w:id="87"/>
      <w:bookmarkEnd w:id="88"/>
      <w:bookmarkEnd w:id="89"/>
      <w:bookmarkEnd w:id="90"/>
      <w:bookmarkEnd w:id="91"/>
      <w:bookmarkEnd w:id="92"/>
    </w:p>
    <w:p w14:paraId="11395D32">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184B4CCA">
      <w:pPr>
        <w:spacing w:line="500" w:lineRule="exact"/>
        <w:outlineLvl w:val="1"/>
        <w:rPr>
          <w:rFonts w:hAnsi="宋体" w:cs="宋体"/>
          <w:b/>
          <w:color w:val="auto"/>
          <w:spacing w:val="4"/>
          <w:szCs w:val="24"/>
          <w:highlight w:val="none"/>
        </w:rPr>
      </w:pPr>
      <w:bookmarkStart w:id="93" w:name="_Toc31075"/>
      <w:bookmarkStart w:id="94" w:name="_Toc20714"/>
      <w:bookmarkStart w:id="95" w:name="_Toc2374"/>
      <w:bookmarkStart w:id="96" w:name="_Toc23145"/>
      <w:bookmarkStart w:id="97" w:name="_Toc20625"/>
      <w:bookmarkStart w:id="98" w:name="_Toc27615"/>
      <w:bookmarkStart w:id="99" w:name="_Toc27029"/>
      <w:r>
        <w:rPr>
          <w:rFonts w:hint="eastAsia" w:hAnsi="宋体" w:cs="宋体"/>
          <w:b/>
          <w:color w:val="auto"/>
          <w:spacing w:val="4"/>
          <w:szCs w:val="24"/>
          <w:highlight w:val="none"/>
        </w:rPr>
        <w:t>二、评审程序</w:t>
      </w:r>
      <w:bookmarkEnd w:id="93"/>
      <w:bookmarkEnd w:id="94"/>
      <w:bookmarkEnd w:id="95"/>
      <w:bookmarkEnd w:id="96"/>
      <w:bookmarkEnd w:id="97"/>
      <w:bookmarkEnd w:id="98"/>
      <w:bookmarkEnd w:id="99"/>
    </w:p>
    <w:p w14:paraId="3F89C54D">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09FD79D1">
      <w:pPr>
        <w:numPr>
          <w:ilvl w:val="0"/>
          <w:numId w:val="3"/>
        </w:numPr>
        <w:spacing w:line="500" w:lineRule="exact"/>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14:paraId="00F9B49A">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hAnsi="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2993E608">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0ED1FE43">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26CAF4AE">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538EC829">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1207857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3028C16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14:paraId="433843E8">
      <w:pPr>
        <w:spacing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5CE92C2B">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38A6AEC0">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0F12F139">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他内容。实质性变动得内容，需经采购人代表确认。</w:t>
      </w:r>
    </w:p>
    <w:p w14:paraId="69E406B7">
      <w:pPr>
        <w:pStyle w:val="9"/>
        <w:ind w:firstLine="482"/>
        <w:rPr>
          <w:color w:val="auto"/>
          <w:kern w:val="0"/>
          <w:highlight w:val="none"/>
        </w:rPr>
      </w:pPr>
      <w:r>
        <w:rPr>
          <w:rFonts w:hint="eastAsia"/>
          <w:b/>
          <w:bCs/>
          <w:color w:val="auto"/>
          <w:highlight w:val="none"/>
        </w:rPr>
        <w:t>4、综合评审：</w:t>
      </w:r>
      <w:r>
        <w:rPr>
          <w:rFonts w:hint="eastAsia"/>
          <w:color w:val="auto"/>
          <w:kern w:val="0"/>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2FF01EF9">
      <w:pPr>
        <w:spacing w:line="500" w:lineRule="exact"/>
        <w:jc w:val="left"/>
        <w:outlineLvl w:val="1"/>
        <w:rPr>
          <w:rFonts w:hAnsi="宋体" w:cs="宋体"/>
          <w:b/>
          <w:color w:val="auto"/>
          <w:szCs w:val="24"/>
          <w:highlight w:val="none"/>
        </w:rPr>
      </w:pPr>
      <w:bookmarkStart w:id="100" w:name="_Toc24776"/>
      <w:bookmarkStart w:id="101" w:name="_Toc19221"/>
      <w:bookmarkStart w:id="102" w:name="_Toc30804"/>
      <w:bookmarkStart w:id="103" w:name="_Toc4428"/>
      <w:bookmarkStart w:id="104" w:name="_Toc7905"/>
      <w:bookmarkStart w:id="105" w:name="_Toc17111"/>
      <w:bookmarkStart w:id="106" w:name="_Toc22275"/>
      <w:r>
        <w:rPr>
          <w:rFonts w:hint="eastAsia" w:hAnsi="宋体" w:cs="宋体"/>
          <w:b/>
          <w:color w:val="auto"/>
          <w:szCs w:val="24"/>
          <w:highlight w:val="none"/>
        </w:rPr>
        <w:t>三、政策性扣减</w:t>
      </w:r>
      <w:bookmarkEnd w:id="100"/>
      <w:bookmarkEnd w:id="101"/>
      <w:bookmarkEnd w:id="102"/>
      <w:bookmarkEnd w:id="103"/>
      <w:bookmarkEnd w:id="104"/>
      <w:bookmarkEnd w:id="105"/>
      <w:bookmarkEnd w:id="106"/>
    </w:p>
    <w:p w14:paraId="7962C178">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1699E120">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707468B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2D42165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6E0E1B3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73658A0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131A1449">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6972A6F0">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5248D7D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0B0F4300">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36A7795">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785DE68E">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72223634">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50ABC774">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2.1.1在磋商最终报价的基础上，小型企业或达到小型企业划分标准的监狱企业（或残疾人福利性单位），按“磋商最终报价×10%”进行扣减；</w:t>
      </w:r>
    </w:p>
    <w:p w14:paraId="1882FF1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2.1.2在磋商最终报价的基础上，注册资金在十五万元以上的微型企业或注册资金在十五万元以上达到微型企业划分标准的监狱企业（或残疾人福利性单位），按“磋商最终报价×10%”进行扣减；</w:t>
      </w:r>
    </w:p>
    <w:p w14:paraId="48EF42E2">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1934836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14:paraId="25C217E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14:paraId="4C3F477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14:paraId="163F1D9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0E32BC9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14:paraId="79AAEB6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14:paraId="49320CB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2409AB7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14:paraId="3848E153">
      <w:pPr>
        <w:spacing w:line="360" w:lineRule="auto"/>
        <w:ind w:firstLine="498" w:firstLineChars="200"/>
        <w:jc w:val="center"/>
        <w:outlineLvl w:val="1"/>
        <w:rPr>
          <w:rFonts w:hAnsi="宋体" w:cs="宋体"/>
          <w:b/>
          <w:color w:val="auto"/>
          <w:szCs w:val="24"/>
          <w:highlight w:val="none"/>
        </w:rPr>
      </w:pPr>
      <w:r>
        <w:rPr>
          <w:rFonts w:hint="eastAsia" w:hAnsi="宋体" w:cs="宋体"/>
          <w:b/>
          <w:color w:val="auto"/>
          <w:spacing w:val="4"/>
          <w:szCs w:val="24"/>
          <w:highlight w:val="none"/>
        </w:rPr>
        <w:br w:type="page"/>
      </w:r>
      <w:bookmarkStart w:id="107" w:name="_Toc25458"/>
      <w:bookmarkStart w:id="108" w:name="_Toc23630"/>
      <w:bookmarkStart w:id="109" w:name="_Toc13330"/>
      <w:bookmarkStart w:id="110" w:name="_Toc28532"/>
      <w:bookmarkStart w:id="111" w:name="_Toc4223"/>
      <w:bookmarkStart w:id="112" w:name="_Toc14745"/>
      <w:bookmarkStart w:id="113" w:name="_Toc15417"/>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bookmarkEnd w:id="107"/>
      <w:bookmarkEnd w:id="108"/>
      <w:bookmarkEnd w:id="109"/>
      <w:bookmarkEnd w:id="110"/>
      <w:bookmarkEnd w:id="111"/>
      <w:bookmarkEnd w:id="112"/>
      <w:bookmarkEnd w:id="113"/>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774"/>
        <w:gridCol w:w="7888"/>
      </w:tblGrid>
      <w:tr w14:paraId="0D42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pct"/>
            <w:vAlign w:val="center"/>
          </w:tcPr>
          <w:p w14:paraId="67AE206B">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评分因素</w:t>
            </w:r>
          </w:p>
        </w:tc>
        <w:tc>
          <w:tcPr>
            <w:tcW w:w="4555" w:type="pct"/>
            <w:gridSpan w:val="2"/>
            <w:vAlign w:val="center"/>
          </w:tcPr>
          <w:p w14:paraId="44739A39">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评价指标和分值</w:t>
            </w:r>
          </w:p>
        </w:tc>
      </w:tr>
      <w:tr w14:paraId="6EFD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pct"/>
            <w:vAlign w:val="center"/>
          </w:tcPr>
          <w:p w14:paraId="5EC38E87">
            <w:pPr>
              <w:pStyle w:val="33"/>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项目</w:t>
            </w:r>
          </w:p>
          <w:p w14:paraId="48965486">
            <w:pPr>
              <w:jc w:val="center"/>
              <w:rPr>
                <w:rFonts w:hint="eastAsia" w:ascii="宋体" w:hAnsi="宋体" w:eastAsia="宋体" w:cs="宋体"/>
                <w:b/>
                <w:bCs/>
                <w:sz w:val="24"/>
                <w:szCs w:val="24"/>
                <w:highlight w:val="none"/>
              </w:rPr>
            </w:pPr>
            <w:r>
              <w:rPr>
                <w:rFonts w:hint="eastAsia" w:ascii="宋体" w:hAnsi="宋体" w:eastAsia="宋体" w:cs="宋体"/>
                <w:b/>
                <w:bCs/>
                <w:color w:val="auto"/>
                <w:highlight w:val="none"/>
                <w:lang w:eastAsia="zh-CN"/>
              </w:rPr>
              <w:t>理解</w:t>
            </w:r>
          </w:p>
        </w:tc>
        <w:tc>
          <w:tcPr>
            <w:tcW w:w="407" w:type="pct"/>
            <w:vAlign w:val="center"/>
          </w:tcPr>
          <w:p w14:paraId="068DB9C2">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000000"/>
                <w:kern w:val="0"/>
                <w:sz w:val="24"/>
                <w:szCs w:val="24"/>
                <w:highlight w:val="none"/>
                <w:lang w:val="en-US" w:eastAsia="zh-CN" w:bidi="ar"/>
              </w:rPr>
              <w:t>16.5</w:t>
            </w:r>
            <w:r>
              <w:rPr>
                <w:rFonts w:hint="eastAsia" w:ascii="宋体" w:hAnsi="宋体" w:eastAsia="宋体" w:cs="宋体"/>
                <w:b/>
                <w:bCs/>
                <w:color w:val="auto"/>
                <w:sz w:val="24"/>
                <w:szCs w:val="24"/>
                <w:highlight w:val="none"/>
                <w:lang w:val="en-US" w:eastAsia="zh-CN"/>
              </w:rPr>
              <w:t>分</w:t>
            </w:r>
          </w:p>
        </w:tc>
        <w:tc>
          <w:tcPr>
            <w:tcW w:w="4148" w:type="pct"/>
            <w:vAlign w:val="center"/>
          </w:tcPr>
          <w:p w14:paraId="6D11F6C6">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一、评审内容 </w:t>
            </w:r>
          </w:p>
          <w:p w14:paraId="46A8CFE7">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针对本项目提出适用于本项目的方案，方案包括：①项目的整体认识理解②</w:t>
            </w:r>
            <w:r>
              <w:rPr>
                <w:rFonts w:hint="eastAsia" w:ascii="宋体" w:hAnsi="宋体" w:eastAsia="宋体" w:cs="宋体"/>
                <w:color w:val="auto"/>
                <w:highlight w:val="none"/>
                <w:lang w:val="en-US" w:eastAsia="zh-CN"/>
              </w:rPr>
              <w:t>碳汇监测工作重点分析及</w:t>
            </w:r>
            <w:r>
              <w:rPr>
                <w:rFonts w:hint="eastAsia" w:ascii="宋体" w:hAnsi="宋体" w:eastAsia="宋体" w:cs="宋体"/>
                <w:color w:val="000000"/>
                <w:kern w:val="0"/>
                <w:sz w:val="24"/>
                <w:szCs w:val="24"/>
                <w:highlight w:val="none"/>
                <w:lang w:val="en-US" w:eastAsia="zh-CN" w:bidi="ar"/>
              </w:rPr>
              <w:t>应对措施③碳汇计量与监测的总体路线</w:t>
            </w:r>
          </w:p>
          <w:p w14:paraId="7FFC2BF8">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二、评审标准</w:t>
            </w:r>
          </w:p>
          <w:p w14:paraId="55D33B56">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1、完整性：方案必须全面，对评审内容中的各项要求有详细描述；</w:t>
            </w:r>
          </w:p>
          <w:p w14:paraId="7CE0D1F4">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2、可实施性：切合本项目实际情况，提出步骤清晰、合理的方案；</w:t>
            </w:r>
          </w:p>
          <w:p w14:paraId="62FAB119">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3、针对性：方案能够紧扣项目实际情况，内容科学合理。</w:t>
            </w:r>
          </w:p>
          <w:p w14:paraId="77747BB0">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三、赋分标准（满分16.5分）</w:t>
            </w:r>
          </w:p>
          <w:p w14:paraId="4927DB2A">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①项目的整体认识理解：每完全满足一个评审标准得1.5分，满分4.5分；</w:t>
            </w:r>
          </w:p>
          <w:p w14:paraId="619E37D5">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②</w:t>
            </w:r>
            <w:r>
              <w:rPr>
                <w:rFonts w:hint="eastAsia" w:ascii="宋体" w:hAnsi="宋体" w:eastAsia="宋体" w:cs="宋体"/>
                <w:color w:val="auto"/>
                <w:highlight w:val="none"/>
                <w:lang w:val="en-US" w:eastAsia="zh-CN"/>
              </w:rPr>
              <w:t>碳汇监测工作重点分析及</w:t>
            </w:r>
            <w:r>
              <w:rPr>
                <w:rFonts w:hint="eastAsia" w:ascii="宋体" w:hAnsi="宋体" w:eastAsia="宋体" w:cs="宋体"/>
                <w:color w:val="000000"/>
                <w:kern w:val="0"/>
                <w:sz w:val="24"/>
                <w:szCs w:val="24"/>
                <w:highlight w:val="none"/>
                <w:lang w:val="en-US" w:eastAsia="zh-CN" w:bidi="ar"/>
              </w:rPr>
              <w:t>应对措施：每完全满足一个评审标准得2.5分，满分7.5分；</w:t>
            </w:r>
          </w:p>
          <w:p w14:paraId="7561B93A">
            <w:pPr>
              <w:keepNext w:val="0"/>
              <w:keepLines w:val="0"/>
              <w:widowControl/>
              <w:suppressLineNumbers w:val="0"/>
              <w:spacing w:line="360" w:lineRule="auto"/>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③碳汇计量与监测的总体路线：每完全满足一个评审标准得1.5分，满分4.5分；</w:t>
            </w:r>
          </w:p>
        </w:tc>
      </w:tr>
      <w:tr w14:paraId="5D4D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pct"/>
            <w:vAlign w:val="center"/>
          </w:tcPr>
          <w:p w14:paraId="06E2106A">
            <w:pPr>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实施</w:t>
            </w:r>
          </w:p>
          <w:p w14:paraId="03DB9D51">
            <w:pPr>
              <w:jc w:val="center"/>
              <w:rPr>
                <w:rFonts w:hint="eastAsia" w:ascii="宋体" w:hAnsi="宋体" w:eastAsia="宋体" w:cs="宋体"/>
                <w:b/>
                <w:bCs/>
                <w:sz w:val="24"/>
                <w:szCs w:val="24"/>
                <w:highlight w:val="none"/>
              </w:rPr>
            </w:pPr>
            <w:r>
              <w:rPr>
                <w:rFonts w:hint="eastAsia" w:ascii="宋体" w:hAnsi="宋体" w:eastAsia="宋体" w:cs="宋体"/>
                <w:b/>
                <w:bCs/>
                <w:color w:val="auto"/>
                <w:szCs w:val="24"/>
                <w:highlight w:val="none"/>
                <w:lang w:eastAsia="zh-CN"/>
              </w:rPr>
              <w:t>方案</w:t>
            </w:r>
          </w:p>
        </w:tc>
        <w:tc>
          <w:tcPr>
            <w:tcW w:w="407" w:type="pct"/>
            <w:vAlign w:val="center"/>
          </w:tcPr>
          <w:p w14:paraId="0A5688D5">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000000"/>
                <w:kern w:val="0"/>
                <w:sz w:val="24"/>
                <w:szCs w:val="24"/>
                <w:highlight w:val="none"/>
                <w:lang w:val="en-US" w:eastAsia="zh-CN" w:bidi="ar"/>
              </w:rPr>
              <w:t>13.5</w:t>
            </w:r>
            <w:r>
              <w:rPr>
                <w:rFonts w:hint="eastAsia" w:ascii="宋体" w:hAnsi="宋体" w:eastAsia="宋体" w:cs="宋体"/>
                <w:b/>
                <w:bCs/>
                <w:color w:val="auto"/>
                <w:sz w:val="24"/>
                <w:szCs w:val="24"/>
                <w:highlight w:val="none"/>
                <w:lang w:val="en-US" w:eastAsia="zh-CN"/>
              </w:rPr>
              <w:t>分</w:t>
            </w:r>
          </w:p>
        </w:tc>
        <w:tc>
          <w:tcPr>
            <w:tcW w:w="4148" w:type="pct"/>
            <w:vAlign w:val="center"/>
          </w:tcPr>
          <w:p w14:paraId="66FF99D8">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一、评审内容</w:t>
            </w:r>
          </w:p>
          <w:p w14:paraId="10029A51">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针对本项目提出适用于本项目的实施方案，方案包括：①碳汇监测实施方案②</w:t>
            </w:r>
            <w:r>
              <w:rPr>
                <w:rFonts w:hint="eastAsia" w:ascii="宋体" w:hAnsi="宋体" w:eastAsia="宋体" w:cs="宋体"/>
                <w:sz w:val="24"/>
                <w:szCs w:val="24"/>
                <w:highlight w:val="none"/>
              </w:rPr>
              <w:t>碳汇计量与监测的对象及范围</w:t>
            </w:r>
            <w:r>
              <w:rPr>
                <w:rFonts w:hint="eastAsia" w:ascii="宋体" w:hAnsi="宋体" w:eastAsia="宋体" w:cs="宋体"/>
                <w:color w:val="000000"/>
                <w:kern w:val="0"/>
                <w:sz w:val="24"/>
                <w:szCs w:val="24"/>
                <w:highlight w:val="none"/>
                <w:lang w:val="en-US" w:eastAsia="zh-CN" w:bidi="ar"/>
              </w:rPr>
              <w:t>③碳汇计量监测体系建设方案</w:t>
            </w:r>
          </w:p>
          <w:p w14:paraId="5C3A5C0F">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二、评审标准</w:t>
            </w:r>
          </w:p>
          <w:p w14:paraId="168A7B62">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1D6E0DCF">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6ED88A7C">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4660C561">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三、赋分标准（满分13.5分）</w:t>
            </w:r>
          </w:p>
          <w:p w14:paraId="6B25D593">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①碳汇监测实施方案：每完全满足一个评审标准得1.5分，满分4.5分； </w:t>
            </w:r>
          </w:p>
          <w:p w14:paraId="03D0FDA0">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②</w:t>
            </w:r>
            <w:r>
              <w:rPr>
                <w:rFonts w:hint="eastAsia" w:ascii="宋体" w:hAnsi="宋体" w:eastAsia="宋体" w:cs="宋体"/>
                <w:sz w:val="24"/>
                <w:szCs w:val="24"/>
                <w:highlight w:val="none"/>
              </w:rPr>
              <w:t>碳汇计量与监测的对象及范围</w:t>
            </w:r>
            <w:r>
              <w:rPr>
                <w:rFonts w:hint="eastAsia" w:ascii="宋体" w:hAnsi="宋体" w:eastAsia="宋体" w:cs="宋体"/>
                <w:color w:val="000000"/>
                <w:kern w:val="0"/>
                <w:sz w:val="24"/>
                <w:szCs w:val="24"/>
                <w:highlight w:val="none"/>
                <w:lang w:val="en-US" w:eastAsia="zh-CN" w:bidi="ar"/>
              </w:rPr>
              <w:t xml:space="preserve">：每完全满足一个评审标准得1.5分，满分4.5分； </w:t>
            </w:r>
          </w:p>
          <w:p w14:paraId="27FA7C8D">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③碳汇计量监测体系建设方案：每完全满足一个评审标准得1.5分，满分4.5分；</w:t>
            </w:r>
          </w:p>
        </w:tc>
      </w:tr>
      <w:tr w14:paraId="694B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pct"/>
            <w:vAlign w:val="center"/>
          </w:tcPr>
          <w:p w14:paraId="732603F0">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服务质量保障方案</w:t>
            </w:r>
          </w:p>
        </w:tc>
        <w:tc>
          <w:tcPr>
            <w:tcW w:w="407" w:type="pct"/>
            <w:vAlign w:val="center"/>
          </w:tcPr>
          <w:p w14:paraId="2FAFFE91">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9分</w:t>
            </w:r>
          </w:p>
        </w:tc>
        <w:tc>
          <w:tcPr>
            <w:tcW w:w="4148" w:type="pct"/>
            <w:vAlign w:val="center"/>
          </w:tcPr>
          <w:p w14:paraId="5E5352C2">
            <w:pPr>
              <w:keepNext w:val="0"/>
              <w:keepLines w:val="0"/>
              <w:widowControl/>
              <w:suppressLineNumbers w:val="0"/>
              <w:shd w:val="clear"/>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一、评审内容</w:t>
            </w:r>
          </w:p>
          <w:p w14:paraId="0328A893">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针对本项目提出适用于本项目的</w:t>
            </w:r>
            <w:r>
              <w:rPr>
                <w:rFonts w:hint="eastAsia" w:ascii="宋体" w:hAnsi="宋体" w:eastAsia="宋体" w:cs="宋体"/>
                <w:sz w:val="24"/>
                <w:szCs w:val="24"/>
                <w:highlight w:val="none"/>
                <w:lang w:val="en-US" w:eastAsia="zh-CN"/>
              </w:rPr>
              <w:t>措施</w:t>
            </w:r>
            <w:r>
              <w:rPr>
                <w:rFonts w:hint="eastAsia" w:ascii="宋体" w:hAnsi="宋体" w:eastAsia="宋体" w:cs="宋体"/>
                <w:sz w:val="24"/>
                <w:szCs w:val="24"/>
                <w:highlight w:val="none"/>
              </w:rPr>
              <w:t>方案</w:t>
            </w:r>
            <w:r>
              <w:rPr>
                <w:rFonts w:hint="eastAsia" w:ascii="宋体" w:hAnsi="宋体" w:eastAsia="宋体" w:cs="宋体"/>
                <w:color w:val="000000"/>
                <w:kern w:val="0"/>
                <w:sz w:val="24"/>
                <w:szCs w:val="24"/>
                <w:highlight w:val="none"/>
                <w:lang w:val="en-US" w:eastAsia="zh-CN" w:bidi="ar"/>
              </w:rPr>
              <w:t>，方案包括：①质量保证措施②质量控制组织架构及岗位职责。</w:t>
            </w:r>
          </w:p>
          <w:p w14:paraId="4141839A">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二、评审标准</w:t>
            </w:r>
          </w:p>
          <w:p w14:paraId="20AF274E">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1、完整性：方案必须全面，对评审内容中的各项要求有详细描述；</w:t>
            </w:r>
          </w:p>
          <w:p w14:paraId="75609921">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2、可实施性：切合本项目实际情况，提出步骤清晰、合理的方案；</w:t>
            </w:r>
          </w:p>
          <w:p w14:paraId="2C222532">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3、针对性：方案能够紧扣项目实际情况，内容科学合理。</w:t>
            </w:r>
          </w:p>
          <w:p w14:paraId="77AB2B34">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三、赋分标准（满分9分）</w:t>
            </w:r>
          </w:p>
          <w:p w14:paraId="51648BF8">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①质量保证措施：每完全满足一个评审标准得1分，满分3分；</w:t>
            </w:r>
          </w:p>
          <w:p w14:paraId="42D5CD39">
            <w:pPr>
              <w:keepNext w:val="0"/>
              <w:keepLines w:val="0"/>
              <w:widowControl/>
              <w:suppressLineNumbers w:val="0"/>
              <w:shd w:val="clear"/>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②质量控制组织架构及岗位职责：每完全满足一个评审标准得2分，满分6分；</w:t>
            </w:r>
          </w:p>
        </w:tc>
      </w:tr>
      <w:tr w14:paraId="3E43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pct"/>
            <w:vAlign w:val="center"/>
          </w:tcPr>
          <w:p w14:paraId="3BB992D1">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数据及资料管理方案</w:t>
            </w:r>
          </w:p>
        </w:tc>
        <w:tc>
          <w:tcPr>
            <w:tcW w:w="407" w:type="pct"/>
            <w:vAlign w:val="center"/>
          </w:tcPr>
          <w:p w14:paraId="6ABC6B36">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9分</w:t>
            </w:r>
          </w:p>
        </w:tc>
        <w:tc>
          <w:tcPr>
            <w:tcW w:w="4148" w:type="pct"/>
            <w:vAlign w:val="center"/>
          </w:tcPr>
          <w:p w14:paraId="6063E659">
            <w:pPr>
              <w:keepNext w:val="0"/>
              <w:keepLines w:val="0"/>
              <w:widowControl/>
              <w:suppressLineNumbers w:val="0"/>
              <w:spacing w:line="360" w:lineRule="auto"/>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一、评审内容</w:t>
            </w:r>
          </w:p>
          <w:p w14:paraId="0069D37C">
            <w:pPr>
              <w:keepNext w:val="0"/>
              <w:keepLines w:val="0"/>
              <w:widowControl/>
              <w:suppressLineNumbers w:val="0"/>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根据本项目特点制定管理方案，方案包括：①针对各岗位职责范围内产生的资料具有合理的规划、保管和移交措施②日常管理工作资料的方案。 </w:t>
            </w:r>
          </w:p>
          <w:p w14:paraId="1033F160">
            <w:pPr>
              <w:keepNext w:val="0"/>
              <w:keepLines w:val="0"/>
              <w:widowControl/>
              <w:suppressLineNumbers w:val="0"/>
              <w:spacing w:line="360" w:lineRule="auto"/>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二、评审标准</w:t>
            </w:r>
          </w:p>
          <w:p w14:paraId="3C7E7181">
            <w:pPr>
              <w:keepNext w:val="0"/>
              <w:keepLines w:val="0"/>
              <w:widowControl/>
              <w:suppressLineNumbers w:val="0"/>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2EF10362">
            <w:pPr>
              <w:keepNext w:val="0"/>
              <w:keepLines w:val="0"/>
              <w:widowControl/>
              <w:suppressLineNumbers w:val="0"/>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6F4E186A">
            <w:pPr>
              <w:keepNext w:val="0"/>
              <w:keepLines w:val="0"/>
              <w:widowControl/>
              <w:suppressLineNumbers w:val="0"/>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3、针对性：方案能够紧扣项目实际情况，内容科学合理。</w:t>
            </w:r>
          </w:p>
          <w:p w14:paraId="01A897CE">
            <w:pPr>
              <w:keepNext w:val="0"/>
              <w:keepLines w:val="0"/>
              <w:widowControl/>
              <w:suppressLineNumbers w:val="0"/>
              <w:spacing w:line="360" w:lineRule="auto"/>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三、赋分标准（满分9分）</w:t>
            </w:r>
          </w:p>
          <w:p w14:paraId="5492F41C">
            <w:pPr>
              <w:keepNext w:val="0"/>
              <w:keepLines w:val="0"/>
              <w:widowControl/>
              <w:suppressLineNumbers w:val="0"/>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①针对各岗位职责范围内产生的资料具有合理的规划、保管和移交措施：每完全满足一个评审标准得1.5分，满分4.5分； </w:t>
            </w:r>
          </w:p>
          <w:p w14:paraId="1FC91BDC">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②日常管理工作资料的方案：每完全满足一个评审标准得1.5分，满分4.5分。</w:t>
            </w:r>
          </w:p>
        </w:tc>
      </w:tr>
      <w:tr w14:paraId="07DB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pct"/>
            <w:vAlign w:val="center"/>
          </w:tcPr>
          <w:p w14:paraId="53FB5FDD">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项目实施进度计划</w:t>
            </w:r>
          </w:p>
        </w:tc>
        <w:tc>
          <w:tcPr>
            <w:tcW w:w="407" w:type="pct"/>
            <w:vAlign w:val="center"/>
          </w:tcPr>
          <w:p w14:paraId="7D7C323C">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9分</w:t>
            </w:r>
          </w:p>
        </w:tc>
        <w:tc>
          <w:tcPr>
            <w:tcW w:w="4148" w:type="pct"/>
            <w:vAlign w:val="center"/>
          </w:tcPr>
          <w:p w14:paraId="19200A8A">
            <w:pPr>
              <w:pStyle w:val="45"/>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 xml:space="preserve">评审内容 </w:t>
            </w:r>
          </w:p>
          <w:p w14:paraId="172DCD67">
            <w:pPr>
              <w:pStyle w:val="45"/>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针对本项目提出适用于本项目的</w:t>
            </w:r>
            <w:r>
              <w:rPr>
                <w:rFonts w:hint="eastAsia" w:ascii="宋体" w:hAnsi="宋体" w:eastAsia="宋体" w:cs="宋体"/>
                <w:sz w:val="24"/>
                <w:szCs w:val="24"/>
                <w:highlight w:val="none"/>
              </w:rPr>
              <w:t>项目实施进度计划</w:t>
            </w:r>
            <w:r>
              <w:rPr>
                <w:rFonts w:hint="eastAsia" w:ascii="宋体" w:hAnsi="宋体" w:eastAsia="宋体" w:cs="宋体"/>
                <w:sz w:val="24"/>
                <w:szCs w:val="24"/>
                <w:highlight w:val="none"/>
              </w:rPr>
              <w:t>，包括：①项目总体进度</w:t>
            </w:r>
            <w:r>
              <w:rPr>
                <w:rFonts w:hint="eastAsia" w:ascii="宋体" w:hAnsi="宋体" w:eastAsia="宋体" w:cs="宋体"/>
                <w:sz w:val="24"/>
                <w:szCs w:val="24"/>
                <w:highlight w:val="none"/>
                <w:lang w:val="en-US" w:eastAsia="zh-CN"/>
              </w:rPr>
              <w:t>计划</w:t>
            </w:r>
            <w:r>
              <w:rPr>
                <w:rFonts w:hint="eastAsia" w:ascii="宋体" w:hAnsi="宋体" w:eastAsia="宋体" w:cs="宋体"/>
                <w:sz w:val="24"/>
                <w:szCs w:val="24"/>
                <w:highlight w:val="none"/>
              </w:rPr>
              <w:t>②项目进度安排③</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进度保障</w:t>
            </w:r>
          </w:p>
          <w:p w14:paraId="2FEF0B9A">
            <w:pPr>
              <w:pStyle w:val="45"/>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评审标准</w:t>
            </w:r>
          </w:p>
          <w:p w14:paraId="5FBAC7B2">
            <w:pPr>
              <w:pStyle w:val="45"/>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完整性：方案必须全面，对评审内容中的各项要求有详细描述； </w:t>
            </w:r>
          </w:p>
          <w:p w14:paraId="173AEC57">
            <w:pPr>
              <w:pStyle w:val="45"/>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可实施性：切合本项目实际情况，提出步骤清晰、合理的方案； </w:t>
            </w:r>
          </w:p>
          <w:p w14:paraId="4A3B8C5F">
            <w:pPr>
              <w:pStyle w:val="45"/>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针对性：方案能够紧扣项目实际情况，内容科学合理。 </w:t>
            </w:r>
          </w:p>
          <w:p w14:paraId="51EDC8C2">
            <w:pPr>
              <w:pStyle w:val="45"/>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赋分标准（满分</w:t>
            </w: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分）</w:t>
            </w:r>
            <w:r>
              <w:rPr>
                <w:rFonts w:hint="eastAsia" w:ascii="宋体" w:hAnsi="宋体" w:eastAsia="宋体" w:cs="宋体"/>
                <w:sz w:val="24"/>
                <w:szCs w:val="24"/>
                <w:highlight w:val="none"/>
              </w:rPr>
              <w:t xml:space="preserve"> </w:t>
            </w:r>
          </w:p>
          <w:p w14:paraId="627E3432">
            <w:pPr>
              <w:pStyle w:val="45"/>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rPr>
              <w:t>①项目总体进度</w:t>
            </w:r>
            <w:r>
              <w:rPr>
                <w:rFonts w:hint="eastAsia" w:ascii="宋体" w:hAnsi="宋体" w:eastAsia="宋体" w:cs="宋体"/>
                <w:sz w:val="24"/>
                <w:szCs w:val="24"/>
                <w:highlight w:val="none"/>
                <w:lang w:val="en-US" w:eastAsia="zh-CN"/>
              </w:rPr>
              <w:t>计划</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lang w:val="en-US" w:eastAsia="zh-CN" w:bidi="ar"/>
              </w:rPr>
              <w:t>每完全满足一个评审标准得1分，满分3分。</w:t>
            </w:r>
          </w:p>
          <w:p w14:paraId="183AA3D5">
            <w:pPr>
              <w:pStyle w:val="45"/>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②项目进度安排：</w:t>
            </w:r>
            <w:r>
              <w:rPr>
                <w:rFonts w:hint="eastAsia" w:ascii="宋体" w:hAnsi="宋体" w:eastAsia="宋体" w:cs="宋体"/>
                <w:color w:val="000000"/>
                <w:kern w:val="0"/>
                <w:sz w:val="24"/>
                <w:szCs w:val="24"/>
                <w:highlight w:val="none"/>
                <w:lang w:val="en-US" w:eastAsia="zh-CN" w:bidi="ar"/>
              </w:rPr>
              <w:t>每完全满足一个评审标准得1分，满分3分</w:t>
            </w:r>
            <w:r>
              <w:rPr>
                <w:rFonts w:hint="eastAsia" w:ascii="宋体" w:hAnsi="宋体" w:eastAsia="宋体" w:cs="宋体"/>
                <w:sz w:val="24"/>
                <w:szCs w:val="24"/>
                <w:highlight w:val="none"/>
                <w:lang w:val="en-US" w:eastAsia="zh-CN"/>
              </w:rPr>
              <w:t>；</w:t>
            </w:r>
          </w:p>
          <w:p w14:paraId="30D59E7C">
            <w:pPr>
              <w:pStyle w:val="45"/>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rPr>
              <w:t>③</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进度保障：</w:t>
            </w:r>
            <w:r>
              <w:rPr>
                <w:rFonts w:hint="eastAsia" w:ascii="宋体" w:hAnsi="宋体" w:eastAsia="宋体" w:cs="宋体"/>
                <w:sz w:val="24"/>
                <w:szCs w:val="24"/>
                <w:highlight w:val="none"/>
                <w:lang w:val="en-US" w:eastAsia="zh-CN"/>
              </w:rPr>
              <w:t>每</w:t>
            </w:r>
            <w:r>
              <w:rPr>
                <w:rFonts w:hint="eastAsia" w:ascii="宋体" w:hAnsi="宋体" w:eastAsia="宋体" w:cs="宋体"/>
                <w:color w:val="000000"/>
                <w:kern w:val="0"/>
                <w:sz w:val="24"/>
                <w:szCs w:val="24"/>
                <w:highlight w:val="none"/>
                <w:lang w:val="en-US" w:eastAsia="zh-CN" w:bidi="ar"/>
              </w:rPr>
              <w:t>完全满足一个评审标准得1分，满分3分</w:t>
            </w:r>
            <w:r>
              <w:rPr>
                <w:rFonts w:hint="eastAsia" w:ascii="宋体" w:hAnsi="宋体" w:eastAsia="宋体" w:cs="宋体"/>
                <w:sz w:val="24"/>
                <w:szCs w:val="24"/>
                <w:highlight w:val="none"/>
                <w:lang w:val="en-US" w:eastAsia="zh-CN"/>
              </w:rPr>
              <w:t>；</w:t>
            </w:r>
          </w:p>
        </w:tc>
      </w:tr>
      <w:tr w14:paraId="7C51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pct"/>
            <w:vAlign w:val="center"/>
          </w:tcPr>
          <w:p w14:paraId="3E66C5E1">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设备配备方案</w:t>
            </w:r>
          </w:p>
        </w:tc>
        <w:tc>
          <w:tcPr>
            <w:tcW w:w="407" w:type="pct"/>
            <w:vAlign w:val="center"/>
          </w:tcPr>
          <w:p w14:paraId="6BF2E2D9">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6分</w:t>
            </w:r>
          </w:p>
        </w:tc>
        <w:tc>
          <w:tcPr>
            <w:tcW w:w="4148" w:type="pct"/>
            <w:vAlign w:val="center"/>
          </w:tcPr>
          <w:p w14:paraId="28BCA58A">
            <w:pPr>
              <w:keepNext w:val="0"/>
              <w:keepLines w:val="0"/>
              <w:widowControl/>
              <w:suppressLineNumbers w:val="0"/>
              <w:shd w:val="clear"/>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一、评审内容 </w:t>
            </w:r>
          </w:p>
          <w:p w14:paraId="612A6A94">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针对本项目提出适用于本项目的</w:t>
            </w:r>
            <w:r>
              <w:rPr>
                <w:rFonts w:hint="eastAsia" w:ascii="宋体" w:hAnsi="宋体" w:eastAsia="宋体" w:cs="宋体"/>
                <w:sz w:val="24"/>
                <w:szCs w:val="24"/>
                <w:highlight w:val="none"/>
                <w:lang w:val="en-US" w:eastAsia="zh-CN"/>
              </w:rPr>
              <w:t>措施</w:t>
            </w:r>
            <w:r>
              <w:rPr>
                <w:rFonts w:hint="eastAsia" w:ascii="宋体" w:hAnsi="宋体" w:eastAsia="宋体" w:cs="宋体"/>
                <w:sz w:val="24"/>
                <w:szCs w:val="24"/>
                <w:highlight w:val="none"/>
              </w:rPr>
              <w:t>方案</w:t>
            </w:r>
            <w:r>
              <w:rPr>
                <w:rFonts w:hint="eastAsia" w:ascii="宋体" w:hAnsi="宋体" w:eastAsia="宋体" w:cs="宋体"/>
                <w:color w:val="000000"/>
                <w:kern w:val="0"/>
                <w:sz w:val="24"/>
                <w:szCs w:val="24"/>
                <w:highlight w:val="none"/>
                <w:lang w:val="en-US" w:eastAsia="zh-CN" w:bidi="ar"/>
              </w:rPr>
              <w:t xml:space="preserve">，方案包括：①物资配备计划②仪器设备配备及管理方案 </w:t>
            </w:r>
          </w:p>
          <w:p w14:paraId="0360B36B">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76E00F8D">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466B0CAE">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18C1351B">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0F8C504F">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三、赋分标准（满分6分） </w:t>
            </w:r>
          </w:p>
          <w:p w14:paraId="29B0F6DF">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①物资配备计划：每完全满足一个评审标准得1分，满分3分； </w:t>
            </w:r>
          </w:p>
          <w:p w14:paraId="152779CB">
            <w:pPr>
              <w:keepNext w:val="0"/>
              <w:keepLines w:val="0"/>
              <w:widowControl/>
              <w:suppressLineNumbers w:val="0"/>
              <w:shd w:val="clear"/>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②设备配备及管理方案 ：每完全满足一个评审标准得1分，满分3分； </w:t>
            </w:r>
          </w:p>
        </w:tc>
      </w:tr>
      <w:tr w14:paraId="2600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pct"/>
            <w:vAlign w:val="center"/>
          </w:tcPr>
          <w:p w14:paraId="4DA08565">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项目组织架构及人员配备</w:t>
            </w:r>
          </w:p>
        </w:tc>
        <w:tc>
          <w:tcPr>
            <w:tcW w:w="407" w:type="pct"/>
            <w:vAlign w:val="center"/>
          </w:tcPr>
          <w:p w14:paraId="4D5E860B">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分</w:t>
            </w:r>
          </w:p>
        </w:tc>
        <w:tc>
          <w:tcPr>
            <w:tcW w:w="4148" w:type="pct"/>
            <w:vAlign w:val="center"/>
          </w:tcPr>
          <w:p w14:paraId="5078F712">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项目组成人员中具备林业或测绘相关专业中级职称以上（含中级）1名加2分，本项最多8分。</w:t>
            </w:r>
          </w:p>
          <w:p w14:paraId="380D2D3E">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以上项目组成人员需提供人员证书、身份证（复印件）；</w:t>
            </w:r>
          </w:p>
          <w:p w14:paraId="69307DE7">
            <w:pPr>
              <w:keepNext w:val="0"/>
              <w:keepLines w:val="0"/>
              <w:widowControl/>
              <w:suppressLineNumbers w:val="0"/>
              <w:shd w:val="clear"/>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color w:val="000000"/>
                <w:kern w:val="0"/>
                <w:sz w:val="24"/>
                <w:szCs w:val="24"/>
                <w:highlight w:val="none"/>
                <w:lang w:val="en-US" w:eastAsia="zh-CN" w:bidi="ar"/>
              </w:rPr>
              <w:t>未提供的不得分。</w:t>
            </w:r>
          </w:p>
        </w:tc>
      </w:tr>
      <w:tr w14:paraId="7EFD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pct"/>
            <w:vAlign w:val="center"/>
          </w:tcPr>
          <w:p w14:paraId="6DD6D5D2">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碳汇监测应急预案</w:t>
            </w:r>
          </w:p>
        </w:tc>
        <w:tc>
          <w:tcPr>
            <w:tcW w:w="407" w:type="pct"/>
            <w:vAlign w:val="center"/>
          </w:tcPr>
          <w:p w14:paraId="21B58EB9">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9分</w:t>
            </w:r>
          </w:p>
        </w:tc>
        <w:tc>
          <w:tcPr>
            <w:tcW w:w="4148" w:type="pct"/>
            <w:vAlign w:val="center"/>
          </w:tcPr>
          <w:p w14:paraId="709F01CD">
            <w:pPr>
              <w:keepNext w:val="0"/>
              <w:keepLines w:val="0"/>
              <w:widowControl/>
              <w:suppressLineNumbers w:val="0"/>
              <w:shd w:val="clear"/>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一、评审内容 </w:t>
            </w:r>
          </w:p>
          <w:p w14:paraId="350A6C3C">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针对本项目提出适用于本项目的</w:t>
            </w:r>
            <w:r>
              <w:rPr>
                <w:rFonts w:hint="eastAsia" w:ascii="宋体" w:hAnsi="宋体" w:eastAsia="宋体" w:cs="宋体"/>
                <w:sz w:val="24"/>
                <w:szCs w:val="24"/>
                <w:highlight w:val="none"/>
                <w:lang w:val="en-US" w:eastAsia="zh-CN"/>
              </w:rPr>
              <w:t>措施</w:t>
            </w:r>
            <w:r>
              <w:rPr>
                <w:rFonts w:hint="eastAsia" w:ascii="宋体" w:hAnsi="宋体" w:eastAsia="宋体" w:cs="宋体"/>
                <w:sz w:val="24"/>
                <w:szCs w:val="24"/>
                <w:highlight w:val="none"/>
              </w:rPr>
              <w:t>方案</w:t>
            </w:r>
            <w:r>
              <w:rPr>
                <w:rFonts w:hint="eastAsia" w:ascii="宋体" w:hAnsi="宋体" w:eastAsia="宋体" w:cs="宋体"/>
                <w:color w:val="000000"/>
                <w:kern w:val="0"/>
                <w:sz w:val="24"/>
                <w:szCs w:val="24"/>
                <w:highlight w:val="none"/>
                <w:lang w:val="en-US" w:eastAsia="zh-CN" w:bidi="ar"/>
              </w:rPr>
              <w:t>，方案包括：①突发环境事件应急监测预案②毒蛇毒虫叮咬应急预案③检测室突发事故应急处理预案</w:t>
            </w:r>
          </w:p>
          <w:p w14:paraId="6577ED73">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4EF5DD7C">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53D8BBA3">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301E40F6">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580AFDB8">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三、赋分标准（满分9分） </w:t>
            </w:r>
          </w:p>
          <w:p w14:paraId="355FF21B">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①突发环境事件应急监测预案：每完全满足一个评审标准得1分，满分3分；</w:t>
            </w:r>
          </w:p>
          <w:p w14:paraId="02665DF2">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②毒蛇毒虫叮咬应急预案：每完全满足一个评审标准得1分，满分3分；</w:t>
            </w:r>
          </w:p>
          <w:p w14:paraId="141937F5">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③检测室突发事故应急处理预案：每完全满足一个评审标准得1分，满分3分；</w:t>
            </w:r>
          </w:p>
        </w:tc>
      </w:tr>
      <w:tr w14:paraId="0C28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444" w:type="pct"/>
            <w:vAlign w:val="center"/>
          </w:tcPr>
          <w:p w14:paraId="3CB66997">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业绩</w:t>
            </w:r>
          </w:p>
        </w:tc>
        <w:tc>
          <w:tcPr>
            <w:tcW w:w="407" w:type="pct"/>
            <w:vAlign w:val="center"/>
          </w:tcPr>
          <w:p w14:paraId="1DF51419">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4148" w:type="pct"/>
            <w:vAlign w:val="center"/>
          </w:tcPr>
          <w:p w14:paraId="34FB368A">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须提供自2023年1月至今类似项目业绩，以供应商提供的合同或中标（成交）通知书复印件（或扫描件）为准（日期以合同签订时间或中标（成交）通知书时间为准），每提供一份得2分，满分10分；未提供的不得分。</w:t>
            </w:r>
          </w:p>
        </w:tc>
      </w:tr>
      <w:tr w14:paraId="0403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pct"/>
            <w:vAlign w:val="center"/>
          </w:tcPr>
          <w:p w14:paraId="188A8C8E">
            <w:pPr>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报价</w:t>
            </w:r>
          </w:p>
        </w:tc>
        <w:tc>
          <w:tcPr>
            <w:tcW w:w="407" w:type="pct"/>
            <w:vAlign w:val="center"/>
          </w:tcPr>
          <w:p w14:paraId="4BDC433A">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4148" w:type="pct"/>
            <w:vAlign w:val="center"/>
          </w:tcPr>
          <w:p w14:paraId="06CD41D8">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满足磋商文件要求且磋商报价最低的报价为评审基准价，其价格分为满分。</w:t>
            </w:r>
          </w:p>
          <w:p w14:paraId="11CEBF9A">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报价得分=（评审基准价／磋商报价）×10</w:t>
            </w:r>
          </w:p>
        </w:tc>
      </w:tr>
    </w:tbl>
    <w:p w14:paraId="79D5E974">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6C479B5F">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2997A4CF">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52B5459D">
      <w:pPr>
        <w:pStyle w:val="17"/>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79B78466">
      <w:pPr>
        <w:pStyle w:val="2"/>
        <w:jc w:val="center"/>
        <w:rPr>
          <w:rFonts w:ascii="宋体" w:eastAsia="宋体" w:cs="宋体"/>
          <w:bCs/>
          <w:color w:val="auto"/>
          <w:sz w:val="36"/>
          <w:szCs w:val="36"/>
          <w:highlight w:val="none"/>
        </w:rPr>
      </w:pPr>
      <w:bookmarkStart w:id="114" w:name="_Toc8788"/>
      <w:bookmarkStart w:id="115" w:name="_Toc19847"/>
      <w:bookmarkStart w:id="116" w:name="_Toc10029"/>
      <w:r>
        <w:rPr>
          <w:rFonts w:hint="eastAsia" w:ascii="宋体" w:eastAsia="宋体" w:cs="宋体"/>
          <w:bCs/>
          <w:color w:val="auto"/>
          <w:sz w:val="36"/>
          <w:szCs w:val="36"/>
          <w:highlight w:val="none"/>
        </w:rPr>
        <w:t>第四章  合同条款及格式</w:t>
      </w:r>
      <w:bookmarkEnd w:id="80"/>
      <w:bookmarkEnd w:id="81"/>
      <w:bookmarkEnd w:id="82"/>
      <w:bookmarkEnd w:id="114"/>
      <w:bookmarkEnd w:id="115"/>
      <w:bookmarkEnd w:id="116"/>
    </w:p>
    <w:p w14:paraId="746FF406">
      <w:pPr>
        <w:tabs>
          <w:tab w:val="left" w:pos="210"/>
          <w:tab w:val="left" w:pos="525"/>
        </w:tabs>
        <w:spacing w:line="360" w:lineRule="auto"/>
        <w:jc w:val="center"/>
        <w:outlineLvl w:val="1"/>
        <w:rPr>
          <w:rFonts w:hAnsi="宋体" w:cs="宋体"/>
          <w:color w:val="auto"/>
          <w:sz w:val="32"/>
          <w:szCs w:val="32"/>
          <w:highlight w:val="none"/>
        </w:rPr>
      </w:pPr>
      <w:bookmarkStart w:id="117" w:name="_Toc23705"/>
      <w:bookmarkStart w:id="118" w:name="_Toc25916"/>
      <w:bookmarkStart w:id="119" w:name="_Toc26300"/>
      <w:bookmarkStart w:id="120" w:name="_Toc24218"/>
      <w:bookmarkStart w:id="121" w:name="_Toc3424"/>
      <w:bookmarkStart w:id="122" w:name="_Toc20005"/>
      <w:bookmarkStart w:id="123" w:name="_Toc32476"/>
      <w:r>
        <w:rPr>
          <w:rFonts w:hint="eastAsia" w:hAnsi="宋体" w:cs="宋体"/>
          <w:b/>
          <w:bCs/>
          <w:color w:val="auto"/>
          <w:sz w:val="32"/>
          <w:szCs w:val="32"/>
          <w:highlight w:val="none"/>
        </w:rPr>
        <w:t>合同前附表</w:t>
      </w:r>
      <w:bookmarkEnd w:id="117"/>
      <w:bookmarkEnd w:id="118"/>
      <w:bookmarkEnd w:id="119"/>
      <w:bookmarkEnd w:id="120"/>
      <w:bookmarkEnd w:id="121"/>
      <w:bookmarkEnd w:id="122"/>
      <w:bookmarkEnd w:id="123"/>
    </w:p>
    <w:p w14:paraId="67DDF129">
      <w:pPr>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2"/>
        <w:tblW w:w="520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0"/>
        <w:gridCol w:w="8829"/>
      </w:tblGrid>
      <w:tr w14:paraId="5900D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67" w:type="pct"/>
            <w:vAlign w:val="center"/>
          </w:tcPr>
          <w:p w14:paraId="1CD3A5F2">
            <w:pPr>
              <w:spacing w:line="360" w:lineRule="auto"/>
              <w:jc w:val="center"/>
              <w:rPr>
                <w:rFonts w:hAnsi="宋体" w:cs="宋体"/>
                <w:color w:val="auto"/>
                <w:sz w:val="24"/>
                <w:szCs w:val="24"/>
                <w:highlight w:val="none"/>
              </w:rPr>
            </w:pPr>
            <w:r>
              <w:rPr>
                <w:rFonts w:hint="eastAsia" w:hAnsi="宋体" w:cs="宋体"/>
                <w:color w:val="auto"/>
                <w:sz w:val="24"/>
                <w:szCs w:val="24"/>
                <w:highlight w:val="none"/>
              </w:rPr>
              <w:t>条款号</w:t>
            </w:r>
          </w:p>
        </w:tc>
        <w:tc>
          <w:tcPr>
            <w:tcW w:w="4532" w:type="pct"/>
            <w:vAlign w:val="center"/>
          </w:tcPr>
          <w:p w14:paraId="037CDC0F">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内      容</w:t>
            </w:r>
          </w:p>
        </w:tc>
      </w:tr>
      <w:tr w14:paraId="3762D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67" w:type="pct"/>
            <w:vAlign w:val="center"/>
          </w:tcPr>
          <w:p w14:paraId="4F93804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4532" w:type="pct"/>
            <w:vAlign w:val="center"/>
          </w:tcPr>
          <w:p w14:paraId="52536E9E">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采购人名称：丹凤县林业局</w:t>
            </w:r>
          </w:p>
          <w:p w14:paraId="68D0D72F">
            <w:pPr>
              <w:spacing w:line="360" w:lineRule="auto"/>
              <w:rPr>
                <w:rFonts w:hint="eastAsia" w:hAnsi="宋体" w:cs="宋体"/>
                <w:color w:val="auto"/>
                <w:sz w:val="24"/>
                <w:szCs w:val="24"/>
                <w:highlight w:val="none"/>
              </w:rPr>
            </w:pPr>
            <w:r>
              <w:rPr>
                <w:rFonts w:hint="eastAsia" w:hAnsi="宋体" w:cs="宋体"/>
                <w:color w:val="auto"/>
                <w:sz w:val="24"/>
                <w:szCs w:val="24"/>
                <w:highlight w:val="none"/>
              </w:rPr>
              <w:t>地      址：陕西省商洛市丹凤县北新街44号</w:t>
            </w:r>
          </w:p>
          <w:p w14:paraId="248EE433">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项目名称：陕西省秦巴山区汉江丹江流域中央财政国土绿化示范项目（丹凤县2024年度）碳汇监测</w:t>
            </w:r>
          </w:p>
        </w:tc>
      </w:tr>
      <w:tr w14:paraId="0E26B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67" w:type="pct"/>
            <w:vAlign w:val="center"/>
          </w:tcPr>
          <w:p w14:paraId="3441503E">
            <w:pPr>
              <w:spacing w:line="360" w:lineRule="auto"/>
              <w:jc w:val="center"/>
              <w:rPr>
                <w:rFonts w:hAnsi="宋体" w:cs="宋体"/>
                <w:color w:val="auto"/>
                <w:sz w:val="24"/>
                <w:szCs w:val="24"/>
                <w:highlight w:val="none"/>
              </w:rPr>
            </w:pPr>
            <w:r>
              <w:rPr>
                <w:rFonts w:hint="eastAsia" w:hAnsi="宋体" w:cs="宋体"/>
                <w:color w:val="auto"/>
                <w:sz w:val="24"/>
                <w:szCs w:val="24"/>
                <w:highlight w:val="none"/>
              </w:rPr>
              <w:t>2</w:t>
            </w:r>
          </w:p>
        </w:tc>
        <w:tc>
          <w:tcPr>
            <w:tcW w:w="4532" w:type="pct"/>
            <w:vAlign w:val="center"/>
          </w:tcPr>
          <w:p w14:paraId="7F5D4703">
            <w:pPr>
              <w:spacing w:line="360" w:lineRule="auto"/>
              <w:rPr>
                <w:rFonts w:hint="eastAsia" w:hAnsi="宋体" w:eastAsia="宋体" w:cs="宋体"/>
                <w:color w:val="auto"/>
                <w:sz w:val="24"/>
                <w:szCs w:val="24"/>
                <w:highlight w:val="none"/>
                <w:lang w:val="en-US" w:eastAsia="zh-CN"/>
              </w:rPr>
            </w:pPr>
            <w:r>
              <w:rPr>
                <w:rFonts w:hint="eastAsia" w:hAnsi="宋体" w:cs="宋体"/>
                <w:b/>
                <w:bCs/>
                <w:color w:val="auto"/>
                <w:sz w:val="24"/>
                <w:szCs w:val="24"/>
                <w:highlight w:val="none"/>
              </w:rPr>
              <w:t>项目实施地点：</w:t>
            </w:r>
            <w:r>
              <w:rPr>
                <w:rFonts w:hint="eastAsia" w:hAnsi="宋体" w:cs="宋体"/>
                <w:b/>
                <w:bCs/>
                <w:color w:val="auto"/>
                <w:sz w:val="24"/>
                <w:szCs w:val="24"/>
                <w:highlight w:val="none"/>
                <w:lang w:val="en-US" w:eastAsia="zh-CN"/>
              </w:rPr>
              <w:t>丹凤县</w:t>
            </w:r>
          </w:p>
        </w:tc>
      </w:tr>
      <w:tr w14:paraId="7E38E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67" w:type="pct"/>
            <w:vAlign w:val="center"/>
          </w:tcPr>
          <w:p w14:paraId="56C8176D">
            <w:pPr>
              <w:spacing w:line="360" w:lineRule="auto"/>
              <w:jc w:val="center"/>
              <w:rPr>
                <w:rFonts w:hAnsi="宋体" w:cs="宋体"/>
                <w:color w:val="auto"/>
                <w:sz w:val="24"/>
                <w:szCs w:val="24"/>
                <w:highlight w:val="none"/>
              </w:rPr>
            </w:pPr>
            <w:r>
              <w:rPr>
                <w:rFonts w:hint="eastAsia" w:hAnsi="宋体" w:cs="宋体"/>
                <w:color w:val="auto"/>
                <w:sz w:val="24"/>
                <w:szCs w:val="24"/>
                <w:highlight w:val="none"/>
              </w:rPr>
              <w:t>3</w:t>
            </w:r>
          </w:p>
        </w:tc>
        <w:tc>
          <w:tcPr>
            <w:tcW w:w="4532" w:type="pct"/>
            <w:vAlign w:val="center"/>
          </w:tcPr>
          <w:p w14:paraId="36B7E177">
            <w:pPr>
              <w:pStyle w:val="7"/>
              <w:ind w:firstLine="0" w:firstLineChars="0"/>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监测</w:t>
            </w:r>
            <w:r>
              <w:rPr>
                <w:rFonts w:hint="eastAsia" w:ascii="宋体" w:hAnsi="宋体" w:cs="宋体"/>
                <w:b/>
                <w:bCs/>
                <w:color w:val="auto"/>
                <w:sz w:val="24"/>
                <w:szCs w:val="24"/>
                <w:highlight w:val="none"/>
              </w:rPr>
              <w:t>服务期：合同签订之日起</w:t>
            </w:r>
            <w:r>
              <w:rPr>
                <w:rFonts w:hint="eastAsia" w:ascii="宋体" w:hAnsi="宋体" w:cs="宋体"/>
                <w:b/>
                <w:bCs/>
                <w:color w:val="auto"/>
                <w:sz w:val="24"/>
                <w:szCs w:val="24"/>
                <w:highlight w:val="none"/>
                <w:lang w:val="en-US" w:eastAsia="zh-CN"/>
              </w:rPr>
              <w:t>5年；</w:t>
            </w:r>
          </w:p>
        </w:tc>
      </w:tr>
      <w:tr w14:paraId="619B9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67" w:type="pct"/>
            <w:vAlign w:val="center"/>
          </w:tcPr>
          <w:p w14:paraId="3D2E67AC">
            <w:pPr>
              <w:spacing w:line="360" w:lineRule="auto"/>
              <w:jc w:val="center"/>
              <w:rPr>
                <w:rFonts w:hAnsi="宋体" w:cs="宋体"/>
                <w:color w:val="auto"/>
                <w:sz w:val="24"/>
                <w:szCs w:val="24"/>
                <w:highlight w:val="none"/>
              </w:rPr>
            </w:pPr>
            <w:r>
              <w:rPr>
                <w:rFonts w:hint="eastAsia" w:hAnsi="宋体" w:cs="宋体"/>
                <w:color w:val="auto"/>
                <w:sz w:val="24"/>
                <w:szCs w:val="24"/>
                <w:highlight w:val="none"/>
              </w:rPr>
              <w:t>4</w:t>
            </w:r>
          </w:p>
        </w:tc>
        <w:tc>
          <w:tcPr>
            <w:tcW w:w="4532" w:type="pct"/>
            <w:vAlign w:val="center"/>
          </w:tcPr>
          <w:p w14:paraId="6D8816E0">
            <w:pPr>
              <w:spacing w:line="360" w:lineRule="auto"/>
              <w:rPr>
                <w:rFonts w:hAnsi="宋体" w:cs="宋体"/>
                <w:b/>
                <w:color w:val="auto"/>
                <w:sz w:val="24"/>
                <w:szCs w:val="24"/>
                <w:highlight w:val="none"/>
              </w:rPr>
            </w:pPr>
            <w:r>
              <w:rPr>
                <w:rFonts w:hint="eastAsia" w:hAnsi="宋体" w:cs="宋体"/>
                <w:b/>
                <w:color w:val="auto"/>
                <w:sz w:val="24"/>
                <w:szCs w:val="24"/>
                <w:highlight w:val="none"/>
              </w:rPr>
              <w:t>付款：</w:t>
            </w:r>
          </w:p>
          <w:p w14:paraId="62F5F90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1.合同总价即成交价，不受市场价变化或实际工作量变化的影响。供应商应在磋商报价表中标明完成本次磋商所要求的全部服务的所有费用。</w:t>
            </w:r>
          </w:p>
          <w:p w14:paraId="1B34FF3A">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2.付款方式和程序：</w:t>
            </w:r>
          </w:p>
          <w:p w14:paraId="7F764BA4">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2.1由采购人负责结算，在付款前，供应商必须开具全额发票给采购人（附详细清单）。</w:t>
            </w:r>
          </w:p>
          <w:p w14:paraId="76BCC10B">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2.2付款方式：</w:t>
            </w:r>
          </w:p>
          <w:p w14:paraId="53A12411">
            <w:pPr>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合同签订后，一周内乙方向甲方提供等额的增值税普通发票，甲方预付乙方合同款的30%，</w:t>
            </w:r>
            <w:r>
              <w:rPr>
                <w:rFonts w:hint="eastAsia" w:hAnsi="宋体" w:cs="宋体"/>
                <w:b/>
                <w:color w:val="auto"/>
                <w:sz w:val="24"/>
                <w:szCs w:val="24"/>
                <w:highlight w:val="none"/>
                <w:lang w:val="en-US" w:eastAsia="zh-CN"/>
              </w:rPr>
              <w:t>监测设备</w:t>
            </w:r>
            <w:r>
              <w:rPr>
                <w:rFonts w:hint="eastAsia" w:hAnsi="宋体" w:cs="宋体"/>
                <w:b/>
                <w:color w:val="auto"/>
                <w:sz w:val="24"/>
                <w:szCs w:val="24"/>
                <w:highlight w:val="none"/>
              </w:rPr>
              <w:t>完成安装后甲方支付合同款50%，合同签订之日起1年后完成监测服务，提交数据符合要求，支付合同款10%，第5年付清剩余10%合同款。（具体以签订合同为准）</w:t>
            </w:r>
          </w:p>
          <w:p w14:paraId="0327C52C">
            <w:pPr>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2.3支付方式：银行转账</w:t>
            </w:r>
          </w:p>
        </w:tc>
      </w:tr>
      <w:tr w14:paraId="11598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67" w:type="pct"/>
            <w:vAlign w:val="center"/>
          </w:tcPr>
          <w:p w14:paraId="13ECF137">
            <w:pPr>
              <w:spacing w:line="360" w:lineRule="auto"/>
              <w:jc w:val="center"/>
              <w:rPr>
                <w:rFonts w:hAnsi="宋体" w:cs="宋体"/>
                <w:color w:val="auto"/>
                <w:sz w:val="24"/>
                <w:szCs w:val="24"/>
                <w:highlight w:val="none"/>
              </w:rPr>
            </w:pPr>
            <w:r>
              <w:rPr>
                <w:rFonts w:hint="eastAsia" w:hAnsi="宋体" w:cs="宋体"/>
                <w:color w:val="auto"/>
                <w:sz w:val="24"/>
                <w:szCs w:val="24"/>
                <w:highlight w:val="none"/>
              </w:rPr>
              <w:t>5</w:t>
            </w:r>
          </w:p>
        </w:tc>
        <w:tc>
          <w:tcPr>
            <w:tcW w:w="4532" w:type="pct"/>
            <w:vAlign w:val="center"/>
          </w:tcPr>
          <w:p w14:paraId="70D86ABE">
            <w:pPr>
              <w:spacing w:line="360" w:lineRule="auto"/>
              <w:rPr>
                <w:rFonts w:hAnsi="宋体" w:cs="宋体"/>
                <w:b/>
                <w:color w:val="auto"/>
                <w:sz w:val="24"/>
                <w:szCs w:val="24"/>
                <w:highlight w:val="none"/>
              </w:rPr>
            </w:pPr>
            <w:r>
              <w:rPr>
                <w:rFonts w:hint="eastAsia" w:hAnsi="宋体" w:cs="宋体"/>
                <w:b/>
                <w:color w:val="auto"/>
                <w:sz w:val="24"/>
                <w:szCs w:val="24"/>
                <w:highlight w:val="none"/>
              </w:rPr>
              <w:t>服务支持：</w:t>
            </w:r>
          </w:p>
          <w:p w14:paraId="1C7C4CAD">
            <w:pPr>
              <w:spacing w:line="360" w:lineRule="auto"/>
              <w:ind w:firstLine="480" w:firstLineChars="200"/>
              <w:jc w:val="left"/>
              <w:rPr>
                <w:rFonts w:hAnsi="宋体" w:cs="宋体"/>
                <w:color w:val="auto"/>
                <w:sz w:val="24"/>
                <w:szCs w:val="24"/>
                <w:highlight w:val="none"/>
              </w:rPr>
            </w:pPr>
            <w:r>
              <w:rPr>
                <w:rFonts w:hint="eastAsia" w:hAnsi="宋体" w:cs="宋体"/>
                <w:bCs/>
                <w:color w:val="auto"/>
                <w:sz w:val="24"/>
                <w:szCs w:val="24"/>
                <w:highlight w:val="none"/>
              </w:rPr>
              <w:t>供应商在项目实施过程中，质量保障人员、资源不足或者执行不力，给项目质量带来的风险超出采购人认定的允许范围时，采购人可终止本项目的合作并进行索赔。</w:t>
            </w:r>
          </w:p>
        </w:tc>
      </w:tr>
      <w:tr w14:paraId="1C649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67" w:type="pct"/>
            <w:vAlign w:val="center"/>
          </w:tcPr>
          <w:p w14:paraId="480AE336">
            <w:pPr>
              <w:spacing w:line="360" w:lineRule="auto"/>
              <w:jc w:val="center"/>
              <w:rPr>
                <w:rFonts w:hAnsi="宋体" w:cs="宋体"/>
                <w:color w:val="auto"/>
                <w:sz w:val="24"/>
                <w:szCs w:val="24"/>
                <w:highlight w:val="none"/>
              </w:rPr>
            </w:pPr>
            <w:r>
              <w:rPr>
                <w:rFonts w:hint="eastAsia" w:hAnsi="宋体" w:cs="宋体"/>
                <w:color w:val="auto"/>
                <w:sz w:val="24"/>
                <w:szCs w:val="24"/>
                <w:highlight w:val="none"/>
              </w:rPr>
              <w:t>6</w:t>
            </w:r>
          </w:p>
        </w:tc>
        <w:tc>
          <w:tcPr>
            <w:tcW w:w="4532" w:type="pct"/>
            <w:vAlign w:val="center"/>
          </w:tcPr>
          <w:p w14:paraId="554D033D">
            <w:pPr>
              <w:spacing w:line="360" w:lineRule="auto"/>
              <w:rPr>
                <w:rFonts w:hAnsi="宋体" w:cs="宋体"/>
                <w:b/>
                <w:color w:val="auto"/>
                <w:sz w:val="24"/>
                <w:szCs w:val="24"/>
                <w:highlight w:val="none"/>
              </w:rPr>
            </w:pPr>
            <w:r>
              <w:rPr>
                <w:rFonts w:hint="eastAsia" w:hAnsi="宋体" w:cs="宋体"/>
                <w:b/>
                <w:color w:val="auto"/>
                <w:sz w:val="24"/>
                <w:szCs w:val="24"/>
                <w:highlight w:val="none"/>
              </w:rPr>
              <w:t>知识产权、专利权：</w:t>
            </w:r>
          </w:p>
          <w:p w14:paraId="19B6A878">
            <w:pPr>
              <w:tabs>
                <w:tab w:val="left" w:pos="498"/>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供应商应对所提供的文稿及图像、影像材料，已取得合法知识产权或其使用权，供应商应保证所提供的服务不会出现因第三方提出侵犯其版权、商标权或其他知识产权而引发法律或经济纠纷，否则由供应商负责解决并承担全部责任；如因此影响到采购人的正常使用，采购人有权单方解除本合同，供应商应无条件向采购人退回已收取的全部合同价款。</w:t>
            </w:r>
          </w:p>
        </w:tc>
      </w:tr>
      <w:tr w14:paraId="3CB8E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0" w:hRule="atLeast"/>
        </w:trPr>
        <w:tc>
          <w:tcPr>
            <w:tcW w:w="467" w:type="pct"/>
            <w:vAlign w:val="center"/>
          </w:tcPr>
          <w:p w14:paraId="0C74400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7</w:t>
            </w:r>
          </w:p>
        </w:tc>
        <w:tc>
          <w:tcPr>
            <w:tcW w:w="4532" w:type="pct"/>
            <w:vAlign w:val="center"/>
          </w:tcPr>
          <w:p w14:paraId="161BEAEA">
            <w:pPr>
              <w:spacing w:line="360" w:lineRule="auto"/>
              <w:rPr>
                <w:rFonts w:hAnsi="宋体" w:cs="宋体"/>
                <w:b/>
                <w:color w:val="auto"/>
                <w:sz w:val="24"/>
                <w:szCs w:val="24"/>
                <w:highlight w:val="none"/>
              </w:rPr>
            </w:pPr>
            <w:r>
              <w:rPr>
                <w:rFonts w:hint="eastAsia" w:hAnsi="宋体" w:cs="宋体"/>
                <w:b/>
                <w:color w:val="auto"/>
                <w:sz w:val="24"/>
                <w:szCs w:val="24"/>
                <w:highlight w:val="none"/>
              </w:rPr>
              <w:t>违约责任：</w:t>
            </w:r>
          </w:p>
          <w:p w14:paraId="34DF563C">
            <w:pPr>
              <w:tabs>
                <w:tab w:val="left" w:pos="152"/>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1、按《中华人民共和国民法典》中的相关条款执行。</w:t>
            </w:r>
          </w:p>
          <w:p w14:paraId="77DA081A">
            <w:pPr>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25E03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67" w:type="pct"/>
            <w:vAlign w:val="center"/>
          </w:tcPr>
          <w:p w14:paraId="563B48E9">
            <w:pPr>
              <w:spacing w:line="360" w:lineRule="auto"/>
              <w:jc w:val="center"/>
              <w:rPr>
                <w:rFonts w:hAnsi="宋体" w:cs="宋体"/>
                <w:color w:val="auto"/>
                <w:sz w:val="24"/>
                <w:szCs w:val="24"/>
                <w:highlight w:val="none"/>
              </w:rPr>
            </w:pPr>
            <w:r>
              <w:rPr>
                <w:rFonts w:hint="eastAsia" w:hAnsi="宋体" w:cs="宋体"/>
                <w:color w:val="auto"/>
                <w:sz w:val="24"/>
                <w:szCs w:val="24"/>
                <w:highlight w:val="none"/>
              </w:rPr>
              <w:t>8</w:t>
            </w:r>
          </w:p>
        </w:tc>
        <w:tc>
          <w:tcPr>
            <w:tcW w:w="4532" w:type="pct"/>
            <w:vAlign w:val="center"/>
          </w:tcPr>
          <w:p w14:paraId="617D4BC5">
            <w:pPr>
              <w:spacing w:line="360" w:lineRule="auto"/>
              <w:rPr>
                <w:rFonts w:hAnsi="宋体" w:cs="宋体"/>
                <w:b/>
                <w:color w:val="auto"/>
                <w:sz w:val="24"/>
                <w:szCs w:val="24"/>
                <w:highlight w:val="none"/>
              </w:rPr>
            </w:pPr>
            <w:r>
              <w:rPr>
                <w:rFonts w:hint="eastAsia" w:hAnsi="宋体" w:cs="宋体"/>
                <w:b/>
                <w:color w:val="auto"/>
                <w:sz w:val="24"/>
                <w:szCs w:val="24"/>
                <w:highlight w:val="none"/>
              </w:rPr>
              <w:t>政府采购合同：</w:t>
            </w:r>
          </w:p>
          <w:p w14:paraId="0D5A186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政府采购合同适用《中华人民共和国民法典》。采购人和供应商之间的权利和义务，应当按照平等、自愿的原则以合同方式约定。</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采购人与中标、成交供应商应当在中标、成交通知书发出之日起</w:t>
            </w:r>
            <w:r>
              <w:rPr>
                <w:rFonts w:hint="eastAsia" w:hAnsi="宋体" w:cs="宋体"/>
                <w:color w:val="auto"/>
                <w:sz w:val="24"/>
                <w:szCs w:val="24"/>
                <w:highlight w:val="none"/>
                <w:lang w:val="en-US" w:eastAsia="zh-CN"/>
              </w:rPr>
              <w:t>三十</w:t>
            </w:r>
            <w:r>
              <w:rPr>
                <w:rFonts w:hint="eastAsia" w:hAnsi="宋体" w:cs="宋体"/>
                <w:color w:val="auto"/>
                <w:sz w:val="24"/>
                <w:szCs w:val="24"/>
                <w:highlight w:val="none"/>
              </w:rPr>
              <w:t>日内，按照采购文件确定的事项签订政府采购合同。</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63022E4B">
            <w:pPr>
              <w:pStyle w:val="12"/>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政府采购合同的双方当事人不得擅自变更、中止或者终止合同。</w:t>
            </w:r>
            <w:r>
              <w:rPr>
                <w:rFonts w:hint="eastAsia" w:hAnsi="宋体" w:cs="宋体"/>
                <w:color w:val="auto"/>
                <w:sz w:val="24"/>
                <w:szCs w:val="24"/>
                <w:highlight w:val="none"/>
              </w:rPr>
              <w:br w:type="textWrapping"/>
            </w: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5738DB9C">
      <w:pPr>
        <w:rPr>
          <w:rFonts w:hAnsi="宋体" w:cs="宋体"/>
          <w:color w:val="auto"/>
          <w:sz w:val="32"/>
          <w:highlight w:val="none"/>
        </w:rPr>
      </w:pPr>
      <w:bookmarkStart w:id="124" w:name="_Toc4679"/>
      <w:bookmarkStart w:id="125" w:name="_Toc31520"/>
      <w:bookmarkStart w:id="126" w:name="_Toc26595"/>
      <w:bookmarkStart w:id="127" w:name="_Toc389582037"/>
      <w:bookmarkStart w:id="128" w:name="_Toc8333"/>
      <w:bookmarkStart w:id="129" w:name="_Toc19246"/>
      <w:bookmarkStart w:id="130" w:name="_Toc423973075"/>
      <w:bookmarkStart w:id="131" w:name="_Toc29888"/>
      <w:bookmarkStart w:id="132" w:name="_Toc19199"/>
      <w:r>
        <w:rPr>
          <w:rFonts w:hint="eastAsia" w:hAnsi="宋体" w:cs="宋体"/>
          <w:b/>
          <w:bCs/>
          <w:color w:val="auto"/>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09F5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0D1A49A0">
            <w:pPr>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43A98F56">
      <w:pPr>
        <w:outlineLvl w:val="1"/>
        <w:rPr>
          <w:rFonts w:hAnsi="宋体" w:cs="宋体"/>
          <w:b/>
          <w:color w:val="auto"/>
          <w:sz w:val="32"/>
          <w:szCs w:val="32"/>
          <w:highlight w:val="none"/>
        </w:rPr>
      </w:pPr>
      <w:bookmarkStart w:id="133" w:name="_Toc1362"/>
      <w:bookmarkStart w:id="134" w:name="_Toc22328"/>
      <w:bookmarkStart w:id="135" w:name="_Toc5216"/>
      <w:bookmarkStart w:id="136" w:name="_Toc24004"/>
      <w:bookmarkStart w:id="137" w:name="_Toc20469"/>
      <w:bookmarkStart w:id="138" w:name="_Toc7874"/>
      <w:bookmarkStart w:id="139" w:name="_Toc18120"/>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133"/>
      <w:bookmarkEnd w:id="134"/>
      <w:bookmarkEnd w:id="135"/>
      <w:bookmarkEnd w:id="136"/>
      <w:bookmarkEnd w:id="137"/>
      <w:bookmarkEnd w:id="138"/>
      <w:bookmarkEnd w:id="139"/>
      <w:r>
        <w:rPr>
          <w:rFonts w:hint="eastAsia" w:hAnsi="宋体" w:cs="宋体"/>
          <w:b/>
          <w:color w:val="auto"/>
          <w:sz w:val="32"/>
          <w:szCs w:val="32"/>
          <w:highlight w:val="none"/>
        </w:rPr>
        <w:t xml:space="preserve">                  </w:t>
      </w:r>
    </w:p>
    <w:p w14:paraId="7808D1E1">
      <w:pPr>
        <w:rPr>
          <w:rFonts w:hAnsi="宋体" w:cs="宋体"/>
          <w:b/>
          <w:color w:val="auto"/>
          <w:sz w:val="32"/>
          <w:szCs w:val="32"/>
          <w:highlight w:val="none"/>
        </w:rPr>
      </w:pPr>
      <w:r>
        <w:rPr>
          <w:rFonts w:hint="eastAsia" w:hAnsi="宋体" w:cs="宋体"/>
          <w:b/>
          <w:color w:val="auto"/>
          <w:sz w:val="32"/>
          <w:szCs w:val="32"/>
          <w:highlight w:val="none"/>
        </w:rPr>
        <w:t xml:space="preserve">          </w:t>
      </w:r>
    </w:p>
    <w:p w14:paraId="3E0FEAB2">
      <w:pPr>
        <w:jc w:val="center"/>
        <w:rPr>
          <w:rFonts w:hAnsi="宋体" w:cs="宋体"/>
          <w:color w:val="auto"/>
          <w:sz w:val="52"/>
          <w:szCs w:val="52"/>
          <w:highlight w:val="none"/>
        </w:rPr>
      </w:pPr>
    </w:p>
    <w:p w14:paraId="0C387AF1">
      <w:pPr>
        <w:jc w:val="center"/>
        <w:rPr>
          <w:rFonts w:hAnsi="宋体" w:cs="宋体"/>
          <w:color w:val="auto"/>
          <w:sz w:val="52"/>
          <w:szCs w:val="52"/>
          <w:highlight w:val="none"/>
        </w:rPr>
      </w:pPr>
    </w:p>
    <w:p w14:paraId="3CDC5D69">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06E1C948">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659C3D12">
      <w:pPr>
        <w:jc w:val="center"/>
        <w:rPr>
          <w:rFonts w:hAnsi="宋体" w:cs="宋体"/>
          <w:color w:val="auto"/>
          <w:sz w:val="30"/>
          <w:szCs w:val="30"/>
          <w:highlight w:val="none"/>
        </w:rPr>
      </w:pPr>
    </w:p>
    <w:p w14:paraId="2EC0A34D">
      <w:pPr>
        <w:jc w:val="center"/>
        <w:rPr>
          <w:rFonts w:hAnsi="宋体" w:cs="宋体"/>
          <w:color w:val="auto"/>
          <w:sz w:val="30"/>
          <w:szCs w:val="30"/>
          <w:highlight w:val="none"/>
        </w:rPr>
      </w:pPr>
    </w:p>
    <w:p w14:paraId="5264F369">
      <w:pPr>
        <w:jc w:val="center"/>
        <w:rPr>
          <w:rFonts w:hAnsi="宋体" w:cs="宋体"/>
          <w:color w:val="auto"/>
          <w:sz w:val="30"/>
          <w:szCs w:val="30"/>
          <w:highlight w:val="none"/>
        </w:rPr>
      </w:pPr>
    </w:p>
    <w:p w14:paraId="0C993C49">
      <w:pPr>
        <w:jc w:val="center"/>
        <w:rPr>
          <w:rFonts w:hAnsi="宋体" w:cs="宋体"/>
          <w:color w:val="auto"/>
          <w:sz w:val="30"/>
          <w:szCs w:val="30"/>
          <w:highlight w:val="none"/>
        </w:rPr>
      </w:pPr>
    </w:p>
    <w:p w14:paraId="3DDC0304">
      <w:pPr>
        <w:jc w:val="center"/>
        <w:rPr>
          <w:rFonts w:hAnsi="宋体" w:cs="宋体"/>
          <w:color w:val="auto"/>
          <w:sz w:val="30"/>
          <w:szCs w:val="30"/>
          <w:highlight w:val="none"/>
        </w:rPr>
      </w:pPr>
    </w:p>
    <w:p w14:paraId="797F4596">
      <w:pPr>
        <w:jc w:val="center"/>
        <w:rPr>
          <w:rFonts w:hAnsi="宋体" w:cs="宋体"/>
          <w:color w:val="auto"/>
          <w:sz w:val="30"/>
          <w:szCs w:val="30"/>
          <w:highlight w:val="none"/>
        </w:rPr>
      </w:pPr>
    </w:p>
    <w:p w14:paraId="739435ED">
      <w:pPr>
        <w:ind w:firstLine="2080" w:firstLineChars="650"/>
        <w:rPr>
          <w:rFonts w:hint="eastAsia" w:hAnsi="宋体" w:cs="宋体"/>
          <w:color w:val="auto"/>
          <w:sz w:val="32"/>
          <w:szCs w:val="32"/>
          <w:highlight w:val="none"/>
        </w:rPr>
      </w:pPr>
    </w:p>
    <w:p w14:paraId="17EB0627">
      <w:pPr>
        <w:ind w:firstLine="2080" w:firstLineChars="650"/>
        <w:rPr>
          <w:rFonts w:hint="eastAsia" w:hAnsi="宋体" w:cs="宋体"/>
          <w:color w:val="auto"/>
          <w:sz w:val="32"/>
          <w:szCs w:val="32"/>
          <w:highlight w:val="none"/>
        </w:rPr>
      </w:pPr>
    </w:p>
    <w:p w14:paraId="1E85E6D2">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方（发包人）： </w:t>
      </w:r>
    </w:p>
    <w:p w14:paraId="146E4D5B">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方（承包人）：</w:t>
      </w:r>
    </w:p>
    <w:p w14:paraId="70E7F6D3">
      <w:pPr>
        <w:jc w:val="center"/>
        <w:rPr>
          <w:rFonts w:hAnsi="宋体" w:cs="宋体"/>
          <w:color w:val="auto"/>
          <w:sz w:val="30"/>
          <w:szCs w:val="30"/>
          <w:highlight w:val="none"/>
        </w:rPr>
      </w:pPr>
    </w:p>
    <w:p w14:paraId="3E4FF973">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07B98E02">
      <w:pPr>
        <w:spacing w:line="590" w:lineRule="exact"/>
        <w:rPr>
          <w:rFonts w:hAnsi="宋体" w:cs="宋体"/>
          <w:b/>
          <w:color w:val="auto"/>
          <w:sz w:val="36"/>
          <w:szCs w:val="36"/>
          <w:highlight w:val="none"/>
        </w:rPr>
      </w:pPr>
    </w:p>
    <w:p w14:paraId="4DBB2205">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140" w:name="_Toc7965"/>
      <w:bookmarkStart w:id="141" w:name="_Toc20561"/>
      <w:bookmarkStart w:id="142" w:name="_Toc28398"/>
      <w:bookmarkStart w:id="143" w:name="_Toc24621"/>
      <w:bookmarkStart w:id="144" w:name="_Toc1119"/>
      <w:bookmarkStart w:id="145" w:name="_Toc4254"/>
      <w:r>
        <w:rPr>
          <w:rFonts w:hint="eastAsia" w:ascii="黑体" w:eastAsia="黑体"/>
          <w:b/>
          <w:color w:val="auto"/>
          <w:sz w:val="36"/>
          <w:szCs w:val="36"/>
          <w:highlight w:val="none"/>
        </w:rPr>
        <w:t>协 议 书</w:t>
      </w:r>
      <w:bookmarkEnd w:id="140"/>
      <w:bookmarkEnd w:id="141"/>
      <w:bookmarkEnd w:id="142"/>
      <w:bookmarkEnd w:id="143"/>
    </w:p>
    <w:p w14:paraId="33919AF2">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59ED6B7">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0DB7ACF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陕西省秦巴山区汉江丹江流域中央财政国土绿化示范项目（丹凤县2024年度）碳汇监测）相关采购要求的规定，合同双方就乙方向采购方提供陕西省秦巴山区汉江丹江流域中央财政国土绿化示范项目（丹凤县2024年度）碳汇监测协商达成一致，确立本合同。</w:t>
      </w:r>
    </w:p>
    <w:p w14:paraId="4EFF5F06">
      <w:pPr>
        <w:tabs>
          <w:tab w:val="left" w:pos="480"/>
        </w:tabs>
        <w:spacing w:line="360" w:lineRule="auto"/>
        <w:outlineLvl w:val="1"/>
        <w:rPr>
          <w:rFonts w:hAnsi="宋体" w:cs="宋体"/>
          <w:b/>
          <w:color w:val="auto"/>
          <w:szCs w:val="21"/>
          <w:highlight w:val="none"/>
        </w:rPr>
      </w:pPr>
      <w:bookmarkStart w:id="146" w:name="_Toc30883"/>
      <w:bookmarkStart w:id="147" w:name="_Toc7407"/>
      <w:bookmarkStart w:id="148" w:name="_Toc8841"/>
      <w:bookmarkStart w:id="149" w:name="_Toc15362"/>
      <w:bookmarkStart w:id="150" w:name="_Toc12769"/>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46"/>
      <w:bookmarkEnd w:id="147"/>
      <w:bookmarkEnd w:id="148"/>
      <w:bookmarkEnd w:id="149"/>
      <w:bookmarkEnd w:id="15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4A9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A05D44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2CD39A13">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56CAD30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31E659AD">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67C8053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D3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6CB0C6A">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0BE4DA39">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F45C237">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A42D445">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CCF526A">
            <w:pPr>
              <w:tabs>
                <w:tab w:val="left" w:pos="480"/>
              </w:tabs>
              <w:spacing w:line="396" w:lineRule="exact"/>
              <w:jc w:val="center"/>
              <w:rPr>
                <w:rFonts w:hAnsi="宋体" w:cs="宋体"/>
                <w:color w:val="auto"/>
                <w:szCs w:val="21"/>
                <w:highlight w:val="none"/>
              </w:rPr>
            </w:pPr>
          </w:p>
        </w:tc>
      </w:tr>
      <w:tr w14:paraId="1AF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E6E2B6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14BCD66D">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4B4BD6EB">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507AB150">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98E2F4A">
            <w:pPr>
              <w:tabs>
                <w:tab w:val="left" w:pos="480"/>
              </w:tabs>
              <w:spacing w:line="396" w:lineRule="exact"/>
              <w:jc w:val="center"/>
              <w:rPr>
                <w:rFonts w:hAnsi="宋体" w:cs="宋体"/>
                <w:color w:val="auto"/>
                <w:szCs w:val="21"/>
                <w:highlight w:val="none"/>
              </w:rPr>
            </w:pPr>
          </w:p>
        </w:tc>
      </w:tr>
    </w:tbl>
    <w:p w14:paraId="1C66BB72">
      <w:pPr>
        <w:tabs>
          <w:tab w:val="left" w:pos="480"/>
        </w:tabs>
        <w:spacing w:line="360" w:lineRule="auto"/>
        <w:outlineLvl w:val="1"/>
        <w:rPr>
          <w:rFonts w:hAnsi="宋体" w:cs="宋体"/>
          <w:b/>
          <w:color w:val="auto"/>
          <w:szCs w:val="21"/>
          <w:highlight w:val="none"/>
        </w:rPr>
      </w:pPr>
      <w:bookmarkStart w:id="151" w:name="_Toc18749"/>
      <w:bookmarkStart w:id="152" w:name="_Toc4137"/>
      <w:bookmarkStart w:id="153" w:name="_Toc29331"/>
      <w:bookmarkStart w:id="154" w:name="_Toc3926"/>
      <w:bookmarkStart w:id="155" w:name="_Toc8887"/>
      <w:r>
        <w:rPr>
          <w:rFonts w:hint="eastAsia" w:hAnsi="宋体" w:cs="宋体"/>
          <w:b/>
          <w:color w:val="auto"/>
          <w:szCs w:val="21"/>
          <w:highlight w:val="none"/>
        </w:rPr>
        <w:t>二、合同价款</w:t>
      </w:r>
      <w:bookmarkEnd w:id="151"/>
      <w:bookmarkEnd w:id="152"/>
      <w:bookmarkEnd w:id="153"/>
      <w:bookmarkEnd w:id="154"/>
      <w:bookmarkEnd w:id="155"/>
    </w:p>
    <w:p w14:paraId="5783FE84">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（一）本合同为总价合同，各项服务的合同总价为其磋商最终报价。</w:t>
      </w:r>
    </w:p>
    <w:p w14:paraId="74FF3E7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720BD287">
      <w:pPr>
        <w:tabs>
          <w:tab w:val="left" w:pos="480"/>
        </w:tabs>
        <w:spacing w:line="360" w:lineRule="auto"/>
        <w:outlineLvl w:val="1"/>
        <w:rPr>
          <w:rFonts w:hAnsi="宋体" w:cs="宋体"/>
          <w:b/>
          <w:color w:val="auto"/>
          <w:szCs w:val="21"/>
          <w:highlight w:val="none"/>
        </w:rPr>
      </w:pPr>
      <w:bookmarkStart w:id="156" w:name="_Toc23247"/>
      <w:bookmarkStart w:id="157" w:name="_Toc9765"/>
      <w:bookmarkStart w:id="158" w:name="_Toc22511"/>
      <w:bookmarkStart w:id="159" w:name="_Toc28664"/>
      <w:bookmarkStart w:id="160" w:name="_Toc6296"/>
      <w:r>
        <w:rPr>
          <w:rFonts w:hint="eastAsia" w:hAnsi="宋体" w:cs="宋体"/>
          <w:b/>
          <w:color w:val="auto"/>
          <w:szCs w:val="21"/>
          <w:highlight w:val="none"/>
        </w:rPr>
        <w:t>三、款项结算</w:t>
      </w:r>
      <w:bookmarkEnd w:id="156"/>
      <w:bookmarkEnd w:id="157"/>
      <w:bookmarkEnd w:id="158"/>
      <w:bookmarkEnd w:id="159"/>
      <w:bookmarkEnd w:id="160"/>
    </w:p>
    <w:p w14:paraId="1E7CF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3C677911">
      <w:pPr>
        <w:tabs>
          <w:tab w:val="left" w:pos="480"/>
        </w:tabs>
        <w:spacing w:line="360" w:lineRule="auto"/>
        <w:outlineLvl w:val="1"/>
        <w:rPr>
          <w:rFonts w:hAnsi="宋体" w:cs="宋体"/>
          <w:color w:val="auto"/>
          <w:szCs w:val="21"/>
          <w:highlight w:val="none"/>
        </w:rPr>
      </w:pPr>
      <w:bookmarkStart w:id="161" w:name="_Toc21171"/>
      <w:bookmarkStart w:id="162" w:name="_Toc9555"/>
      <w:bookmarkStart w:id="163" w:name="_Toc21110"/>
      <w:bookmarkStart w:id="164" w:name="_Toc24406"/>
      <w:bookmarkStart w:id="165" w:name="_Toc21714"/>
      <w:r>
        <w:rPr>
          <w:rFonts w:hint="eastAsia" w:hAnsi="宋体" w:cs="宋体"/>
          <w:b/>
          <w:color w:val="auto"/>
          <w:szCs w:val="21"/>
          <w:highlight w:val="none"/>
        </w:rPr>
        <w:t>四、服务条件：</w:t>
      </w:r>
      <w:bookmarkEnd w:id="161"/>
      <w:bookmarkEnd w:id="162"/>
      <w:bookmarkEnd w:id="163"/>
      <w:bookmarkEnd w:id="164"/>
      <w:bookmarkEnd w:id="165"/>
    </w:p>
    <w:p w14:paraId="33AF94F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（一）服务地点：甲方指定地点。</w:t>
      </w:r>
    </w:p>
    <w:p w14:paraId="773128B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（二）服务期限：</w:t>
      </w:r>
    </w:p>
    <w:p w14:paraId="30EB7157">
      <w:pPr>
        <w:tabs>
          <w:tab w:val="left" w:pos="480"/>
        </w:tabs>
        <w:spacing w:line="360" w:lineRule="auto"/>
        <w:outlineLvl w:val="1"/>
        <w:rPr>
          <w:rFonts w:hAnsi="宋体" w:cs="宋体"/>
          <w:b/>
          <w:color w:val="auto"/>
          <w:szCs w:val="21"/>
          <w:highlight w:val="none"/>
        </w:rPr>
      </w:pPr>
      <w:bookmarkStart w:id="166" w:name="_Toc7966"/>
      <w:bookmarkStart w:id="167" w:name="_Toc15118"/>
      <w:bookmarkStart w:id="168" w:name="_Toc32459"/>
      <w:bookmarkStart w:id="169" w:name="_Toc15947"/>
      <w:bookmarkStart w:id="170" w:name="_Toc27382"/>
      <w:r>
        <w:rPr>
          <w:rFonts w:hint="eastAsia" w:hAnsi="宋体" w:cs="宋体"/>
          <w:b/>
          <w:color w:val="auto"/>
          <w:szCs w:val="21"/>
          <w:highlight w:val="none"/>
        </w:rPr>
        <w:t>五、质量保证</w:t>
      </w:r>
      <w:bookmarkEnd w:id="166"/>
      <w:bookmarkEnd w:id="167"/>
      <w:bookmarkEnd w:id="168"/>
      <w:bookmarkEnd w:id="169"/>
      <w:bookmarkEnd w:id="170"/>
    </w:p>
    <w:p w14:paraId="46B9253D">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9580232">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F40F305">
      <w:pPr>
        <w:tabs>
          <w:tab w:val="left" w:pos="480"/>
        </w:tabs>
        <w:spacing w:line="360" w:lineRule="auto"/>
        <w:outlineLvl w:val="1"/>
        <w:rPr>
          <w:rFonts w:hAnsi="宋体" w:cs="宋体"/>
          <w:b/>
          <w:color w:val="auto"/>
          <w:szCs w:val="21"/>
          <w:highlight w:val="none"/>
        </w:rPr>
      </w:pPr>
      <w:bookmarkStart w:id="171" w:name="_Toc13959"/>
      <w:bookmarkStart w:id="172" w:name="_Toc9903"/>
      <w:bookmarkStart w:id="173" w:name="_Toc23868"/>
      <w:bookmarkStart w:id="174" w:name="_Toc21314"/>
      <w:bookmarkStart w:id="175" w:name="_Toc12558"/>
      <w:r>
        <w:rPr>
          <w:rFonts w:hint="eastAsia" w:hAnsi="宋体" w:cs="宋体"/>
          <w:b/>
          <w:color w:val="auto"/>
          <w:szCs w:val="21"/>
          <w:highlight w:val="none"/>
        </w:rPr>
        <w:t>六、技术与服务</w:t>
      </w:r>
      <w:bookmarkEnd w:id="171"/>
      <w:bookmarkEnd w:id="172"/>
      <w:bookmarkEnd w:id="173"/>
      <w:bookmarkEnd w:id="174"/>
      <w:bookmarkEnd w:id="175"/>
    </w:p>
    <w:p w14:paraId="4920F04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4CB2FB3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69222B0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D206C5">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（二）服务承诺：以竞争性磋商响应文件、澄清表（函）、合同和随货物的相关文件为准。</w:t>
      </w:r>
    </w:p>
    <w:p w14:paraId="5C66AE7C">
      <w:pPr>
        <w:tabs>
          <w:tab w:val="left" w:pos="480"/>
        </w:tabs>
        <w:spacing w:line="360" w:lineRule="auto"/>
        <w:outlineLvl w:val="1"/>
        <w:rPr>
          <w:rFonts w:hAnsi="宋体" w:cs="宋体"/>
          <w:b/>
          <w:color w:val="auto"/>
          <w:szCs w:val="21"/>
          <w:highlight w:val="none"/>
        </w:rPr>
      </w:pPr>
      <w:bookmarkStart w:id="176" w:name="_Toc22161"/>
      <w:bookmarkStart w:id="177" w:name="_Toc28855"/>
      <w:bookmarkStart w:id="178" w:name="_Toc12975"/>
      <w:bookmarkStart w:id="179" w:name="_Toc14409"/>
      <w:bookmarkStart w:id="180" w:name="_Toc13572"/>
      <w:r>
        <w:rPr>
          <w:rFonts w:hint="eastAsia" w:hAnsi="宋体" w:cs="宋体"/>
          <w:b/>
          <w:color w:val="auto"/>
          <w:szCs w:val="21"/>
          <w:highlight w:val="none"/>
        </w:rPr>
        <w:t>七、验收</w:t>
      </w:r>
      <w:bookmarkEnd w:id="176"/>
      <w:bookmarkEnd w:id="177"/>
      <w:bookmarkEnd w:id="178"/>
      <w:bookmarkEnd w:id="179"/>
      <w:bookmarkEnd w:id="180"/>
    </w:p>
    <w:p w14:paraId="63F654A5">
      <w:pPr>
        <w:spacing w:line="360" w:lineRule="auto"/>
        <w:ind w:firstLine="480" w:firstLineChars="200"/>
        <w:rPr>
          <w:color w:val="auto"/>
          <w:highlight w:val="none"/>
        </w:rPr>
      </w:pPr>
      <w:r>
        <w:rPr>
          <w:rFonts w:hint="eastAsia"/>
          <w:color w:val="auto"/>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0CB8F31">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54F34E74">
      <w:pPr>
        <w:spacing w:line="360" w:lineRule="auto"/>
        <w:ind w:firstLine="480" w:firstLineChars="200"/>
        <w:rPr>
          <w:color w:val="auto"/>
          <w:highlight w:val="none"/>
        </w:rPr>
      </w:pPr>
      <w:r>
        <w:rPr>
          <w:rFonts w:hint="eastAsia"/>
          <w:color w:val="auto"/>
          <w:highlight w:val="none"/>
        </w:rPr>
        <w:t>3、验收标准：按磋商文件、磋商响应文件及磋商记录表等技术指标进行逐项验收。各项指标均应符合验收标准及要求。</w:t>
      </w:r>
    </w:p>
    <w:p w14:paraId="5C248121">
      <w:pPr>
        <w:tabs>
          <w:tab w:val="left" w:pos="480"/>
        </w:tabs>
        <w:spacing w:line="360" w:lineRule="auto"/>
        <w:outlineLvl w:val="1"/>
        <w:rPr>
          <w:rFonts w:hAnsi="宋体" w:cs="宋体"/>
          <w:b/>
          <w:color w:val="auto"/>
          <w:szCs w:val="21"/>
          <w:highlight w:val="none"/>
        </w:rPr>
      </w:pPr>
      <w:bookmarkStart w:id="181" w:name="_Toc20026"/>
      <w:bookmarkStart w:id="182" w:name="_Toc9858"/>
      <w:bookmarkStart w:id="183" w:name="_Toc7598"/>
      <w:bookmarkStart w:id="184" w:name="_Toc31076"/>
      <w:bookmarkStart w:id="185" w:name="_Toc30681"/>
      <w:r>
        <w:rPr>
          <w:rFonts w:hint="eastAsia" w:hAnsi="宋体" w:cs="宋体"/>
          <w:b/>
          <w:color w:val="auto"/>
          <w:szCs w:val="21"/>
          <w:highlight w:val="none"/>
        </w:rPr>
        <w:t>八、违约责任</w:t>
      </w:r>
      <w:bookmarkEnd w:id="181"/>
      <w:bookmarkEnd w:id="182"/>
      <w:bookmarkEnd w:id="183"/>
      <w:bookmarkEnd w:id="184"/>
      <w:bookmarkEnd w:id="185"/>
    </w:p>
    <w:p w14:paraId="39E61C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3E9B6E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p w14:paraId="64CADEAF">
      <w:pPr>
        <w:tabs>
          <w:tab w:val="left" w:pos="480"/>
        </w:tabs>
        <w:spacing w:line="360" w:lineRule="auto"/>
        <w:outlineLvl w:val="1"/>
        <w:rPr>
          <w:rFonts w:hAnsi="宋体" w:cs="宋体"/>
          <w:b/>
          <w:color w:val="auto"/>
          <w:szCs w:val="21"/>
          <w:highlight w:val="none"/>
        </w:rPr>
      </w:pPr>
      <w:bookmarkStart w:id="186" w:name="_Toc29958"/>
      <w:bookmarkStart w:id="187" w:name="_Toc30630"/>
      <w:bookmarkStart w:id="188" w:name="_Toc15856"/>
      <w:bookmarkStart w:id="189" w:name="_Toc13662"/>
      <w:bookmarkStart w:id="190" w:name="_Toc27523"/>
      <w:r>
        <w:rPr>
          <w:rFonts w:hint="eastAsia" w:hAnsi="宋体" w:cs="宋体"/>
          <w:b/>
          <w:color w:val="auto"/>
          <w:szCs w:val="21"/>
          <w:highlight w:val="none"/>
        </w:rPr>
        <w:t>九、合同争议解决的方式</w:t>
      </w:r>
      <w:bookmarkEnd w:id="186"/>
      <w:bookmarkEnd w:id="187"/>
      <w:bookmarkEnd w:id="188"/>
      <w:bookmarkEnd w:id="189"/>
      <w:bookmarkEnd w:id="190"/>
    </w:p>
    <w:p w14:paraId="52DA499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17FA4D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23C22BA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5FAC98DF">
      <w:pPr>
        <w:tabs>
          <w:tab w:val="left" w:pos="480"/>
        </w:tabs>
        <w:spacing w:line="360" w:lineRule="auto"/>
        <w:outlineLvl w:val="1"/>
        <w:rPr>
          <w:rFonts w:hAnsi="宋体" w:cs="宋体"/>
          <w:b/>
          <w:color w:val="auto"/>
          <w:szCs w:val="21"/>
          <w:highlight w:val="none"/>
        </w:rPr>
      </w:pPr>
      <w:bookmarkStart w:id="191" w:name="_Toc2858"/>
      <w:bookmarkStart w:id="192" w:name="_Toc7342"/>
      <w:bookmarkStart w:id="193" w:name="_Toc25612"/>
      <w:bookmarkStart w:id="194" w:name="_Toc18389"/>
      <w:bookmarkStart w:id="195" w:name="_Toc11478"/>
      <w:r>
        <w:rPr>
          <w:rFonts w:hint="eastAsia" w:hAnsi="宋体" w:cs="宋体"/>
          <w:b/>
          <w:color w:val="auto"/>
          <w:szCs w:val="21"/>
          <w:highlight w:val="none"/>
        </w:rPr>
        <w:t>十、合同生效</w:t>
      </w:r>
      <w:bookmarkEnd w:id="191"/>
      <w:bookmarkEnd w:id="192"/>
      <w:bookmarkEnd w:id="193"/>
      <w:bookmarkEnd w:id="194"/>
      <w:bookmarkEnd w:id="195"/>
    </w:p>
    <w:p w14:paraId="33EE046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19FE5284">
      <w:pPr>
        <w:tabs>
          <w:tab w:val="left" w:pos="480"/>
        </w:tabs>
        <w:spacing w:line="360" w:lineRule="auto"/>
        <w:outlineLvl w:val="1"/>
        <w:rPr>
          <w:rFonts w:hAnsi="宋体" w:cs="宋体"/>
          <w:b/>
          <w:color w:val="auto"/>
          <w:szCs w:val="21"/>
          <w:highlight w:val="none"/>
        </w:rPr>
      </w:pPr>
      <w:bookmarkStart w:id="196" w:name="_Toc18225"/>
      <w:bookmarkStart w:id="197" w:name="_Toc21232"/>
      <w:bookmarkStart w:id="198" w:name="_Toc18381"/>
      <w:bookmarkStart w:id="199" w:name="_Toc823"/>
      <w:bookmarkStart w:id="200" w:name="_Toc31909"/>
      <w:r>
        <w:rPr>
          <w:rFonts w:hint="eastAsia" w:hAnsi="宋体" w:cs="宋体"/>
          <w:b/>
          <w:color w:val="auto"/>
          <w:szCs w:val="21"/>
          <w:highlight w:val="none"/>
        </w:rPr>
        <w:t>十一、其他事项</w:t>
      </w:r>
      <w:bookmarkEnd w:id="196"/>
      <w:bookmarkEnd w:id="197"/>
      <w:bookmarkEnd w:id="198"/>
      <w:bookmarkEnd w:id="199"/>
      <w:bookmarkEnd w:id="200"/>
    </w:p>
    <w:p w14:paraId="54B242A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42F78C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2068896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4A66F14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38A1A53B">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25555D2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24C25A7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43B6931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p w14:paraId="455EC3AD">
      <w:pPr>
        <w:rPr>
          <w:rFonts w:hint="eastAsia" w:ascii="宋体" w:eastAsia="宋体" w:cs="宋体"/>
          <w:bCs/>
          <w:color w:val="auto"/>
          <w:sz w:val="36"/>
          <w:szCs w:val="36"/>
          <w:highlight w:val="none"/>
        </w:rPr>
      </w:pPr>
    </w:p>
    <w:p w14:paraId="2D78B85D">
      <w:pPr>
        <w:rPr>
          <w:rFonts w:hint="eastAsia" w:ascii="宋体" w:eastAsia="宋体" w:cs="宋体"/>
          <w:bCs/>
          <w:color w:val="auto"/>
          <w:sz w:val="36"/>
          <w:szCs w:val="36"/>
          <w:highlight w:val="none"/>
        </w:rPr>
      </w:pPr>
      <w:bookmarkStart w:id="201" w:name="_Toc27762"/>
      <w:r>
        <w:rPr>
          <w:rFonts w:hint="eastAsia" w:ascii="宋体" w:eastAsia="宋体" w:cs="宋体"/>
          <w:bCs/>
          <w:color w:val="auto"/>
          <w:sz w:val="36"/>
          <w:szCs w:val="36"/>
          <w:highlight w:val="none"/>
        </w:rPr>
        <w:br w:type="page"/>
      </w:r>
    </w:p>
    <w:p w14:paraId="5316B845">
      <w:pPr>
        <w:pStyle w:val="2"/>
        <w:jc w:val="center"/>
        <w:rPr>
          <w:rFonts w:ascii="宋体" w:eastAsia="宋体" w:cs="宋体"/>
          <w:bCs/>
          <w:color w:val="auto"/>
          <w:sz w:val="36"/>
          <w:szCs w:val="36"/>
          <w:highlight w:val="none"/>
        </w:rPr>
      </w:pPr>
      <w:r>
        <w:rPr>
          <w:rFonts w:hint="eastAsia" w:ascii="宋体" w:eastAsia="宋体" w:cs="宋体"/>
          <w:bCs/>
          <w:color w:val="auto"/>
          <w:sz w:val="36"/>
          <w:szCs w:val="36"/>
          <w:highlight w:val="none"/>
        </w:rPr>
        <w:t xml:space="preserve">第五章 </w:t>
      </w:r>
      <w:bookmarkEnd w:id="124"/>
      <w:bookmarkEnd w:id="125"/>
      <w:bookmarkEnd w:id="126"/>
      <w:bookmarkEnd w:id="127"/>
      <w:bookmarkEnd w:id="128"/>
      <w:bookmarkEnd w:id="129"/>
      <w:bookmarkEnd w:id="130"/>
      <w:bookmarkEnd w:id="131"/>
      <w:bookmarkEnd w:id="132"/>
      <w:r>
        <w:rPr>
          <w:rFonts w:hint="eastAsia" w:ascii="宋体" w:eastAsia="宋体" w:cs="宋体"/>
          <w:bCs/>
          <w:color w:val="auto"/>
          <w:sz w:val="36"/>
          <w:szCs w:val="36"/>
          <w:highlight w:val="none"/>
        </w:rPr>
        <w:t xml:space="preserve"> 磋商内容及技术要求</w:t>
      </w:r>
      <w:bookmarkEnd w:id="144"/>
      <w:bookmarkEnd w:id="145"/>
      <w:bookmarkEnd w:id="201"/>
    </w:p>
    <w:bookmarkEnd w:id="79"/>
    <w:p w14:paraId="480FA4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
          <w:bCs/>
          <w:sz w:val="28"/>
          <w:highlight w:val="none"/>
        </w:rPr>
      </w:pPr>
      <w:bookmarkStart w:id="202" w:name="_Toc5084"/>
      <w:bookmarkStart w:id="203" w:name="_Toc403077646"/>
      <w:bookmarkStart w:id="204" w:name="_Toc363474025"/>
      <w:bookmarkStart w:id="205" w:name="_Toc6373"/>
      <w:bookmarkStart w:id="206" w:name="_Toc423973079"/>
      <w:r>
        <w:rPr>
          <w:rFonts w:hint="eastAsia" w:ascii="宋体" w:hAnsi="宋体" w:eastAsia="宋体" w:cs="宋体"/>
          <w:b/>
          <w:bCs/>
          <w:sz w:val="28"/>
          <w:highlight w:val="none"/>
        </w:rPr>
        <w:t>一、项目概况</w:t>
      </w:r>
    </w:p>
    <w:p w14:paraId="5DB734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陕西省秦巴山区汉江丹江流域中央财政国土绿化示范碳汇监测项目。</w:t>
      </w:r>
    </w:p>
    <w:p w14:paraId="782ADF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选择人工造林地块科学布设监测样地、样点，合理设置常规和智能化监测样地，收集整理不同区域、不同营造林模式碳汇监测数据，通过常规监测数据和智能监测数据对比分析，建立不同营造林方式的碳汇计量模型，推动实现不同营造林模式的碳储量可测量、可核查、可交易。</w:t>
      </w:r>
    </w:p>
    <w:p w14:paraId="70CF9E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参照《林业碳汇计量监测技术规程》（DB61/T1828—2024）《陕西省百万亩绿色碳库建计量监测指南》《森林生态系统碳储量计量指南》（LY/T2988—2018）和《温室气体自愿减排项目方法学造林碳汇》，本项目采用固定样地的连续测定方法，采取“碳储量变化法”测定和估算项目区碳储量的变化。并利用生物量扩展因子法，即利用林分生物量与木材材积比值的平均值（BEF：生物量扩展系数）进行森林系统碳储量的估算，从而计算项目的碳汇量。通过人工和智能数据对比，地上、地表、地下结合，建立符合秦巴山区的碳汇计量监测方法和模型。</w:t>
      </w:r>
    </w:p>
    <w:p w14:paraId="06A11B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设置监测样地2组，包括国定监测样地和智能化监测样地。内容包括基线碳汇量监测、项目活动监测、项目边界监测、项目碳储量变化监测、项目边界内的排放监测。物联网监控主机2台，二氧化碳传感器2台，甲烷传感器2台，氧气浓度传感器2台，温湿度传感器2台，风速/风向2台，雨量计2台，大气压力2台，PM2.5/10，2台，光合有效辐射2台，土壤温湿度/电导率2台，土壤PH传感器2套，太阳能监测仪组件2套，4G/5G界桩2个，树木生长检测仪50套。流量传输费5年、运营维护费5年、数据协议费1项。</w:t>
      </w:r>
    </w:p>
    <w:p w14:paraId="708E54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highlight w:val="none"/>
          <w:lang w:val="en-US" w:eastAsia="zh-CN"/>
        </w:rPr>
      </w:pPr>
      <w:r>
        <w:rPr>
          <w:rFonts w:hint="eastAsia" w:ascii="宋体" w:hAnsi="宋体" w:eastAsia="宋体" w:cs="宋体"/>
          <w:b/>
          <w:bCs/>
          <w:sz w:val="28"/>
          <w:highlight w:val="none"/>
          <w:lang w:val="en-US" w:eastAsia="zh-CN"/>
        </w:rPr>
        <w:t>二、技术规格及要求</w:t>
      </w:r>
    </w:p>
    <w:p w14:paraId="17F78C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本项目选择人工造林地块科学布设监测样地、样点，合理设置常规和智能化监测样地，收集整理不同区域、不同营造林模式碳汇监测数据，通过常规监测数据和智能监测数据对比分析，建立不同营造林 方式的碳汇计量模型，推动实现不同营造林模式的碳储量可测量、可核查、可交易。</w:t>
      </w:r>
    </w:p>
    <w:p w14:paraId="733000C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2.1  监测方法</w:t>
      </w:r>
    </w:p>
    <w:p w14:paraId="6D286C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参照《林业碳汇计量监测技术规程》（DB61/T1828—2024）《陕西省百万亩绿色碳库建计量监测指南》《森林生态系统碳储量计量指南》（LY/T2988—2018）和《温室气体自愿减排项目方法学造林碳汇》，本项目采用固定样地的连续测定方法，采取“碳储量变化法”测定和估算项目区碳储量的变化。并利用生物量扩展因子法，即利用林分生物量与木材材积比值的平均值（BEF：生物量扩展系数）进行森林系统碳储量的估算，从而计算项目的碳汇量。通过人工和智能数据对比，地上、地表、地下结合，建立符合秦巴山区的碳汇计量监测方法和模型。</w:t>
      </w:r>
    </w:p>
    <w:p w14:paraId="764160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2.1.1  样地布设</w:t>
      </w:r>
    </w:p>
    <w:p w14:paraId="6721E7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2.1.1.1  固定监测样地</w:t>
      </w:r>
    </w:p>
    <w:p w14:paraId="258428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（1）样地边界标识</w:t>
      </w:r>
    </w:p>
    <w:p w14:paraId="7AB488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样地标志为西南、西北、东北、东南角用水泥桩和西南角定位物（树）、界外木刮皮并用油漆涂红。</w:t>
      </w:r>
    </w:p>
    <w:p w14:paraId="784A2C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（2）样木标识</w:t>
      </w:r>
    </w:p>
    <w:p w14:paraId="273800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样木标志为树干基部1.7米处的铁钉（树牌号）、树高1.3米处红油漆表明的胸高线。</w:t>
      </w:r>
    </w:p>
    <w:p w14:paraId="471738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（3）样地定位</w:t>
      </w:r>
    </w:p>
    <w:p w14:paraId="213214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采用GPS定位，定位点为样地西南角，统一标记编号。</w:t>
      </w:r>
    </w:p>
    <w:p w14:paraId="6DE7EB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依次采集样地西南、西北、东北、东南角点GPS坐标值，坐标系统一采用CGCS2000坐标系。GPS以市为单位输入转换参数，保证定位误差在10米以内。样地定位后，每个监测周期需按固定标志设置要求，修复和补设有关标志。</w:t>
      </w:r>
    </w:p>
    <w:p w14:paraId="6C837A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为满足质量管理要求，各样地均需采集样地西南角GPS采集航迹，并拍摄样地西南角和部分样木的景观照片，拍摄现地工作场景。</w:t>
      </w:r>
    </w:p>
    <w:p w14:paraId="18390D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（4）样地与样方设置</w:t>
      </w:r>
    </w:p>
    <w:p w14:paraId="4B2F00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乔木样地为25.82米×25.82米。从西南角点起顺序测设，确定样地的西北角点、东北角点、东南角点和相应的四条边界的正确位置。若西南角点不适宜作为周界测量起点，起点可依次调整为西北角、东北角、东南角。新设样地周界测量闭合差应小于0.5%，复位样地周界长度误差应小于1%。灌木层、草本层和枯落物层采用样方调查。灌木层样方规格2米×2米，共设置4个，分别位于样地西南角向西2米处、西北角向北2米处、东北角向东2米处、东南角向南2米处，草本、枯落物层按1米×1米在灌木样方内设置并进行生物量调查。土壤剖面调查设置在样地东南角向东2米处。</w:t>
      </w:r>
    </w:p>
    <w:p w14:paraId="251FE354">
      <w:pPr>
        <w:jc w:val="center"/>
        <w:rPr>
          <w:rFonts w:hint="eastAsia" w:ascii="宋体" w:hAnsi="宋体" w:eastAsia="宋体" w:cs="宋体"/>
          <w:spacing w:val="-2"/>
          <w:sz w:val="28"/>
          <w:szCs w:val="28"/>
          <w:highlight w:val="none"/>
        </w:rPr>
      </w:pPr>
      <w:r>
        <w:rPr>
          <w:highlight w:val="none"/>
        </w:rPr>
        <w:drawing>
          <wp:inline distT="0" distB="0" distL="114300" distR="114300">
            <wp:extent cx="5210175" cy="5038725"/>
            <wp:effectExtent l="0" t="0" r="9525"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tretch>
                      <a:fillRect/>
                    </a:stretch>
                  </pic:blipFill>
                  <pic:spPr>
                    <a:xfrm>
                      <a:off x="0" y="0"/>
                      <a:ext cx="5210175" cy="5038725"/>
                    </a:xfrm>
                    <a:prstGeom prst="rect">
                      <a:avLst/>
                    </a:prstGeom>
                    <a:noFill/>
                    <a:ln>
                      <a:noFill/>
                    </a:ln>
                  </pic:spPr>
                </pic:pic>
              </a:graphicData>
            </a:graphic>
          </wp:inline>
        </w:drawing>
      </w:r>
    </w:p>
    <w:p w14:paraId="40B496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样地及样方设置方式示意图</w:t>
      </w:r>
    </w:p>
    <w:p w14:paraId="54529C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（5）样地调查</w:t>
      </w:r>
    </w:p>
    <w:p w14:paraId="70184A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8"/>
          <w:szCs w:val="28"/>
          <w:highlight w:val="none"/>
        </w:rPr>
      </w:pPr>
      <w:r>
        <w:rPr>
          <w:rFonts w:hint="eastAsia" w:ascii="宋体" w:hAnsi="宋体" w:eastAsia="宋体" w:cs="宋体"/>
          <w:bCs/>
          <w:sz w:val="24"/>
          <w:highlight w:val="none"/>
          <w:lang w:val="en-US" w:eastAsia="zh-CN"/>
        </w:rPr>
        <w:t>通过样地调查记录乔木样地因子，包括：平均年龄、平均胸径、平均树高、起源、下层主要植被类型及盖度、土壤类型、地理位置、地形、地貌等；样木因子，包括：树种、胸径、树高、生长状况等。获取立地土壤、植被特征、管理属性等因子。对所有胸径大于5厘米的活立木进行每木检尺。</w:t>
      </w:r>
    </w:p>
    <w:p w14:paraId="7F0D0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——立地土壤：包括地理位置，地形地貌，海拔，坡向、坡位、坡度，地表形态、土壤名称，土壤质地，土壤砾石含量，土壤厚度，腐殖质厚度等。</w:t>
      </w:r>
    </w:p>
    <w:p w14:paraId="7A0290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植被特征：包括植被类型、灌木覆盖度、灌木平均高、草本覆盖度、草本平均高、植被总覆盖度、地类、起源、优势树种、平均年龄、龄组、平均胸径、平均树高、郁闭度、森林群落结构、林层结构、树种结构、天然更新等级。</w:t>
      </w:r>
    </w:p>
    <w:p w14:paraId="6A1D19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——管理属性：土地权属、林木权属、森林类别、林种。</w:t>
      </w:r>
    </w:p>
    <w:p w14:paraId="5D84D9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——样木因子：对胸径≥5厘米乔木树种（包括经济乔木树种），分别记载立木类型、树种，测量胸径。</w:t>
      </w:r>
    </w:p>
    <w:p w14:paraId="3DDB46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在调查过程中，实地拍摄样地照片，包含样地、样木、主要植被等照片类型。</w:t>
      </w:r>
    </w:p>
    <w:p w14:paraId="2BD34F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对样地内乔木，应进行每木检尺，填写样地调查乔木每木检尺记录表。</w:t>
      </w:r>
    </w:p>
    <w:p w14:paraId="1AF403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（6）样方调查</w:t>
      </w:r>
    </w:p>
    <w:p w14:paraId="1A126E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灌木层（林）调查：调查样方内灌木种类（包括未达起测直径D＜5厘米的幼树）、地径、盖度、株数、平均高等。选择样方中3株平均大小的标准木，采用全株收获法分别测定其地上干、枝、叶和地下根系的鲜重，选取干、枝、叶和根样品（300克）带回实验室测定其含水率。如为丛生灌木，则在样方内选取1-2丛平均冠幅的灌丛，采用完全收获法测定其鲜重和样品重，带样品回实验室测定其含水率。样品统一编号、贴标签，标明样品采集的样地号、样方号、样品种类和采集日期。</w:t>
      </w:r>
    </w:p>
    <w:p w14:paraId="014F2C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草本层（草原、荒漠）调查：调查样方内草本植物种类、丛数量、高度、盖度，收集样方内全部草本测定鲜重，并对每个样方的混合草本进行样品采集（300克），带回实验室测定其含水率。样品统一编号、贴标签，标明样品采集的样地号、样方号、样品种类和采集日期。</w:t>
      </w:r>
    </w:p>
    <w:p w14:paraId="02EEFB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——枯落物层调查：调查样方内枯落物的厚度，收集全部枯落物称其鲜重，并选取样品（200克）带回实验室测定其含水率。样品统一编号、贴标签，标明样品采集的样地号、样方号、样品种类和采集 日期。</w:t>
      </w:r>
    </w:p>
    <w:p w14:paraId="5C6E4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土壤调查：调查内容包括：土壤类型、土层厚度、土壤容重和有机质含量。每个土壤剖面采样层次按0米-0.1米、0.1米-0.2米、0.2米-0.4米、0.4米-1米划分土层，每层用环刀取土样，称鲜重后，将土取出装入小信封或取样袋，编号、带回室内烘干，测定土壤含水率。另外，用环刀取各层土样充分混合，四分法取500克的土样直接装入塑封袋，编号、带回室内测定土壤有机质含量。</w:t>
      </w:r>
    </w:p>
    <w:p w14:paraId="1E262D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2.1.1.2  智能化监测样地设置</w:t>
      </w:r>
    </w:p>
    <w:p w14:paraId="6EACDC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（1）样地设置原则</w:t>
      </w:r>
    </w:p>
    <w:p w14:paraId="02D872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选择具有典型性、代表性区域设置智能化监测示范样地。每个样地布设至少1组智能监测样地和对照样地。</w:t>
      </w:r>
    </w:p>
    <w:p w14:paraId="05B531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（2）样地设置目的</w:t>
      </w:r>
    </w:p>
    <w:p w14:paraId="4A8DA4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智能化监测样地核心是以智能化、自动化监测设备为基础，运用物联网、大数据、5G等现代技术，建立“绿色碳库”碳汇计量监测管理平台，实现示范基地监测样地与省级计量监测中心数据互联互通、共建共享，实时掌握“绿色碳库”示范基地碳汇动态变化情况，构建监测数据汇聚、存储、管理、展示、分析等基础能力。</w:t>
      </w:r>
    </w:p>
    <w:p w14:paraId="02D529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（3）样地设置</w:t>
      </w:r>
    </w:p>
    <w:p w14:paraId="11FE83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样地、样方内采用智慧中心桩作为样地标记并作为通讯网关实现森林小气候土壤监测等各类传感器数据回传。智能化监测样地、样方设置方式、方式及样地样方规格与固定监测样地一致，样地因子、样方调查方法参照固定监测样地。</w:t>
      </w:r>
    </w:p>
    <w:p w14:paraId="0378B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——对智能监测样地内所有胸径大于5厘米的活立木，在树高1.3米处挂设树木生长自动监测环，实时测量树木胸径生长量，测量周期可按照天、周、月、季度设置。</w:t>
      </w:r>
    </w:p>
    <w:p w14:paraId="786C21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在智能监测样地智慧中心桩接入小型气象站，挂载空气温湿度、风速、风向、雨量等监测仪器设备，以林木生长、大气、水、土壤传感器为核心，构筑多点分布的生态环境采集实时监测数据，实现监测样地数据自动化、智能化监测。</w:t>
      </w:r>
    </w:p>
    <w:p w14:paraId="056505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——为保证样地内设备的安全性，需要在样地周围设置围栏。围栏的设置要规范、统一、醒目。</w:t>
      </w:r>
    </w:p>
    <w:p w14:paraId="7240A1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（4）碳通量杆</w:t>
      </w:r>
    </w:p>
    <w:p w14:paraId="0BDCAF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在智能化监测样地内中心区域，设置碳通量杆，架设二氧化碳、负氧离子浓度、空气温湿度、风速、风向、PM2.5、PM10、大气压力、雨量、氧气、土壤温湿度、pH值、电导率等监测仪器设备，根据样地调查结果，布设数量适宜的林木生长监测仪，以林木生长、大气、水、土壤传感器为核心，构筑多点分布的生态环境采集实时监测数据，实现监测样地数据自动化、智能化监测。具体设备清单详见表。</w:t>
      </w:r>
    </w:p>
    <w:p w14:paraId="5EE55DEC">
      <w:pPr>
        <w:jc w:val="center"/>
        <w:rPr>
          <w:rStyle w:val="29"/>
          <w:rFonts w:hint="eastAsia" w:ascii="宋体" w:hAnsi="宋体" w:eastAsia="宋体" w:cs="宋体"/>
          <w:b/>
          <w:bCs/>
          <w:color w:val="auto"/>
          <w:sz w:val="36"/>
          <w:szCs w:val="21"/>
          <w:highlight w:val="none"/>
        </w:rPr>
      </w:pPr>
      <w:r>
        <w:rPr>
          <w:rFonts w:hint="eastAsia" w:ascii="宋体" w:hAnsi="宋体" w:eastAsia="宋体" w:cs="宋体"/>
          <w:b/>
          <w:bCs/>
          <w:spacing w:val="-2"/>
          <w:sz w:val="28"/>
          <w:szCs w:val="28"/>
          <w:highlight w:val="none"/>
        </w:rPr>
        <w:t>智能化监测样地设备清单</w:t>
      </w:r>
    </w:p>
    <w:tbl>
      <w:tblPr>
        <w:tblStyle w:val="46"/>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9"/>
        <w:gridCol w:w="2004"/>
        <w:gridCol w:w="5292"/>
        <w:gridCol w:w="627"/>
        <w:gridCol w:w="754"/>
      </w:tblGrid>
      <w:tr w14:paraId="7C35F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38" w:type="pct"/>
            <w:vAlign w:val="center"/>
          </w:tcPr>
          <w:p w14:paraId="1F54EDDC">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076" w:type="pct"/>
            <w:vAlign w:val="center"/>
          </w:tcPr>
          <w:p w14:paraId="500EE7E0">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2842" w:type="pct"/>
            <w:vAlign w:val="center"/>
          </w:tcPr>
          <w:p w14:paraId="424A67EE">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主要参数指标</w:t>
            </w:r>
          </w:p>
        </w:tc>
        <w:tc>
          <w:tcPr>
            <w:tcW w:w="337" w:type="pct"/>
            <w:vAlign w:val="center"/>
          </w:tcPr>
          <w:p w14:paraId="37C7CA70">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405" w:type="pct"/>
            <w:vAlign w:val="center"/>
          </w:tcPr>
          <w:p w14:paraId="7BE1DAED">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r>
      <w:tr w14:paraId="74A7B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338" w:type="pct"/>
            <w:vAlign w:val="center"/>
          </w:tcPr>
          <w:p w14:paraId="1FC9246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76" w:type="pct"/>
            <w:vAlign w:val="center"/>
          </w:tcPr>
          <w:p w14:paraId="5EED7F0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物联网监控主机</w:t>
            </w:r>
          </w:p>
        </w:tc>
        <w:tc>
          <w:tcPr>
            <w:tcW w:w="2842" w:type="pct"/>
            <w:vAlign w:val="center"/>
          </w:tcPr>
          <w:p w14:paraId="71F0E32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全网通 4G/5G 物联网监控主机，数据上传支持TCP /IP/UDP</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MQTT协议，通信距离≥1500 m，支持市电及太阳能供电，IP66以上防护能力</w:t>
            </w:r>
          </w:p>
        </w:tc>
        <w:tc>
          <w:tcPr>
            <w:tcW w:w="337" w:type="pct"/>
            <w:vAlign w:val="center"/>
          </w:tcPr>
          <w:p w14:paraId="31E0382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03D5FA7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42E4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8" w:type="pct"/>
            <w:vAlign w:val="center"/>
          </w:tcPr>
          <w:p w14:paraId="3328B40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76" w:type="pct"/>
            <w:vAlign w:val="center"/>
          </w:tcPr>
          <w:p w14:paraId="708049E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二氧化碳传感器</w:t>
            </w:r>
          </w:p>
        </w:tc>
        <w:tc>
          <w:tcPr>
            <w:tcW w:w="2842" w:type="pct"/>
            <w:vAlign w:val="center"/>
          </w:tcPr>
          <w:p w14:paraId="09857FC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量程 0-5000ppm，精度±（40ppm＋3％F-S） （25℃)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分辨率 1ppm，响应时间2S</w:t>
            </w:r>
          </w:p>
        </w:tc>
        <w:tc>
          <w:tcPr>
            <w:tcW w:w="337" w:type="pct"/>
            <w:vAlign w:val="center"/>
          </w:tcPr>
          <w:p w14:paraId="35CF83D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2F7B2BD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23CFE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338" w:type="pct"/>
            <w:vAlign w:val="center"/>
          </w:tcPr>
          <w:p w14:paraId="36B615D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76" w:type="pct"/>
            <w:vAlign w:val="center"/>
          </w:tcPr>
          <w:p w14:paraId="024338C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甲烷传感器</w:t>
            </w:r>
          </w:p>
        </w:tc>
        <w:tc>
          <w:tcPr>
            <w:tcW w:w="2842" w:type="pct"/>
            <w:vAlign w:val="center"/>
          </w:tcPr>
          <w:p w14:paraId="198CE60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量程 0%～100％LEL，分辨率 1％LEL，精度±5%FS，预热时间≥5分钟</w:t>
            </w:r>
          </w:p>
        </w:tc>
        <w:tc>
          <w:tcPr>
            <w:tcW w:w="337" w:type="pct"/>
            <w:vAlign w:val="center"/>
          </w:tcPr>
          <w:p w14:paraId="0B4445C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30D7EE6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07C6F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338" w:type="pct"/>
            <w:vAlign w:val="center"/>
          </w:tcPr>
          <w:p w14:paraId="60F821B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76" w:type="pct"/>
            <w:vAlign w:val="center"/>
          </w:tcPr>
          <w:p w14:paraId="104217A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氧气浓度传感器</w:t>
            </w:r>
          </w:p>
        </w:tc>
        <w:tc>
          <w:tcPr>
            <w:tcW w:w="2842" w:type="pct"/>
            <w:vAlign w:val="center"/>
          </w:tcPr>
          <w:p w14:paraId="7B2BEDA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量程 0%～25％Vol，分辨率 0.1％Vol，精度±3%FS，预热时间≥5分钟。</w:t>
            </w:r>
          </w:p>
        </w:tc>
        <w:tc>
          <w:tcPr>
            <w:tcW w:w="337" w:type="pct"/>
            <w:vAlign w:val="center"/>
          </w:tcPr>
          <w:p w14:paraId="5573C22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3851A82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2D525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38" w:type="pct"/>
            <w:vAlign w:val="center"/>
          </w:tcPr>
          <w:p w14:paraId="181A653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076" w:type="pct"/>
            <w:vAlign w:val="center"/>
          </w:tcPr>
          <w:p w14:paraId="026C4A5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温湿度传感器</w:t>
            </w:r>
          </w:p>
        </w:tc>
        <w:tc>
          <w:tcPr>
            <w:tcW w:w="2842" w:type="pct"/>
            <w:vAlign w:val="center"/>
          </w:tcPr>
          <w:p w14:paraId="649ABAC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温度量程-40℃~+120℃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精度±0.5℃（25℃)；湿度量程 0% RH～99％RH，精度±3％RH（60％RH25℃)</w:t>
            </w:r>
          </w:p>
        </w:tc>
        <w:tc>
          <w:tcPr>
            <w:tcW w:w="337" w:type="pct"/>
            <w:vAlign w:val="center"/>
          </w:tcPr>
          <w:p w14:paraId="5EE0C86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7D37BB9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56333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338" w:type="pct"/>
            <w:vAlign w:val="center"/>
          </w:tcPr>
          <w:p w14:paraId="3DF2E28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076" w:type="pct"/>
            <w:vAlign w:val="center"/>
          </w:tcPr>
          <w:p w14:paraId="02510F4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风速/风向</w:t>
            </w:r>
          </w:p>
        </w:tc>
        <w:tc>
          <w:tcPr>
            <w:tcW w:w="2842" w:type="pct"/>
            <w:vAlign w:val="center"/>
          </w:tcPr>
          <w:p w14:paraId="0B99F62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风速量程 0-70m</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s，分辨率0.1m</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s，精度±（0.2+0.03V）m</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s，动态响应时间≤1s；风向量程 0~360°；分辨率 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准确度±3°起动风速≤0.5m</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s</w:t>
            </w:r>
          </w:p>
        </w:tc>
        <w:tc>
          <w:tcPr>
            <w:tcW w:w="337" w:type="pct"/>
            <w:vAlign w:val="center"/>
          </w:tcPr>
          <w:p w14:paraId="29C1DB3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55E70CB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0630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338" w:type="pct"/>
            <w:vAlign w:val="center"/>
          </w:tcPr>
          <w:p w14:paraId="4854DB2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076" w:type="pct"/>
            <w:vAlign w:val="center"/>
          </w:tcPr>
          <w:p w14:paraId="1834E42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雨量计</w:t>
            </w:r>
          </w:p>
        </w:tc>
        <w:tc>
          <w:tcPr>
            <w:tcW w:w="2842" w:type="pct"/>
            <w:vAlign w:val="center"/>
          </w:tcPr>
          <w:p w14:paraId="129FDBC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量程 0.01mm～4mm/min（允许通过最大雨强8mm/min）；分辨率 0.5mm；准确度±2%</w:t>
            </w:r>
          </w:p>
        </w:tc>
        <w:tc>
          <w:tcPr>
            <w:tcW w:w="337" w:type="pct"/>
            <w:vAlign w:val="center"/>
          </w:tcPr>
          <w:p w14:paraId="64A4EC3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2D5EBE6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63122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38" w:type="pct"/>
            <w:vAlign w:val="center"/>
          </w:tcPr>
          <w:p w14:paraId="3F99D97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076" w:type="pct"/>
            <w:vAlign w:val="center"/>
          </w:tcPr>
          <w:p w14:paraId="05C38DB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大气压力</w:t>
            </w:r>
          </w:p>
        </w:tc>
        <w:tc>
          <w:tcPr>
            <w:tcW w:w="2842" w:type="pct"/>
            <w:vAlign w:val="center"/>
          </w:tcPr>
          <w:p w14:paraId="14F2C8C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量程 0-120Kpa ，精度±0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15Kpa</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25℃ 75Kpa ，分辨率0.1Kpa ，长期稳定性-0.1Kpa</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y，响应时间≤1s</w:t>
            </w:r>
          </w:p>
        </w:tc>
        <w:tc>
          <w:tcPr>
            <w:tcW w:w="337" w:type="pct"/>
            <w:vAlign w:val="center"/>
          </w:tcPr>
          <w:p w14:paraId="36C0494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78B7F6D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0A32E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338" w:type="pct"/>
            <w:vAlign w:val="center"/>
          </w:tcPr>
          <w:p w14:paraId="1CA7568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076" w:type="pct"/>
            <w:vAlign w:val="center"/>
          </w:tcPr>
          <w:p w14:paraId="7483DD5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PM2.5/10</w:t>
            </w:r>
          </w:p>
        </w:tc>
        <w:tc>
          <w:tcPr>
            <w:tcW w:w="2842" w:type="pct"/>
            <w:vAlign w:val="center"/>
          </w:tcPr>
          <w:p w14:paraId="6503A98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量程 0-1000ug</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m3 ，精度±10％（25℃)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分辨率 lug</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m3，长期稳定性≤1％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y，响应时间≤90S</w:t>
            </w:r>
          </w:p>
        </w:tc>
        <w:tc>
          <w:tcPr>
            <w:tcW w:w="337" w:type="pct"/>
            <w:vAlign w:val="center"/>
          </w:tcPr>
          <w:p w14:paraId="3654E66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34F4E8F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0C82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38" w:type="pct"/>
            <w:vAlign w:val="center"/>
          </w:tcPr>
          <w:p w14:paraId="648D0CE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076" w:type="pct"/>
            <w:vAlign w:val="center"/>
          </w:tcPr>
          <w:p w14:paraId="2A4F6A8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光合有效辐射</w:t>
            </w:r>
          </w:p>
        </w:tc>
        <w:tc>
          <w:tcPr>
            <w:tcW w:w="2842" w:type="pct"/>
            <w:vAlign w:val="center"/>
          </w:tcPr>
          <w:p w14:paraId="2FBCF56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测量范围 0-2500μmol</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m2-s 响应光谱 400nm- 700mm ，分辨率 1μmol</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m2-s 精确度±2%</w:t>
            </w:r>
          </w:p>
        </w:tc>
        <w:tc>
          <w:tcPr>
            <w:tcW w:w="337" w:type="pct"/>
            <w:vAlign w:val="center"/>
          </w:tcPr>
          <w:p w14:paraId="7E679EB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284156D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604D0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338" w:type="pct"/>
            <w:vAlign w:val="center"/>
          </w:tcPr>
          <w:p w14:paraId="687A0EF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076" w:type="pct"/>
            <w:vAlign w:val="center"/>
          </w:tcPr>
          <w:p w14:paraId="3DACE8F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土壤温湿度/电导率</w:t>
            </w:r>
          </w:p>
        </w:tc>
        <w:tc>
          <w:tcPr>
            <w:tcW w:w="2842" w:type="pct"/>
            <w:vAlign w:val="center"/>
          </w:tcPr>
          <w:p w14:paraId="41FB0A1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温度量程-40-80℃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分辨率 分辨率 0.1℃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精度±0.5℃（25℃)； 湿度量程 0-100％，分辨率 0.1％，精度 0-50％内±2％，50-100%内±3％（棕壤，60%.25℃)</w:t>
            </w:r>
          </w:p>
        </w:tc>
        <w:tc>
          <w:tcPr>
            <w:tcW w:w="337" w:type="pct"/>
            <w:vAlign w:val="center"/>
          </w:tcPr>
          <w:p w14:paraId="7D2454D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05" w:type="pct"/>
            <w:vAlign w:val="center"/>
          </w:tcPr>
          <w:p w14:paraId="768716B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278D7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38" w:type="pct"/>
            <w:vAlign w:val="center"/>
          </w:tcPr>
          <w:p w14:paraId="585C879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076" w:type="pct"/>
            <w:vAlign w:val="center"/>
          </w:tcPr>
          <w:p w14:paraId="74691A3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土壤PH传感器</w:t>
            </w:r>
          </w:p>
        </w:tc>
        <w:tc>
          <w:tcPr>
            <w:tcW w:w="2842" w:type="pct"/>
            <w:vAlign w:val="center"/>
          </w:tcPr>
          <w:p w14:paraId="14A6E41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量程 3-9PH ，分辨率 0.1，精度±0.3PH，工作温度-20℃~60℃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响应时间≤10S</w:t>
            </w:r>
          </w:p>
        </w:tc>
        <w:tc>
          <w:tcPr>
            <w:tcW w:w="337" w:type="pct"/>
            <w:vAlign w:val="center"/>
          </w:tcPr>
          <w:p w14:paraId="618496F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405" w:type="pct"/>
            <w:vAlign w:val="center"/>
          </w:tcPr>
          <w:p w14:paraId="1029D38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38423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338" w:type="pct"/>
            <w:vAlign w:val="center"/>
          </w:tcPr>
          <w:p w14:paraId="68CB7B2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076" w:type="pct"/>
            <w:vAlign w:val="center"/>
          </w:tcPr>
          <w:p w14:paraId="4EA48D8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太阳能监测仪组件</w:t>
            </w:r>
          </w:p>
        </w:tc>
        <w:tc>
          <w:tcPr>
            <w:tcW w:w="2842" w:type="pct"/>
            <w:vAlign w:val="center"/>
          </w:tcPr>
          <w:p w14:paraId="5AD5AF4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太阳能板 300W，含逆变 100Ah  一体化蓄电池，相应安装套件等</w:t>
            </w:r>
          </w:p>
        </w:tc>
        <w:tc>
          <w:tcPr>
            <w:tcW w:w="337" w:type="pct"/>
            <w:vAlign w:val="center"/>
          </w:tcPr>
          <w:p w14:paraId="68760C6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405" w:type="pct"/>
            <w:vAlign w:val="center"/>
          </w:tcPr>
          <w:p w14:paraId="2121EFA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683CD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338" w:type="pct"/>
            <w:vAlign w:val="center"/>
          </w:tcPr>
          <w:p w14:paraId="39EBDD5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1076" w:type="pct"/>
            <w:vAlign w:val="center"/>
          </w:tcPr>
          <w:p w14:paraId="3B9D805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4G/5G界桩</w:t>
            </w:r>
          </w:p>
        </w:tc>
        <w:tc>
          <w:tcPr>
            <w:tcW w:w="2842" w:type="pct"/>
            <w:vAlign w:val="center"/>
          </w:tcPr>
          <w:p w14:paraId="1CA3B23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尺寸（长宽高）：15cm×15cm×300cm，地笼安装；</w:t>
            </w:r>
          </w:p>
          <w:p w14:paraId="0245B85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通讯方式：4G网络传输；位置信息采集：GPS；倾斜传感器：界桩倾斜报警；振动传感器：界桩破坏报警；事件报警：一键报警；工作温度：-40℃~+85℃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IP67 防水保护，供电：内置一组电池供电：电池12V/60Ah，根据实际挂载设备进行功率调整</w:t>
            </w:r>
          </w:p>
        </w:tc>
        <w:tc>
          <w:tcPr>
            <w:tcW w:w="337" w:type="pct"/>
            <w:vAlign w:val="center"/>
          </w:tcPr>
          <w:p w14:paraId="101E843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405" w:type="pct"/>
            <w:vAlign w:val="center"/>
          </w:tcPr>
          <w:p w14:paraId="19A3431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0A9C5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338" w:type="pct"/>
            <w:vAlign w:val="center"/>
          </w:tcPr>
          <w:p w14:paraId="1CFE014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076" w:type="pct"/>
            <w:vAlign w:val="center"/>
          </w:tcPr>
          <w:p w14:paraId="09A2DFF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树木生长监测仪</w:t>
            </w:r>
          </w:p>
        </w:tc>
        <w:tc>
          <w:tcPr>
            <w:tcW w:w="2842" w:type="pct"/>
            <w:vAlign w:val="center"/>
          </w:tcPr>
          <w:p w14:paraId="5BB74B2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使用环境温度：-30～60℃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湿度 0%～95%；测量范围：50mm~1000mm；测量精度：位移示值绝对误差限0.1mm；位移示值相对误差限 0.1%；采样间隔：一周一次；传输距离：5KM；防护等级：IP65 ；通信频率：433MHz；供电电压：3.6V-4.2V（锂电池）</w:t>
            </w:r>
          </w:p>
        </w:tc>
        <w:tc>
          <w:tcPr>
            <w:tcW w:w="337" w:type="pct"/>
            <w:vAlign w:val="center"/>
          </w:tcPr>
          <w:p w14:paraId="5971686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405" w:type="pct"/>
            <w:vAlign w:val="center"/>
          </w:tcPr>
          <w:p w14:paraId="7A0BB11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r>
    </w:tbl>
    <w:p w14:paraId="3EF956F3">
      <w:pPr>
        <w:rPr>
          <w:rStyle w:val="29"/>
          <w:rFonts w:hint="eastAsia" w:ascii="宋体" w:eastAsia="宋体" w:cs="宋体"/>
          <w:color w:val="auto"/>
          <w:sz w:val="36"/>
          <w:szCs w:val="21"/>
          <w:highlight w:val="none"/>
        </w:rPr>
      </w:pPr>
      <w:r>
        <w:rPr>
          <w:rStyle w:val="29"/>
          <w:rFonts w:hint="eastAsia" w:ascii="宋体" w:eastAsia="宋体" w:cs="宋体"/>
          <w:color w:val="auto"/>
          <w:sz w:val="36"/>
          <w:szCs w:val="21"/>
          <w:highlight w:val="none"/>
        </w:rPr>
        <w:br w:type="page"/>
      </w:r>
    </w:p>
    <w:p w14:paraId="5232F0A1">
      <w:pPr>
        <w:tabs>
          <w:tab w:val="left" w:pos="480"/>
        </w:tabs>
        <w:spacing w:line="360" w:lineRule="auto"/>
        <w:jc w:val="center"/>
        <w:outlineLvl w:val="0"/>
        <w:rPr>
          <w:rFonts w:hAnsi="宋体" w:cs="宋体"/>
          <w:bCs/>
          <w:color w:val="auto"/>
          <w:kern w:val="2"/>
          <w:sz w:val="36"/>
          <w:szCs w:val="36"/>
          <w:highlight w:val="none"/>
        </w:rPr>
      </w:pPr>
      <w:bookmarkStart w:id="207" w:name="_Toc20030"/>
      <w:r>
        <w:rPr>
          <w:rStyle w:val="29"/>
          <w:rFonts w:hint="eastAsia" w:ascii="宋体" w:eastAsia="宋体" w:cs="宋体"/>
          <w:color w:val="auto"/>
          <w:sz w:val="36"/>
          <w:szCs w:val="21"/>
          <w:highlight w:val="none"/>
        </w:rPr>
        <w:t>第六章  竞争性磋商响应文件格式</w:t>
      </w:r>
      <w:bookmarkEnd w:id="202"/>
      <w:bookmarkEnd w:id="203"/>
      <w:bookmarkEnd w:id="204"/>
      <w:bookmarkEnd w:id="205"/>
      <w:bookmarkEnd w:id="206"/>
      <w:bookmarkEnd w:id="207"/>
    </w:p>
    <w:p w14:paraId="67B32554">
      <w:pPr>
        <w:rPr>
          <w:rFonts w:hAnsi="宋体" w:cs="宋体"/>
          <w:color w:val="auto"/>
          <w:highlight w:val="none"/>
        </w:rPr>
      </w:pPr>
    </w:p>
    <w:p w14:paraId="262E859E">
      <w:pPr>
        <w:rPr>
          <w:rFonts w:hAnsi="宋体" w:cs="宋体"/>
          <w:color w:val="auto"/>
          <w:highlight w:val="none"/>
        </w:rPr>
      </w:pPr>
    </w:p>
    <w:p w14:paraId="0064EE87">
      <w:pPr>
        <w:framePr w:hSpace="180" w:wrap="around" w:vAnchor="text" w:hAnchor="page" w:x="1472" w:y="18"/>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项目编号：SXZCZB2026-ZCCS-0311</w:t>
      </w:r>
    </w:p>
    <w:p w14:paraId="1ACC13FB">
      <w:pPr>
        <w:ind w:firstLine="4343" w:firstLineChars="1352"/>
        <w:rPr>
          <w:rFonts w:hAnsi="宋体" w:cs="宋体"/>
          <w:b/>
          <w:color w:val="auto"/>
          <w:sz w:val="32"/>
          <w:szCs w:val="32"/>
          <w:highlight w:val="none"/>
        </w:rPr>
      </w:pPr>
      <w:r>
        <w:rPr>
          <w:rFonts w:hint="eastAsia" w:hAnsi="宋体" w:cs="宋体"/>
          <w:b/>
          <w:bCs/>
          <w:color w:val="auto"/>
          <w:sz w:val="32"/>
          <w:szCs w:val="32"/>
          <w:highlight w:val="none"/>
        </w:rPr>
        <w:t xml:space="preserve">          </w:t>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color w:val="auto"/>
          <w:sz w:val="32"/>
          <w:szCs w:val="32"/>
          <w:highlight w:val="none"/>
        </w:rPr>
        <w:t>（正本或副本）</w:t>
      </w:r>
    </w:p>
    <w:p w14:paraId="43A3A0A0">
      <w:pPr>
        <w:jc w:val="right"/>
        <w:rPr>
          <w:rFonts w:hAnsi="宋体" w:cs="宋体"/>
          <w:b/>
          <w:color w:val="auto"/>
          <w:sz w:val="32"/>
          <w:szCs w:val="32"/>
          <w:highlight w:val="none"/>
        </w:rPr>
      </w:pPr>
    </w:p>
    <w:p w14:paraId="228BA349">
      <w:pPr>
        <w:jc w:val="right"/>
        <w:rPr>
          <w:rFonts w:hAnsi="宋体" w:cs="宋体"/>
          <w:b/>
          <w:color w:val="auto"/>
          <w:sz w:val="32"/>
          <w:szCs w:val="32"/>
          <w:highlight w:val="none"/>
        </w:rPr>
      </w:pPr>
    </w:p>
    <w:p w14:paraId="0EB6270A">
      <w:pPr>
        <w:pStyle w:val="9"/>
        <w:rPr>
          <w:color w:val="auto"/>
          <w:highlight w:val="none"/>
        </w:rPr>
      </w:pPr>
    </w:p>
    <w:p w14:paraId="28CE413D">
      <w:pPr>
        <w:bidi w:val="0"/>
        <w:jc w:val="center"/>
        <w:rPr>
          <w:rFonts w:hint="eastAsia"/>
          <w:b/>
          <w:bCs/>
          <w:sz w:val="56"/>
          <w:szCs w:val="44"/>
          <w:highlight w:val="none"/>
          <w:lang w:val="en-US" w:eastAsia="zh-CN"/>
        </w:rPr>
      </w:pPr>
      <w:r>
        <w:rPr>
          <w:rFonts w:hint="eastAsia"/>
          <w:b/>
          <w:bCs/>
          <w:sz w:val="44"/>
          <w:szCs w:val="32"/>
          <w:highlight w:val="none"/>
          <w:lang w:val="en-US" w:eastAsia="zh-CN"/>
        </w:rPr>
        <w:t>陕西省秦巴山区汉江丹江流域中央财政国土绿化示范项目（丹凤县2024年度）碳汇监测</w:t>
      </w:r>
    </w:p>
    <w:p w14:paraId="644EF33E">
      <w:pPr>
        <w:bidi w:val="0"/>
        <w:jc w:val="center"/>
        <w:rPr>
          <w:rFonts w:hint="eastAsia"/>
          <w:b/>
          <w:bCs/>
          <w:sz w:val="56"/>
          <w:szCs w:val="44"/>
          <w:highlight w:val="none"/>
          <w:lang w:val="en-US" w:eastAsia="zh-CN"/>
        </w:rPr>
      </w:pPr>
    </w:p>
    <w:p w14:paraId="46415375">
      <w:pPr>
        <w:jc w:val="center"/>
        <w:rPr>
          <w:rFonts w:hint="eastAsia" w:hAnsi="宋体" w:cs="宋体"/>
          <w:b/>
          <w:color w:val="auto"/>
          <w:sz w:val="56"/>
          <w:szCs w:val="56"/>
          <w:highlight w:val="none"/>
        </w:rPr>
      </w:pPr>
    </w:p>
    <w:p w14:paraId="3EB2CC13">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14:paraId="3B8025C6">
      <w:pPr>
        <w:jc w:val="center"/>
        <w:rPr>
          <w:rFonts w:hAnsi="宋体" w:cs="宋体"/>
          <w:b/>
          <w:color w:val="auto"/>
          <w:sz w:val="36"/>
          <w:szCs w:val="36"/>
          <w:highlight w:val="none"/>
        </w:rPr>
      </w:pPr>
    </w:p>
    <w:p w14:paraId="58B34565">
      <w:pPr>
        <w:rPr>
          <w:rFonts w:hAnsi="宋体" w:cs="宋体"/>
          <w:b/>
          <w:color w:val="auto"/>
          <w:sz w:val="36"/>
          <w:szCs w:val="36"/>
          <w:highlight w:val="none"/>
        </w:rPr>
      </w:pPr>
    </w:p>
    <w:p w14:paraId="6B3E5664">
      <w:pPr>
        <w:pStyle w:val="9"/>
        <w:rPr>
          <w:color w:val="auto"/>
          <w:highlight w:val="none"/>
        </w:rPr>
      </w:pPr>
    </w:p>
    <w:p w14:paraId="02A532A6">
      <w:pPr>
        <w:rPr>
          <w:rFonts w:hAnsi="宋体" w:cs="宋体"/>
          <w:b/>
          <w:color w:val="auto"/>
          <w:sz w:val="36"/>
          <w:szCs w:val="36"/>
          <w:highlight w:val="none"/>
        </w:rPr>
      </w:pPr>
    </w:p>
    <w:p w14:paraId="5529F370">
      <w:pPr>
        <w:tabs>
          <w:tab w:val="center" w:pos="5346"/>
        </w:tabs>
        <w:spacing w:line="480" w:lineRule="auto"/>
        <w:jc w:val="center"/>
        <w:rPr>
          <w:rFonts w:hint="eastAsia" w:hAnsi="宋体" w:cs="宋体"/>
          <w:b/>
          <w:color w:val="auto"/>
          <w:sz w:val="32"/>
          <w:szCs w:val="32"/>
          <w:highlight w:val="none"/>
        </w:rPr>
      </w:pPr>
    </w:p>
    <w:p w14:paraId="07927EEF">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68F0BAB7">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208" w:name="_Toc344572156"/>
    </w:p>
    <w:p w14:paraId="132F5C65">
      <w:pPr>
        <w:jc w:val="center"/>
        <w:rPr>
          <w:rFonts w:hAnsi="宋体" w:cs="宋体"/>
          <w:b/>
          <w:color w:val="auto"/>
          <w:sz w:val="44"/>
          <w:highlight w:val="none"/>
        </w:rPr>
      </w:pPr>
      <w:r>
        <w:rPr>
          <w:rFonts w:hint="eastAsia" w:hAnsi="宋体" w:cs="宋体"/>
          <w:b/>
          <w:color w:val="auto"/>
          <w:sz w:val="44"/>
          <w:highlight w:val="none"/>
        </w:rPr>
        <w:t>目  录</w:t>
      </w:r>
    </w:p>
    <w:p w14:paraId="6EFB508D">
      <w:pPr>
        <w:pStyle w:val="9"/>
        <w:rPr>
          <w:color w:val="auto"/>
          <w:highlight w:val="none"/>
        </w:rPr>
      </w:pPr>
    </w:p>
    <w:p w14:paraId="77C97131">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一、磋商响应函</w:t>
      </w:r>
    </w:p>
    <w:p w14:paraId="2C1FD4CA">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二、磋商报价表</w:t>
      </w:r>
    </w:p>
    <w:p w14:paraId="46483023">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三、磋商方案说明书</w:t>
      </w:r>
    </w:p>
    <w:p w14:paraId="7A1FAA12">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四、商务条款偏离表</w:t>
      </w:r>
    </w:p>
    <w:p w14:paraId="7223B25D">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五、陕西省政府采购供应商拒绝政府采购领域商业贿赂承诺书</w:t>
      </w:r>
    </w:p>
    <w:p w14:paraId="1BAAD188">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六、特定资格证明文件</w:t>
      </w:r>
    </w:p>
    <w:p w14:paraId="24A155D9">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七、其他</w:t>
      </w:r>
    </w:p>
    <w:p w14:paraId="68617F82">
      <w:pPr>
        <w:pStyle w:val="7"/>
        <w:spacing w:line="360" w:lineRule="auto"/>
        <w:rPr>
          <w:rFonts w:ascii="宋体" w:hAnsi="宋体" w:cs="宋体"/>
          <w:color w:val="auto"/>
          <w:highlight w:val="none"/>
        </w:rPr>
      </w:pPr>
    </w:p>
    <w:p w14:paraId="42E49A8E">
      <w:pPr>
        <w:pStyle w:val="7"/>
        <w:spacing w:line="360" w:lineRule="auto"/>
        <w:rPr>
          <w:rFonts w:ascii="宋体" w:hAnsi="宋体" w:cs="宋体"/>
          <w:color w:val="auto"/>
          <w:highlight w:val="none"/>
        </w:rPr>
      </w:pPr>
    </w:p>
    <w:p w14:paraId="00218474">
      <w:pPr>
        <w:pStyle w:val="7"/>
        <w:ind w:firstLine="880"/>
        <w:rPr>
          <w:rFonts w:ascii="宋体" w:hAnsi="宋体" w:cs="宋体"/>
          <w:bCs/>
          <w:color w:val="auto"/>
          <w:sz w:val="44"/>
          <w:highlight w:val="none"/>
        </w:rPr>
      </w:pPr>
    </w:p>
    <w:p w14:paraId="5E233313">
      <w:pPr>
        <w:pStyle w:val="7"/>
        <w:ind w:firstLine="880"/>
        <w:rPr>
          <w:rFonts w:ascii="宋体" w:hAnsi="宋体" w:cs="宋体"/>
          <w:bCs/>
          <w:color w:val="auto"/>
          <w:sz w:val="44"/>
          <w:highlight w:val="none"/>
        </w:rPr>
      </w:pPr>
    </w:p>
    <w:bookmarkEnd w:id="208"/>
    <w:p w14:paraId="1E0E5812">
      <w:pPr>
        <w:pStyle w:val="9"/>
        <w:rPr>
          <w:color w:val="auto"/>
          <w:highlight w:val="none"/>
        </w:rPr>
      </w:pPr>
      <w:bookmarkStart w:id="209" w:name="_Toc363474027"/>
      <w:bookmarkStart w:id="210" w:name="_Toc403077648"/>
      <w:bookmarkStart w:id="211" w:name="_Toc204524343"/>
    </w:p>
    <w:p w14:paraId="50755865">
      <w:pPr>
        <w:pStyle w:val="9"/>
        <w:rPr>
          <w:color w:val="auto"/>
          <w:highlight w:val="none"/>
        </w:rPr>
      </w:pPr>
    </w:p>
    <w:p w14:paraId="1AA8AB13">
      <w:pPr>
        <w:pStyle w:val="9"/>
        <w:rPr>
          <w:color w:val="auto"/>
          <w:highlight w:val="none"/>
        </w:rPr>
      </w:pPr>
    </w:p>
    <w:p w14:paraId="0332EFB8">
      <w:pPr>
        <w:spacing w:line="520" w:lineRule="exact"/>
        <w:jc w:val="center"/>
        <w:outlineLvl w:val="1"/>
        <w:rPr>
          <w:rFonts w:hAnsi="宋体" w:cs="宋体"/>
          <w:b/>
          <w:color w:val="auto"/>
          <w:sz w:val="32"/>
          <w:szCs w:val="32"/>
          <w:highlight w:val="none"/>
        </w:rPr>
      </w:pPr>
      <w:r>
        <w:rPr>
          <w:rFonts w:hint="eastAsia" w:hAnsi="宋体" w:cs="宋体"/>
          <w:b/>
          <w:color w:val="auto"/>
          <w:sz w:val="32"/>
          <w:szCs w:val="32"/>
          <w:highlight w:val="none"/>
        </w:rPr>
        <w:br w:type="page"/>
      </w:r>
      <w:bookmarkStart w:id="212" w:name="_Toc32002"/>
      <w:bookmarkStart w:id="213" w:name="_Toc7389"/>
      <w:bookmarkStart w:id="214" w:name="_Toc4367"/>
      <w:bookmarkStart w:id="215" w:name="_Toc16320"/>
      <w:bookmarkStart w:id="216" w:name="_Toc15762"/>
      <w:bookmarkStart w:id="217" w:name="_Toc6128"/>
      <w:bookmarkStart w:id="218" w:name="_Toc28508"/>
      <w:r>
        <w:rPr>
          <w:rFonts w:hint="eastAsia" w:hAnsi="宋体" w:cs="宋体"/>
          <w:b/>
          <w:color w:val="auto"/>
          <w:sz w:val="32"/>
          <w:szCs w:val="32"/>
          <w:highlight w:val="none"/>
        </w:rPr>
        <w:t>一、磋商</w:t>
      </w:r>
      <w:bookmarkEnd w:id="209"/>
      <w:bookmarkEnd w:id="210"/>
      <w:r>
        <w:rPr>
          <w:rFonts w:hint="eastAsia" w:hAnsi="宋体" w:cs="宋体"/>
          <w:b/>
          <w:color w:val="auto"/>
          <w:sz w:val="32"/>
          <w:szCs w:val="32"/>
          <w:highlight w:val="none"/>
        </w:rPr>
        <w:t>响应函</w:t>
      </w:r>
      <w:bookmarkEnd w:id="212"/>
      <w:bookmarkEnd w:id="213"/>
      <w:bookmarkEnd w:id="214"/>
      <w:bookmarkEnd w:id="215"/>
      <w:bookmarkEnd w:id="216"/>
      <w:bookmarkEnd w:id="217"/>
      <w:bookmarkEnd w:id="218"/>
    </w:p>
    <w:p w14:paraId="5353D63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68E1CE26">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lang w:eastAsia="zh-CN"/>
        </w:rPr>
        <w:t>（</w:t>
      </w:r>
      <w:r>
        <w:rPr>
          <w:rFonts w:hint="eastAsia" w:hAnsi="宋体" w:cs="宋体"/>
          <w:color w:val="auto"/>
          <w:spacing w:val="4"/>
          <w:szCs w:val="24"/>
          <w:highlight w:val="none"/>
          <w:u w:val="single"/>
        </w:rPr>
        <w:t>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61978093">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43F72FA8">
      <w:pPr>
        <w:numPr>
          <w:ilvl w:val="0"/>
          <w:numId w:val="4"/>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1370F004">
      <w:pPr>
        <w:numPr>
          <w:ilvl w:val="0"/>
          <w:numId w:val="4"/>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66C9D9EA">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77E6B32D">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05B50411">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5）同意提供贵方可能另外要求的与本磋商有关的任何证据和资料。 </w:t>
      </w:r>
    </w:p>
    <w:p w14:paraId="132E85EA">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6）我们同意，如果成交，向陕西至诚项目管理集团有限公司交纳招标代理服务费。</w:t>
      </w:r>
    </w:p>
    <w:p w14:paraId="7AC93003">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7）与本磋商有关的一切正式往来通讯为：</w:t>
      </w:r>
    </w:p>
    <w:p w14:paraId="6F28D07A">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79203A33">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0D2048D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142BE819">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7B11265A">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4724AAFF">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59230DAD">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0DCCF5AA">
      <w:pPr>
        <w:pStyle w:val="3"/>
        <w:spacing w:beforeLines="100" w:line="360" w:lineRule="auto"/>
        <w:jc w:val="center"/>
        <w:rPr>
          <w:rFonts w:ascii="宋体" w:hAnsi="宋体" w:cs="宋体"/>
          <w:bCs w:val="0"/>
          <w:color w:val="auto"/>
          <w:sz w:val="32"/>
          <w:highlight w:val="none"/>
        </w:rPr>
      </w:pPr>
      <w:r>
        <w:rPr>
          <w:rFonts w:hint="eastAsia" w:ascii="宋体" w:hAnsi="宋体" w:cs="宋体"/>
          <w:color w:val="auto"/>
          <w:highlight w:val="none"/>
        </w:rPr>
        <w:br w:type="page"/>
      </w:r>
      <w:bookmarkStart w:id="219" w:name="_Toc9730"/>
      <w:bookmarkStart w:id="220" w:name="_Toc28910"/>
      <w:bookmarkStart w:id="221" w:name="_Toc13482"/>
      <w:bookmarkStart w:id="222" w:name="_Toc17800"/>
      <w:bookmarkStart w:id="223" w:name="_Toc29160"/>
      <w:bookmarkStart w:id="224" w:name="_Toc732"/>
      <w:bookmarkStart w:id="225" w:name="_Toc27989"/>
      <w:bookmarkStart w:id="226" w:name="_Toc403077651"/>
      <w:bookmarkStart w:id="227" w:name="_Toc363474030"/>
      <w:r>
        <w:rPr>
          <w:rFonts w:hint="eastAsia" w:ascii="宋体" w:hAnsi="宋体" w:cs="宋体"/>
          <w:bCs w:val="0"/>
          <w:color w:val="auto"/>
          <w:sz w:val="32"/>
          <w:highlight w:val="none"/>
        </w:rPr>
        <w:t>二、磋商报价表</w:t>
      </w:r>
      <w:bookmarkEnd w:id="219"/>
      <w:bookmarkEnd w:id="220"/>
      <w:bookmarkEnd w:id="221"/>
      <w:bookmarkEnd w:id="222"/>
      <w:bookmarkEnd w:id="223"/>
      <w:bookmarkEnd w:id="224"/>
      <w:bookmarkEnd w:id="225"/>
      <w:bookmarkEnd w:id="226"/>
      <w:bookmarkEnd w:id="227"/>
    </w:p>
    <w:p w14:paraId="485DB4A3">
      <w:pPr>
        <w:jc w:val="center"/>
        <w:outlineLvl w:val="2"/>
        <w:rPr>
          <w:rFonts w:hint="eastAsia" w:ascii="宋体" w:hAnsi="宋体" w:eastAsia="宋体" w:cs="宋体"/>
          <w:b/>
          <w:color w:val="auto"/>
          <w:sz w:val="30"/>
          <w:szCs w:val="30"/>
          <w:highlight w:val="none"/>
        </w:rPr>
      </w:pPr>
      <w:bookmarkStart w:id="228" w:name="_Toc6462"/>
      <w:bookmarkStart w:id="229" w:name="_Toc11518"/>
      <w:bookmarkStart w:id="230" w:name="_Toc32277"/>
      <w:bookmarkStart w:id="231" w:name="_Toc1405"/>
      <w:bookmarkStart w:id="232" w:name="_Toc7982"/>
      <w:bookmarkStart w:id="233" w:name="_Toc29008"/>
      <w:bookmarkStart w:id="234" w:name="_Toc12732"/>
      <w:r>
        <w:rPr>
          <w:rFonts w:hint="eastAsia" w:ascii="宋体" w:hAnsi="宋体" w:eastAsia="宋体" w:cs="宋体"/>
          <w:b/>
          <w:color w:val="auto"/>
          <w:sz w:val="30"/>
          <w:szCs w:val="30"/>
          <w:highlight w:val="none"/>
        </w:rPr>
        <w:t>2.1报价一览表</w:t>
      </w:r>
      <w:bookmarkEnd w:id="228"/>
      <w:bookmarkEnd w:id="229"/>
      <w:bookmarkEnd w:id="230"/>
      <w:bookmarkEnd w:id="231"/>
      <w:bookmarkEnd w:id="232"/>
      <w:bookmarkEnd w:id="233"/>
      <w:bookmarkEnd w:id="234"/>
    </w:p>
    <w:p w14:paraId="4D903519">
      <w:pPr>
        <w:spacing w:line="360" w:lineRule="auto"/>
        <w:jc w:val="center"/>
        <w:rPr>
          <w:rFonts w:hAnsi="宋体" w:cs="宋体"/>
          <w:color w:val="auto"/>
          <w:szCs w:val="24"/>
          <w:highlight w:val="none"/>
        </w:rPr>
      </w:pPr>
    </w:p>
    <w:p w14:paraId="6FBDF76B">
      <w:pPr>
        <w:jc w:val="left"/>
        <w:rPr>
          <w:rFonts w:hAnsi="宋体" w:cs="宋体"/>
          <w:color w:val="auto"/>
          <w:highlight w:val="none"/>
        </w:rPr>
      </w:pPr>
      <w:r>
        <w:rPr>
          <w:rFonts w:hint="eastAsia" w:hAnsi="宋体" w:cs="宋体"/>
          <w:color w:val="auto"/>
          <w:highlight w:val="none"/>
        </w:rPr>
        <w:t xml:space="preserve">项目名称：                                                 </w:t>
      </w:r>
    </w:p>
    <w:p w14:paraId="20E141B4">
      <w:pPr>
        <w:tabs>
          <w:tab w:val="left" w:pos="7080"/>
          <w:tab w:val="left" w:pos="8504"/>
        </w:tabs>
        <w:spacing w:line="360" w:lineRule="auto"/>
        <w:ind w:right="-1"/>
        <w:rPr>
          <w:rFonts w:hAnsi="宋体" w:cs="宋体"/>
          <w:color w:val="auto"/>
          <w:highlight w:val="none"/>
        </w:rPr>
      </w:pPr>
      <w:r>
        <w:rPr>
          <w:rFonts w:hint="eastAsia" w:asciiTheme="minorEastAsia" w:hAnsiTheme="minorEastAsia" w:eastAsiaTheme="minorEastAsia" w:cstheme="minorEastAsia"/>
          <w:sz w:val="24"/>
          <w:szCs w:val="24"/>
          <w:highlight w:val="none"/>
        </w:rPr>
        <w:t>项目编号：</w:t>
      </w:r>
      <w:r>
        <w:rPr>
          <w:rFonts w:hint="eastAsia" w:hAnsi="宋体" w:cs="宋体"/>
          <w:color w:val="auto"/>
          <w:highlight w:val="none"/>
        </w:rPr>
        <w:t xml:space="preserve">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5"/>
        <w:gridCol w:w="4807"/>
        <w:gridCol w:w="2241"/>
      </w:tblGrid>
      <w:tr w14:paraId="6A17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92" w:type="pct"/>
            <w:vAlign w:val="center"/>
          </w:tcPr>
          <w:p w14:paraId="2B72BB19">
            <w:pPr>
              <w:jc w:val="center"/>
              <w:rPr>
                <w:rFonts w:hAnsi="宋体" w:cs="宋体"/>
                <w:color w:val="auto"/>
                <w:szCs w:val="24"/>
                <w:highlight w:val="none"/>
              </w:rPr>
            </w:pPr>
            <w:r>
              <w:rPr>
                <w:rFonts w:hint="eastAsia" w:hAnsi="宋体" w:cs="宋体"/>
                <w:color w:val="auto"/>
                <w:szCs w:val="24"/>
                <w:highlight w:val="none"/>
              </w:rPr>
              <w:t>磋商总报价（元）</w:t>
            </w:r>
          </w:p>
        </w:tc>
        <w:tc>
          <w:tcPr>
            <w:tcW w:w="2529" w:type="pct"/>
            <w:vAlign w:val="center"/>
          </w:tcPr>
          <w:p w14:paraId="16ADAA17">
            <w:pPr>
              <w:jc w:val="center"/>
              <w:rPr>
                <w:rFonts w:hint="default" w:hAnsi="宋体" w:eastAsia="宋体" w:cs="宋体"/>
                <w:color w:val="auto"/>
                <w:szCs w:val="24"/>
                <w:highlight w:val="none"/>
                <w:lang w:val="en-US" w:eastAsia="zh-CN"/>
              </w:rPr>
            </w:pPr>
            <w:r>
              <w:rPr>
                <w:rFonts w:hint="eastAsia" w:hAnsi="宋体" w:cs="宋体"/>
                <w:color w:val="auto"/>
                <w:szCs w:val="24"/>
                <w:highlight w:val="none"/>
              </w:rPr>
              <w:t>服务期</w:t>
            </w:r>
          </w:p>
        </w:tc>
        <w:tc>
          <w:tcPr>
            <w:tcW w:w="1177" w:type="pct"/>
            <w:vAlign w:val="center"/>
          </w:tcPr>
          <w:p w14:paraId="659175A7">
            <w:pPr>
              <w:jc w:val="center"/>
              <w:rPr>
                <w:rFonts w:hAnsi="宋体" w:cs="宋体"/>
                <w:color w:val="auto"/>
                <w:szCs w:val="24"/>
                <w:highlight w:val="none"/>
              </w:rPr>
            </w:pPr>
            <w:r>
              <w:rPr>
                <w:rFonts w:hint="eastAsia" w:hAnsi="宋体" w:cs="宋体"/>
                <w:color w:val="auto"/>
                <w:szCs w:val="24"/>
                <w:highlight w:val="none"/>
              </w:rPr>
              <w:t>备注</w:t>
            </w:r>
          </w:p>
        </w:tc>
      </w:tr>
      <w:tr w14:paraId="2F3B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92" w:type="pct"/>
            <w:vAlign w:val="center"/>
          </w:tcPr>
          <w:p w14:paraId="2E09AD99">
            <w:pPr>
              <w:jc w:val="center"/>
              <w:rPr>
                <w:rFonts w:hAnsi="宋体" w:cs="宋体"/>
                <w:color w:val="auto"/>
                <w:szCs w:val="24"/>
                <w:highlight w:val="none"/>
              </w:rPr>
            </w:pPr>
          </w:p>
        </w:tc>
        <w:tc>
          <w:tcPr>
            <w:tcW w:w="2529" w:type="pct"/>
            <w:vAlign w:val="center"/>
          </w:tcPr>
          <w:p w14:paraId="4515F32A">
            <w:pPr>
              <w:jc w:val="center"/>
              <w:rPr>
                <w:rFonts w:hAnsi="宋体" w:cs="宋体"/>
                <w:color w:val="auto"/>
                <w:szCs w:val="24"/>
                <w:highlight w:val="none"/>
              </w:rPr>
            </w:pPr>
          </w:p>
        </w:tc>
        <w:tc>
          <w:tcPr>
            <w:tcW w:w="1177" w:type="pct"/>
            <w:vAlign w:val="center"/>
          </w:tcPr>
          <w:p w14:paraId="0E6909EB">
            <w:pPr>
              <w:jc w:val="center"/>
              <w:rPr>
                <w:rFonts w:hAnsi="宋体" w:cs="宋体"/>
                <w:color w:val="auto"/>
                <w:szCs w:val="24"/>
                <w:highlight w:val="none"/>
              </w:rPr>
            </w:pPr>
          </w:p>
        </w:tc>
      </w:tr>
      <w:tr w14:paraId="3910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3"/>
            <w:vAlign w:val="center"/>
          </w:tcPr>
          <w:p w14:paraId="414F2B35">
            <w:pPr>
              <w:jc w:val="center"/>
              <w:rPr>
                <w:rFonts w:hAnsi="宋体" w:cs="宋体"/>
                <w:color w:val="auto"/>
                <w:szCs w:val="24"/>
                <w:highlight w:val="none"/>
              </w:rPr>
            </w:pPr>
            <w:r>
              <w:rPr>
                <w:rFonts w:hint="eastAsia" w:hAnsi="宋体" w:cs="宋体"/>
                <w:color w:val="auto"/>
                <w:szCs w:val="24"/>
                <w:highlight w:val="none"/>
              </w:rPr>
              <w:t>磋商报价（大写）：                             （小写：￥       ）</w:t>
            </w:r>
          </w:p>
        </w:tc>
      </w:tr>
      <w:tr w14:paraId="3DD2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3"/>
            <w:vAlign w:val="center"/>
          </w:tcPr>
          <w:p w14:paraId="5BCD0ACD">
            <w:pPr>
              <w:rPr>
                <w:rFonts w:hAnsi="宋体" w:cs="宋体"/>
                <w:color w:val="auto"/>
                <w:szCs w:val="24"/>
                <w:highlight w:val="none"/>
              </w:rPr>
            </w:pPr>
            <w:r>
              <w:rPr>
                <w:rFonts w:hint="eastAsia" w:hAnsi="宋体" w:cs="宋体"/>
                <w:color w:val="auto"/>
                <w:szCs w:val="24"/>
                <w:highlight w:val="none"/>
              </w:rPr>
              <w:t>备注：表内报价内容以元为单位，保留小数点后（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p>
        </w:tc>
      </w:tr>
    </w:tbl>
    <w:p w14:paraId="5043BD08">
      <w:pPr>
        <w:rPr>
          <w:rFonts w:hAnsi="宋体" w:cs="宋体"/>
          <w:color w:val="auto"/>
          <w:szCs w:val="24"/>
          <w:highlight w:val="none"/>
        </w:rPr>
      </w:pPr>
    </w:p>
    <w:p w14:paraId="00D37B5B">
      <w:pPr>
        <w:rPr>
          <w:rFonts w:hAnsi="宋体" w:cs="宋体"/>
          <w:color w:val="auto"/>
          <w:szCs w:val="24"/>
          <w:highlight w:val="none"/>
        </w:rPr>
      </w:pPr>
    </w:p>
    <w:p w14:paraId="7306D4FD">
      <w:pPr>
        <w:rPr>
          <w:rFonts w:hAnsi="宋体" w:cs="宋体"/>
          <w:color w:val="auto"/>
          <w:szCs w:val="24"/>
          <w:highlight w:val="none"/>
        </w:rPr>
      </w:pPr>
    </w:p>
    <w:p w14:paraId="14D861D8">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64FCC516">
      <w:pPr>
        <w:spacing w:line="280" w:lineRule="exact"/>
        <w:ind w:right="617" w:rightChars="257"/>
        <w:jc w:val="left"/>
        <w:rPr>
          <w:rFonts w:hAnsi="宋体" w:cs="宋体"/>
          <w:color w:val="auto"/>
          <w:szCs w:val="24"/>
          <w:highlight w:val="none"/>
        </w:rPr>
      </w:pPr>
    </w:p>
    <w:p w14:paraId="0621DAA9">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261C3E1B">
      <w:pPr>
        <w:spacing w:line="280" w:lineRule="exact"/>
        <w:ind w:right="617" w:rightChars="257"/>
        <w:jc w:val="left"/>
        <w:rPr>
          <w:rFonts w:hAnsi="宋体" w:cs="宋体"/>
          <w:color w:val="auto"/>
          <w:szCs w:val="24"/>
          <w:highlight w:val="none"/>
        </w:rPr>
      </w:pPr>
    </w:p>
    <w:p w14:paraId="44AB5355">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6FB6DB26">
      <w:pPr>
        <w:jc w:val="center"/>
        <w:rPr>
          <w:rFonts w:hAnsi="宋体" w:cs="宋体"/>
          <w:color w:val="auto"/>
          <w:szCs w:val="24"/>
          <w:highlight w:val="none"/>
        </w:rPr>
      </w:pPr>
    </w:p>
    <w:p w14:paraId="2986E393">
      <w:pPr>
        <w:spacing w:beforeLines="50"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3460C11D">
      <w:pPr>
        <w:jc w:val="center"/>
        <w:rPr>
          <w:rFonts w:hAnsi="宋体" w:cs="宋体"/>
          <w:b/>
          <w:color w:val="auto"/>
          <w:sz w:val="30"/>
          <w:szCs w:val="30"/>
          <w:highlight w:val="none"/>
        </w:rPr>
      </w:pPr>
    </w:p>
    <w:p w14:paraId="6AD8D0A6">
      <w:pPr>
        <w:jc w:val="center"/>
        <w:outlineLvl w:val="2"/>
        <w:rPr>
          <w:rFonts w:hAnsi="宋体" w:cs="宋体"/>
          <w:b/>
          <w:color w:val="auto"/>
          <w:sz w:val="30"/>
          <w:szCs w:val="30"/>
          <w:highlight w:val="none"/>
        </w:rPr>
      </w:pPr>
      <w:r>
        <w:rPr>
          <w:rFonts w:hint="eastAsia" w:hAnsi="宋体" w:cs="宋体"/>
          <w:b/>
          <w:color w:val="auto"/>
          <w:sz w:val="30"/>
          <w:szCs w:val="30"/>
          <w:highlight w:val="none"/>
        </w:rPr>
        <w:br w:type="page"/>
      </w:r>
      <w:bookmarkStart w:id="235" w:name="_Toc11197"/>
      <w:bookmarkStart w:id="236" w:name="_Toc9760"/>
      <w:bookmarkStart w:id="237" w:name="_Toc9220"/>
      <w:bookmarkStart w:id="238" w:name="_Toc8370"/>
      <w:bookmarkStart w:id="239" w:name="_Toc19127"/>
      <w:bookmarkStart w:id="240" w:name="_Toc13387"/>
      <w:bookmarkStart w:id="241" w:name="_Toc8017"/>
      <w:r>
        <w:rPr>
          <w:rFonts w:hint="eastAsia" w:hAnsi="宋体" w:cs="宋体"/>
          <w:b/>
          <w:color w:val="auto"/>
          <w:sz w:val="30"/>
          <w:szCs w:val="30"/>
          <w:highlight w:val="none"/>
        </w:rPr>
        <w:t>2.2分项报价表</w:t>
      </w:r>
      <w:bookmarkEnd w:id="235"/>
      <w:bookmarkEnd w:id="236"/>
      <w:bookmarkEnd w:id="237"/>
      <w:bookmarkEnd w:id="238"/>
      <w:bookmarkEnd w:id="239"/>
      <w:bookmarkEnd w:id="240"/>
      <w:bookmarkEnd w:id="241"/>
    </w:p>
    <w:p w14:paraId="2ED49799">
      <w:pPr>
        <w:pStyle w:val="9"/>
        <w:rPr>
          <w:color w:val="auto"/>
          <w:highlight w:val="none"/>
        </w:rPr>
      </w:pPr>
    </w:p>
    <w:p w14:paraId="0EC2C345">
      <w:pPr>
        <w:pStyle w:val="9"/>
        <w:ind w:left="0" w:leftChars="0" w:firstLine="0" w:firstLineChars="0"/>
        <w:rPr>
          <w:color w:val="auto"/>
          <w:highlight w:val="none"/>
        </w:rPr>
      </w:pPr>
      <w:r>
        <w:rPr>
          <w:rFonts w:hint="eastAsia"/>
          <w:color w:val="auto"/>
          <w:highlight w:val="none"/>
        </w:rPr>
        <w:t>供应商自行拟定格式，用于说明磋商报价各报价的组成。</w:t>
      </w:r>
    </w:p>
    <w:p w14:paraId="48068785">
      <w:pPr>
        <w:pStyle w:val="9"/>
        <w:rPr>
          <w:color w:val="auto"/>
          <w:highlight w:val="none"/>
        </w:rPr>
      </w:pPr>
    </w:p>
    <w:p w14:paraId="14788553">
      <w:pPr>
        <w:ind w:firstLine="420"/>
        <w:rPr>
          <w:rFonts w:hAnsi="宋体" w:cs="宋体"/>
          <w:color w:val="auto"/>
          <w:highlight w:val="none"/>
        </w:rPr>
      </w:pPr>
    </w:p>
    <w:p w14:paraId="13AB7840">
      <w:pPr>
        <w:pStyle w:val="9"/>
        <w:rPr>
          <w:color w:val="auto"/>
          <w:highlight w:val="none"/>
        </w:rPr>
      </w:pPr>
    </w:p>
    <w:p w14:paraId="207B06A8">
      <w:pPr>
        <w:rPr>
          <w:rFonts w:hAnsi="宋体" w:cs="宋体"/>
          <w:color w:val="auto"/>
          <w:highlight w:val="none"/>
        </w:rPr>
      </w:pPr>
    </w:p>
    <w:bookmarkEnd w:id="211"/>
    <w:p w14:paraId="76227A68">
      <w:pPr>
        <w:jc w:val="center"/>
        <w:outlineLvl w:val="1"/>
        <w:rPr>
          <w:rFonts w:hAnsi="宋体" w:cs="宋体"/>
          <w:color w:val="auto"/>
          <w:sz w:val="32"/>
          <w:szCs w:val="32"/>
          <w:highlight w:val="none"/>
        </w:rPr>
      </w:pPr>
      <w:bookmarkStart w:id="242" w:name="_Toc344572163"/>
      <w:r>
        <w:rPr>
          <w:rFonts w:hint="eastAsia" w:hAnsi="宋体" w:cs="宋体"/>
          <w:color w:val="auto"/>
          <w:sz w:val="32"/>
          <w:szCs w:val="32"/>
          <w:highlight w:val="none"/>
        </w:rPr>
        <w:br w:type="page"/>
      </w:r>
      <w:bookmarkStart w:id="243" w:name="_Toc32541"/>
      <w:bookmarkStart w:id="244" w:name="_Toc32126"/>
      <w:bookmarkStart w:id="245" w:name="_Toc24059"/>
      <w:bookmarkStart w:id="246" w:name="_Toc25260"/>
      <w:bookmarkStart w:id="247" w:name="_Toc3628"/>
      <w:bookmarkStart w:id="248" w:name="_Toc24936"/>
      <w:bookmarkStart w:id="249" w:name="_Toc5944"/>
      <w:r>
        <w:rPr>
          <w:rFonts w:hint="eastAsia" w:hAnsi="宋体" w:cs="宋体"/>
          <w:b/>
          <w:bCs/>
          <w:color w:val="auto"/>
          <w:sz w:val="32"/>
          <w:szCs w:val="32"/>
          <w:highlight w:val="none"/>
        </w:rPr>
        <w:t>三、磋商方案说明书</w:t>
      </w:r>
      <w:bookmarkEnd w:id="243"/>
      <w:bookmarkEnd w:id="244"/>
      <w:bookmarkEnd w:id="245"/>
      <w:bookmarkEnd w:id="246"/>
      <w:bookmarkEnd w:id="247"/>
      <w:bookmarkEnd w:id="248"/>
      <w:bookmarkEnd w:id="249"/>
    </w:p>
    <w:p w14:paraId="32B4BB65">
      <w:pPr>
        <w:spacing w:after="120" w:line="440" w:lineRule="exact"/>
        <w:rPr>
          <w:rFonts w:hAnsi="宋体" w:cs="宋体"/>
          <w:color w:val="auto"/>
          <w:szCs w:val="24"/>
          <w:highlight w:val="none"/>
        </w:rPr>
      </w:pPr>
      <w:r>
        <w:rPr>
          <w:rFonts w:hint="eastAsia" w:hAnsi="宋体" w:cs="宋体"/>
          <w:color w:val="auto"/>
          <w:szCs w:val="24"/>
          <w:highlight w:val="none"/>
        </w:rPr>
        <w:t>项目名称：</w:t>
      </w:r>
    </w:p>
    <w:p w14:paraId="6F360F2C">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p>
    <w:p w14:paraId="78BFB497">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（可参照第三章评审办法进行响应）。</w:t>
      </w:r>
    </w:p>
    <w:p w14:paraId="1584D365">
      <w:pPr>
        <w:pStyle w:val="9"/>
        <w:rPr>
          <w:color w:val="auto"/>
          <w:highlight w:val="none"/>
        </w:rPr>
      </w:pPr>
    </w:p>
    <w:p w14:paraId="281C2DC2">
      <w:pPr>
        <w:pStyle w:val="9"/>
        <w:rPr>
          <w:color w:val="auto"/>
          <w:highlight w:val="none"/>
        </w:rPr>
      </w:pPr>
    </w:p>
    <w:p w14:paraId="22CAFC35">
      <w:pPr>
        <w:rPr>
          <w:rFonts w:hAnsi="宋体" w:cs="宋体"/>
          <w:color w:val="auto"/>
          <w:highlight w:val="none"/>
        </w:rPr>
      </w:pPr>
    </w:p>
    <w:p w14:paraId="7B3100A0">
      <w:pPr>
        <w:pStyle w:val="9"/>
        <w:rPr>
          <w:color w:val="auto"/>
          <w:highlight w:val="none"/>
        </w:rPr>
      </w:pPr>
    </w:p>
    <w:p w14:paraId="16344B3A">
      <w:pPr>
        <w:spacing w:line="480" w:lineRule="auto"/>
        <w:ind w:left="3725" w:leftChars="1552"/>
        <w:rPr>
          <w:rFonts w:hAnsi="宋体" w:cs="宋体"/>
          <w:color w:val="auto"/>
          <w:szCs w:val="24"/>
          <w:highlight w:val="none"/>
        </w:rPr>
      </w:pPr>
      <w:r>
        <w:rPr>
          <w:rFonts w:hint="eastAsia" w:hAnsi="宋体" w:cs="宋体"/>
          <w:color w:val="auto"/>
          <w:szCs w:val="24"/>
          <w:highlight w:val="none"/>
        </w:rPr>
        <w:t>法定代表人/被授权人签字或盖章：</w:t>
      </w:r>
    </w:p>
    <w:p w14:paraId="7A32FC5B">
      <w:pPr>
        <w:spacing w:line="480" w:lineRule="auto"/>
        <w:ind w:left="3725" w:leftChars="1552"/>
        <w:rPr>
          <w:rFonts w:hAnsi="宋体" w:cs="宋体"/>
          <w:color w:val="auto"/>
          <w:szCs w:val="24"/>
          <w:highlight w:val="none"/>
        </w:rPr>
      </w:pPr>
    </w:p>
    <w:p w14:paraId="3B0AE0BE">
      <w:pPr>
        <w:spacing w:line="480" w:lineRule="auto"/>
        <w:ind w:left="3725" w:leftChars="1552"/>
        <w:rPr>
          <w:rFonts w:hAnsi="宋体" w:cs="宋体"/>
          <w:color w:val="auto"/>
          <w:szCs w:val="24"/>
          <w:highlight w:val="none"/>
        </w:rPr>
      </w:pPr>
      <w:r>
        <w:rPr>
          <w:rFonts w:hint="eastAsia" w:hAnsi="宋体" w:cs="宋体"/>
          <w:color w:val="auto"/>
          <w:szCs w:val="24"/>
          <w:highlight w:val="none"/>
        </w:rPr>
        <w:t>公      章：</w:t>
      </w:r>
    </w:p>
    <w:p w14:paraId="1DE439C1">
      <w:pPr>
        <w:spacing w:line="480" w:lineRule="auto"/>
        <w:ind w:left="3725" w:leftChars="1552" w:firstLine="5668" w:firstLineChars="2362"/>
        <w:rPr>
          <w:rFonts w:hAnsi="宋体" w:cs="宋体"/>
          <w:color w:val="auto"/>
          <w:szCs w:val="24"/>
          <w:highlight w:val="none"/>
        </w:rPr>
      </w:pPr>
    </w:p>
    <w:p w14:paraId="3CC71726">
      <w:pPr>
        <w:spacing w:line="480" w:lineRule="auto"/>
        <w:ind w:left="3725" w:leftChars="1552"/>
        <w:rPr>
          <w:rFonts w:hAnsi="宋体" w:cs="宋体"/>
          <w:color w:val="auto"/>
          <w:szCs w:val="24"/>
          <w:highlight w:val="none"/>
        </w:rPr>
      </w:pPr>
      <w:r>
        <w:rPr>
          <w:rFonts w:hint="eastAsia" w:hAnsi="宋体" w:cs="宋体"/>
          <w:color w:val="auto"/>
          <w:szCs w:val="24"/>
          <w:highlight w:val="none"/>
        </w:rPr>
        <w:t>日      期：</w:t>
      </w:r>
    </w:p>
    <w:p w14:paraId="15E1523B">
      <w:pPr>
        <w:spacing w:after="120" w:line="480" w:lineRule="auto"/>
        <w:rPr>
          <w:rFonts w:hAnsi="宋体" w:cs="宋体"/>
          <w:b/>
          <w:color w:val="auto"/>
          <w:szCs w:val="24"/>
          <w:highlight w:val="none"/>
        </w:rPr>
      </w:pPr>
    </w:p>
    <w:p w14:paraId="5F087B59">
      <w:pPr>
        <w:spacing w:after="120"/>
        <w:rPr>
          <w:rFonts w:hAnsi="宋体" w:cs="宋体"/>
          <w:b/>
          <w:color w:val="auto"/>
          <w:szCs w:val="24"/>
          <w:highlight w:val="none"/>
        </w:rPr>
      </w:pPr>
    </w:p>
    <w:p w14:paraId="0CD675B3">
      <w:pPr>
        <w:spacing w:after="120"/>
        <w:rPr>
          <w:rFonts w:hAnsi="宋体" w:cs="宋体"/>
          <w:b/>
          <w:color w:val="auto"/>
          <w:szCs w:val="24"/>
          <w:highlight w:val="none"/>
        </w:rPr>
      </w:pPr>
    </w:p>
    <w:p w14:paraId="57C75A05">
      <w:pPr>
        <w:spacing w:after="120"/>
        <w:rPr>
          <w:rFonts w:hAnsi="宋体" w:cs="宋体"/>
          <w:b/>
          <w:color w:val="auto"/>
          <w:szCs w:val="24"/>
          <w:highlight w:val="none"/>
        </w:rPr>
      </w:pPr>
    </w:p>
    <w:p w14:paraId="37ECDC8C">
      <w:pPr>
        <w:rPr>
          <w:rFonts w:hAnsi="宋体" w:cs="宋体"/>
          <w:b/>
          <w:color w:val="auto"/>
          <w:szCs w:val="24"/>
          <w:highlight w:val="none"/>
        </w:rPr>
      </w:pPr>
      <w:r>
        <w:rPr>
          <w:rFonts w:hint="eastAsia" w:hAnsi="宋体" w:cs="宋体"/>
          <w:b/>
          <w:color w:val="auto"/>
          <w:szCs w:val="24"/>
          <w:highlight w:val="none"/>
        </w:rPr>
        <w:br w:type="page"/>
      </w:r>
      <w:bookmarkStart w:id="250" w:name="_Toc2621"/>
      <w:bookmarkStart w:id="251" w:name="_Toc21284"/>
      <w:bookmarkStart w:id="252" w:name="_Toc23455"/>
      <w:bookmarkStart w:id="253" w:name="_Toc9218"/>
      <w:bookmarkStart w:id="254" w:name="_Toc1379"/>
      <w:bookmarkStart w:id="255" w:name="_Toc15265"/>
      <w:bookmarkStart w:id="256" w:name="_Toc8845"/>
      <w:bookmarkStart w:id="257" w:name="_Toc5662"/>
    </w:p>
    <w:p w14:paraId="1BC0BABE">
      <w:pPr>
        <w:spacing w:line="360" w:lineRule="auto"/>
        <w:rPr>
          <w:rFonts w:hAnsi="宋体" w:cs="宋体"/>
          <w:b/>
          <w:bCs/>
          <w:color w:val="auto"/>
          <w:sz w:val="30"/>
          <w:szCs w:val="30"/>
          <w:highlight w:val="none"/>
        </w:rPr>
      </w:pPr>
      <w:bookmarkStart w:id="258" w:name="_Toc3626"/>
      <w:bookmarkStart w:id="259" w:name="_Toc4503"/>
      <w:bookmarkStart w:id="260" w:name="_Toc31151"/>
      <w:r>
        <w:rPr>
          <w:rFonts w:hint="eastAsia" w:hAnsi="宋体" w:cs="宋体"/>
          <w:b/>
          <w:bCs/>
          <w:color w:val="auto"/>
          <w:sz w:val="30"/>
          <w:szCs w:val="30"/>
          <w:highlight w:val="none"/>
        </w:rPr>
        <w:t>附件1：</w:t>
      </w:r>
    </w:p>
    <w:p w14:paraId="381877C5">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2"/>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15F698C7">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AB37AD">
            <w:pPr>
              <w:pStyle w:val="34"/>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429D1D1">
            <w:pPr>
              <w:pStyle w:val="34"/>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0CFDFF5">
            <w:pPr>
              <w:pStyle w:val="34"/>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3972385">
            <w:pPr>
              <w:pStyle w:val="34"/>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F92ABB">
            <w:pPr>
              <w:pStyle w:val="34"/>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A0921D6">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4B01B7F4">
            <w:pPr>
              <w:pStyle w:val="34"/>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FAD076">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3341765F">
            <w:pPr>
              <w:pStyle w:val="34"/>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2DDC851">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5B993F1D">
            <w:pPr>
              <w:pStyle w:val="34"/>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FCDA4A">
            <w:pPr>
              <w:pStyle w:val="34"/>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A2B4108">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67BE3272">
            <w:pPr>
              <w:pStyle w:val="34"/>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18DCDFAF">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BE5EEC4">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1FE776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9D3B1A6">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5EE9CB9">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4821211">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962F0C0">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5E76470E">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EC1E01">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2C205A1">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86270A1">
            <w:pPr>
              <w:pStyle w:val="34"/>
              <w:spacing w:line="360" w:lineRule="auto"/>
              <w:ind w:left="0" w:leftChars="0" w:firstLine="480" w:firstLineChars="200"/>
              <w:jc w:val="both"/>
              <w:rPr>
                <w:rFonts w:hAnsi="宋体" w:cs="宋体"/>
                <w:color w:val="auto"/>
                <w:highlight w:val="none"/>
              </w:rPr>
            </w:pPr>
          </w:p>
        </w:tc>
      </w:tr>
      <w:tr w14:paraId="5D372C81">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840F39E">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E39FF75">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1C1DBD2">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68EEC1E">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B8BFCE1">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3717AA6">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C164F89">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2197EAB">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7CCC57C">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132D27C">
            <w:pPr>
              <w:pStyle w:val="34"/>
              <w:spacing w:line="360" w:lineRule="auto"/>
              <w:ind w:left="0" w:leftChars="0" w:firstLine="480" w:firstLineChars="200"/>
              <w:jc w:val="both"/>
              <w:rPr>
                <w:rFonts w:hAnsi="宋体" w:cs="宋体"/>
                <w:color w:val="auto"/>
                <w:highlight w:val="none"/>
              </w:rPr>
            </w:pPr>
          </w:p>
        </w:tc>
      </w:tr>
      <w:tr w14:paraId="4B1F18C2">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B17E7E1">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96C79F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4B54725">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EE59B9A">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62C1A50">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7E7A4AA">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64FC84BC">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0FD01C2">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475032E">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EA5CDD">
            <w:pPr>
              <w:pStyle w:val="34"/>
              <w:spacing w:line="360" w:lineRule="auto"/>
              <w:ind w:left="0" w:leftChars="0" w:firstLine="480" w:firstLineChars="200"/>
              <w:jc w:val="both"/>
              <w:rPr>
                <w:rFonts w:hAnsi="宋体" w:cs="宋体"/>
                <w:color w:val="auto"/>
                <w:highlight w:val="none"/>
              </w:rPr>
            </w:pPr>
          </w:p>
        </w:tc>
      </w:tr>
      <w:tr w14:paraId="686149E4">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922B633">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FA5B2F6">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507DD73">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F92862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56D9A55">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6C3EDD6">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48E829FD">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1DA5EDC">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F256B5E">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4920BB8">
            <w:pPr>
              <w:pStyle w:val="34"/>
              <w:spacing w:line="360" w:lineRule="auto"/>
              <w:ind w:left="0" w:leftChars="0" w:firstLine="480" w:firstLineChars="200"/>
              <w:jc w:val="both"/>
              <w:rPr>
                <w:rFonts w:hAnsi="宋体" w:cs="宋体"/>
                <w:color w:val="auto"/>
                <w:highlight w:val="none"/>
              </w:rPr>
            </w:pPr>
          </w:p>
        </w:tc>
      </w:tr>
      <w:tr w14:paraId="008CFE28">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EADFF72">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F3739CD">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651CB95">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86D85CB">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6059986">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83F574F">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AF66FAF">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195E703">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F8D537A">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EA08536">
            <w:pPr>
              <w:pStyle w:val="34"/>
              <w:spacing w:line="360" w:lineRule="auto"/>
              <w:ind w:left="0" w:leftChars="0" w:firstLine="480" w:firstLineChars="200"/>
              <w:jc w:val="both"/>
              <w:rPr>
                <w:rFonts w:hAnsi="宋体" w:cs="宋体"/>
                <w:color w:val="auto"/>
                <w:highlight w:val="none"/>
              </w:rPr>
            </w:pPr>
          </w:p>
        </w:tc>
      </w:tr>
      <w:tr w14:paraId="2870E7DF">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7CEE9D8">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20AED38">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25673D">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92632D8">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9C70175">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CD91EE9">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73B14999">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A8AD470">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30F031C">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9DEC3BE">
            <w:pPr>
              <w:pStyle w:val="34"/>
              <w:spacing w:line="360" w:lineRule="auto"/>
              <w:ind w:left="0" w:leftChars="0" w:firstLine="480" w:firstLineChars="200"/>
              <w:jc w:val="both"/>
              <w:rPr>
                <w:rFonts w:hAnsi="宋体" w:cs="宋体"/>
                <w:color w:val="auto"/>
                <w:highlight w:val="none"/>
              </w:rPr>
            </w:pPr>
          </w:p>
        </w:tc>
      </w:tr>
    </w:tbl>
    <w:p w14:paraId="218BE14C">
      <w:pPr>
        <w:rPr>
          <w:rFonts w:hint="eastAsia" w:hAnsi="宋体" w:cs="宋体"/>
          <w:b/>
          <w:bCs/>
          <w:color w:val="auto"/>
          <w:sz w:val="32"/>
          <w:szCs w:val="32"/>
          <w:highlight w:val="none"/>
        </w:rPr>
      </w:pPr>
    </w:p>
    <w:p w14:paraId="3DD34B62">
      <w:pPr>
        <w:rPr>
          <w:rFonts w:hint="eastAsia" w:hAnsi="宋体" w:cs="宋体"/>
          <w:b/>
          <w:bCs/>
          <w:color w:val="auto"/>
          <w:sz w:val="32"/>
          <w:szCs w:val="32"/>
          <w:highlight w:val="none"/>
        </w:rPr>
      </w:pPr>
      <w:r>
        <w:rPr>
          <w:rFonts w:hint="eastAsia" w:hAnsi="宋体" w:cs="宋体"/>
          <w:b/>
          <w:bCs/>
          <w:color w:val="auto"/>
          <w:sz w:val="32"/>
          <w:szCs w:val="32"/>
          <w:highlight w:val="none"/>
        </w:rPr>
        <w:br w:type="page"/>
      </w:r>
    </w:p>
    <w:p w14:paraId="28105388">
      <w:pPr>
        <w:ind w:firstLine="161" w:firstLineChars="50"/>
        <w:jc w:val="center"/>
        <w:outlineLvl w:val="1"/>
        <w:rPr>
          <w:rFonts w:hAnsi="宋体" w:cs="宋体"/>
          <w:color w:val="auto"/>
          <w:sz w:val="32"/>
          <w:szCs w:val="32"/>
          <w:highlight w:val="none"/>
        </w:rPr>
      </w:pPr>
      <w:bookmarkStart w:id="261" w:name="_Toc222"/>
      <w:r>
        <w:rPr>
          <w:rFonts w:hint="eastAsia" w:hAnsi="宋体" w:cs="宋体"/>
          <w:b/>
          <w:bCs/>
          <w:color w:val="auto"/>
          <w:sz w:val="32"/>
          <w:szCs w:val="32"/>
          <w:highlight w:val="none"/>
        </w:rPr>
        <w:t>四、</w:t>
      </w:r>
      <w:bookmarkEnd w:id="250"/>
      <w:bookmarkEnd w:id="251"/>
      <w:bookmarkEnd w:id="252"/>
      <w:bookmarkEnd w:id="253"/>
      <w:bookmarkEnd w:id="254"/>
      <w:r>
        <w:rPr>
          <w:rFonts w:hint="eastAsia" w:hAnsi="宋体" w:cs="宋体"/>
          <w:b/>
          <w:bCs/>
          <w:color w:val="auto"/>
          <w:sz w:val="32"/>
          <w:szCs w:val="32"/>
          <w:highlight w:val="none"/>
        </w:rPr>
        <w:t>商务条款偏离表</w:t>
      </w:r>
      <w:bookmarkEnd w:id="255"/>
      <w:bookmarkEnd w:id="256"/>
      <w:bookmarkEnd w:id="257"/>
      <w:bookmarkEnd w:id="258"/>
      <w:bookmarkEnd w:id="259"/>
      <w:bookmarkEnd w:id="260"/>
      <w:bookmarkEnd w:id="261"/>
    </w:p>
    <w:p w14:paraId="00CD009E">
      <w:pPr>
        <w:pStyle w:val="19"/>
        <w:widowControl w:val="0"/>
        <w:spacing w:before="0" w:beforeAutospacing="0" w:after="0" w:afterAutospacing="0"/>
        <w:jc w:val="both"/>
        <w:rPr>
          <w:rFonts w:cs="宋体"/>
          <w:color w:val="auto"/>
          <w:highlight w:val="none"/>
        </w:rPr>
      </w:pPr>
    </w:p>
    <w:p w14:paraId="603AD5ED">
      <w:pPr>
        <w:pStyle w:val="19"/>
        <w:widowControl w:val="0"/>
        <w:spacing w:beforeLines="50" w:beforeAutospacing="0" w:afterLines="50" w:afterAutospacing="0"/>
        <w:rPr>
          <w:rFonts w:cs="宋体"/>
          <w:color w:val="auto"/>
          <w:highlight w:val="none"/>
        </w:rPr>
      </w:pPr>
      <w:r>
        <w:rPr>
          <w:rFonts w:hint="eastAsia" w:cs="宋体"/>
          <w:color w:val="auto"/>
          <w:highlight w:val="none"/>
        </w:rPr>
        <w:t>项目编号：</w:t>
      </w:r>
    </w:p>
    <w:p w14:paraId="75EE74AF">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p>
    <w:p w14:paraId="46DA7121">
      <w:pPr>
        <w:pStyle w:val="19"/>
        <w:widowControl w:val="0"/>
        <w:spacing w:before="0" w:beforeAutospacing="0" w:after="0" w:afterAutospacing="0"/>
        <w:ind w:firstLine="480" w:firstLineChars="200"/>
        <w:jc w:val="center"/>
        <w:rPr>
          <w:rFonts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16C7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89B253B">
            <w:pPr>
              <w:pStyle w:val="19"/>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4B77FBE">
            <w:pPr>
              <w:pStyle w:val="19"/>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5DA4E97D">
            <w:pPr>
              <w:pStyle w:val="19"/>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72F3A1BC">
            <w:pPr>
              <w:pStyle w:val="19"/>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690C170C">
            <w:pPr>
              <w:pStyle w:val="19"/>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7779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15EBAF4">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A8B0D51">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4D619F8">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0A74842">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E92A4EC">
            <w:pPr>
              <w:pStyle w:val="19"/>
              <w:widowControl w:val="0"/>
              <w:spacing w:before="0" w:beforeAutospacing="0" w:after="0" w:afterAutospacing="0"/>
              <w:ind w:firstLine="480" w:firstLineChars="200"/>
              <w:jc w:val="center"/>
              <w:rPr>
                <w:rFonts w:cs="宋体"/>
                <w:color w:val="auto"/>
                <w:highlight w:val="none"/>
              </w:rPr>
            </w:pPr>
          </w:p>
        </w:tc>
      </w:tr>
      <w:tr w14:paraId="03AA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7177AF">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27D855C">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F6C23DE">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B5B2979">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3FFED6">
            <w:pPr>
              <w:pStyle w:val="19"/>
              <w:widowControl w:val="0"/>
              <w:spacing w:before="0" w:beforeAutospacing="0" w:after="0" w:afterAutospacing="0"/>
              <w:ind w:firstLine="480" w:firstLineChars="200"/>
              <w:jc w:val="center"/>
              <w:rPr>
                <w:rFonts w:cs="宋体"/>
                <w:color w:val="auto"/>
                <w:highlight w:val="none"/>
              </w:rPr>
            </w:pPr>
          </w:p>
        </w:tc>
      </w:tr>
      <w:tr w14:paraId="14D6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E839A8">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FD4BA69">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5D07D04">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7CA9CB2">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CCF10EA">
            <w:pPr>
              <w:pStyle w:val="19"/>
              <w:widowControl w:val="0"/>
              <w:spacing w:before="0" w:beforeAutospacing="0" w:after="0" w:afterAutospacing="0"/>
              <w:ind w:firstLine="480" w:firstLineChars="200"/>
              <w:jc w:val="center"/>
              <w:rPr>
                <w:rFonts w:cs="宋体"/>
                <w:color w:val="auto"/>
                <w:highlight w:val="none"/>
              </w:rPr>
            </w:pPr>
          </w:p>
        </w:tc>
      </w:tr>
      <w:tr w14:paraId="24D7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B2438BF">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13F5582">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9FA7DC2">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292ED48">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2C27416">
            <w:pPr>
              <w:pStyle w:val="19"/>
              <w:widowControl w:val="0"/>
              <w:spacing w:before="0" w:beforeAutospacing="0" w:after="0" w:afterAutospacing="0"/>
              <w:ind w:firstLine="480" w:firstLineChars="200"/>
              <w:jc w:val="center"/>
              <w:rPr>
                <w:rFonts w:cs="宋体"/>
                <w:color w:val="auto"/>
                <w:highlight w:val="none"/>
              </w:rPr>
            </w:pPr>
          </w:p>
        </w:tc>
      </w:tr>
      <w:tr w14:paraId="2F75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612CF51">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ABF2323">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47CEEFE5">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F3D6043">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2EDEF0D">
            <w:pPr>
              <w:pStyle w:val="19"/>
              <w:widowControl w:val="0"/>
              <w:spacing w:before="0" w:beforeAutospacing="0" w:after="0" w:afterAutospacing="0"/>
              <w:ind w:firstLine="480" w:firstLineChars="200"/>
              <w:jc w:val="center"/>
              <w:rPr>
                <w:rFonts w:cs="宋体"/>
                <w:color w:val="auto"/>
                <w:highlight w:val="none"/>
              </w:rPr>
            </w:pPr>
          </w:p>
        </w:tc>
      </w:tr>
      <w:tr w14:paraId="3E72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506521F">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81B1047">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727E16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84EF544">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1F669E8">
            <w:pPr>
              <w:pStyle w:val="19"/>
              <w:widowControl w:val="0"/>
              <w:spacing w:before="0" w:beforeAutospacing="0" w:after="0" w:afterAutospacing="0"/>
              <w:ind w:firstLine="480" w:firstLineChars="200"/>
              <w:jc w:val="center"/>
              <w:rPr>
                <w:rFonts w:cs="宋体"/>
                <w:color w:val="auto"/>
                <w:highlight w:val="none"/>
              </w:rPr>
            </w:pPr>
          </w:p>
        </w:tc>
      </w:tr>
      <w:tr w14:paraId="73EE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255263E">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F635158">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FC1A943">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C725838">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2DBD9B1">
            <w:pPr>
              <w:pStyle w:val="19"/>
              <w:widowControl w:val="0"/>
              <w:spacing w:before="0" w:beforeAutospacing="0" w:after="0" w:afterAutospacing="0"/>
              <w:ind w:firstLine="480" w:firstLineChars="200"/>
              <w:jc w:val="center"/>
              <w:rPr>
                <w:rFonts w:cs="宋体"/>
                <w:color w:val="auto"/>
                <w:highlight w:val="none"/>
              </w:rPr>
            </w:pPr>
          </w:p>
        </w:tc>
      </w:tr>
    </w:tbl>
    <w:p w14:paraId="7E9C7EDD">
      <w:pPr>
        <w:pStyle w:val="19"/>
        <w:widowControl w:val="0"/>
        <w:spacing w:before="0" w:beforeAutospacing="0" w:after="0" w:afterAutospacing="0"/>
        <w:rPr>
          <w:rFonts w:cs="宋体"/>
          <w:color w:val="auto"/>
          <w:highlight w:val="none"/>
        </w:rPr>
      </w:pPr>
      <w:r>
        <w:rPr>
          <w:rFonts w:hint="eastAsia" w:cs="宋体"/>
          <w:color w:val="auto"/>
          <w:highlight w:val="none"/>
        </w:rPr>
        <w:t>说明：</w:t>
      </w:r>
    </w:p>
    <w:p w14:paraId="76F0FF94">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14:paraId="401981BD">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6EF5F27B">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2.供应商必须据实填写，不得虚假响应，否则将取消其磋商或成交资格，并按有关规定进行处罚。</w:t>
      </w:r>
    </w:p>
    <w:p w14:paraId="125E8262">
      <w:pPr>
        <w:pStyle w:val="19"/>
        <w:widowControl w:val="0"/>
        <w:spacing w:before="0" w:beforeAutospacing="0" w:after="0" w:afterAutospacing="0"/>
        <w:ind w:firstLine="480" w:firstLineChars="200"/>
        <w:jc w:val="center"/>
        <w:rPr>
          <w:rFonts w:cs="宋体"/>
          <w:color w:val="auto"/>
          <w:highlight w:val="none"/>
        </w:rPr>
      </w:pPr>
    </w:p>
    <w:p w14:paraId="53AC22BC">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6105F469">
      <w:pPr>
        <w:pStyle w:val="19"/>
        <w:widowControl w:val="0"/>
        <w:spacing w:before="0" w:beforeAutospacing="0" w:after="0" w:afterAutospacing="0"/>
        <w:ind w:firstLine="480" w:firstLineChars="200"/>
        <w:jc w:val="center"/>
        <w:rPr>
          <w:rFonts w:cs="宋体"/>
          <w:color w:val="auto"/>
          <w:highlight w:val="none"/>
        </w:rPr>
      </w:pPr>
    </w:p>
    <w:p w14:paraId="268779F9">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（签字或盖章） </w:t>
      </w:r>
    </w:p>
    <w:p w14:paraId="762F3A9F">
      <w:pPr>
        <w:spacing w:line="360" w:lineRule="auto"/>
        <w:ind w:left="600" w:leftChars="250"/>
        <w:rPr>
          <w:rFonts w:hAnsi="宋体" w:cs="宋体"/>
          <w:b/>
          <w:bCs/>
          <w:color w:val="auto"/>
          <w:sz w:val="28"/>
          <w:szCs w:val="28"/>
          <w:highlight w:val="none"/>
        </w:rPr>
      </w:pPr>
    </w:p>
    <w:p w14:paraId="63729402">
      <w:pPr>
        <w:spacing w:line="440" w:lineRule="exact"/>
        <w:ind w:left="3725" w:leftChars="1552"/>
        <w:rPr>
          <w:rFonts w:hAnsi="宋体" w:cs="宋体"/>
          <w:color w:val="auto"/>
          <w:szCs w:val="24"/>
          <w:highlight w:val="none"/>
        </w:rPr>
      </w:pPr>
    </w:p>
    <w:p w14:paraId="1B0650BC">
      <w:pPr>
        <w:spacing w:line="440" w:lineRule="exact"/>
        <w:ind w:left="3725" w:leftChars="1552"/>
        <w:rPr>
          <w:rFonts w:hAnsi="宋体" w:cs="宋体"/>
          <w:color w:val="auto"/>
          <w:szCs w:val="24"/>
          <w:highlight w:val="none"/>
        </w:rPr>
      </w:pPr>
    </w:p>
    <w:p w14:paraId="19395A7D">
      <w:pPr>
        <w:spacing w:line="440" w:lineRule="exact"/>
        <w:ind w:left="3725" w:leftChars="1552"/>
        <w:rPr>
          <w:rFonts w:hAnsi="宋体" w:cs="宋体"/>
          <w:color w:val="auto"/>
          <w:szCs w:val="24"/>
          <w:highlight w:val="none"/>
        </w:rPr>
      </w:pPr>
    </w:p>
    <w:bookmarkEnd w:id="242"/>
    <w:p w14:paraId="4C805AEE">
      <w:pPr>
        <w:spacing w:line="360" w:lineRule="auto"/>
        <w:jc w:val="center"/>
        <w:outlineLvl w:val="1"/>
        <w:rPr>
          <w:rFonts w:hAnsi="宋体" w:cs="宋体"/>
          <w:b/>
          <w:bCs/>
          <w:color w:val="auto"/>
          <w:sz w:val="30"/>
          <w:szCs w:val="30"/>
          <w:highlight w:val="none"/>
        </w:rPr>
      </w:pPr>
      <w:bookmarkStart w:id="262" w:name="_Toc403077656"/>
      <w:bookmarkStart w:id="263" w:name="_Toc363474033"/>
      <w:r>
        <w:rPr>
          <w:rFonts w:hint="eastAsia" w:hAnsi="宋体" w:cs="宋体"/>
          <w:b/>
          <w:bCs/>
          <w:color w:val="auto"/>
          <w:sz w:val="30"/>
          <w:szCs w:val="30"/>
          <w:highlight w:val="none"/>
        </w:rPr>
        <w:br w:type="page"/>
      </w:r>
      <w:bookmarkStart w:id="264" w:name="_Toc29307"/>
      <w:bookmarkStart w:id="265" w:name="_Toc3253"/>
      <w:bookmarkStart w:id="266" w:name="_Toc11212"/>
      <w:bookmarkStart w:id="267" w:name="_Toc7544"/>
      <w:bookmarkStart w:id="268" w:name="_Toc3386"/>
      <w:bookmarkStart w:id="269" w:name="_Toc27470"/>
      <w:bookmarkStart w:id="270" w:name="_Toc1542"/>
      <w:r>
        <w:rPr>
          <w:rFonts w:hint="eastAsia" w:hAnsi="宋体" w:cs="宋体"/>
          <w:b/>
          <w:bCs/>
          <w:color w:val="auto"/>
          <w:sz w:val="30"/>
          <w:szCs w:val="30"/>
          <w:highlight w:val="none"/>
        </w:rPr>
        <w:t>五、陕西省政府采购供应商拒绝政府采购领域商业贿赂承诺书</w:t>
      </w:r>
      <w:bookmarkEnd w:id="262"/>
      <w:bookmarkEnd w:id="263"/>
      <w:bookmarkEnd w:id="264"/>
      <w:bookmarkEnd w:id="265"/>
      <w:bookmarkEnd w:id="266"/>
      <w:bookmarkEnd w:id="267"/>
      <w:bookmarkEnd w:id="268"/>
      <w:bookmarkEnd w:id="269"/>
      <w:bookmarkEnd w:id="270"/>
    </w:p>
    <w:p w14:paraId="46BF1203">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288893D0">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4F9B948E">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02CDD103">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13DFA530">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4、不采取“围标、陪标”等商业欺诈手段获得政府采购订单。</w:t>
      </w:r>
    </w:p>
    <w:p w14:paraId="542F8D1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02395548">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3C3AE43B">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7、不与采购人、采购代理机构政府采购评审专家或其他供应商恶意串通，进行质疑和投诉，维护政府采购市场秩序。</w:t>
      </w:r>
    </w:p>
    <w:p w14:paraId="08AB2A93">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7426EF02">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2938915A">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4F029D59">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14:paraId="048383C6">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320D6125">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59D6432E">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7E0EE174">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2C308E03">
      <w:pPr>
        <w:jc w:val="center"/>
        <w:outlineLvl w:val="1"/>
        <w:rPr>
          <w:rFonts w:hAnsi="宋体" w:cs="宋体"/>
          <w:color w:val="auto"/>
          <w:highlight w:val="none"/>
          <w:shd w:val="clear" w:color="auto" w:fill="FFFFFF"/>
        </w:rPr>
      </w:pPr>
      <w:bookmarkStart w:id="271" w:name="_Toc403077657"/>
      <w:bookmarkStart w:id="272" w:name="_Toc363474034"/>
      <w:r>
        <w:rPr>
          <w:rFonts w:hint="eastAsia" w:hAnsi="宋体" w:cs="宋体"/>
          <w:b/>
          <w:bCs/>
          <w:color w:val="auto"/>
          <w:sz w:val="30"/>
          <w:szCs w:val="30"/>
          <w:highlight w:val="none"/>
        </w:rPr>
        <w:br w:type="page"/>
      </w:r>
      <w:bookmarkStart w:id="273" w:name="_Toc6077"/>
      <w:bookmarkStart w:id="274" w:name="_Toc6273"/>
      <w:bookmarkStart w:id="275" w:name="_Toc13983"/>
      <w:bookmarkStart w:id="276" w:name="_Toc29285"/>
      <w:bookmarkStart w:id="277" w:name="_Toc8313"/>
      <w:bookmarkStart w:id="278" w:name="_Toc32016"/>
      <w:bookmarkStart w:id="279" w:name="_Toc7842"/>
      <w:r>
        <w:rPr>
          <w:rFonts w:hint="eastAsia" w:hAnsi="宋体" w:cs="宋体"/>
          <w:b/>
          <w:bCs/>
          <w:color w:val="auto"/>
          <w:sz w:val="30"/>
          <w:szCs w:val="30"/>
          <w:highlight w:val="none"/>
        </w:rPr>
        <w:t>六、特定资格证明文件</w:t>
      </w:r>
      <w:bookmarkEnd w:id="271"/>
      <w:bookmarkEnd w:id="272"/>
      <w:bookmarkEnd w:id="273"/>
      <w:bookmarkEnd w:id="274"/>
      <w:bookmarkEnd w:id="275"/>
      <w:bookmarkEnd w:id="276"/>
      <w:bookmarkEnd w:id="277"/>
      <w:bookmarkEnd w:id="278"/>
      <w:bookmarkEnd w:id="279"/>
    </w:p>
    <w:p w14:paraId="35835BF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（1）提供合格有效的法人或者其他组织的营业执照等证明文件，自然人的身份证明；</w:t>
      </w:r>
    </w:p>
    <w:p w14:paraId="7E4C2CE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（2）提供法定代表人授权书（附法定代表人、被授权人身份证复印件），法定代表人直接参加的，须提供法定代表人身份证明及身份证复印件；</w:t>
      </w:r>
    </w:p>
    <w:p w14:paraId="0D99DF4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财务状况：提供递交磋商响应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5389DF9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（4）税收缴纳证明：提供递交磋商响应文件截止日前一年内已缴纳的至少一个月的纳税证明或完税证明（任意税种），依法免税的单位应提供相关证明材料；</w:t>
      </w:r>
    </w:p>
    <w:p w14:paraId="46520E4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社会保障资金缴纳证明：提供递交磋商响应文件截止日前一年内已缴存的至少一个月的社会保障资金缴存单据或社保机构开具的社会保险参保缴费情况证明，依法不需要缴纳社会保障资金的单位应提供相关证明材料；</w:t>
      </w:r>
    </w:p>
    <w:p w14:paraId="54D779F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31A7E84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（7）参加政府采购活动前3年内，在经营活动中没有重大违法记录的书面声明；</w:t>
      </w:r>
    </w:p>
    <w:p w14:paraId="21E7B1A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（8）提供具有履行合同所必需的设备和专业技术能力的书面承诺；</w:t>
      </w:r>
    </w:p>
    <w:p w14:paraId="2DBE1C9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（9）控股管理关系：提供直接控股和管理关系清单。若与其他供应商存在单位负责人为同一人或者存在直接控股、管理关系的，则投标无效；</w:t>
      </w:r>
    </w:p>
    <w:p w14:paraId="6FA0A37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（10）供应商须提供中小企业声明函；</w:t>
      </w:r>
    </w:p>
    <w:p w14:paraId="03EB09A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（11）本项目不接受联合体磋商（提供承诺书）。</w:t>
      </w:r>
    </w:p>
    <w:p w14:paraId="77195878">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br w:type="page"/>
      </w:r>
    </w:p>
    <w:p w14:paraId="1C524A94">
      <w:pPr>
        <w:jc w:val="center"/>
        <w:outlineLvl w:val="1"/>
        <w:rPr>
          <w:rFonts w:hAnsi="宋体" w:cs="宋体"/>
          <w:b/>
          <w:bCs/>
          <w:color w:val="auto"/>
          <w:sz w:val="30"/>
          <w:szCs w:val="30"/>
          <w:highlight w:val="none"/>
        </w:rPr>
      </w:pPr>
      <w:bookmarkStart w:id="280" w:name="_Toc12717"/>
      <w:bookmarkStart w:id="281" w:name="_Toc24739"/>
      <w:bookmarkStart w:id="282" w:name="_Toc6059"/>
      <w:bookmarkStart w:id="283" w:name="_Toc6853"/>
      <w:bookmarkStart w:id="284" w:name="_Toc19114"/>
      <w:bookmarkStart w:id="285" w:name="_Toc23859"/>
      <w:bookmarkStart w:id="286" w:name="_Toc22315"/>
      <w:r>
        <w:rPr>
          <w:rFonts w:hint="eastAsia" w:hAnsi="宋体" w:cs="宋体"/>
          <w:b/>
          <w:bCs/>
          <w:color w:val="auto"/>
          <w:sz w:val="30"/>
          <w:szCs w:val="30"/>
          <w:highlight w:val="none"/>
        </w:rPr>
        <w:t>七、其它</w:t>
      </w:r>
      <w:bookmarkEnd w:id="280"/>
      <w:bookmarkEnd w:id="281"/>
      <w:bookmarkEnd w:id="282"/>
      <w:bookmarkEnd w:id="283"/>
      <w:bookmarkEnd w:id="284"/>
      <w:bookmarkEnd w:id="285"/>
      <w:bookmarkEnd w:id="286"/>
    </w:p>
    <w:p w14:paraId="27205AB4">
      <w:pPr>
        <w:pStyle w:val="9"/>
        <w:ind w:left="0" w:leftChars="0" w:firstLine="0" w:firstLineChars="0"/>
        <w:rPr>
          <w:color w:val="auto"/>
          <w:highlight w:val="none"/>
        </w:rPr>
      </w:pPr>
      <w:r>
        <w:rPr>
          <w:rFonts w:hint="eastAsia"/>
          <w:color w:val="auto"/>
          <w:highlight w:val="none"/>
        </w:rPr>
        <w:t>1、依据竞争性磋商文件要求，供应商认为有必要说明的其他内容</w:t>
      </w:r>
    </w:p>
    <w:p w14:paraId="0A4EE065">
      <w:pPr>
        <w:pStyle w:val="9"/>
        <w:ind w:left="0" w:leftChars="0" w:firstLine="0" w:firstLineChars="0"/>
        <w:rPr>
          <w:color w:val="auto"/>
          <w:highlight w:val="none"/>
        </w:rPr>
      </w:pPr>
      <w:r>
        <w:rPr>
          <w:rFonts w:hint="eastAsia"/>
          <w:color w:val="auto"/>
          <w:highlight w:val="none"/>
        </w:rPr>
        <w:t>2、其他可以证明供应商实力的文件。</w:t>
      </w:r>
    </w:p>
    <w:p w14:paraId="15EC6431">
      <w:pPr>
        <w:spacing w:beforeLines="50" w:afterLines="50" w:line="500" w:lineRule="exact"/>
        <w:outlineLvl w:val="2"/>
        <w:rPr>
          <w:rFonts w:hAnsi="宋体" w:cs="宋体"/>
          <w:b/>
          <w:color w:val="auto"/>
          <w:sz w:val="28"/>
          <w:szCs w:val="28"/>
          <w:highlight w:val="none"/>
        </w:rPr>
      </w:pPr>
      <w:r>
        <w:rPr>
          <w:rFonts w:hint="eastAsia" w:hAnsi="宋体" w:cs="宋体"/>
          <w:color w:val="auto"/>
          <w:szCs w:val="24"/>
          <w:highlight w:val="none"/>
        </w:rPr>
        <w:br w:type="page"/>
      </w:r>
      <w:bookmarkStart w:id="287" w:name="_Toc20865"/>
      <w:bookmarkStart w:id="288" w:name="_Toc13906"/>
      <w:bookmarkStart w:id="289" w:name="_Toc17513"/>
      <w:bookmarkStart w:id="290" w:name="_Toc25119"/>
      <w:bookmarkStart w:id="291" w:name="_Toc29387"/>
      <w:bookmarkStart w:id="292" w:name="_Toc6055"/>
      <w:r>
        <w:rPr>
          <w:rFonts w:hint="eastAsia" w:hAnsi="宋体" w:cs="宋体"/>
          <w:b/>
          <w:color w:val="auto"/>
          <w:sz w:val="28"/>
          <w:szCs w:val="28"/>
          <w:highlight w:val="none"/>
        </w:rPr>
        <w:t>附件1：法定代表人身份证明/法定代表人授权书</w:t>
      </w:r>
      <w:bookmarkEnd w:id="287"/>
      <w:bookmarkEnd w:id="288"/>
      <w:bookmarkEnd w:id="289"/>
      <w:bookmarkEnd w:id="290"/>
      <w:bookmarkEnd w:id="291"/>
      <w:bookmarkEnd w:id="292"/>
    </w:p>
    <w:p w14:paraId="74E29F7F">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6EFA0F19">
      <w:pPr>
        <w:keepNext/>
        <w:spacing w:beforeLines="100"/>
        <w:jc w:val="center"/>
        <w:rPr>
          <w:rFonts w:hint="eastAsia" w:hAnsi="宋体" w:cs="宋体"/>
          <w:b/>
          <w:bCs/>
          <w:color w:val="auto"/>
          <w:sz w:val="32"/>
          <w:szCs w:val="32"/>
          <w:highlight w:val="none"/>
        </w:rPr>
      </w:pPr>
      <w:r>
        <w:rPr>
          <w:rFonts w:hint="eastAsia" w:hAnsi="宋体" w:cs="宋体"/>
          <w:b/>
          <w:bCs/>
          <w:color w:val="auto"/>
          <w:sz w:val="32"/>
          <w:szCs w:val="32"/>
          <w:highlight w:val="none"/>
        </w:rPr>
        <w:t>法定代表人身份证明</w:t>
      </w:r>
    </w:p>
    <w:p w14:paraId="6F757D8C">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p>
    <w:p w14:paraId="4B8B5877">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7D2AA7CD">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4B925AF6">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5ACBB358">
      <w:pPr>
        <w:autoSpaceDE w:val="0"/>
        <w:autoSpaceDN w:val="0"/>
        <w:adjustRightInd w:val="0"/>
        <w:snapToGrid w:val="0"/>
        <w:spacing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3C1999AF">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1F66B7A7">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特此证明。</w:t>
      </w:r>
    </w:p>
    <w:p w14:paraId="12A6F2CF">
      <w:pPr>
        <w:autoSpaceDE w:val="0"/>
        <w:autoSpaceDN w:val="0"/>
        <w:adjustRightInd w:val="0"/>
        <w:snapToGrid w:val="0"/>
        <w:spacing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12D3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449C0D28">
            <w:pPr>
              <w:snapToGrid w:val="0"/>
              <w:spacing w:line="480" w:lineRule="auto"/>
              <w:jc w:val="center"/>
              <w:rPr>
                <w:rFonts w:hAnsi="宋体" w:cs="宋体"/>
                <w:color w:val="auto"/>
                <w:szCs w:val="21"/>
                <w:highlight w:val="none"/>
              </w:rPr>
            </w:pPr>
          </w:p>
          <w:p w14:paraId="2757E8B5">
            <w:pPr>
              <w:snapToGrid w:val="0"/>
              <w:spacing w:line="480" w:lineRule="auto"/>
              <w:jc w:val="center"/>
              <w:rPr>
                <w:rFonts w:hAnsi="宋体" w:cs="宋体"/>
                <w:color w:val="auto"/>
                <w:szCs w:val="21"/>
                <w:highlight w:val="none"/>
              </w:rPr>
            </w:pPr>
          </w:p>
          <w:p w14:paraId="69329A58">
            <w:pPr>
              <w:autoSpaceDE w:val="0"/>
              <w:autoSpaceDN w:val="0"/>
              <w:adjustRightInd w:val="0"/>
              <w:snapToGrid w:val="0"/>
              <w:spacing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176C897C">
            <w:pPr>
              <w:pStyle w:val="9"/>
              <w:ind w:left="0" w:leftChars="0" w:firstLine="0" w:firstLineChars="0"/>
              <w:jc w:val="center"/>
              <w:rPr>
                <w:color w:val="auto"/>
                <w:highlight w:val="none"/>
              </w:rPr>
            </w:pPr>
            <w:r>
              <w:rPr>
                <w:rFonts w:hint="eastAsia"/>
                <w:color w:val="auto"/>
                <w:highlight w:val="none"/>
              </w:rPr>
              <w:t>（正反面）</w:t>
            </w:r>
          </w:p>
          <w:p w14:paraId="0E7211F1">
            <w:pPr>
              <w:snapToGrid w:val="0"/>
              <w:spacing w:line="480" w:lineRule="auto"/>
              <w:jc w:val="center"/>
              <w:rPr>
                <w:rFonts w:hAnsi="宋体" w:cs="宋体"/>
                <w:color w:val="auto"/>
                <w:szCs w:val="21"/>
                <w:highlight w:val="none"/>
              </w:rPr>
            </w:pPr>
          </w:p>
          <w:p w14:paraId="18385167">
            <w:pPr>
              <w:snapToGrid w:val="0"/>
              <w:spacing w:line="480" w:lineRule="auto"/>
              <w:jc w:val="center"/>
              <w:rPr>
                <w:rFonts w:hAnsi="宋体" w:cs="宋体"/>
                <w:color w:val="auto"/>
                <w:szCs w:val="21"/>
                <w:highlight w:val="none"/>
              </w:rPr>
            </w:pPr>
          </w:p>
        </w:tc>
      </w:tr>
    </w:tbl>
    <w:p w14:paraId="7C74F82F">
      <w:pPr>
        <w:snapToGrid w:val="0"/>
        <w:spacing w:line="480" w:lineRule="auto"/>
        <w:rPr>
          <w:rFonts w:hAnsi="宋体" w:cs="宋体"/>
          <w:color w:val="auto"/>
          <w:szCs w:val="21"/>
          <w:highlight w:val="none"/>
        </w:rPr>
      </w:pPr>
    </w:p>
    <w:p w14:paraId="716B7EB8">
      <w:pPr>
        <w:snapToGrid w:val="0"/>
        <w:rPr>
          <w:rFonts w:hAnsi="宋体" w:cs="宋体"/>
          <w:color w:val="auto"/>
          <w:szCs w:val="21"/>
          <w:highlight w:val="none"/>
        </w:rPr>
      </w:pPr>
    </w:p>
    <w:p w14:paraId="17A54F0A">
      <w:pPr>
        <w:snapToGrid w:val="0"/>
        <w:rPr>
          <w:rFonts w:hAnsi="宋体" w:cs="宋体"/>
          <w:color w:val="auto"/>
          <w:szCs w:val="21"/>
          <w:highlight w:val="none"/>
        </w:rPr>
      </w:pPr>
    </w:p>
    <w:p w14:paraId="7C72988F">
      <w:pPr>
        <w:snapToGrid w:val="0"/>
        <w:rPr>
          <w:rFonts w:hAnsi="宋体" w:cs="宋体"/>
          <w:color w:val="auto"/>
          <w:szCs w:val="21"/>
          <w:highlight w:val="none"/>
        </w:rPr>
      </w:pPr>
    </w:p>
    <w:p w14:paraId="37E195BC">
      <w:pPr>
        <w:snapToGrid w:val="0"/>
        <w:rPr>
          <w:rFonts w:hAnsi="宋体" w:cs="宋体"/>
          <w:color w:val="auto"/>
          <w:szCs w:val="21"/>
          <w:highlight w:val="none"/>
        </w:rPr>
      </w:pPr>
    </w:p>
    <w:p w14:paraId="1013C012">
      <w:pPr>
        <w:adjustRightInd w:val="0"/>
        <w:snapToGrid w:val="0"/>
        <w:spacing w:line="360" w:lineRule="auto"/>
        <w:rPr>
          <w:rFonts w:hAnsi="宋体" w:cs="宋体"/>
          <w:color w:val="auto"/>
          <w:highlight w:val="none"/>
        </w:rPr>
      </w:pPr>
    </w:p>
    <w:p w14:paraId="5A885CBE">
      <w:pPr>
        <w:adjustRightInd w:val="0"/>
        <w:snapToGrid w:val="0"/>
        <w:spacing w:line="360" w:lineRule="auto"/>
        <w:ind w:right="420"/>
        <w:rPr>
          <w:rFonts w:hAnsi="宋体" w:cs="宋体"/>
          <w:color w:val="auto"/>
          <w:highlight w:val="none"/>
        </w:rPr>
      </w:pPr>
    </w:p>
    <w:p w14:paraId="43A64407">
      <w:pPr>
        <w:adjustRightInd w:val="0"/>
        <w:snapToGrid w:val="0"/>
        <w:spacing w:line="360" w:lineRule="auto"/>
        <w:ind w:right="420"/>
        <w:rPr>
          <w:rFonts w:hAnsi="宋体" w:cs="宋体"/>
          <w:color w:val="auto"/>
          <w:highlight w:val="none"/>
        </w:rPr>
      </w:pPr>
    </w:p>
    <w:p w14:paraId="3C382684">
      <w:pPr>
        <w:adjustRightInd w:val="0"/>
        <w:snapToGrid w:val="0"/>
        <w:spacing w:line="360" w:lineRule="auto"/>
        <w:ind w:right="420"/>
        <w:rPr>
          <w:rFonts w:hAnsi="宋体" w:cs="宋体"/>
          <w:color w:val="auto"/>
          <w:highlight w:val="none"/>
        </w:rPr>
      </w:pPr>
    </w:p>
    <w:p w14:paraId="316B09A2">
      <w:pPr>
        <w:adjustRightInd w:val="0"/>
        <w:snapToGrid w:val="0"/>
        <w:spacing w:line="360" w:lineRule="auto"/>
        <w:ind w:right="420"/>
        <w:rPr>
          <w:rFonts w:hAnsi="宋体" w:cs="宋体"/>
          <w:color w:val="auto"/>
          <w:highlight w:val="none"/>
        </w:rPr>
      </w:pPr>
    </w:p>
    <w:p w14:paraId="1D79810F">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76FCA8DF">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19F96675">
      <w:pPr>
        <w:pStyle w:val="9"/>
        <w:rPr>
          <w:color w:val="auto"/>
          <w:highlight w:val="none"/>
        </w:rPr>
      </w:pPr>
    </w:p>
    <w:p w14:paraId="49F2265D">
      <w:pPr>
        <w:spacing w:line="360" w:lineRule="auto"/>
        <w:jc w:val="left"/>
        <w:rPr>
          <w:rFonts w:hAnsi="宋体" w:cs="宋体"/>
          <w:color w:val="auto"/>
          <w:spacing w:val="4"/>
          <w:szCs w:val="24"/>
          <w:highlight w:val="none"/>
        </w:rPr>
      </w:pPr>
    </w:p>
    <w:p w14:paraId="26F50788">
      <w:pPr>
        <w:keepNext/>
        <w:spacing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57755630">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70B3BF9C">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w:t>
      </w:r>
      <w:r>
        <w:rPr>
          <w:rFonts w:hint="eastAsia" w:asciiTheme="minorEastAsia" w:hAnsiTheme="minorEastAsia" w:eastAsiaTheme="minorEastAsia" w:cstheme="minorEastAsia"/>
          <w:spacing w:val="4"/>
          <w:szCs w:val="24"/>
          <w:highlight w:val="none"/>
          <w:u w:val="single"/>
        </w:rPr>
        <w:t>项目名称、项目编号</w:t>
      </w:r>
      <w:r>
        <w:rPr>
          <w:rFonts w:hint="eastAsia" w:hAnsi="宋体" w:cs="宋体"/>
          <w:color w:val="auto"/>
          <w:spacing w:val="4"/>
          <w:szCs w:val="24"/>
          <w:highlight w:val="none"/>
          <w:u w:val="single"/>
        </w:rPr>
        <w:t>）</w:t>
      </w:r>
      <w:r>
        <w:rPr>
          <w:rFonts w:hint="eastAsia" w:hAnsi="宋体" w:cs="宋体"/>
          <w:color w:val="auto"/>
          <w:spacing w:val="4"/>
          <w:szCs w:val="24"/>
          <w:highlight w:val="none"/>
        </w:rPr>
        <w:t>项目的磋商、签约等具体工作，并签署全部有关的文件、协议及合同。</w:t>
      </w:r>
    </w:p>
    <w:p w14:paraId="19D8D4D7">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1D5B9470">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0151AEF8">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4C84D44F">
      <w:pPr>
        <w:spacing w:line="360" w:lineRule="auto"/>
        <w:ind w:firstLine="496" w:firstLineChars="200"/>
        <w:jc w:val="left"/>
        <w:rPr>
          <w:rFonts w:hAnsi="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05BEC320">
        <w:tblPrEx>
          <w:tblCellMar>
            <w:top w:w="0" w:type="dxa"/>
            <w:left w:w="108" w:type="dxa"/>
            <w:bottom w:w="0" w:type="dxa"/>
            <w:right w:w="108" w:type="dxa"/>
          </w:tblCellMar>
        </w:tblPrEx>
        <w:trPr>
          <w:trHeight w:val="600" w:hRule="atLeast"/>
        </w:trPr>
        <w:tc>
          <w:tcPr>
            <w:tcW w:w="4200" w:type="dxa"/>
          </w:tcPr>
          <w:p w14:paraId="4E39C10A">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7AD782C6">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42578D21">
        <w:tblPrEx>
          <w:tblCellMar>
            <w:top w:w="0" w:type="dxa"/>
            <w:left w:w="108" w:type="dxa"/>
            <w:bottom w:w="0" w:type="dxa"/>
            <w:right w:w="108" w:type="dxa"/>
          </w:tblCellMar>
        </w:tblPrEx>
        <w:trPr>
          <w:trHeight w:val="600" w:hRule="atLeast"/>
        </w:trPr>
        <w:tc>
          <w:tcPr>
            <w:tcW w:w="4200" w:type="dxa"/>
          </w:tcPr>
          <w:p w14:paraId="676BAAFE">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11C69D6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2BF53777">
        <w:tblPrEx>
          <w:tblCellMar>
            <w:top w:w="0" w:type="dxa"/>
            <w:left w:w="108" w:type="dxa"/>
            <w:bottom w:w="0" w:type="dxa"/>
            <w:right w:w="108" w:type="dxa"/>
          </w:tblCellMar>
        </w:tblPrEx>
        <w:trPr>
          <w:trHeight w:val="600" w:hRule="atLeast"/>
        </w:trPr>
        <w:tc>
          <w:tcPr>
            <w:tcW w:w="4200" w:type="dxa"/>
          </w:tcPr>
          <w:p w14:paraId="7E7D99B1">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7023F311">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61E55E29">
        <w:tblPrEx>
          <w:tblCellMar>
            <w:top w:w="0" w:type="dxa"/>
            <w:left w:w="108" w:type="dxa"/>
            <w:bottom w:w="0" w:type="dxa"/>
            <w:right w:w="108" w:type="dxa"/>
          </w:tblCellMar>
        </w:tblPrEx>
        <w:trPr>
          <w:trHeight w:val="600" w:hRule="atLeast"/>
        </w:trPr>
        <w:tc>
          <w:tcPr>
            <w:tcW w:w="4200" w:type="dxa"/>
          </w:tcPr>
          <w:p w14:paraId="134C2518">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00698174">
            <w:pPr>
              <w:spacing w:line="360" w:lineRule="auto"/>
              <w:jc w:val="left"/>
              <w:rPr>
                <w:rFonts w:hAnsi="宋体" w:cs="宋体"/>
                <w:color w:val="auto"/>
                <w:spacing w:val="4"/>
                <w:szCs w:val="24"/>
                <w:highlight w:val="none"/>
              </w:rPr>
            </w:pPr>
          </w:p>
        </w:tc>
      </w:tr>
    </w:tbl>
    <w:p w14:paraId="2A007D1F">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6E7C845A">
      <w:pPr>
        <w:spacing w:line="360" w:lineRule="auto"/>
        <w:rPr>
          <w:rFonts w:hAnsi="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5D825136">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6498E4B9">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0596CF26">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60F7C56">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2F871B29">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05CB3884">
      <w:pPr>
        <w:spacing w:line="360" w:lineRule="auto"/>
        <w:ind w:firstLine="510"/>
        <w:rPr>
          <w:rFonts w:hAnsi="宋体" w:cs="宋体"/>
          <w:color w:val="auto"/>
          <w:spacing w:val="4"/>
          <w:szCs w:val="24"/>
          <w:highlight w:val="none"/>
        </w:rPr>
      </w:pPr>
    </w:p>
    <w:p w14:paraId="0734BB79">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7B78536A">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日期：</w:t>
      </w:r>
    </w:p>
    <w:p w14:paraId="0531916F">
      <w:pPr>
        <w:rPr>
          <w:rFonts w:hAnsi="宋体" w:cs="宋体"/>
          <w:color w:val="auto"/>
          <w:spacing w:val="4"/>
          <w:szCs w:val="30"/>
          <w:highlight w:val="none"/>
        </w:rPr>
      </w:pPr>
      <w:r>
        <w:rPr>
          <w:rFonts w:hint="eastAsia" w:hAnsi="宋体" w:cs="宋体"/>
          <w:b/>
          <w:color w:val="auto"/>
          <w:sz w:val="28"/>
          <w:szCs w:val="28"/>
          <w:highlight w:val="none"/>
        </w:rPr>
        <w:br w:type="page"/>
      </w:r>
      <w:bookmarkStart w:id="293" w:name="_Toc17295"/>
      <w:bookmarkStart w:id="294" w:name="_Toc11767"/>
    </w:p>
    <w:p w14:paraId="287CF969">
      <w:pPr>
        <w:pStyle w:val="8"/>
        <w:rPr>
          <w:color w:val="auto"/>
          <w:highlight w:val="none"/>
        </w:rPr>
      </w:pPr>
    </w:p>
    <w:p w14:paraId="1BCC8974">
      <w:pPr>
        <w:widowControl/>
        <w:spacing w:line="360" w:lineRule="auto"/>
        <w:ind w:left="1" w:firstLine="281" w:firstLineChars="100"/>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参加政府采购活动前3年内在经营活动中没有重大违法记录的书面声明</w:t>
      </w:r>
    </w:p>
    <w:p w14:paraId="60CDA6D9">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769F50C6">
      <w:pPr>
        <w:pStyle w:val="19"/>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14F3CF01">
      <w:pPr>
        <w:pStyle w:val="19"/>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0C692A78">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4507F36F">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hAnsi="宋体" w:cs="宋体"/>
          <w:color w:val="auto"/>
          <w:szCs w:val="21"/>
          <w:highlight w:val="none"/>
        </w:rPr>
        <w:t>中华人民共和国</w:t>
      </w:r>
      <w:r>
        <w:rPr>
          <w:rFonts w:hint="eastAsia" w:cs="宋体"/>
          <w:color w:val="auto"/>
          <w:highlight w:val="none"/>
          <w:shd w:val="clear" w:color="auto" w:fill="FFFFFF"/>
        </w:rPr>
        <w:t xml:space="preserve">政府采购法》有关“提供虚假材料的规定”接受处罚。 </w:t>
      </w:r>
    </w:p>
    <w:p w14:paraId="1250B903">
      <w:pPr>
        <w:pStyle w:val="19"/>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193891D1">
      <w:pPr>
        <w:pStyle w:val="19"/>
        <w:wordWrap w:val="0"/>
        <w:spacing w:beforeAutospacing="0" w:afterAutospacing="0" w:line="560" w:lineRule="exact"/>
        <w:ind w:firstLine="420"/>
        <w:rPr>
          <w:rFonts w:cs="宋体"/>
          <w:color w:val="auto"/>
          <w:highlight w:val="none"/>
          <w:shd w:val="clear" w:color="auto" w:fill="FFFFFF"/>
        </w:rPr>
      </w:pPr>
    </w:p>
    <w:p w14:paraId="4E227E37">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1EB9AB51">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2F35DD0">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69216A9F">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348EA76A">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0BCE422E">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488E0619">
      <w:pPr>
        <w:rPr>
          <w:color w:val="auto"/>
          <w:highlight w:val="none"/>
        </w:rPr>
      </w:pPr>
    </w:p>
    <w:p w14:paraId="17E73819">
      <w:pPr>
        <w:pStyle w:val="12"/>
        <w:adjustRightInd w:val="0"/>
        <w:snapToGrid w:val="0"/>
        <w:spacing w:line="720" w:lineRule="exact"/>
        <w:jc w:val="center"/>
        <w:rPr>
          <w:rFonts w:hAnsi="宋体" w:cs="宋体"/>
          <w:b/>
          <w:color w:val="auto"/>
          <w:sz w:val="28"/>
          <w:szCs w:val="28"/>
          <w:highlight w:val="none"/>
        </w:rPr>
      </w:pPr>
    </w:p>
    <w:p w14:paraId="0F164432">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1A66C6A2">
      <w:pPr>
        <w:pStyle w:val="12"/>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DC027A8">
      <w:pPr>
        <w:pStyle w:val="12"/>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179C5682">
      <w:pPr>
        <w:pStyle w:val="12"/>
        <w:adjustRightInd w:val="0"/>
        <w:snapToGrid w:val="0"/>
        <w:spacing w:line="720" w:lineRule="exact"/>
        <w:rPr>
          <w:rFonts w:hAnsi="宋体" w:cs="宋体"/>
          <w:color w:val="auto"/>
          <w:spacing w:val="4"/>
          <w:sz w:val="24"/>
          <w:szCs w:val="24"/>
          <w:highlight w:val="none"/>
        </w:rPr>
      </w:pPr>
    </w:p>
    <w:p w14:paraId="643BA5AE">
      <w:pPr>
        <w:pStyle w:val="12"/>
        <w:adjustRightInd w:val="0"/>
        <w:snapToGrid w:val="0"/>
        <w:spacing w:line="720" w:lineRule="exact"/>
        <w:rPr>
          <w:rFonts w:hAnsi="宋体" w:cs="宋体"/>
          <w:color w:val="auto"/>
          <w:spacing w:val="4"/>
          <w:sz w:val="24"/>
          <w:szCs w:val="24"/>
          <w:highlight w:val="none"/>
        </w:rPr>
      </w:pPr>
    </w:p>
    <w:p w14:paraId="3D09D9A7">
      <w:pPr>
        <w:pStyle w:val="12"/>
        <w:adjustRightInd w:val="0"/>
        <w:snapToGrid w:val="0"/>
        <w:spacing w:line="720" w:lineRule="exact"/>
        <w:rPr>
          <w:rFonts w:hAnsi="宋体" w:cs="宋体"/>
          <w:color w:val="auto"/>
          <w:spacing w:val="4"/>
          <w:sz w:val="24"/>
          <w:szCs w:val="24"/>
          <w:highlight w:val="none"/>
        </w:rPr>
      </w:pPr>
    </w:p>
    <w:p w14:paraId="25164417">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50A3928C">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2D306343">
      <w:pPr>
        <w:rPr>
          <w:rFonts w:hint="eastAsia" w:hAnsi="宋体" w:cs="宋体"/>
          <w:color w:val="auto"/>
          <w:spacing w:val="4"/>
          <w:szCs w:val="30"/>
          <w:highlight w:val="none"/>
        </w:rPr>
      </w:pPr>
      <w:r>
        <w:rPr>
          <w:rFonts w:hint="eastAsia" w:hAnsi="宋体" w:cs="宋体"/>
          <w:color w:val="auto"/>
          <w:spacing w:val="4"/>
          <w:szCs w:val="30"/>
          <w:highlight w:val="none"/>
        </w:rPr>
        <w:br w:type="page"/>
      </w:r>
    </w:p>
    <w:p w14:paraId="126309EA">
      <w:pPr>
        <w:rPr>
          <w:rFonts w:hint="eastAsia" w:hAnsi="宋体" w:cs="宋体"/>
          <w:color w:val="auto"/>
          <w:spacing w:val="4"/>
          <w:szCs w:val="30"/>
          <w:highlight w:val="none"/>
        </w:rPr>
      </w:pPr>
    </w:p>
    <w:p w14:paraId="017B8145">
      <w:pPr>
        <w:keepNext w:val="0"/>
        <w:keepLines w:val="0"/>
        <w:widowControl/>
        <w:suppressLineNumbers w:val="0"/>
        <w:jc w:val="center"/>
        <w:rPr>
          <w:rFonts w:hint="eastAsia" w:ascii="宋体" w:hAnsi="宋体" w:eastAsia="宋体" w:cs="宋体"/>
          <w:sz w:val="28"/>
          <w:szCs w:val="28"/>
          <w:highlight w:val="none"/>
        </w:rPr>
      </w:pPr>
      <w:r>
        <w:rPr>
          <w:rFonts w:hint="eastAsia" w:hAnsi="宋体" w:cs="宋体"/>
          <w:b/>
          <w:bCs/>
          <w:color w:val="000000"/>
          <w:kern w:val="0"/>
          <w:sz w:val="28"/>
          <w:szCs w:val="28"/>
          <w:highlight w:val="none"/>
          <w:lang w:val="en-US" w:eastAsia="zh-CN" w:bidi="ar"/>
        </w:rPr>
        <w:t>供应商</w:t>
      </w:r>
      <w:r>
        <w:rPr>
          <w:rFonts w:hint="eastAsia" w:ascii="宋体" w:hAnsi="宋体" w:eastAsia="宋体" w:cs="宋体"/>
          <w:b/>
          <w:bCs/>
          <w:color w:val="000000"/>
          <w:kern w:val="0"/>
          <w:sz w:val="28"/>
          <w:szCs w:val="28"/>
          <w:highlight w:val="none"/>
          <w:lang w:val="en-US" w:eastAsia="zh-CN" w:bidi="ar"/>
        </w:rPr>
        <w:t>信用记录书面声明函（格式）</w:t>
      </w:r>
    </w:p>
    <w:p w14:paraId="312752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343A6F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陕西至诚项目管理集团有限公司： </w:t>
      </w:r>
    </w:p>
    <w:p w14:paraId="18E39B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我方作为《项目名称》（项目编号：</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）第</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标段的投标人，在此郑重声明： </w:t>
      </w:r>
    </w:p>
    <w:p w14:paraId="32485C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1、在参加本次政府采购活动前 3 年内的经营活动中____（填“没有”或“有”）重大违法记录。</w:t>
      </w:r>
      <w:r>
        <w:rPr>
          <w:rFonts w:hint="eastAsia" w:ascii="宋体" w:hAnsi="宋体" w:eastAsia="宋体" w:cs="宋体"/>
          <w:b/>
          <w:bCs/>
          <w:color w:val="000000"/>
          <w:kern w:val="0"/>
          <w:sz w:val="24"/>
          <w:szCs w:val="24"/>
          <w:highlight w:val="none"/>
          <w:lang w:val="en-US" w:eastAsia="zh-CN" w:bidi="ar"/>
        </w:rPr>
        <w:t>投标人在参加政府采购活动前 3 年内因违法经营被禁止在一定期限内参加政府采购活动，期限届满的，可以参加政府采购活动，但应提供期限届满的证明材料。</w:t>
      </w:r>
    </w:p>
    <w:p w14:paraId="30489B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、我方______（填“未被列入”或“被列入”）失信被执行人名单。 </w:t>
      </w:r>
    </w:p>
    <w:p w14:paraId="22ED93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、我方______（填“未被列入”或“被列入”）重大税收违法案件当事人名单。 </w:t>
      </w:r>
    </w:p>
    <w:p w14:paraId="5F6054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4、我方______（填“未被列入”或“被列入”）政府采购严重违法失信行为记录名单。</w:t>
      </w:r>
    </w:p>
    <w:p w14:paraId="3E1798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如有不实，我方将无条件地退出本项目的采购活动，并遵照《中华人民共和国</w:t>
      </w:r>
      <w:r>
        <w:rPr>
          <w:rFonts w:hint="eastAsia" w:hAnsi="宋体" w:cs="宋体"/>
          <w:color w:val="000000"/>
          <w:kern w:val="0"/>
          <w:sz w:val="24"/>
          <w:szCs w:val="24"/>
          <w:highlight w:val="none"/>
          <w:lang w:val="en-US" w:eastAsia="zh-CN" w:bidi="ar"/>
        </w:rPr>
        <w:t>政府采购法</w:t>
      </w:r>
      <w:r>
        <w:rPr>
          <w:rFonts w:hint="eastAsia" w:ascii="宋体" w:hAnsi="宋体" w:eastAsia="宋体" w:cs="宋体"/>
          <w:color w:val="000000"/>
          <w:kern w:val="0"/>
          <w:sz w:val="24"/>
          <w:szCs w:val="24"/>
          <w:highlight w:val="none"/>
          <w:lang w:val="en-US" w:eastAsia="zh-CN" w:bidi="ar"/>
        </w:rPr>
        <w:t xml:space="preserve">》有关“提供虚假材料的规定”接受处罚。 </w:t>
      </w:r>
    </w:p>
    <w:p w14:paraId="053DC6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特此声明。 </w:t>
      </w:r>
    </w:p>
    <w:p w14:paraId="411D52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337C45A1">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539F4E8C">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3AFBD568">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350E9D15">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6566BA2B">
      <w:pPr>
        <w:keepNext w:val="0"/>
        <w:keepLines w:val="0"/>
        <w:widowControl/>
        <w:suppressLineNumbers w:val="0"/>
        <w:jc w:val="left"/>
        <w:rPr>
          <w:rFonts w:hint="eastAsia" w:hAnsi="宋体" w:cs="宋体"/>
          <w:b/>
          <w:color w:val="auto"/>
          <w:sz w:val="28"/>
          <w:szCs w:val="28"/>
          <w:highlight w:val="none"/>
        </w:rPr>
      </w:pPr>
      <w:r>
        <w:rPr>
          <w:rFonts w:hint="eastAsia" w:ascii="宋体" w:hAnsi="宋体" w:eastAsia="宋体" w:cs="宋体"/>
          <w:color w:val="000000"/>
          <w:kern w:val="0"/>
          <w:sz w:val="24"/>
          <w:szCs w:val="24"/>
          <w:highlight w:val="none"/>
          <w:lang w:val="en-US" w:eastAsia="zh-CN" w:bidi="ar"/>
        </w:rPr>
        <w:t>备注：项目不分标段的，第___标段空白处填写“/”。</w:t>
      </w:r>
    </w:p>
    <w:p w14:paraId="63BF7AFB">
      <w:pPr>
        <w:rPr>
          <w:rFonts w:hint="eastAsia" w:hAnsi="宋体" w:cs="宋体"/>
          <w:b/>
          <w:color w:val="auto"/>
          <w:sz w:val="28"/>
          <w:szCs w:val="28"/>
          <w:highlight w:val="none"/>
        </w:rPr>
      </w:pPr>
      <w:r>
        <w:rPr>
          <w:rFonts w:hint="eastAsia" w:hAnsi="宋体" w:cs="宋体"/>
          <w:b/>
          <w:color w:val="auto"/>
          <w:sz w:val="28"/>
          <w:szCs w:val="28"/>
          <w:highlight w:val="none"/>
        </w:rPr>
        <w:br w:type="page"/>
      </w:r>
    </w:p>
    <w:p w14:paraId="28235810">
      <w:pPr>
        <w:rPr>
          <w:rFonts w:hint="eastAsia" w:hAnsi="宋体" w:cs="宋体"/>
          <w:color w:val="auto"/>
          <w:spacing w:val="4"/>
          <w:szCs w:val="30"/>
          <w:highlight w:val="none"/>
        </w:rPr>
      </w:pPr>
    </w:p>
    <w:p w14:paraId="65C711F5">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投标人提供直接控股和管理关系清单，格式不限。</w:t>
      </w:r>
    </w:p>
    <w:p w14:paraId="030474B5">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44162F85">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0CA0DE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陕西至诚项目管理集团有限公司：</w:t>
      </w:r>
    </w:p>
    <w:p w14:paraId="731DCF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977"/>
        <w:gridCol w:w="3129"/>
        <w:gridCol w:w="1387"/>
      </w:tblGrid>
      <w:tr w14:paraId="2F3E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7E81987D">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E32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4A1F62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483A4F6D">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4A3D9A75">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67BA113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4829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4CEA62A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081B958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337378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1FE4BF12">
            <w:pPr>
              <w:rPr>
                <w:rFonts w:hint="default" w:hAnsi="宋体" w:cs="宋体"/>
                <w:b/>
                <w:bCs/>
                <w:color w:val="auto"/>
                <w:sz w:val="24"/>
                <w:szCs w:val="24"/>
                <w:highlight w:val="none"/>
                <w:shd w:val="clear" w:color="auto" w:fill="FFFFFF"/>
                <w:vertAlign w:val="baseline"/>
                <w:lang w:val="en-US" w:eastAsia="zh-CN"/>
              </w:rPr>
            </w:pPr>
          </w:p>
        </w:tc>
      </w:tr>
      <w:tr w14:paraId="43FA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451C420D">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D44234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827D2E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3A6CDA6D">
            <w:pPr>
              <w:rPr>
                <w:rFonts w:hint="default" w:hAnsi="宋体" w:cs="宋体"/>
                <w:b/>
                <w:bCs/>
                <w:color w:val="auto"/>
                <w:sz w:val="24"/>
                <w:szCs w:val="24"/>
                <w:highlight w:val="none"/>
                <w:shd w:val="clear" w:color="auto" w:fill="FFFFFF"/>
                <w:vertAlign w:val="baseline"/>
                <w:lang w:val="en-US" w:eastAsia="zh-CN"/>
              </w:rPr>
            </w:pPr>
          </w:p>
        </w:tc>
      </w:tr>
      <w:tr w14:paraId="7ED6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45309603">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4330C786">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6444768">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90D3ECF">
            <w:pPr>
              <w:rPr>
                <w:rFonts w:hint="default" w:hAnsi="宋体" w:cs="宋体"/>
                <w:b/>
                <w:bCs/>
                <w:color w:val="auto"/>
                <w:sz w:val="24"/>
                <w:szCs w:val="24"/>
                <w:highlight w:val="none"/>
                <w:shd w:val="clear" w:color="auto" w:fill="FFFFFF"/>
                <w:vertAlign w:val="baseline"/>
                <w:lang w:val="en-US" w:eastAsia="zh-CN"/>
              </w:rPr>
            </w:pPr>
          </w:p>
        </w:tc>
      </w:tr>
      <w:tr w14:paraId="61AD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A5FC663">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220D5E6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8D9337C">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2F73DBB">
            <w:pPr>
              <w:rPr>
                <w:rFonts w:hint="default" w:hAnsi="宋体" w:cs="宋体"/>
                <w:b/>
                <w:bCs/>
                <w:color w:val="auto"/>
                <w:sz w:val="24"/>
                <w:szCs w:val="24"/>
                <w:highlight w:val="none"/>
                <w:shd w:val="clear" w:color="auto" w:fill="FFFFFF"/>
                <w:vertAlign w:val="baseline"/>
                <w:lang w:val="en-US" w:eastAsia="zh-CN"/>
              </w:rPr>
            </w:pPr>
          </w:p>
        </w:tc>
      </w:tr>
    </w:tbl>
    <w:p w14:paraId="65B23F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7A30AFC8">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19FBA2EF">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37D7A23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5AC81D6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354F1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34B10B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2501ACC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1712EA81">
      <w:pPr>
        <w:rPr>
          <w:rFonts w:hint="eastAsia" w:hAnsi="宋体" w:cs="宋体"/>
          <w:color w:val="auto"/>
          <w:spacing w:val="4"/>
          <w:szCs w:val="30"/>
          <w:highlight w:val="none"/>
        </w:rPr>
      </w:pPr>
    </w:p>
    <w:p w14:paraId="6B51D211">
      <w:pPr>
        <w:rPr>
          <w:rFonts w:hint="eastAsia" w:hAnsi="宋体" w:cs="宋体"/>
          <w:color w:val="auto"/>
          <w:spacing w:val="4"/>
          <w:szCs w:val="30"/>
          <w:highlight w:val="none"/>
        </w:rPr>
      </w:pPr>
      <w:r>
        <w:rPr>
          <w:rFonts w:hint="eastAsia" w:hAnsi="宋体" w:cs="宋体"/>
          <w:color w:val="auto"/>
          <w:spacing w:val="4"/>
          <w:szCs w:val="30"/>
          <w:highlight w:val="none"/>
        </w:rPr>
        <w:br w:type="page"/>
      </w:r>
    </w:p>
    <w:p w14:paraId="79656421">
      <w:pPr>
        <w:rPr>
          <w:rFonts w:hint="eastAsia" w:hAnsi="宋体" w:cs="宋体"/>
          <w:color w:val="auto"/>
          <w:spacing w:val="4"/>
          <w:szCs w:val="30"/>
          <w:highlight w:val="none"/>
        </w:rPr>
      </w:pPr>
    </w:p>
    <w:p w14:paraId="36CF400D">
      <w:pPr>
        <w:rPr>
          <w:rFonts w:hint="eastAsia" w:ascii="宋体" w:hAnsi="宋体" w:eastAsia="宋体" w:cs="宋体"/>
          <w:color w:val="000000"/>
          <w:kern w:val="0"/>
          <w:sz w:val="21"/>
          <w:szCs w:val="21"/>
          <w:highlight w:val="none"/>
          <w:lang w:val="en-US" w:eastAsia="zh-CN" w:bidi="ar"/>
        </w:rPr>
      </w:pPr>
    </w:p>
    <w:p w14:paraId="49B68AE4">
      <w:pPr>
        <w:adjustRightInd w:val="0"/>
        <w:snapToGrid w:val="0"/>
        <w:spacing w:line="360" w:lineRule="auto"/>
        <w:jc w:val="center"/>
        <w:rPr>
          <w:rFonts w:hint="default"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非联合体投标承诺书</w:t>
      </w:r>
    </w:p>
    <w:p w14:paraId="0DB23B3E">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2DAE9538">
      <w:pPr>
        <w:rPr>
          <w:rFonts w:hint="eastAsia" w:asciiTheme="minorEastAsia" w:hAnsiTheme="minorEastAsia" w:eastAsiaTheme="minorEastAsia" w:cstheme="minorEastAsia"/>
          <w:b/>
          <w:sz w:val="28"/>
          <w:szCs w:val="28"/>
          <w:highlight w:val="none"/>
        </w:rPr>
      </w:pPr>
    </w:p>
    <w:p w14:paraId="75529759">
      <w:pPr>
        <w:bidi w:val="0"/>
        <w:rPr>
          <w:rFonts w:hint="eastAsia"/>
          <w:highlight w:val="none"/>
        </w:rPr>
      </w:pPr>
    </w:p>
    <w:p w14:paraId="3C9CD773">
      <w:pPr>
        <w:keepNext w:val="0"/>
        <w:keepLines w:val="0"/>
        <w:pageBreakBefore w:val="0"/>
        <w:widowControl w:val="0"/>
        <w:kinsoku/>
        <w:wordWrap/>
        <w:overflowPunct/>
        <w:topLinePunct w:val="0"/>
        <w:autoSpaceDE/>
        <w:autoSpaceDN/>
        <w:bidi w:val="0"/>
        <w:spacing w:line="720" w:lineRule="exact"/>
        <w:textAlignment w:val="auto"/>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7A02DFD6">
      <w:pPr>
        <w:pStyle w:val="12"/>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hAnsi="宋体"/>
          <w:spacing w:val="4"/>
          <w:sz w:val="24"/>
          <w:szCs w:val="24"/>
          <w:highlight w:val="none"/>
        </w:rPr>
      </w:pPr>
      <w:r>
        <w:rPr>
          <w:rFonts w:hint="eastAsia" w:hAnsi="宋体"/>
          <w:spacing w:val="4"/>
          <w:sz w:val="24"/>
          <w:szCs w:val="24"/>
          <w:highlight w:val="none"/>
        </w:rPr>
        <w:t>我公司郑重承诺，我公司</w:t>
      </w:r>
      <w:r>
        <w:rPr>
          <w:rFonts w:hint="eastAsia" w:hAnsi="宋体"/>
          <w:spacing w:val="4"/>
          <w:sz w:val="24"/>
          <w:szCs w:val="24"/>
          <w:highlight w:val="none"/>
          <w:lang w:val="en-US" w:eastAsia="zh-CN"/>
        </w:rPr>
        <w:t>在本项目投标中非联合投标</w:t>
      </w:r>
      <w:r>
        <w:rPr>
          <w:rFonts w:hint="eastAsia" w:hAnsi="宋体"/>
          <w:spacing w:val="4"/>
          <w:sz w:val="24"/>
          <w:szCs w:val="24"/>
          <w:highlight w:val="none"/>
        </w:rPr>
        <w:t>。</w:t>
      </w:r>
    </w:p>
    <w:p w14:paraId="30383E38">
      <w:pPr>
        <w:pStyle w:val="12"/>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hAnsi="宋体"/>
          <w:spacing w:val="4"/>
          <w:sz w:val="24"/>
          <w:szCs w:val="24"/>
          <w:highlight w:val="none"/>
        </w:rPr>
      </w:pPr>
      <w:r>
        <w:rPr>
          <w:rFonts w:hint="eastAsia" w:ascii="宋体" w:hAnsi="宋体" w:cs="宋体"/>
          <w:color w:val="auto"/>
          <w:sz w:val="24"/>
          <w:szCs w:val="24"/>
          <w:highlight w:val="none"/>
          <w:shd w:val="clear" w:color="auto" w:fill="FFFFFF"/>
        </w:rPr>
        <w:t>如有不实，我方将无条件地退出本项目的采购活动，并遵照《</w:t>
      </w:r>
      <w:r>
        <w:rPr>
          <w:rFonts w:hint="eastAsia" w:hAnsi="宋体" w:cs="宋体"/>
          <w:color w:val="auto"/>
          <w:sz w:val="24"/>
          <w:szCs w:val="24"/>
          <w:highlight w:val="none"/>
          <w:shd w:val="clear" w:color="auto" w:fill="FFFFFF"/>
          <w:lang w:val="en-US" w:eastAsia="zh-CN"/>
        </w:rPr>
        <w:t>中华人民共和国</w:t>
      </w:r>
      <w:r>
        <w:rPr>
          <w:rFonts w:hint="eastAsia" w:ascii="宋体" w:hAnsi="宋体" w:cs="宋体"/>
          <w:color w:val="auto"/>
          <w:sz w:val="24"/>
          <w:szCs w:val="24"/>
          <w:highlight w:val="none"/>
          <w:shd w:val="clear" w:color="auto" w:fill="FFFFFF"/>
        </w:rPr>
        <w:t>政府采购法》有关“提供虚假材料的规定”接受处罚。</w:t>
      </w:r>
    </w:p>
    <w:p w14:paraId="2E909C8F">
      <w:pPr>
        <w:pStyle w:val="12"/>
        <w:adjustRightInd w:val="0"/>
        <w:snapToGrid w:val="0"/>
        <w:spacing w:line="720" w:lineRule="exact"/>
        <w:rPr>
          <w:rFonts w:hAnsi="宋体"/>
          <w:spacing w:val="4"/>
          <w:sz w:val="24"/>
          <w:szCs w:val="24"/>
          <w:highlight w:val="none"/>
        </w:rPr>
      </w:pPr>
    </w:p>
    <w:p w14:paraId="6633FE96">
      <w:pPr>
        <w:pStyle w:val="12"/>
        <w:adjustRightInd w:val="0"/>
        <w:snapToGrid w:val="0"/>
        <w:spacing w:line="720" w:lineRule="exact"/>
        <w:rPr>
          <w:rFonts w:hAnsi="宋体"/>
          <w:spacing w:val="4"/>
          <w:sz w:val="24"/>
          <w:szCs w:val="24"/>
          <w:highlight w:val="none"/>
        </w:rPr>
      </w:pPr>
    </w:p>
    <w:p w14:paraId="0BFB2C09">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BE69163">
      <w:pPr>
        <w:pStyle w:val="36"/>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2D10B0B">
      <w:pPr>
        <w:rPr>
          <w:rFonts w:hint="eastAsia" w:ascii="宋体" w:hAnsi="宋体" w:eastAsia="宋体" w:cs="宋体"/>
          <w:color w:val="000000"/>
          <w:kern w:val="0"/>
          <w:sz w:val="21"/>
          <w:szCs w:val="21"/>
          <w:highlight w:val="none"/>
          <w:lang w:val="en-US" w:eastAsia="zh-CN" w:bidi="ar"/>
        </w:rPr>
      </w:pPr>
    </w:p>
    <w:p w14:paraId="712166C3">
      <w:pPr>
        <w:rPr>
          <w:rFonts w:hint="eastAsia" w:hAnsi="宋体" w:cs="宋体"/>
          <w:color w:val="auto"/>
          <w:spacing w:val="4"/>
          <w:szCs w:val="30"/>
          <w:highlight w:val="none"/>
        </w:rPr>
      </w:pPr>
    </w:p>
    <w:p w14:paraId="0F65B0AE">
      <w:pPr>
        <w:rPr>
          <w:rFonts w:hint="eastAsia" w:hAnsi="宋体" w:cs="宋体"/>
          <w:color w:val="auto"/>
          <w:spacing w:val="4"/>
          <w:szCs w:val="30"/>
          <w:highlight w:val="none"/>
        </w:rPr>
      </w:pPr>
      <w:r>
        <w:rPr>
          <w:rFonts w:hint="eastAsia" w:hAnsi="宋体" w:cs="宋体"/>
          <w:color w:val="auto"/>
          <w:spacing w:val="4"/>
          <w:szCs w:val="30"/>
          <w:highlight w:val="none"/>
        </w:rPr>
        <w:br w:type="page"/>
      </w:r>
    </w:p>
    <w:p w14:paraId="2A1BF9EC">
      <w:pPr>
        <w:spacing w:before="100" w:beforeAutospacing="1" w:afterLines="50" w:line="360" w:lineRule="auto"/>
        <w:jc w:val="left"/>
        <w:outlineLvl w:val="2"/>
        <w:rPr>
          <w:rFonts w:hint="eastAsia" w:hAnsi="宋体" w:eastAsia="宋体" w:cs="宋体"/>
          <w:b/>
          <w:color w:val="auto"/>
          <w:sz w:val="28"/>
          <w:szCs w:val="28"/>
          <w:highlight w:val="none"/>
          <w:lang w:eastAsia="zh-CN"/>
        </w:rPr>
      </w:pPr>
      <w:bookmarkStart w:id="295" w:name="_Toc29482"/>
      <w:bookmarkStart w:id="296" w:name="_Toc7403"/>
      <w:bookmarkStart w:id="297" w:name="_Toc32573"/>
      <w:bookmarkStart w:id="298" w:name="_Toc2812"/>
      <w:r>
        <w:rPr>
          <w:rFonts w:hint="eastAsia" w:hAnsi="宋体" w:cs="宋体"/>
          <w:b/>
          <w:color w:val="auto"/>
          <w:sz w:val="28"/>
          <w:szCs w:val="28"/>
          <w:highlight w:val="none"/>
        </w:rPr>
        <w:t>附件2：中小企业声明函</w:t>
      </w:r>
      <w:bookmarkEnd w:id="293"/>
      <w:bookmarkEnd w:id="294"/>
      <w:bookmarkEnd w:id="295"/>
      <w:bookmarkEnd w:id="296"/>
      <w:bookmarkEnd w:id="297"/>
      <w:bookmarkEnd w:id="298"/>
    </w:p>
    <w:p w14:paraId="59D6F906">
      <w:pPr>
        <w:spacing w:beforeLines="50" w:afterLines="50" w:line="360" w:lineRule="auto"/>
        <w:jc w:val="center"/>
        <w:rPr>
          <w:rFonts w:hAnsi="宋体" w:cs="宋体"/>
          <w:b/>
          <w:color w:val="auto"/>
          <w:sz w:val="28"/>
          <w:szCs w:val="28"/>
          <w:highlight w:val="none"/>
        </w:rPr>
      </w:pPr>
      <w:bookmarkStart w:id="299" w:name="_Toc13836"/>
    </w:p>
    <w:p w14:paraId="50BDB3F7">
      <w:pPr>
        <w:spacing w:beforeLines="50"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2BBBF974">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58E97B3F">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FAA2CE7">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6FF6F6E4">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2CD87000">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3FA9FE10">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325A1406">
      <w:pPr>
        <w:tabs>
          <w:tab w:val="left" w:pos="1620"/>
          <w:tab w:val="left" w:pos="1800"/>
        </w:tabs>
        <w:spacing w:line="500" w:lineRule="exact"/>
        <w:rPr>
          <w:rFonts w:hAnsi="宋体" w:cs="宋体"/>
          <w:color w:val="auto"/>
          <w:szCs w:val="24"/>
          <w:highlight w:val="none"/>
        </w:rPr>
      </w:pPr>
    </w:p>
    <w:p w14:paraId="436C59FE">
      <w:pPr>
        <w:tabs>
          <w:tab w:val="left" w:pos="1620"/>
          <w:tab w:val="left" w:pos="1800"/>
        </w:tabs>
        <w:spacing w:line="500" w:lineRule="exact"/>
        <w:rPr>
          <w:rFonts w:hAnsi="宋体" w:cs="宋体"/>
          <w:color w:val="auto"/>
          <w:szCs w:val="24"/>
          <w:highlight w:val="none"/>
        </w:rPr>
      </w:pPr>
    </w:p>
    <w:p w14:paraId="109A5221">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06BDE6A3">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14:paraId="2BD99F1D">
      <w:pPr>
        <w:rPr>
          <w:rFonts w:hAnsi="宋体" w:cs="宋体"/>
          <w:b/>
          <w:color w:val="auto"/>
          <w:sz w:val="28"/>
          <w:szCs w:val="28"/>
          <w:highlight w:val="none"/>
        </w:rPr>
      </w:pPr>
      <w:r>
        <w:rPr>
          <w:rFonts w:hint="eastAsia" w:hAnsi="宋体" w:cs="宋体"/>
          <w:b/>
          <w:color w:val="auto"/>
          <w:sz w:val="28"/>
          <w:szCs w:val="28"/>
          <w:highlight w:val="none"/>
        </w:rPr>
        <w:br w:type="page"/>
      </w:r>
    </w:p>
    <w:bookmarkEnd w:id="299"/>
    <w:p w14:paraId="2BE53DC0">
      <w:pPr>
        <w:spacing w:before="100" w:beforeAutospacing="1" w:afterLines="50" w:line="360" w:lineRule="auto"/>
        <w:outlineLvl w:val="2"/>
        <w:rPr>
          <w:rFonts w:hAnsi="宋体" w:cs="宋体"/>
          <w:b/>
          <w:bCs/>
          <w:color w:val="auto"/>
          <w:spacing w:val="6"/>
          <w:sz w:val="30"/>
          <w:szCs w:val="30"/>
          <w:highlight w:val="none"/>
        </w:rPr>
      </w:pPr>
      <w:bookmarkStart w:id="300" w:name="_Toc22425"/>
      <w:bookmarkStart w:id="301" w:name="_Toc25524"/>
      <w:bookmarkStart w:id="302" w:name="_Toc29025"/>
      <w:bookmarkStart w:id="303" w:name="_Toc11235"/>
      <w:bookmarkStart w:id="304" w:name="_Toc11066"/>
      <w:bookmarkStart w:id="305" w:name="_Toc27124"/>
      <w:r>
        <w:rPr>
          <w:rFonts w:hint="eastAsia" w:hAnsi="宋体" w:cs="宋体"/>
          <w:b/>
          <w:bCs/>
          <w:color w:val="auto"/>
          <w:spacing w:val="6"/>
          <w:sz w:val="30"/>
          <w:szCs w:val="30"/>
          <w:highlight w:val="none"/>
        </w:rPr>
        <w:t>附件</w:t>
      </w:r>
      <w:r>
        <w:rPr>
          <w:rFonts w:hint="eastAsia" w:hAnsi="宋体" w:cs="宋体"/>
          <w:b/>
          <w:bCs/>
          <w:color w:val="auto"/>
          <w:spacing w:val="6"/>
          <w:sz w:val="30"/>
          <w:szCs w:val="30"/>
          <w:highlight w:val="none"/>
          <w:lang w:val="en-US" w:eastAsia="zh-CN"/>
        </w:rPr>
        <w:t>3</w:t>
      </w:r>
      <w:r>
        <w:rPr>
          <w:rFonts w:hint="eastAsia" w:hAnsi="宋体" w:cs="宋体"/>
          <w:b/>
          <w:bCs/>
          <w:color w:val="auto"/>
          <w:spacing w:val="6"/>
          <w:sz w:val="30"/>
          <w:szCs w:val="30"/>
          <w:highlight w:val="none"/>
        </w:rPr>
        <w:t>：残疾人福利性单位声明函（如有）</w:t>
      </w:r>
      <w:bookmarkEnd w:id="300"/>
      <w:bookmarkEnd w:id="301"/>
      <w:bookmarkEnd w:id="302"/>
      <w:bookmarkEnd w:id="303"/>
      <w:bookmarkEnd w:id="304"/>
      <w:bookmarkEnd w:id="305"/>
    </w:p>
    <w:p w14:paraId="059E604A">
      <w:pPr>
        <w:spacing w:line="588" w:lineRule="exact"/>
        <w:jc w:val="center"/>
        <w:rPr>
          <w:rFonts w:hAnsi="宋体" w:cs="宋体"/>
          <w:b/>
          <w:color w:val="auto"/>
          <w:spacing w:val="6"/>
          <w:sz w:val="32"/>
          <w:szCs w:val="32"/>
          <w:highlight w:val="none"/>
        </w:rPr>
      </w:pPr>
      <w:bookmarkStart w:id="306" w:name="OLE_LINK14"/>
      <w:bookmarkStart w:id="307" w:name="OLE_LINK13"/>
      <w:r>
        <w:rPr>
          <w:rFonts w:hint="eastAsia" w:hAnsi="宋体" w:cs="宋体"/>
          <w:b/>
          <w:color w:val="auto"/>
          <w:spacing w:val="6"/>
          <w:sz w:val="32"/>
          <w:szCs w:val="32"/>
          <w:highlight w:val="none"/>
        </w:rPr>
        <w:t>残疾人福利性单位声明函</w:t>
      </w:r>
    </w:p>
    <w:bookmarkEnd w:id="306"/>
    <w:bookmarkEnd w:id="307"/>
    <w:p w14:paraId="040BDC0E">
      <w:pPr>
        <w:spacing w:line="588" w:lineRule="exact"/>
        <w:rPr>
          <w:rFonts w:hAnsi="宋体" w:cs="宋体"/>
          <w:b/>
          <w:color w:val="auto"/>
          <w:spacing w:val="6"/>
          <w:sz w:val="30"/>
          <w:szCs w:val="30"/>
          <w:highlight w:val="none"/>
        </w:rPr>
      </w:pPr>
    </w:p>
    <w:p w14:paraId="67A00E32">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F7DC12">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04497000">
      <w:pPr>
        <w:spacing w:line="588" w:lineRule="exact"/>
        <w:ind w:firstLine="504" w:firstLineChars="200"/>
        <w:rPr>
          <w:rFonts w:hAnsi="宋体" w:cs="宋体"/>
          <w:color w:val="auto"/>
          <w:spacing w:val="6"/>
          <w:szCs w:val="24"/>
          <w:highlight w:val="none"/>
        </w:rPr>
      </w:pPr>
    </w:p>
    <w:p w14:paraId="415F4198">
      <w:pPr>
        <w:spacing w:line="588" w:lineRule="exact"/>
        <w:ind w:firstLine="504" w:firstLineChars="200"/>
        <w:rPr>
          <w:rFonts w:hAnsi="宋体" w:cs="宋体"/>
          <w:color w:val="auto"/>
          <w:spacing w:val="6"/>
          <w:szCs w:val="24"/>
          <w:highlight w:val="none"/>
        </w:rPr>
      </w:pPr>
    </w:p>
    <w:p w14:paraId="2DCC39BC">
      <w:pPr>
        <w:spacing w:line="588" w:lineRule="exact"/>
        <w:ind w:firstLine="504" w:firstLineChars="200"/>
        <w:rPr>
          <w:rFonts w:hAnsi="宋体" w:cs="宋体"/>
          <w:color w:val="auto"/>
          <w:spacing w:val="6"/>
          <w:szCs w:val="24"/>
          <w:highlight w:val="none"/>
        </w:rPr>
      </w:pPr>
    </w:p>
    <w:p w14:paraId="6131CEF0">
      <w:pPr>
        <w:spacing w:line="588" w:lineRule="exact"/>
        <w:ind w:firstLine="504" w:firstLineChars="200"/>
        <w:rPr>
          <w:rFonts w:hAnsi="宋体" w:cs="宋体"/>
          <w:color w:val="auto"/>
          <w:spacing w:val="6"/>
          <w:szCs w:val="24"/>
          <w:highlight w:val="none"/>
        </w:rPr>
      </w:pPr>
    </w:p>
    <w:p w14:paraId="41AE2D54">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399CF454">
      <w:pPr>
        <w:tabs>
          <w:tab w:val="left" w:pos="4860"/>
        </w:tabs>
        <w:spacing w:line="588" w:lineRule="exact"/>
        <w:ind w:right="1560" w:firstLine="504" w:firstLineChars="200"/>
        <w:jc w:val="center"/>
        <w:rPr>
          <w:rFonts w:hint="eastAsia" w:hAnsi="宋体" w:cs="宋体"/>
          <w:color w:val="auto"/>
          <w:spacing w:val="6"/>
          <w:szCs w:val="24"/>
          <w:highlight w:val="none"/>
        </w:rPr>
      </w:pPr>
      <w:r>
        <w:rPr>
          <w:rFonts w:hint="eastAsia" w:hAnsi="宋体" w:cs="宋体"/>
          <w:color w:val="auto"/>
          <w:spacing w:val="6"/>
          <w:szCs w:val="24"/>
          <w:highlight w:val="none"/>
        </w:rPr>
        <w:t xml:space="preserve">       日    期：</w:t>
      </w:r>
    </w:p>
    <w:p w14:paraId="7E891C3A">
      <w:pPr>
        <w:rPr>
          <w:rFonts w:hint="eastAsia" w:hAnsi="宋体" w:cs="宋体"/>
          <w:color w:val="auto"/>
          <w:spacing w:val="6"/>
          <w:szCs w:val="24"/>
          <w:highlight w:val="none"/>
        </w:rPr>
      </w:pPr>
      <w:r>
        <w:rPr>
          <w:rFonts w:hint="eastAsia" w:hAnsi="宋体" w:cs="宋体"/>
          <w:color w:val="auto"/>
          <w:spacing w:val="6"/>
          <w:szCs w:val="24"/>
          <w:highlight w:val="none"/>
        </w:rPr>
        <w:br w:type="page"/>
      </w:r>
    </w:p>
    <w:p w14:paraId="526315B4">
      <w:pPr>
        <w:spacing w:beforeLines="100" w:afterLines="50"/>
        <w:outlineLvl w:val="2"/>
        <w:rPr>
          <w:rFonts w:hAnsi="宋体" w:cs="宋体"/>
          <w:b/>
          <w:color w:val="auto"/>
          <w:sz w:val="28"/>
          <w:szCs w:val="28"/>
          <w:highlight w:val="none"/>
        </w:rPr>
      </w:pPr>
      <w:bookmarkStart w:id="308" w:name="_Toc12704"/>
      <w:bookmarkStart w:id="309" w:name="_Toc8863"/>
      <w:bookmarkStart w:id="310" w:name="_Toc10758"/>
      <w:bookmarkStart w:id="311" w:name="_Toc5964"/>
      <w:bookmarkStart w:id="312" w:name="_Toc13530"/>
      <w:bookmarkStart w:id="313" w:name="_Toc2651"/>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：磋商产品属节能、环境标志产品列表（如有）</w:t>
      </w:r>
      <w:bookmarkEnd w:id="308"/>
      <w:bookmarkEnd w:id="309"/>
      <w:bookmarkEnd w:id="310"/>
      <w:bookmarkEnd w:id="311"/>
      <w:bookmarkEnd w:id="312"/>
      <w:bookmarkEnd w:id="313"/>
    </w:p>
    <w:p w14:paraId="2133F490">
      <w:pPr>
        <w:spacing w:beforeLines="100" w:afterLines="50"/>
        <w:jc w:val="center"/>
        <w:rPr>
          <w:rFonts w:hAnsi="宋体" w:cs="宋体"/>
          <w:b/>
          <w:color w:val="auto"/>
          <w:sz w:val="28"/>
          <w:szCs w:val="28"/>
          <w:highlight w:val="none"/>
        </w:rPr>
      </w:pPr>
      <w:r>
        <w:rPr>
          <w:rFonts w:hint="eastAsia" w:hAnsi="宋体" w:cs="宋体"/>
          <w:b/>
          <w:color w:val="auto"/>
          <w:sz w:val="28"/>
          <w:szCs w:val="28"/>
          <w:highlight w:val="none"/>
        </w:rPr>
        <w:t>磋商产品属节能、环境标志产品列表</w:t>
      </w:r>
    </w:p>
    <w:p w14:paraId="2BEF8CC0">
      <w:pPr>
        <w:spacing w:line="360" w:lineRule="auto"/>
        <w:rPr>
          <w:rFonts w:hint="eastAsia" w:hAnsi="宋体" w:cs="宋体"/>
          <w:bCs/>
          <w:color w:val="auto"/>
          <w:szCs w:val="24"/>
          <w:highlight w:val="none"/>
        </w:rPr>
      </w:pPr>
      <w:r>
        <w:rPr>
          <w:rFonts w:hint="eastAsia" w:hAnsi="宋体" w:cs="宋体"/>
          <w:bCs/>
          <w:color w:val="auto"/>
          <w:szCs w:val="24"/>
          <w:highlight w:val="none"/>
        </w:rPr>
        <w:t>项目名称：</w:t>
      </w:r>
    </w:p>
    <w:p w14:paraId="6F4485CA">
      <w:pPr>
        <w:tabs>
          <w:tab w:val="left" w:pos="7080"/>
          <w:tab w:val="left" w:pos="8504"/>
        </w:tabs>
        <w:spacing w:line="360" w:lineRule="auto"/>
        <w:ind w:right="-1"/>
        <w:rPr>
          <w:rFonts w:hAnsi="宋体" w:cs="宋体"/>
          <w:bCs/>
          <w:color w:val="auto"/>
          <w:szCs w:val="24"/>
          <w:highlight w:val="none"/>
        </w:rPr>
      </w:pPr>
      <w:r>
        <w:rPr>
          <w:rFonts w:hint="eastAsia" w:asciiTheme="minorEastAsia" w:hAnsiTheme="minorEastAsia" w:eastAsiaTheme="minorEastAsia" w:cstheme="minorEastAsia"/>
          <w:sz w:val="24"/>
          <w:szCs w:val="24"/>
          <w:highlight w:val="none"/>
        </w:rPr>
        <w:t>项目编号：</w:t>
      </w:r>
    </w:p>
    <w:tbl>
      <w:tblPr>
        <w:tblStyle w:val="22"/>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678A5F00">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1AF12BE5">
            <w:pPr>
              <w:spacing w:after="120"/>
              <w:jc w:val="center"/>
              <w:rPr>
                <w:rFonts w:hAnsi="宋体" w:cs="宋体"/>
                <w:color w:val="auto"/>
                <w:highlight w:val="none"/>
              </w:rPr>
            </w:pPr>
            <w:r>
              <w:rPr>
                <w:rFonts w:hint="eastAsia" w:hAnsi="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14:paraId="126525DC">
            <w:pPr>
              <w:spacing w:after="120"/>
              <w:jc w:val="center"/>
              <w:rPr>
                <w:rFonts w:hAnsi="宋体" w:cs="宋体"/>
                <w:color w:val="auto"/>
                <w:highlight w:val="none"/>
              </w:rPr>
            </w:pPr>
            <w:r>
              <w:rPr>
                <w:rFonts w:hint="eastAsia" w:hAnsi="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4E293134">
            <w:pPr>
              <w:spacing w:beforeLines="50" w:after="120"/>
              <w:jc w:val="center"/>
              <w:rPr>
                <w:rFonts w:hAnsi="宋体" w:cs="宋体"/>
                <w:color w:val="auto"/>
                <w:highlight w:val="none"/>
              </w:rPr>
            </w:pPr>
            <w:r>
              <w:rPr>
                <w:rFonts w:hint="eastAsia" w:hAnsi="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1D9B3C5B">
            <w:pPr>
              <w:spacing w:after="120"/>
              <w:jc w:val="center"/>
              <w:rPr>
                <w:rFonts w:hAnsi="宋体" w:cs="宋体"/>
                <w:color w:val="auto"/>
                <w:highlight w:val="none"/>
              </w:rPr>
            </w:pPr>
            <w:r>
              <w:rPr>
                <w:rFonts w:hint="eastAsia" w:hAnsi="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3EAAFED9">
            <w:pPr>
              <w:spacing w:after="120"/>
              <w:jc w:val="center"/>
              <w:rPr>
                <w:rFonts w:hAnsi="宋体" w:cs="宋体"/>
                <w:color w:val="auto"/>
                <w:highlight w:val="none"/>
              </w:rPr>
            </w:pPr>
            <w:r>
              <w:rPr>
                <w:rFonts w:hint="eastAsia" w:hAnsi="宋体" w:cs="宋体"/>
                <w:color w:val="auto"/>
                <w:highlight w:val="none"/>
              </w:rPr>
              <w:t>单价</w:t>
            </w:r>
          </w:p>
          <w:p w14:paraId="68359CED">
            <w:pPr>
              <w:spacing w:after="120"/>
              <w:jc w:val="center"/>
              <w:rPr>
                <w:rFonts w:hAnsi="宋体" w:cs="宋体"/>
                <w:bCs/>
                <w:color w:val="auto"/>
                <w:highlight w:val="none"/>
              </w:rPr>
            </w:pPr>
            <w:r>
              <w:rPr>
                <w:rFonts w:hint="eastAsia" w:hAnsi="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14:paraId="2FFEB93D">
            <w:pPr>
              <w:spacing w:after="120"/>
              <w:jc w:val="center"/>
              <w:rPr>
                <w:rFonts w:hAnsi="宋体" w:cs="宋体"/>
                <w:bCs/>
                <w:color w:val="auto"/>
                <w:highlight w:val="none"/>
              </w:rPr>
            </w:pPr>
            <w:r>
              <w:rPr>
                <w:rFonts w:hint="eastAsia" w:hAnsi="宋体" w:cs="宋体"/>
                <w:bCs/>
                <w:color w:val="auto"/>
                <w:highlight w:val="none"/>
              </w:rPr>
              <w:t>总价</w:t>
            </w:r>
          </w:p>
          <w:p w14:paraId="223839A6">
            <w:pPr>
              <w:spacing w:after="120"/>
              <w:jc w:val="center"/>
              <w:rPr>
                <w:rFonts w:hAnsi="宋体" w:cs="宋体"/>
                <w:bCs/>
                <w:color w:val="auto"/>
                <w:highlight w:val="none"/>
              </w:rPr>
            </w:pPr>
            <w:r>
              <w:rPr>
                <w:rFonts w:hint="eastAsia" w:hAnsi="宋体" w:cs="宋体"/>
                <w:bCs/>
                <w:color w:val="auto"/>
                <w:highlight w:val="none"/>
              </w:rPr>
              <w:t>（元）</w:t>
            </w:r>
          </w:p>
        </w:tc>
      </w:tr>
      <w:tr w14:paraId="75ADF93A">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34401B71">
            <w:pPr>
              <w:spacing w:beforeLines="100"/>
              <w:jc w:val="center"/>
              <w:rPr>
                <w:rFonts w:hAnsi="宋体" w:cs="宋体"/>
                <w:color w:val="auto"/>
                <w:highlight w:val="none"/>
              </w:rPr>
            </w:pPr>
            <w:r>
              <w:rPr>
                <w:rFonts w:hint="eastAsia" w:hAnsi="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14:paraId="3B806DA0">
            <w:pPr>
              <w:spacing w:beforeLines="50"/>
              <w:jc w:val="center"/>
              <w:rPr>
                <w:rFonts w:hAnsi="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2525D76A">
            <w:pPr>
              <w:spacing w:beforeLines="50"/>
              <w:jc w:val="center"/>
              <w:rPr>
                <w:rFonts w:hAnsi="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3EBC52A6">
            <w:pPr>
              <w:spacing w:beforeLines="50"/>
              <w:jc w:val="center"/>
              <w:rPr>
                <w:rFonts w:hAnsi="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027BC012">
            <w:pPr>
              <w:spacing w:beforeLines="50"/>
              <w:jc w:val="center"/>
              <w:rPr>
                <w:rFonts w:hAnsi="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14:paraId="4413BE99">
            <w:pPr>
              <w:spacing w:beforeLines="50"/>
              <w:jc w:val="center"/>
              <w:rPr>
                <w:rFonts w:hAnsi="宋体" w:cs="宋体"/>
                <w:color w:val="auto"/>
                <w:highlight w:val="none"/>
              </w:rPr>
            </w:pPr>
          </w:p>
        </w:tc>
      </w:tr>
      <w:tr w14:paraId="0DBE7B7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58F28328">
            <w:pPr>
              <w:spacing w:beforeLines="100"/>
              <w:jc w:val="center"/>
              <w:rPr>
                <w:rFonts w:hAnsi="宋体" w:cs="宋体"/>
                <w:color w:val="auto"/>
                <w:highlight w:val="none"/>
              </w:rPr>
            </w:pPr>
            <w:r>
              <w:rPr>
                <w:rFonts w:hint="eastAsia" w:hAnsi="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14:paraId="4E4A1514">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0946DC57">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21716502">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2E6CF41D">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7AEF0318">
            <w:pPr>
              <w:spacing w:beforeLines="50"/>
              <w:jc w:val="center"/>
              <w:rPr>
                <w:rFonts w:hAnsi="宋体" w:cs="宋体"/>
                <w:color w:val="auto"/>
                <w:highlight w:val="none"/>
              </w:rPr>
            </w:pPr>
          </w:p>
        </w:tc>
      </w:tr>
      <w:tr w14:paraId="7917835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F943822">
            <w:pPr>
              <w:spacing w:beforeLines="100"/>
              <w:jc w:val="center"/>
              <w:rPr>
                <w:rFonts w:hAnsi="宋体" w:cs="宋体"/>
                <w:color w:val="auto"/>
                <w:highlight w:val="none"/>
              </w:rPr>
            </w:pPr>
            <w:r>
              <w:rPr>
                <w:rFonts w:hint="eastAsia" w:hAnsi="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14:paraId="3EB90BE7">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01F999CC">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19498681">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6BECFE58">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3FEC95E1">
            <w:pPr>
              <w:spacing w:beforeLines="50"/>
              <w:jc w:val="center"/>
              <w:rPr>
                <w:rFonts w:hAnsi="宋体" w:cs="宋体"/>
                <w:color w:val="auto"/>
                <w:highlight w:val="none"/>
              </w:rPr>
            </w:pPr>
          </w:p>
        </w:tc>
      </w:tr>
      <w:tr w14:paraId="541EB1D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20A385B">
            <w:pPr>
              <w:spacing w:beforeLines="100"/>
              <w:jc w:val="center"/>
              <w:rPr>
                <w:rFonts w:hAnsi="宋体" w:cs="宋体"/>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0B944F0B">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4EB242DD">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5494A9AC">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52372900">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22781BB1">
            <w:pPr>
              <w:spacing w:beforeLines="50"/>
              <w:jc w:val="center"/>
              <w:rPr>
                <w:rFonts w:hAnsi="宋体" w:cs="宋体"/>
                <w:color w:val="auto"/>
                <w:highlight w:val="none"/>
              </w:rPr>
            </w:pPr>
          </w:p>
        </w:tc>
      </w:tr>
      <w:tr w14:paraId="0537DE1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0CADB816">
            <w:pPr>
              <w:spacing w:beforeLines="100"/>
              <w:jc w:val="center"/>
              <w:rPr>
                <w:rFonts w:hAnsi="宋体" w:cs="宋体"/>
                <w:b/>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421FC432">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78F954DB">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6ACEADA6">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6B5701D9">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6AC36F03">
            <w:pPr>
              <w:spacing w:beforeLines="50"/>
              <w:jc w:val="center"/>
              <w:rPr>
                <w:rFonts w:hAnsi="宋体" w:cs="宋体"/>
                <w:color w:val="auto"/>
                <w:highlight w:val="none"/>
              </w:rPr>
            </w:pPr>
          </w:p>
        </w:tc>
      </w:tr>
      <w:tr w14:paraId="3E4E6B7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6547B6B3">
            <w:pPr>
              <w:jc w:val="center"/>
              <w:rPr>
                <w:rFonts w:hAnsi="宋体" w:cs="宋体"/>
                <w:color w:val="auto"/>
                <w:highlight w:val="none"/>
              </w:rPr>
            </w:pPr>
            <w:r>
              <w:rPr>
                <w:rFonts w:hint="eastAsia" w:hAnsi="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244245C2">
            <w:pPr>
              <w:spacing w:beforeLines="50"/>
              <w:jc w:val="left"/>
              <w:rPr>
                <w:rFonts w:hAnsi="宋体" w:cs="宋体"/>
                <w:color w:val="auto"/>
                <w:highlight w:val="none"/>
              </w:rPr>
            </w:pPr>
            <w:r>
              <w:rPr>
                <w:rFonts w:hint="eastAsia" w:hAnsi="宋体" w:cs="宋体"/>
                <w:color w:val="auto"/>
                <w:highlight w:val="none"/>
              </w:rPr>
              <w:t>大写：                                小写：</w:t>
            </w:r>
          </w:p>
        </w:tc>
      </w:tr>
      <w:tr w14:paraId="78F1EE65">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2C29443F">
            <w:pPr>
              <w:jc w:val="center"/>
              <w:rPr>
                <w:rFonts w:hAnsi="宋体" w:cs="宋体"/>
                <w:color w:val="auto"/>
                <w:highlight w:val="none"/>
              </w:rPr>
            </w:pPr>
            <w:r>
              <w:rPr>
                <w:rFonts w:hint="eastAsia" w:hAnsi="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57FA2203">
            <w:pPr>
              <w:spacing w:beforeLines="50"/>
              <w:jc w:val="center"/>
              <w:rPr>
                <w:rFonts w:hAnsi="宋体" w:cs="宋体"/>
                <w:color w:val="auto"/>
                <w:highlight w:val="none"/>
              </w:rPr>
            </w:pPr>
            <w:r>
              <w:rPr>
                <w:rFonts w:hint="eastAsia" w:hAnsi="宋体" w:cs="宋体"/>
                <w:color w:val="auto"/>
                <w:spacing w:val="-6"/>
                <w:highlight w:val="none"/>
              </w:rPr>
              <w:t>保留小数点后两位。</w:t>
            </w:r>
          </w:p>
        </w:tc>
      </w:tr>
    </w:tbl>
    <w:p w14:paraId="252047F8">
      <w:pPr>
        <w:adjustRightInd w:val="0"/>
        <w:snapToGrid w:val="0"/>
        <w:spacing w:line="360" w:lineRule="auto"/>
        <w:rPr>
          <w:rFonts w:hAnsi="宋体" w:cs="宋体"/>
          <w:color w:val="auto"/>
          <w:szCs w:val="21"/>
          <w:highlight w:val="none"/>
        </w:rPr>
      </w:pPr>
    </w:p>
    <w:p w14:paraId="4312F12E">
      <w:pPr>
        <w:adjustRightInd w:val="0"/>
        <w:snapToGrid w:val="0"/>
        <w:spacing w:line="360" w:lineRule="auto"/>
        <w:rPr>
          <w:rFonts w:hAnsi="宋体" w:cs="宋体"/>
          <w:bCs/>
          <w:color w:val="auto"/>
          <w:szCs w:val="21"/>
          <w:highlight w:val="none"/>
        </w:rPr>
      </w:pPr>
      <w:r>
        <w:rPr>
          <w:rFonts w:hint="eastAsia" w:hAnsi="宋体" w:cs="宋体"/>
          <w:color w:val="auto"/>
          <w:szCs w:val="21"/>
          <w:highlight w:val="none"/>
        </w:rPr>
        <w:t>说明：</w:t>
      </w:r>
      <w:r>
        <w:rPr>
          <w:rFonts w:hint="eastAsia" w:hAnsi="宋体" w:cs="宋体"/>
          <w:bCs/>
          <w:color w:val="auto"/>
          <w:szCs w:val="21"/>
          <w:highlight w:val="none"/>
        </w:rPr>
        <w:t>1、</w:t>
      </w:r>
      <w:r>
        <w:rPr>
          <w:rFonts w:hint="eastAsia" w:hAnsi="宋体" w:cs="宋体"/>
          <w:color w:val="auto"/>
          <w:szCs w:val="21"/>
          <w:highlight w:val="none"/>
        </w:rPr>
        <w:t>供应商提供的属于节能、环境标志产品品目清单中优先采购的产品，须按磋商文件要求提供相关证明材料。</w:t>
      </w:r>
    </w:p>
    <w:p w14:paraId="48ADEB85">
      <w:pPr>
        <w:pStyle w:val="35"/>
        <w:spacing w:line="400" w:lineRule="exact"/>
        <w:ind w:left="480" w:leftChars="200" w:firstLine="240" w:firstLineChars="100"/>
        <w:rPr>
          <w:rFonts w:hAnsi="宋体" w:cs="宋体"/>
          <w:color w:val="auto"/>
          <w:sz w:val="28"/>
          <w:szCs w:val="28"/>
          <w:highlight w:val="none"/>
        </w:rPr>
      </w:pPr>
      <w:r>
        <w:rPr>
          <w:rFonts w:hint="eastAsia" w:hAnsi="宋体" w:cs="宋体"/>
          <w:bCs/>
          <w:color w:val="auto"/>
          <w:highlight w:val="none"/>
        </w:rPr>
        <w:t>2、未按上述要求提供、</w:t>
      </w:r>
      <w:r>
        <w:rPr>
          <w:rFonts w:hint="eastAsia" w:hAnsi="宋体" w:cs="宋体"/>
          <w:color w:val="auto"/>
          <w:highlight w:val="none"/>
        </w:rPr>
        <w:t>填写</w:t>
      </w:r>
      <w:r>
        <w:rPr>
          <w:rFonts w:hint="eastAsia" w:hAnsi="宋体" w:cs="宋体"/>
          <w:bCs/>
          <w:color w:val="auto"/>
          <w:highlight w:val="none"/>
        </w:rPr>
        <w:t>的，评审时不予以考虑。</w:t>
      </w:r>
    </w:p>
    <w:p w14:paraId="230CF6F4">
      <w:pPr>
        <w:tabs>
          <w:tab w:val="left" w:pos="4860"/>
        </w:tabs>
        <w:spacing w:line="588" w:lineRule="exact"/>
        <w:ind w:right="1560" w:firstLine="480" w:firstLineChars="200"/>
        <w:jc w:val="center"/>
        <w:rPr>
          <w:rFonts w:hint="eastAsia" w:hAnsi="宋体" w:cs="宋体"/>
          <w:color w:val="auto"/>
          <w:spacing w:val="6"/>
          <w:szCs w:val="24"/>
          <w:highlight w:val="none"/>
        </w:rPr>
      </w:pPr>
      <w:r>
        <w:rPr>
          <w:rFonts w:hint="eastAsia" w:hAnsi="宋体" w:cs="宋体"/>
          <w:color w:val="auto"/>
          <w:szCs w:val="24"/>
          <w:highlight w:val="none"/>
        </w:rPr>
        <w:br w:type="page"/>
      </w:r>
    </w:p>
    <w:p w14:paraId="10EFE5B5">
      <w:pPr>
        <w:spacing w:line="360" w:lineRule="auto"/>
        <w:outlineLvl w:val="2"/>
        <w:rPr>
          <w:rFonts w:hAnsi="宋体" w:cs="宋体"/>
          <w:b/>
          <w:color w:val="auto"/>
          <w:sz w:val="28"/>
          <w:szCs w:val="28"/>
          <w:highlight w:val="none"/>
        </w:rPr>
      </w:pPr>
      <w:bookmarkStart w:id="314" w:name="_Toc19526"/>
      <w:bookmarkStart w:id="315" w:name="_Toc2119"/>
      <w:bookmarkStart w:id="316" w:name="_Toc2139"/>
      <w:bookmarkStart w:id="317" w:name="_Toc29109"/>
      <w:bookmarkStart w:id="318" w:name="_Toc23160"/>
      <w:bookmarkStart w:id="319" w:name="_Toc153"/>
      <w:r>
        <w:rPr>
          <w:rFonts w:hint="eastAsia" w:hAnsi="宋体" w:cs="宋体"/>
          <w:b/>
          <w:color w:val="auto"/>
          <w:sz w:val="28"/>
          <w:szCs w:val="28"/>
          <w:highlight w:val="none"/>
        </w:rPr>
        <w:t>附件5：质疑函范本</w:t>
      </w:r>
      <w:bookmarkEnd w:id="314"/>
      <w:bookmarkEnd w:id="315"/>
      <w:bookmarkEnd w:id="316"/>
      <w:bookmarkEnd w:id="317"/>
      <w:bookmarkEnd w:id="318"/>
      <w:bookmarkEnd w:id="319"/>
    </w:p>
    <w:p w14:paraId="77F154CA">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158D7DCB">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4BDC1D3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372EDB45">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4000AE7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48CD5C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37FCE0CE">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9B1DF3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74F1A6BD">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5A55657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374441F2">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2841F9F8">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0E2FA91F">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5A99407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76B72F96">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19D26728">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31CA5BD6">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69009BC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7EFC72D6">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408285F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3155F9D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29B966C3">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6D23213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0259B8CA">
      <w:pPr>
        <w:rPr>
          <w:rFonts w:hAnsi="宋体" w:cs="宋体"/>
          <w:color w:val="auto"/>
          <w:szCs w:val="24"/>
          <w:highlight w:val="none"/>
        </w:rPr>
      </w:pPr>
      <w:r>
        <w:rPr>
          <w:rFonts w:hint="eastAsia" w:hAnsi="宋体" w:cs="宋体"/>
          <w:color w:val="auto"/>
          <w:szCs w:val="24"/>
          <w:highlight w:val="none"/>
        </w:rPr>
        <w:t xml:space="preserve">签字(签章)：                   公章：                      </w:t>
      </w:r>
    </w:p>
    <w:p w14:paraId="028D1DE1">
      <w:pPr>
        <w:rPr>
          <w:rFonts w:hAnsi="宋体" w:cs="宋体"/>
          <w:color w:val="auto"/>
          <w:szCs w:val="24"/>
          <w:highlight w:val="none"/>
        </w:rPr>
      </w:pPr>
      <w:r>
        <w:rPr>
          <w:rFonts w:hint="eastAsia" w:hAnsi="宋体" w:cs="宋体"/>
          <w:color w:val="auto"/>
          <w:szCs w:val="24"/>
          <w:highlight w:val="none"/>
        </w:rPr>
        <w:t xml:space="preserve">日期：    </w:t>
      </w:r>
    </w:p>
    <w:p w14:paraId="36235FBD">
      <w:pPr>
        <w:jc w:val="center"/>
        <w:rPr>
          <w:rFonts w:hAnsi="宋体" w:cs="宋体"/>
          <w:b/>
          <w:color w:val="auto"/>
          <w:sz w:val="44"/>
          <w:szCs w:val="44"/>
          <w:highlight w:val="none"/>
        </w:rPr>
      </w:pPr>
    </w:p>
    <w:p w14:paraId="37F2CA0C">
      <w:pPr>
        <w:jc w:val="center"/>
        <w:rPr>
          <w:rFonts w:hAnsi="宋体" w:cs="宋体"/>
          <w:b/>
          <w:color w:val="auto"/>
          <w:sz w:val="44"/>
          <w:szCs w:val="44"/>
          <w:highlight w:val="none"/>
        </w:rPr>
      </w:pPr>
    </w:p>
    <w:p w14:paraId="353037FF">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1C54ABA3">
      <w:pPr>
        <w:rPr>
          <w:rFonts w:hAnsi="宋体" w:cs="宋体"/>
          <w:color w:val="auto"/>
          <w:szCs w:val="24"/>
          <w:highlight w:val="none"/>
        </w:rPr>
      </w:pPr>
      <w:r>
        <w:rPr>
          <w:rFonts w:hint="eastAsia" w:hAnsi="宋体" w:cs="宋体"/>
          <w:color w:val="auto"/>
          <w:szCs w:val="24"/>
          <w:highlight w:val="none"/>
        </w:rPr>
        <w:t>一、投诉相关主体基本情况</w:t>
      </w:r>
    </w:p>
    <w:p w14:paraId="6B50C704">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2458ACC4">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1B79017D">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p>
    <w:p w14:paraId="54C42206">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3CF4CDF6">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3D6F455E">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0487D724">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p>
    <w:p w14:paraId="53538589">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F437F8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5C16C889">
      <w:pPr>
        <w:rPr>
          <w:rFonts w:hAnsi="宋体" w:cs="宋体"/>
          <w:color w:val="auto"/>
          <w:szCs w:val="24"/>
          <w:highlight w:val="none"/>
        </w:rPr>
      </w:pPr>
      <w:r>
        <w:rPr>
          <w:rFonts w:hint="eastAsia" w:hAnsi="宋体" w:cs="宋体"/>
          <w:color w:val="auto"/>
          <w:szCs w:val="24"/>
          <w:highlight w:val="none"/>
        </w:rPr>
        <w:t>被投诉人2</w:t>
      </w:r>
    </w:p>
    <w:p w14:paraId="7613259B">
      <w:pPr>
        <w:rPr>
          <w:rFonts w:hAnsi="宋体" w:cs="宋体"/>
          <w:color w:val="auto"/>
          <w:szCs w:val="24"/>
          <w:highlight w:val="none"/>
          <w:u w:val="dotted"/>
        </w:rPr>
      </w:pPr>
      <w:r>
        <w:rPr>
          <w:rFonts w:hint="eastAsia" w:hAnsi="宋体" w:cs="宋体"/>
          <w:color w:val="auto"/>
          <w:szCs w:val="24"/>
          <w:highlight w:val="none"/>
        </w:rPr>
        <w:t>……</w:t>
      </w:r>
    </w:p>
    <w:p w14:paraId="1EC11586">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p>
    <w:p w14:paraId="30B1A949">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A18636A">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6A729FC3">
      <w:pPr>
        <w:rPr>
          <w:rFonts w:hAnsi="宋体" w:cs="宋体"/>
          <w:color w:val="auto"/>
          <w:szCs w:val="24"/>
          <w:highlight w:val="none"/>
        </w:rPr>
      </w:pPr>
      <w:r>
        <w:rPr>
          <w:rFonts w:hint="eastAsia" w:hAnsi="宋体" w:cs="宋体"/>
          <w:color w:val="auto"/>
          <w:szCs w:val="24"/>
          <w:highlight w:val="none"/>
        </w:rPr>
        <w:t>二、投诉项目基本情况</w:t>
      </w:r>
    </w:p>
    <w:p w14:paraId="3EF8631B">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144377AA">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45FD3BC7">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108A13FC">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15272311">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35F575AB">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395D4631">
      <w:pPr>
        <w:rPr>
          <w:rFonts w:hAnsi="宋体" w:cs="宋体"/>
          <w:color w:val="auto"/>
          <w:szCs w:val="24"/>
          <w:highlight w:val="none"/>
        </w:rPr>
      </w:pPr>
      <w:r>
        <w:rPr>
          <w:rFonts w:hint="eastAsia" w:hAnsi="宋体" w:cs="宋体"/>
          <w:color w:val="auto"/>
          <w:szCs w:val="24"/>
          <w:highlight w:val="none"/>
        </w:rPr>
        <w:t>三、质疑基本情况</w:t>
      </w:r>
    </w:p>
    <w:p w14:paraId="603133C9">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23543CE">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193A07F3">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293ECCBC">
      <w:pPr>
        <w:rPr>
          <w:rFonts w:hAnsi="宋体" w:cs="宋体"/>
          <w:color w:val="auto"/>
          <w:szCs w:val="24"/>
          <w:highlight w:val="none"/>
        </w:rPr>
      </w:pPr>
      <w:r>
        <w:rPr>
          <w:rFonts w:hint="eastAsia" w:hAnsi="宋体" w:cs="宋体"/>
          <w:color w:val="auto"/>
          <w:szCs w:val="24"/>
          <w:highlight w:val="none"/>
        </w:rPr>
        <w:t>四、投诉事项具体内容</w:t>
      </w:r>
    </w:p>
    <w:p w14:paraId="0939FAAD">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4B4EBC88">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1CB53C0E">
      <w:pPr>
        <w:rPr>
          <w:rFonts w:hAnsi="宋体" w:cs="宋体"/>
          <w:color w:val="auto"/>
          <w:szCs w:val="24"/>
          <w:highlight w:val="none"/>
          <w:u w:val="dotted"/>
        </w:rPr>
      </w:pPr>
      <w:r>
        <w:rPr>
          <w:rFonts w:hint="eastAsia" w:hAnsi="宋体" w:cs="宋体"/>
          <w:color w:val="auto"/>
          <w:szCs w:val="24"/>
          <w:highlight w:val="none"/>
          <w:u w:val="dotted"/>
        </w:rPr>
        <w:t xml:space="preserve">                                                      </w:t>
      </w:r>
    </w:p>
    <w:p w14:paraId="671AD4F7">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3ADD8773">
      <w:pPr>
        <w:rPr>
          <w:rFonts w:hAnsi="宋体" w:cs="宋体"/>
          <w:color w:val="auto"/>
          <w:szCs w:val="24"/>
          <w:highlight w:val="none"/>
          <w:u w:val="dotted"/>
        </w:rPr>
      </w:pPr>
      <w:r>
        <w:rPr>
          <w:rFonts w:hint="eastAsia" w:hAnsi="宋体" w:cs="宋体"/>
          <w:color w:val="auto"/>
          <w:szCs w:val="24"/>
          <w:highlight w:val="none"/>
          <w:u w:val="dotted"/>
        </w:rPr>
        <w:t xml:space="preserve">                                                      </w:t>
      </w:r>
    </w:p>
    <w:p w14:paraId="74EFDAD7">
      <w:pPr>
        <w:rPr>
          <w:rFonts w:hAnsi="宋体" w:cs="宋体"/>
          <w:color w:val="auto"/>
          <w:szCs w:val="24"/>
          <w:highlight w:val="none"/>
        </w:rPr>
      </w:pPr>
      <w:r>
        <w:rPr>
          <w:rFonts w:hint="eastAsia" w:hAnsi="宋体" w:cs="宋体"/>
          <w:color w:val="auto"/>
          <w:szCs w:val="24"/>
          <w:highlight w:val="none"/>
        </w:rPr>
        <w:t>投诉事项2</w:t>
      </w:r>
    </w:p>
    <w:p w14:paraId="291374E3">
      <w:pPr>
        <w:rPr>
          <w:rFonts w:hAnsi="宋体" w:cs="宋体"/>
          <w:color w:val="auto"/>
          <w:szCs w:val="24"/>
          <w:highlight w:val="none"/>
          <w:u w:val="dotted"/>
        </w:rPr>
      </w:pPr>
      <w:r>
        <w:rPr>
          <w:rFonts w:hint="eastAsia" w:hAnsi="宋体" w:cs="宋体"/>
          <w:color w:val="auto"/>
          <w:szCs w:val="24"/>
          <w:highlight w:val="none"/>
        </w:rPr>
        <w:t>……</w:t>
      </w:r>
    </w:p>
    <w:p w14:paraId="51AA97A3">
      <w:pPr>
        <w:rPr>
          <w:rFonts w:hAnsi="宋体" w:cs="宋体"/>
          <w:color w:val="auto"/>
          <w:szCs w:val="24"/>
          <w:highlight w:val="none"/>
        </w:rPr>
      </w:pPr>
      <w:r>
        <w:rPr>
          <w:rFonts w:hint="eastAsia" w:hAnsi="宋体" w:cs="宋体"/>
          <w:color w:val="auto"/>
          <w:szCs w:val="24"/>
          <w:highlight w:val="none"/>
        </w:rPr>
        <w:t>五、与投诉事项相关的投诉请求</w:t>
      </w:r>
    </w:p>
    <w:p w14:paraId="562F7217">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1E164554">
      <w:pPr>
        <w:rPr>
          <w:rFonts w:hAnsi="宋体" w:cs="宋体"/>
          <w:color w:val="auto"/>
          <w:szCs w:val="24"/>
          <w:highlight w:val="none"/>
          <w:u w:val="single"/>
        </w:rPr>
      </w:pPr>
      <w:r>
        <w:rPr>
          <w:rFonts w:hint="eastAsia" w:hAnsi="宋体" w:cs="宋体"/>
          <w:color w:val="auto"/>
          <w:szCs w:val="24"/>
          <w:highlight w:val="none"/>
        </w:rPr>
        <w:t xml:space="preserve">                                                                                                    </w:t>
      </w:r>
    </w:p>
    <w:p w14:paraId="4ECA6BB7">
      <w:pPr>
        <w:rPr>
          <w:rFonts w:hAnsi="宋体" w:cs="宋体"/>
          <w:color w:val="auto"/>
          <w:szCs w:val="24"/>
          <w:highlight w:val="none"/>
        </w:rPr>
      </w:pPr>
      <w:r>
        <w:rPr>
          <w:rFonts w:hint="eastAsia" w:hAnsi="宋体" w:cs="宋体"/>
          <w:color w:val="auto"/>
          <w:szCs w:val="24"/>
          <w:highlight w:val="none"/>
        </w:rPr>
        <w:t xml:space="preserve">签字(签章)：                   公章：                      </w:t>
      </w:r>
    </w:p>
    <w:p w14:paraId="5CF1839F">
      <w:pPr>
        <w:rPr>
          <w:rFonts w:hAnsi="宋体" w:cs="宋体"/>
          <w:color w:val="auto"/>
          <w:sz w:val="21"/>
          <w:szCs w:val="21"/>
          <w:highlight w:val="none"/>
        </w:rPr>
      </w:pPr>
      <w:r>
        <w:rPr>
          <w:rFonts w:hint="eastAsia" w:hAnsi="宋体" w:cs="宋体"/>
          <w:color w:val="auto"/>
          <w:szCs w:val="24"/>
          <w:highlight w:val="none"/>
        </w:rPr>
        <w:t xml:space="preserve">日期：    </w:t>
      </w:r>
      <w:r>
        <w:rPr>
          <w:rFonts w:hint="eastAsia" w:hAnsi="宋体" w:cs="宋体"/>
          <w:color w:val="auto"/>
          <w:sz w:val="21"/>
          <w:szCs w:val="21"/>
          <w:highlight w:val="none"/>
        </w:rPr>
        <w:t xml:space="preserve">                  </w:t>
      </w:r>
    </w:p>
    <w:p w14:paraId="5D5F297A">
      <w:pPr>
        <w:spacing w:line="360" w:lineRule="auto"/>
        <w:rPr>
          <w:rFonts w:hAnsi="宋体" w:cs="宋体"/>
          <w:color w:val="auto"/>
          <w:szCs w:val="24"/>
          <w:highlight w:val="none"/>
        </w:rPr>
      </w:pPr>
      <w:r>
        <w:rPr>
          <w:rFonts w:hint="eastAsia" w:hAnsi="宋体" w:cs="宋体"/>
          <w:color w:val="auto"/>
          <w:szCs w:val="24"/>
          <w:highlight w:val="none"/>
        </w:rPr>
        <w:t xml:space="preserve">                                </w:t>
      </w:r>
    </w:p>
    <w:p w14:paraId="6B547316">
      <w:pPr>
        <w:tabs>
          <w:tab w:val="left" w:pos="7839"/>
        </w:tabs>
        <w:rPr>
          <w:color w:val="auto"/>
          <w:highlight w:val="none"/>
        </w:rPr>
      </w:pPr>
    </w:p>
    <w:sectPr>
      <w:footerReference r:id="rId12" w:type="first"/>
      <w:headerReference r:id="rId10" w:type="default"/>
      <w:footerReference r:id="rId11"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A8B074-2EDF-4760-AC64-AC7E4ADFA3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8407C">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6134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FABBA">
    <w:pPr>
      <w:pStyle w:val="14"/>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127E3">
    <w:pPr>
      <w:pStyle w:val="14"/>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B000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DBCB9">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28DBCB9">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4C4CC">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4395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7E4395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6392">
    <w:pPr>
      <w:spacing w:line="500" w:lineRule="exact"/>
      <w:ind w:left="1530" w:hanging="1530" w:hangingChars="850"/>
      <w:jc w:val="left"/>
      <w:rPr>
        <w:rFonts w:hint="default" w:hAnsi="宋体" w:cs="宋体"/>
        <w:sz w:val="24"/>
        <w:szCs w:val="24"/>
        <w:lang w:val="en-US"/>
      </w:rPr>
    </w:pPr>
    <w:r>
      <w:rPr>
        <w:rFonts w:hint="eastAsia" w:hAnsi="宋体"/>
        <w:bCs/>
        <w:sz w:val="18"/>
        <w:szCs w:val="18"/>
        <w:u w:val="single"/>
        <w:lang w:val="en-US" w:eastAsia="zh-CN"/>
      </w:rPr>
      <w:t>陕西省秦巴山区汉江丹江流域中央财政国土绿化示范项目（丹凤县2024年度）碳汇监测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335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8FB64">
    <w:pPr>
      <w:pStyle w:val="1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B684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590049E8"/>
    <w:multiLevelType w:val="singleLevel"/>
    <w:tmpl w:val="590049E8"/>
    <w:lvl w:ilvl="0" w:tentative="0">
      <w:start w:val="30"/>
      <w:numFmt w:val="decimal"/>
      <w:suff w:val="nothing"/>
      <w:lvlText w:val="%1."/>
      <w:lvlJc w:val="left"/>
    </w:lvl>
  </w:abstractNum>
  <w:abstractNum w:abstractNumId="2">
    <w:nsid w:val="59B2460E"/>
    <w:multiLevelType w:val="singleLevel"/>
    <w:tmpl w:val="59B2460E"/>
    <w:lvl w:ilvl="0" w:tentative="0">
      <w:start w:val="2"/>
      <w:numFmt w:val="decimal"/>
      <w:suff w:val="nothing"/>
      <w:lvlText w:val="%1."/>
      <w:lvlJc w:val="left"/>
    </w:lvl>
  </w:abstractNum>
  <w:abstractNum w:abstractNumId="3">
    <w:nsid w:val="59CF0981"/>
    <w:multiLevelType w:val="singleLevel"/>
    <w:tmpl w:val="59CF098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422DA9"/>
    <w:rsid w:val="00137253"/>
    <w:rsid w:val="001C7382"/>
    <w:rsid w:val="00284B06"/>
    <w:rsid w:val="0032060D"/>
    <w:rsid w:val="00422DA9"/>
    <w:rsid w:val="004A55FA"/>
    <w:rsid w:val="005A3987"/>
    <w:rsid w:val="006016AC"/>
    <w:rsid w:val="006256E1"/>
    <w:rsid w:val="0067163E"/>
    <w:rsid w:val="006C638F"/>
    <w:rsid w:val="00860B56"/>
    <w:rsid w:val="009444C8"/>
    <w:rsid w:val="009E22A4"/>
    <w:rsid w:val="00A646B2"/>
    <w:rsid w:val="00AB4B87"/>
    <w:rsid w:val="00C07800"/>
    <w:rsid w:val="00CA3F42"/>
    <w:rsid w:val="00F42018"/>
    <w:rsid w:val="01360B43"/>
    <w:rsid w:val="01491172"/>
    <w:rsid w:val="01DC37E8"/>
    <w:rsid w:val="026512DC"/>
    <w:rsid w:val="02B84C3A"/>
    <w:rsid w:val="02EA0A37"/>
    <w:rsid w:val="03060BB6"/>
    <w:rsid w:val="03542EE5"/>
    <w:rsid w:val="036A7762"/>
    <w:rsid w:val="038A4972"/>
    <w:rsid w:val="04711A99"/>
    <w:rsid w:val="051E0804"/>
    <w:rsid w:val="054F4610"/>
    <w:rsid w:val="05B80C59"/>
    <w:rsid w:val="05DA68EB"/>
    <w:rsid w:val="064767BD"/>
    <w:rsid w:val="06E72E78"/>
    <w:rsid w:val="06F30D4F"/>
    <w:rsid w:val="0714287C"/>
    <w:rsid w:val="07EC2E3C"/>
    <w:rsid w:val="080712BD"/>
    <w:rsid w:val="098D5F59"/>
    <w:rsid w:val="099E253A"/>
    <w:rsid w:val="09D21BBD"/>
    <w:rsid w:val="0A52691C"/>
    <w:rsid w:val="0A7B73F3"/>
    <w:rsid w:val="0A976346"/>
    <w:rsid w:val="0AE0655C"/>
    <w:rsid w:val="0B2608DC"/>
    <w:rsid w:val="0B75056B"/>
    <w:rsid w:val="0B877F63"/>
    <w:rsid w:val="0BAC05B3"/>
    <w:rsid w:val="0BE31B98"/>
    <w:rsid w:val="0C4F1BEB"/>
    <w:rsid w:val="0C580AA0"/>
    <w:rsid w:val="0D422056"/>
    <w:rsid w:val="0DCD7E5B"/>
    <w:rsid w:val="0DD57ECE"/>
    <w:rsid w:val="0E152242"/>
    <w:rsid w:val="0E715E49"/>
    <w:rsid w:val="0EC42C1D"/>
    <w:rsid w:val="0FB71F81"/>
    <w:rsid w:val="0FCB77DB"/>
    <w:rsid w:val="0FD83CA6"/>
    <w:rsid w:val="0FEA72E0"/>
    <w:rsid w:val="108274B3"/>
    <w:rsid w:val="10BD35C7"/>
    <w:rsid w:val="10C03B1A"/>
    <w:rsid w:val="110A4333"/>
    <w:rsid w:val="11933EF1"/>
    <w:rsid w:val="124E6541"/>
    <w:rsid w:val="13055EFC"/>
    <w:rsid w:val="1408016B"/>
    <w:rsid w:val="14842106"/>
    <w:rsid w:val="148F08B0"/>
    <w:rsid w:val="14FF19C2"/>
    <w:rsid w:val="150F3C15"/>
    <w:rsid w:val="15E654EF"/>
    <w:rsid w:val="16D004E2"/>
    <w:rsid w:val="16D34E48"/>
    <w:rsid w:val="17381DE3"/>
    <w:rsid w:val="175400B6"/>
    <w:rsid w:val="17E77172"/>
    <w:rsid w:val="18243F2C"/>
    <w:rsid w:val="18624A54"/>
    <w:rsid w:val="19F1107F"/>
    <w:rsid w:val="1A6A586E"/>
    <w:rsid w:val="1A7840BB"/>
    <w:rsid w:val="1A7F74B5"/>
    <w:rsid w:val="1AB77E2C"/>
    <w:rsid w:val="1B917B2A"/>
    <w:rsid w:val="1BAE4D2B"/>
    <w:rsid w:val="1BF20D44"/>
    <w:rsid w:val="1BF70EFF"/>
    <w:rsid w:val="1C135CE2"/>
    <w:rsid w:val="1C874AAA"/>
    <w:rsid w:val="1D197ADE"/>
    <w:rsid w:val="1D4961E3"/>
    <w:rsid w:val="1D6C4D32"/>
    <w:rsid w:val="1D8C396C"/>
    <w:rsid w:val="1E47352A"/>
    <w:rsid w:val="1E474499"/>
    <w:rsid w:val="1E616F4E"/>
    <w:rsid w:val="1E7D10B6"/>
    <w:rsid w:val="1E9329DA"/>
    <w:rsid w:val="1E9D2342"/>
    <w:rsid w:val="1F126C7C"/>
    <w:rsid w:val="1F136AA8"/>
    <w:rsid w:val="1FB1325C"/>
    <w:rsid w:val="1FB72D74"/>
    <w:rsid w:val="1FEB742A"/>
    <w:rsid w:val="20530343"/>
    <w:rsid w:val="20531852"/>
    <w:rsid w:val="209348EA"/>
    <w:rsid w:val="21210A4D"/>
    <w:rsid w:val="213D7E0C"/>
    <w:rsid w:val="23605E63"/>
    <w:rsid w:val="237F1D35"/>
    <w:rsid w:val="23AC19CC"/>
    <w:rsid w:val="23B4085A"/>
    <w:rsid w:val="245416F5"/>
    <w:rsid w:val="24D93136"/>
    <w:rsid w:val="255B2E26"/>
    <w:rsid w:val="25897024"/>
    <w:rsid w:val="258C4C14"/>
    <w:rsid w:val="25E76599"/>
    <w:rsid w:val="25F413E1"/>
    <w:rsid w:val="26450D58"/>
    <w:rsid w:val="2683064A"/>
    <w:rsid w:val="272C1927"/>
    <w:rsid w:val="281E2746"/>
    <w:rsid w:val="288B2693"/>
    <w:rsid w:val="289A5B44"/>
    <w:rsid w:val="28C0686E"/>
    <w:rsid w:val="28EF40E2"/>
    <w:rsid w:val="29086411"/>
    <w:rsid w:val="297E1598"/>
    <w:rsid w:val="29AF36AD"/>
    <w:rsid w:val="29E01C20"/>
    <w:rsid w:val="29E55A22"/>
    <w:rsid w:val="2AF552B4"/>
    <w:rsid w:val="2B372839"/>
    <w:rsid w:val="2BB60EE7"/>
    <w:rsid w:val="2BCA6741"/>
    <w:rsid w:val="2BE608F9"/>
    <w:rsid w:val="2BF043F9"/>
    <w:rsid w:val="2C0E0D23"/>
    <w:rsid w:val="2CE837DD"/>
    <w:rsid w:val="2CFC5020"/>
    <w:rsid w:val="2D5717A7"/>
    <w:rsid w:val="2DA83DCF"/>
    <w:rsid w:val="2EBB4D79"/>
    <w:rsid w:val="2F02634B"/>
    <w:rsid w:val="2F0B779C"/>
    <w:rsid w:val="2F8D035B"/>
    <w:rsid w:val="2FA84FEB"/>
    <w:rsid w:val="2FFD0E93"/>
    <w:rsid w:val="301001E1"/>
    <w:rsid w:val="3045283A"/>
    <w:rsid w:val="305F38FB"/>
    <w:rsid w:val="30B3406E"/>
    <w:rsid w:val="30BD4AC6"/>
    <w:rsid w:val="30E43FCF"/>
    <w:rsid w:val="31C81974"/>
    <w:rsid w:val="31CF685F"/>
    <w:rsid w:val="3231334B"/>
    <w:rsid w:val="331040BE"/>
    <w:rsid w:val="333E1EEE"/>
    <w:rsid w:val="338E1144"/>
    <w:rsid w:val="339A0CCA"/>
    <w:rsid w:val="34BB1B82"/>
    <w:rsid w:val="34C06933"/>
    <w:rsid w:val="34E00D83"/>
    <w:rsid w:val="355C5974"/>
    <w:rsid w:val="358723B5"/>
    <w:rsid w:val="359C6A8A"/>
    <w:rsid w:val="35D703D8"/>
    <w:rsid w:val="361433DA"/>
    <w:rsid w:val="36745C27"/>
    <w:rsid w:val="3736112E"/>
    <w:rsid w:val="37662F7D"/>
    <w:rsid w:val="38325D99"/>
    <w:rsid w:val="38757915"/>
    <w:rsid w:val="388F3421"/>
    <w:rsid w:val="39D553AA"/>
    <w:rsid w:val="39DA2606"/>
    <w:rsid w:val="3A064C79"/>
    <w:rsid w:val="3A8C2B51"/>
    <w:rsid w:val="3AD061AD"/>
    <w:rsid w:val="3AD96233"/>
    <w:rsid w:val="3AF06488"/>
    <w:rsid w:val="3B4F0A10"/>
    <w:rsid w:val="3B50782C"/>
    <w:rsid w:val="3B663A4F"/>
    <w:rsid w:val="3BB014AF"/>
    <w:rsid w:val="3BE21884"/>
    <w:rsid w:val="3C3740C1"/>
    <w:rsid w:val="3C7B1945"/>
    <w:rsid w:val="3C7D53DE"/>
    <w:rsid w:val="3D4E699A"/>
    <w:rsid w:val="3DBB5CCD"/>
    <w:rsid w:val="3DBC7D3F"/>
    <w:rsid w:val="3E4F1453"/>
    <w:rsid w:val="3E7C700F"/>
    <w:rsid w:val="3EBDF14F"/>
    <w:rsid w:val="3F164A63"/>
    <w:rsid w:val="3F5C5C89"/>
    <w:rsid w:val="3F750A6B"/>
    <w:rsid w:val="3F790A1F"/>
    <w:rsid w:val="403D5F58"/>
    <w:rsid w:val="4050244C"/>
    <w:rsid w:val="406B590C"/>
    <w:rsid w:val="41A73354"/>
    <w:rsid w:val="42377DAE"/>
    <w:rsid w:val="429D651C"/>
    <w:rsid w:val="42B37C55"/>
    <w:rsid w:val="42F00D2B"/>
    <w:rsid w:val="430B7CC0"/>
    <w:rsid w:val="43244531"/>
    <w:rsid w:val="43305EF3"/>
    <w:rsid w:val="43454AA3"/>
    <w:rsid w:val="43AB264F"/>
    <w:rsid w:val="43AE0137"/>
    <w:rsid w:val="43BF2BD7"/>
    <w:rsid w:val="45A81449"/>
    <w:rsid w:val="45D148E1"/>
    <w:rsid w:val="477E6905"/>
    <w:rsid w:val="47BA5602"/>
    <w:rsid w:val="47CB7BCD"/>
    <w:rsid w:val="48723E9C"/>
    <w:rsid w:val="488F77DF"/>
    <w:rsid w:val="48A948A9"/>
    <w:rsid w:val="48F344FE"/>
    <w:rsid w:val="491C7019"/>
    <w:rsid w:val="496B79EC"/>
    <w:rsid w:val="49BD79B3"/>
    <w:rsid w:val="49C82C57"/>
    <w:rsid w:val="4A02381D"/>
    <w:rsid w:val="4A0F21F9"/>
    <w:rsid w:val="4A1C0EB1"/>
    <w:rsid w:val="4A5E47CC"/>
    <w:rsid w:val="4AAC2C6F"/>
    <w:rsid w:val="4B727406"/>
    <w:rsid w:val="4B7E5126"/>
    <w:rsid w:val="4B9C1A50"/>
    <w:rsid w:val="4BAD77B9"/>
    <w:rsid w:val="4BD42F98"/>
    <w:rsid w:val="4C966BC0"/>
    <w:rsid w:val="4CB43AC2"/>
    <w:rsid w:val="4D1E03A6"/>
    <w:rsid w:val="4D3038E5"/>
    <w:rsid w:val="4D307788"/>
    <w:rsid w:val="4D477799"/>
    <w:rsid w:val="4D596375"/>
    <w:rsid w:val="4DEB6377"/>
    <w:rsid w:val="4DED6593"/>
    <w:rsid w:val="4E7E7EDA"/>
    <w:rsid w:val="4EA053B3"/>
    <w:rsid w:val="4F0B353D"/>
    <w:rsid w:val="4F0D5377"/>
    <w:rsid w:val="50121437"/>
    <w:rsid w:val="50132763"/>
    <w:rsid w:val="509203B3"/>
    <w:rsid w:val="50DF5A3C"/>
    <w:rsid w:val="521F0CE5"/>
    <w:rsid w:val="522D23CF"/>
    <w:rsid w:val="52326C6A"/>
    <w:rsid w:val="526037D7"/>
    <w:rsid w:val="528D20F2"/>
    <w:rsid w:val="52927B75"/>
    <w:rsid w:val="52A6120D"/>
    <w:rsid w:val="52C11C7B"/>
    <w:rsid w:val="53280702"/>
    <w:rsid w:val="535661BA"/>
    <w:rsid w:val="5391176E"/>
    <w:rsid w:val="53F146EA"/>
    <w:rsid w:val="54201323"/>
    <w:rsid w:val="54352A41"/>
    <w:rsid w:val="54414F42"/>
    <w:rsid w:val="5498635F"/>
    <w:rsid w:val="5527328A"/>
    <w:rsid w:val="5562118F"/>
    <w:rsid w:val="55801A9A"/>
    <w:rsid w:val="55DD6EED"/>
    <w:rsid w:val="56E23696"/>
    <w:rsid w:val="572052E3"/>
    <w:rsid w:val="57BD6C16"/>
    <w:rsid w:val="582F6BEF"/>
    <w:rsid w:val="58415BC6"/>
    <w:rsid w:val="585F62DF"/>
    <w:rsid w:val="58AB5080"/>
    <w:rsid w:val="590A2C81"/>
    <w:rsid w:val="59361347"/>
    <w:rsid w:val="593908DE"/>
    <w:rsid w:val="594068A2"/>
    <w:rsid w:val="59875AED"/>
    <w:rsid w:val="598A113A"/>
    <w:rsid w:val="59A66EED"/>
    <w:rsid w:val="5A4E220C"/>
    <w:rsid w:val="5AF150AF"/>
    <w:rsid w:val="5B451C91"/>
    <w:rsid w:val="5C06474A"/>
    <w:rsid w:val="5C5D0D87"/>
    <w:rsid w:val="5D500F29"/>
    <w:rsid w:val="5D5905FD"/>
    <w:rsid w:val="5D822C5A"/>
    <w:rsid w:val="5D93740B"/>
    <w:rsid w:val="5D9541F5"/>
    <w:rsid w:val="5DD46E27"/>
    <w:rsid w:val="5E421FD0"/>
    <w:rsid w:val="5E6A32E8"/>
    <w:rsid w:val="5E7A79CF"/>
    <w:rsid w:val="5EAA2796"/>
    <w:rsid w:val="5ED0632D"/>
    <w:rsid w:val="5ED51AA0"/>
    <w:rsid w:val="5EF312B2"/>
    <w:rsid w:val="5F1C7961"/>
    <w:rsid w:val="5F864151"/>
    <w:rsid w:val="5FD87942"/>
    <w:rsid w:val="5FF13B25"/>
    <w:rsid w:val="60032A91"/>
    <w:rsid w:val="60637039"/>
    <w:rsid w:val="60C74A21"/>
    <w:rsid w:val="61195669"/>
    <w:rsid w:val="61397DAE"/>
    <w:rsid w:val="61B50D1E"/>
    <w:rsid w:val="62251677"/>
    <w:rsid w:val="62595B4D"/>
    <w:rsid w:val="62950184"/>
    <w:rsid w:val="62A019CE"/>
    <w:rsid w:val="62AE5E99"/>
    <w:rsid w:val="633F11E7"/>
    <w:rsid w:val="638A1AF5"/>
    <w:rsid w:val="63B31DA0"/>
    <w:rsid w:val="649C06E7"/>
    <w:rsid w:val="64A936CA"/>
    <w:rsid w:val="64CA4AE0"/>
    <w:rsid w:val="64FD3107"/>
    <w:rsid w:val="65323396"/>
    <w:rsid w:val="65435C83"/>
    <w:rsid w:val="65B22848"/>
    <w:rsid w:val="66161999"/>
    <w:rsid w:val="665B3698"/>
    <w:rsid w:val="665D1ED0"/>
    <w:rsid w:val="66DC6D4D"/>
    <w:rsid w:val="67273A72"/>
    <w:rsid w:val="679B47E6"/>
    <w:rsid w:val="67B04461"/>
    <w:rsid w:val="682C6065"/>
    <w:rsid w:val="68462E19"/>
    <w:rsid w:val="68776D2D"/>
    <w:rsid w:val="68812283"/>
    <w:rsid w:val="68A6624A"/>
    <w:rsid w:val="68E646F7"/>
    <w:rsid w:val="690D798C"/>
    <w:rsid w:val="69BC30B5"/>
    <w:rsid w:val="69D4240D"/>
    <w:rsid w:val="69DE533E"/>
    <w:rsid w:val="69E9326E"/>
    <w:rsid w:val="6A9A2601"/>
    <w:rsid w:val="6AC02E25"/>
    <w:rsid w:val="6AEA6BBE"/>
    <w:rsid w:val="6B005D17"/>
    <w:rsid w:val="6B7F174D"/>
    <w:rsid w:val="6C9F6852"/>
    <w:rsid w:val="6CCF5389"/>
    <w:rsid w:val="6CD52274"/>
    <w:rsid w:val="6D9914F3"/>
    <w:rsid w:val="6E237E7E"/>
    <w:rsid w:val="6E960558"/>
    <w:rsid w:val="6F386134"/>
    <w:rsid w:val="6F944668"/>
    <w:rsid w:val="6F995F63"/>
    <w:rsid w:val="70406237"/>
    <w:rsid w:val="70C5413D"/>
    <w:rsid w:val="70FE3161"/>
    <w:rsid w:val="71B051CD"/>
    <w:rsid w:val="71BC1928"/>
    <w:rsid w:val="723E1DBC"/>
    <w:rsid w:val="72F35B03"/>
    <w:rsid w:val="735B4AE2"/>
    <w:rsid w:val="739D1444"/>
    <w:rsid w:val="73C72DDD"/>
    <w:rsid w:val="7436299A"/>
    <w:rsid w:val="74393A30"/>
    <w:rsid w:val="748958E3"/>
    <w:rsid w:val="74C552BF"/>
    <w:rsid w:val="74F97939"/>
    <w:rsid w:val="75102D70"/>
    <w:rsid w:val="759736A9"/>
    <w:rsid w:val="7604112A"/>
    <w:rsid w:val="76047015"/>
    <w:rsid w:val="76214E9E"/>
    <w:rsid w:val="76443671"/>
    <w:rsid w:val="765A0DC0"/>
    <w:rsid w:val="76647F92"/>
    <w:rsid w:val="76E06023"/>
    <w:rsid w:val="770171FE"/>
    <w:rsid w:val="773B2F52"/>
    <w:rsid w:val="77D649A3"/>
    <w:rsid w:val="784B5870"/>
    <w:rsid w:val="790068CB"/>
    <w:rsid w:val="790A0471"/>
    <w:rsid w:val="79B7342D"/>
    <w:rsid w:val="79E26DE7"/>
    <w:rsid w:val="79FF65BD"/>
    <w:rsid w:val="7A5B0EAD"/>
    <w:rsid w:val="7A6F7B00"/>
    <w:rsid w:val="7AAC6D0A"/>
    <w:rsid w:val="7B5D576D"/>
    <w:rsid w:val="7BD217F3"/>
    <w:rsid w:val="7BEA1439"/>
    <w:rsid w:val="7BF6932D"/>
    <w:rsid w:val="7C08295D"/>
    <w:rsid w:val="7C1C0B57"/>
    <w:rsid w:val="7C853459"/>
    <w:rsid w:val="7CDC740A"/>
    <w:rsid w:val="7D7F7424"/>
    <w:rsid w:val="7D7F7E70"/>
    <w:rsid w:val="7DC60AE5"/>
    <w:rsid w:val="7DE537E2"/>
    <w:rsid w:val="7E0724A9"/>
    <w:rsid w:val="7E2D16FC"/>
    <w:rsid w:val="7E755488"/>
    <w:rsid w:val="7EDFADFB"/>
    <w:rsid w:val="7EF02F3D"/>
    <w:rsid w:val="7F0B6033"/>
    <w:rsid w:val="7F142D95"/>
    <w:rsid w:val="7F425B38"/>
    <w:rsid w:val="7FD8234F"/>
    <w:rsid w:val="7FFD67A9"/>
    <w:rsid w:val="A5DC28A7"/>
    <w:rsid w:val="BCD62024"/>
    <w:rsid w:val="EDBFC8F3"/>
    <w:rsid w:val="F7CBD43D"/>
    <w:rsid w:val="FC7E2234"/>
    <w:rsid w:val="FD9EF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9"/>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next w:val="1"/>
    <w:unhideWhenUsed/>
    <w:qFormat/>
    <w:uiPriority w:val="9"/>
    <w:pPr>
      <w:keepNext/>
      <w:keepLines/>
      <w:spacing w:line="415" w:lineRule="auto"/>
      <w:outlineLvl w:val="2"/>
    </w:pPr>
    <w:rPr>
      <w:rFonts w:ascii="Times New Roman" w:hAnsi="Times New Roman" w:eastAsia="宋体" w:cstheme="minorBidi"/>
      <w:b/>
      <w:bCs/>
      <w:kern w:val="2"/>
      <w:sz w:val="28"/>
      <w:szCs w:val="32"/>
      <w:lang w:val="en-US" w:eastAsia="zh-CN" w:bidi="ar-SA"/>
    </w:rPr>
  </w:style>
  <w:style w:type="paragraph" w:styleId="5">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Body Text 3"/>
    <w:basedOn w:val="1"/>
    <w:qFormat/>
    <w:uiPriority w:val="0"/>
    <w:pPr>
      <w:jc w:val="center"/>
    </w:pPr>
    <w:rPr>
      <w:rFonts w:ascii="Times New Roman"/>
      <w:b/>
      <w:spacing w:val="-20"/>
      <w:w w:val="110"/>
      <w:kern w:val="2"/>
      <w:sz w:val="52"/>
    </w:rPr>
  </w:style>
  <w:style w:type="paragraph" w:styleId="9">
    <w:name w:val="Body Text"/>
    <w:basedOn w:val="1"/>
    <w:qFormat/>
    <w:uiPriority w:val="0"/>
    <w:pPr>
      <w:spacing w:line="520" w:lineRule="exact"/>
      <w:ind w:firstLine="480" w:firstLineChars="200"/>
    </w:pPr>
    <w:rPr>
      <w:rFonts w:hAnsi="宋体" w:cs="宋体"/>
      <w:kern w:val="2"/>
      <w:szCs w:val="24"/>
    </w:rPr>
  </w:style>
  <w:style w:type="paragraph" w:styleId="10">
    <w:name w:val="Body Text Indent"/>
    <w:basedOn w:val="1"/>
    <w:next w:val="9"/>
    <w:qFormat/>
    <w:uiPriority w:val="99"/>
    <w:pPr>
      <w:spacing w:afterLines="50" w:line="360" w:lineRule="exact"/>
      <w:ind w:firstLine="480" w:firstLineChars="200"/>
    </w:pPr>
    <w:rPr>
      <w:rFonts w:hAnsi="宋体"/>
      <w:szCs w:val="24"/>
    </w:rPr>
  </w:style>
  <w:style w:type="paragraph" w:styleId="11">
    <w:name w:val="toc 3"/>
    <w:basedOn w:val="1"/>
    <w:next w:val="1"/>
    <w:qFormat/>
    <w:uiPriority w:val="0"/>
    <w:pPr>
      <w:ind w:left="840" w:leftChars="400"/>
    </w:pPr>
  </w:style>
  <w:style w:type="paragraph" w:styleId="12">
    <w:name w:val="Plain Text"/>
    <w:basedOn w:val="1"/>
    <w:qFormat/>
    <w:uiPriority w:val="0"/>
    <w:rPr>
      <w:rFonts w:hAnsi="Courier New"/>
      <w:kern w:val="2"/>
      <w:sz w:val="21"/>
    </w:rPr>
  </w:style>
  <w:style w:type="paragraph" w:styleId="13">
    <w:name w:val="Balloon Text"/>
    <w:basedOn w:val="1"/>
    <w:link w:val="39"/>
    <w:qFormat/>
    <w:uiPriority w:val="0"/>
    <w:rPr>
      <w:sz w:val="18"/>
      <w:szCs w:val="18"/>
    </w:rPr>
  </w:style>
  <w:style w:type="paragraph" w:styleId="14">
    <w:name w:val="footer"/>
    <w:basedOn w:val="1"/>
    <w:qFormat/>
    <w:uiPriority w:val="99"/>
    <w:pPr>
      <w:tabs>
        <w:tab w:val="center" w:pos="4153"/>
        <w:tab w:val="right" w:pos="8306"/>
      </w:tabs>
      <w:snapToGrid w:val="0"/>
      <w:jc w:val="left"/>
    </w:pPr>
    <w:rPr>
      <w:rFonts w:ascii="Calibri"/>
      <w:kern w:val="2"/>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6">
    <w:name w:val="toc 1"/>
    <w:basedOn w:val="1"/>
    <w:next w:val="1"/>
    <w:unhideWhenUsed/>
    <w:qFormat/>
    <w:uiPriority w:val="39"/>
  </w:style>
  <w:style w:type="paragraph" w:styleId="17">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unhideWhenUsed/>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hAnsi="宋体"/>
      <w:szCs w:val="24"/>
    </w:rPr>
  </w:style>
  <w:style w:type="paragraph" w:styleId="20">
    <w:name w:val="Body Text First Indent"/>
    <w:basedOn w:val="9"/>
    <w:next w:val="1"/>
    <w:unhideWhenUsed/>
    <w:qFormat/>
    <w:uiPriority w:val="99"/>
    <w:pPr>
      <w:ind w:firstLine="420" w:firstLineChars="100"/>
    </w:pPr>
  </w:style>
  <w:style w:type="paragraph" w:styleId="21">
    <w:name w:val="Body Text First Indent 2"/>
    <w:basedOn w:val="10"/>
    <w:next w:val="1"/>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qFormat/>
    <w:uiPriority w:val="0"/>
    <w:rPr>
      <w:color w:val="0000FF"/>
      <w:u w:val="single"/>
    </w:rPr>
  </w:style>
  <w:style w:type="paragraph" w:customStyle="1" w:styleId="2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1"/>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character" w:customStyle="1" w:styleId="29">
    <w:name w:val="标题 1 Char"/>
    <w:link w:val="2"/>
    <w:qFormat/>
    <w:uiPriority w:val="0"/>
    <w:rPr>
      <w:rFonts w:ascii="仿宋_GB2312" w:hAnsi="宋体" w:eastAsia="仿宋_GB2312"/>
      <w:b/>
      <w:kern w:val="2"/>
      <w:sz w:val="32"/>
    </w:rPr>
  </w:style>
  <w:style w:type="paragraph" w:customStyle="1" w:styleId="30">
    <w:name w:val="MessageHeader"/>
    <w:basedOn w:val="1"/>
    <w:next w:val="31"/>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1">
    <w:name w:val="BodyText"/>
    <w:basedOn w:val="1"/>
    <w:next w:val="1"/>
    <w:qFormat/>
    <w:uiPriority w:val="0"/>
    <w:pPr>
      <w:jc w:val="center"/>
      <w:textAlignment w:val="baseline"/>
    </w:pPr>
  </w:style>
  <w:style w:type="paragraph" w:customStyle="1" w:styleId="32">
    <w:name w:val="列出段落1"/>
    <w:basedOn w:val="1"/>
    <w:qFormat/>
    <w:uiPriority w:val="34"/>
    <w:pPr>
      <w:ind w:firstLine="420" w:firstLineChars="200"/>
    </w:pPr>
  </w:style>
  <w:style w:type="paragraph" w:customStyle="1" w:styleId="3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4">
    <w:name w:val="表格文字中"/>
    <w:basedOn w:val="1"/>
    <w:qFormat/>
    <w:uiPriority w:val="0"/>
    <w:pPr>
      <w:adjustRightInd w:val="0"/>
      <w:snapToGrid w:val="0"/>
      <w:ind w:left="22" w:leftChars="8"/>
      <w:jc w:val="center"/>
    </w:pPr>
    <w:rPr>
      <w:szCs w:val="24"/>
    </w:rPr>
  </w:style>
  <w:style w:type="paragraph" w:customStyle="1" w:styleId="35">
    <w:name w:val="Char1"/>
    <w:basedOn w:val="1"/>
    <w:qFormat/>
    <w:uiPriority w:val="0"/>
    <w:pPr>
      <w:tabs>
        <w:tab w:val="left" w:pos="360"/>
      </w:tabs>
      <w:ind w:left="360" w:hanging="360" w:hangingChars="200"/>
    </w:pPr>
    <w:rPr>
      <w:szCs w:val="24"/>
    </w:rPr>
  </w:style>
  <w:style w:type="paragraph" w:customStyle="1" w:styleId="36">
    <w:name w:val="列出段落11"/>
    <w:basedOn w:val="1"/>
    <w:qFormat/>
    <w:uiPriority w:val="34"/>
    <w:pPr>
      <w:ind w:firstLine="420" w:firstLineChars="200"/>
    </w:pPr>
    <w:rPr>
      <w:rFonts w:ascii="Calibri" w:hAnsi="Calibri"/>
      <w:szCs w:val="22"/>
    </w:rPr>
  </w:style>
  <w:style w:type="paragraph" w:customStyle="1" w:styleId="37">
    <w:name w:val="列表段落1"/>
    <w:basedOn w:val="1"/>
    <w:qFormat/>
    <w:uiPriority w:val="99"/>
    <w:pPr>
      <w:ind w:firstLine="420" w:firstLineChars="200"/>
    </w:pPr>
  </w:style>
  <w:style w:type="paragraph" w:customStyle="1" w:styleId="38">
    <w:name w:val="Table Paragraph"/>
    <w:basedOn w:val="1"/>
    <w:qFormat/>
    <w:uiPriority w:val="1"/>
    <w:pPr>
      <w:autoSpaceDE w:val="0"/>
      <w:autoSpaceDN w:val="0"/>
      <w:jc w:val="left"/>
    </w:pPr>
    <w:rPr>
      <w:rFonts w:hAnsi="宋体" w:cs="宋体"/>
      <w:sz w:val="22"/>
      <w:szCs w:val="22"/>
      <w:lang w:val="zh-CN"/>
    </w:rPr>
  </w:style>
  <w:style w:type="character" w:customStyle="1" w:styleId="39">
    <w:name w:val="批注框文本 Char"/>
    <w:basedOn w:val="24"/>
    <w:link w:val="13"/>
    <w:qFormat/>
    <w:uiPriority w:val="0"/>
    <w:rPr>
      <w:rFonts w:ascii="宋体"/>
      <w:sz w:val="18"/>
      <w:szCs w:val="18"/>
    </w:rPr>
  </w:style>
  <w:style w:type="paragraph" w:customStyle="1" w:styleId="40">
    <w:name w:val="样式1"/>
    <w:basedOn w:val="1"/>
    <w:qFormat/>
    <w:uiPriority w:val="0"/>
    <w:pPr>
      <w:spacing w:line="560" w:lineRule="exact"/>
      <w:ind w:firstLine="560" w:firstLineChars="200"/>
    </w:pPr>
    <w:rPr>
      <w:rFonts w:ascii="仿宋_GB2312" w:hAnsi="宋体" w:eastAsia="仿宋_GB2312"/>
      <w:color w:val="000000"/>
      <w:sz w:val="28"/>
      <w:szCs w:val="28"/>
    </w:rPr>
  </w:style>
  <w:style w:type="paragraph" w:customStyle="1" w:styleId="41">
    <w:name w:val="表"/>
    <w:basedOn w:val="1"/>
    <w:next w:val="1"/>
    <w:qFormat/>
    <w:uiPriority w:val="0"/>
    <w:pPr>
      <w:spacing w:line="240" w:lineRule="auto"/>
      <w:ind w:firstLine="0" w:firstLineChars="0"/>
      <w:jc w:val="center"/>
    </w:pPr>
    <w:rPr>
      <w:rFonts w:ascii="Times New Roman" w:hAnsi="Times New Roman"/>
      <w:b/>
      <w:sz w:val="24"/>
    </w:rPr>
  </w:style>
  <w:style w:type="paragraph" w:customStyle="1" w:styleId="42">
    <w:name w:val="Table Text"/>
    <w:basedOn w:val="1"/>
    <w:semiHidden/>
    <w:qFormat/>
    <w:uiPriority w:val="0"/>
    <w:rPr>
      <w:rFonts w:ascii="仿宋" w:hAnsi="仿宋" w:eastAsia="仿宋" w:cs="仿宋"/>
      <w:sz w:val="24"/>
      <w:szCs w:val="24"/>
      <w:lang w:val="en-US" w:eastAsia="en-US" w:bidi="ar-SA"/>
    </w:rPr>
  </w:style>
  <w:style w:type="paragraph" w:customStyle="1" w:styleId="43">
    <w:name w:val="Other|1"/>
    <w:basedOn w:val="1"/>
    <w:qFormat/>
    <w:uiPriority w:val="0"/>
    <w:pPr>
      <w:widowControl w:val="0"/>
      <w:shd w:val="clear" w:color="auto" w:fill="auto"/>
      <w:spacing w:line="346" w:lineRule="auto"/>
    </w:pPr>
    <w:rPr>
      <w:rFonts w:ascii="宋体" w:hAnsi="宋体" w:eastAsia="宋体" w:cs="宋体"/>
      <w:color w:val="1B1819"/>
      <w:sz w:val="18"/>
      <w:szCs w:val="18"/>
      <w:u w:val="none"/>
      <w:shd w:val="clear" w:color="auto" w:fill="auto"/>
      <w:lang w:val="zh-TW" w:eastAsia="zh-TW" w:bidi="zh-TW"/>
    </w:rPr>
  </w:style>
  <w:style w:type="paragraph" w:customStyle="1" w:styleId="44">
    <w:name w:val="WPSOffice手动目录 1"/>
    <w:qFormat/>
    <w:uiPriority w:val="0"/>
    <w:pPr>
      <w:ind w:leftChars="0"/>
    </w:pPr>
    <w:rPr>
      <w:rFonts w:ascii="Calibri" w:hAnsi="Calibri" w:eastAsia="宋体" w:cs="Times New Roman"/>
      <w:sz w:val="20"/>
      <w:szCs w:val="20"/>
    </w:rPr>
  </w:style>
  <w:style w:type="paragraph" w:customStyle="1" w:styleId="45">
    <w:name w:val="null3"/>
    <w:hidden/>
    <w:qFormat/>
    <w:uiPriority w:val="0"/>
    <w:rPr>
      <w:rFonts w:hint="eastAsia" w:asciiTheme="minorHAnsi" w:hAnsiTheme="minorHAnsi" w:eastAsiaTheme="minorEastAsia" w:cstheme="minorBidi"/>
      <w:lang w:val="en-US" w:eastAsia="zh-Hans"/>
    </w:rPr>
  </w:style>
  <w:style w:type="table" w:customStyle="1" w:styleId="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d89b9d4f-7c30-467d-8998-667a0b15a0cd</errorID>
      <errorWord xmlns="http://schemas.wps.cn/vas-ai-hub/contract-review">西安市经济技术开发区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西安经济技术开发区</item>
      </candidateList>
      <explain xmlns="http://schemas.wps.cn/vas-ai-hub/contract-review"/>
      <paraID xmlns="http://schemas.wps.cn/vas-ai-hub/contract-review"> E71403A</paraID>
      <start xmlns="http://schemas.wps.cn/vas-ai-hub/contract-review">35</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81aeaed8-bc44-4599-8b2d-158ed01b31a6</errorID>
      <errorWord xmlns="http://schemas.wps.cn/vas-ai-hub/contract-review">2026年02月09日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2026年2月9日</item>
      </candidateList>
      <explain xmlns="http://schemas.wps.cn/vas-ai-hub/contract-review">根据日常书写习惯，月份和日期一般会省略前导零。</explain>
      <paraID xmlns="http://schemas.wps.cn/vas-ai-hub/contract-review"> E71403A</paraID>
      <start xmlns="http://schemas.wps.cn/vas-ai-hub/contract-review">79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8f8df230-1823-4281-9225-11d267fec20b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17F100B4</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cf998a32-90d0-4337-bb07-b56bbb84dd35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569D7622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c3966e93-e337-47b7-9be3-7352100d1674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3E05ACDD</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1f827945-775f-4485-a7b6-63a3268bbb28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6E666BE0</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f6ded8c0-f48e-4c73-b434-e7e613894c15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37505E13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72fe884e-4cac-4ab4-b885-8f2c0b4a2d05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同一形式括号套用。</explain>
      <paraID xmlns="http://schemas.wps.cn/vas-ai-hub/contract-review">24211C97</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cfde75cd-10cc-4096-9a21-694c12eccd25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24211C97</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d61790cd-7eca-48e1-a31b-326f6d139344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24211C97</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82abd7c8-22f9-43ed-a416-83500bc05cc0</errorID>
      <errorWord xmlns="http://schemas.wps.cn/vas-ai-hub/contract-review">2026年01月30日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2026年1月30日</item>
      </candidateList>
      <explain xmlns="http://schemas.wps.cn/vas-ai-hub/contract-review">根据日常书写习惯，月份一般会省略前导零。</explain>
      <paraID xmlns="http://schemas.wps.cn/vas-ai-hub/contract-review">6356B0A3</paraID>
      <start xmlns="http://schemas.wps.cn/vas-ai-hub/contract-review">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633cc41b-1e16-4c3e-bc47-32adc342bd44</errorID>
      <errorWord xmlns="http://schemas.wps.cn/vas-ai-hub/contract-review">2026年02月05日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2026年2月5日</item>
      </candidateList>
      <explain xmlns="http://schemas.wps.cn/vas-ai-hub/contract-review">根据日常书写习惯，月份和日期一般会省略前导零。</explain>
      <paraID xmlns="http://schemas.wps.cn/vas-ai-hub/contract-review">6356B0A3</paraID>
      <start xmlns="http://schemas.wps.cn/vas-ai-hub/contract-review">15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268065ae-a154-4f9a-815e-dd7c9809e429</errorID>
      <errorWord xmlns="http://schemas.wps.cn/vas-ai-hub/contract-review">西安市经济技术开发区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西安经济技术开发区</item>
      </candidateList>
      <explain xmlns="http://schemas.wps.cn/vas-ai-hub/contract-review"/>
      <paraID xmlns="http://schemas.wps.cn/vas-ai-hub/contract-review">46F9A296</paraID>
      <start xmlns="http://schemas.wps.cn/vas-ai-hub/contract-review">6</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d0ea3503-a8a0-4e9e-9881-ab87b03e057c</errorID>
      <errorWord xmlns="http://schemas.wps.cn/vas-ai-hub/contract-review">2026年02月09日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2026年2月9日</item>
      </candidateList>
      <explain xmlns="http://schemas.wps.cn/vas-ai-hub/contract-review">根据日常书写习惯，月份和日期一般会省略前导零。</explain>
      <paraID xmlns="http://schemas.wps.cn/vas-ai-hub/contract-review">15B73415</paraID>
      <start xmlns="http://schemas.wps.cn/vas-ai-hub/contract-review">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3035a9f3-a3af-4708-bf7a-3c7699c7d0a8</errorID>
      <errorWord xmlns="http://schemas.wps.cn/vas-ai-hub/contract-review">西安市经济技术开发区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西安经济技术开发区</item>
      </candidateList>
      <explain xmlns="http://schemas.wps.cn/vas-ai-hub/contract-review"/>
      <paraID xmlns="http://schemas.wps.cn/vas-ai-hub/contract-review">7CD1D3FD</paraID>
      <start xmlns="http://schemas.wps.cn/vas-ai-hub/contract-review">6</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36e2b85a-9730-4ab8-8b84-5238292dff75</errorID>
      <errorWord xmlns="http://schemas.wps.cn/vas-ai-hub/contract-review">2026年02月09日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2026年2月9日</item>
      </candidateList>
      <explain xmlns="http://schemas.wps.cn/vas-ai-hub/contract-review">根据日常书写习惯，月份和日期一般会省略前导零。</explain>
      <paraID xmlns="http://schemas.wps.cn/vas-ai-hub/contract-review">44417A07</paraID>
      <start xmlns="http://schemas.wps.cn/vas-ai-hub/contract-review">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da20e312-6277-478a-9e5c-2961af699d06</errorID>
      <errorWord xmlns="http://schemas.wps.cn/vas-ai-hub/contract-review">西安市经济技术开发区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西安经济技术开发区</item>
      </candidateList>
      <explain xmlns="http://schemas.wps.cn/vas-ai-hub/contract-review"/>
      <paraID xmlns="http://schemas.wps.cn/vas-ai-hub/contract-review">3C1FDEAF</paraID>
      <start xmlns="http://schemas.wps.cn/vas-ai-hub/contract-review">6</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7a808636-fc3a-4491-b041-4fd898b30d19</errorID>
      <errorWord xmlns="http://schemas.wps.cn/vas-ai-hub/contract-review">西安市经济技术开发区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西安经济技术开发区</item>
      </candidateList>
      <explain xmlns="http://schemas.wps.cn/vas-ai-hub/contract-review"/>
      <paraID xmlns="http://schemas.wps.cn/vas-ai-hub/contract-review">223F63CC</paraID>
      <start xmlns="http://schemas.wps.cn/vas-ai-hub/contract-review">6</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7ebb767d-f1a3-41e6-bd24-eca556dfb126</errorID>
      <errorWord xmlns="http://schemas.wps.cn/vas-ai-hub/contract-review">2026年01月29日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2026年1月29日</item>
      </candidateList>
      <explain xmlns="http://schemas.wps.cn/vas-ai-hub/contract-review">根据日常书写习惯，月份一般会省略前导零。</explain>
      <paraID xmlns="http://schemas.wps.cn/vas-ai-hub/contract-review">7523851C</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6d08f18f-7c80-43e9-923f-18695872f7e4</errorID>
      <errorWord xmlns="http://schemas.wps.cn/vas-ai-hub/contract-review">西安市经济技术开发区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西安经济技术开发区</item>
      </candidateList>
      <explain xmlns="http://schemas.wps.cn/vas-ai-hub/contract-review"/>
      <paraID xmlns="http://schemas.wps.cn/vas-ai-hub/contract-review">5EE30CDA</paraID>
      <start xmlns="http://schemas.wps.cn/vas-ai-hub/contract-review">14</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f8853996-81f6-4789-b843-2b394af9be9d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6DEA9619</paraID>
      <start xmlns="http://schemas.wps.cn/vas-ai-hub/contract-review">10</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96137148-e1dd-464a-8f27-a27811c9100a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786F0F1B</paraID>
      <start xmlns="http://schemas.wps.cn/vas-ai-hub/contract-review">60</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e9587522-8c84-41d4-8797-f31904989522</errorID>
      <errorWord xmlns="http://schemas.wps.cn/vas-ai-hub/contract-review">西安市经济技术开发区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西安经济技术开发区</item>
      </candidateList>
      <explain xmlns="http://schemas.wps.cn/vas-ai-hub/contract-review"/>
      <paraID xmlns="http://schemas.wps.cn/vas-ai-hub/contract-review">2413806B</paraID>
      <start xmlns="http://schemas.wps.cn/vas-ai-hub/contract-review">14</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a8055c37-761e-4e19-aef5-f3e21cf8b148</errorID>
      <errorWord xmlns="http://schemas.wps.cn/vas-ai-hub/contract-review">西安市经济技术开发区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西安经济技术开发区</item>
      </candidateList>
      <explain xmlns="http://schemas.wps.cn/vas-ai-hub/contract-review"/>
      <paraID xmlns="http://schemas.wps.cn/vas-ai-hub/contract-review">418B2FCC</paraID>
      <start xmlns="http://schemas.wps.cn/vas-ai-hub/contract-review">8</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f730b578-7c1c-4a19-8223-2ee39ccfd524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1791B035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81ff6395-03cc-4ec1-bee3-4f23cd8616d9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3D4B1D36</paraID>
      <start xmlns="http://schemas.wps.cn/vas-ai-hub/contract-review">54</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30302fb2-4022-4fe5-be1d-90ad14282739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4B6AC743</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1c391b3a-64f9-4904-ae9a-fe98daad9933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4B6AC743</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e110cb7d-897e-407c-802f-9f6fafee5d45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4B6AC743</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c6dfc095-bef2-4f57-8db4-df26a6b25afe</errorID>
      <errorWord xmlns="http://schemas.wps.cn/vas-ai-hub/contract-review">10%-20%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10%—20%</item>
      </candidateList>
      <explain xmlns="http://schemas.wps.cn/vas-ai-hub/contract-review">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4B6AC743</paraID>
      <start xmlns="http://schemas.wps.cn/vas-ai-hub/contract-review">65</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5c6fe890-a925-4772-9df8-82e9d76e3b5f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4B6AC743</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0a95a1ad-8df1-415d-a4ea-47b898827a41</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19637806</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b4acde2d-ea0b-4bd8-b709-e243a1b1e580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7A938199</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fb6d5e1e-9eb6-4a81-964f-9b56158b24e6</errorID>
      <errorWord xmlns="http://schemas.wps.cn/vas-ai-hub/contract-review">[2007]119号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〔2007〕119号</item>
      </candidateList>
      <explain xmlns="http://schemas.wps.cn/vas-ai-hub/contract-review">发文字号格式错误。</explain>
      <paraID xmlns="http://schemas.wps.cn/vas-ai-hub/contract-review">7A938199</paraID>
      <start xmlns="http://schemas.wps.cn/vas-ai-hub/contract-review">61</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cb10e9cc-b983-4aae-ae43-49b5484f544d</errorID>
      <errorWord xmlns="http://schemas.wps.cn/vas-ai-hub/contract-review">[2011]300号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〔2011〕300号</item>
      </candidateList>
      <explain xmlns="http://schemas.wps.cn/vas-ai-hub/contract-review">发文字号格式错误。</explain>
      <paraID xmlns="http://schemas.wps.cn/vas-ai-hub/contract-review">78133C73</paraID>
      <start xmlns="http://schemas.wps.cn/vas-ai-hub/contract-review">65</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77bb4f97-8372-4c97-a526-f73bb2e4ed99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4BD4D566</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42715239-fc54-4622-8093-7f2599a8384e</errorID>
      <errorWord xmlns="http://schemas.wps.cn/vas-ai-hub/contract-review">、并且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，并且</item>
      </candidateList>
      <explain xmlns="http://schemas.wps.cn/vas-ai-hub/contract-review"/>
      <paraID xmlns="http://schemas.wps.cn/vas-ai-hub/contract-review">7CBBC82A</paraID>
      <start xmlns="http://schemas.wps.cn/vas-ai-hub/contract-review">37</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66a2693c-0319-497a-9a96-fffdcad47811</errorID>
      <errorWord xmlns="http://schemas.wps.cn/vas-ai-hub/contract-review">、或者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，或者</item>
      </candidateList>
      <explain xmlns="http://schemas.wps.cn/vas-ai-hub/contract-review"/>
      <paraID xmlns="http://schemas.wps.cn/vas-ai-hub/contract-review">7CBBC82A</paraID>
      <start xmlns="http://schemas.wps.cn/vas-ai-hub/contract-review">74</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7f296d96-1cf0-4835-9e48-5b10d795b8e5</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31B42C0B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cc6e2e41-cf11-4e96-8a7b-8aa56d0aa24e</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623F531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c51f26a1-70d1-469a-abe5-42ccf01a9b64</errorID>
      <errorWord xmlns="http://schemas.wps.cn/vas-ai-hub/contract-review">考虑到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考虑</item>
      </candidateList>
      <explain xmlns="http://schemas.wps.cn/vas-ai-hub/contract-review"/>
      <paraID xmlns="http://schemas.wps.cn/vas-ai-hub/contract-review">202FCA5D</paraID>
      <start xmlns="http://schemas.wps.cn/vas-ai-hub/contract-review">9</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6c6980f4-7fc2-42b9-95be-a4051eaed557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45BEBE2</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daf8c121-3246-4b50-a591-bf7b2464fca3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32BE686C</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b57ac234-23ee-43b8-9ff3-4041e3ecb372</errorID>
      <errorWord xmlns="http://schemas.wps.cn/vas-ai-hub/contract-review">延长了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延长</item>
      </candidateList>
      <explain xmlns="http://schemas.wps.cn/vas-ai-hub/contract-review"/>
      <paraID xmlns="http://schemas.wps.cn/vas-ai-hub/contract-review">32BE686C</paraID>
      <start xmlns="http://schemas.wps.cn/vas-ai-hub/contract-review">172</start>
      <end xmlns="http://schemas.wps.cn/vas-ai-hub/contract-review">175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b6ac3eff-c5ad-43a3-b230-73e35aa808ee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1B4086A3</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5013118e-c596-4873-b3ed-62f0c01a49a5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C3B00A5</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a03ec7d8-4048-49b9-8490-783397185f49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C3B00A5</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f84835cc-a9c6-48ee-ae4b-af45a69c0748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C3B00A5</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b3b15ae3-dfd9-4e0c-b82b-12644f8cafba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C3B00A5</paraID>
      <start xmlns="http://schemas.wps.cn/vas-ai-hub/contract-review">195</start>
      <end xmlns="http://schemas.wps.cn/vas-ai-hub/contract-review">196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0a40b032-e3b9-4541-a937-295a612d7572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C3B00A5</paraID>
      <start xmlns="http://schemas.wps.cn/vas-ai-hub/contract-review">201</start>
      <end xmlns="http://schemas.wps.cn/vas-ai-hub/contract-review">202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3058b3f9-dda5-4f3a-854f-faf439438220</errorID>
      <errorWord xmlns="http://schemas.wps.cn/vas-ai-hub/contract-review">四.</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四、</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4ECE7AA5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989b339d-64e5-4e45-a7ef-913c986c5a7e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6DB5DBF3</paraID>
      <start xmlns="http://schemas.wps.cn/vas-ai-hub/contract-review">69</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88a1f049-f931-4692-89db-5c9ea50838da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602C93EF</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360fb314-5103-40e7-b98d-32c8741afd8b</errorID>
      <errorWord xmlns="http://schemas.wps.cn/vas-ai-hub/contract-review">18．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3D032E12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7b1bfea3-0d52-4732-9928-8816febf70e2</errorID>
      <errorWord xmlns="http://schemas.wps.cn/vas-ai-hub/contract-review">19．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6B5374D6</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9b4dc0d3-a02d-4a29-86e4-36d2569c44db</errorID>
      <errorWord xmlns="http://schemas.wps.cn/vas-ai-hub/contract-review">20．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76F034F6</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fd2a7f0e-2ab1-4ae8-9f75-59b6adab5671</errorID>
      <errorWord xmlns="http://schemas.wps.cn/vas-ai-hub/contract-review">五.</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五、</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4D74A7F4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90d9847b-7525-4400-bb28-4995db8d6523</errorID>
      <errorWord xmlns="http://schemas.wps.cn/vas-ai-hub/contract-review">22．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39105E2E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273b5950-35ce-47c7-878e-0dfde4cd262d</errorID>
      <errorWord xmlns="http://schemas.wps.cn/vas-ai-hub/contract-review">23．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3A430B8E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c62ecdc5-1c22-4ef0-a394-0a6b1519d967</errorID>
      <errorWord xmlns="http://schemas.wps.cn/vas-ai-hub/contract-review">【2014】214号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〔2014〕214号</item>
      </candidateList>
      <explain xmlns="http://schemas.wps.cn/vas-ai-hub/contract-review">发文字号格式错误。</explain>
      <paraID xmlns="http://schemas.wps.cn/vas-ai-hub/contract-review">124FDDAF</paraID>
      <start xmlns="http://schemas.wps.cn/vas-ai-hub/contract-review">57</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c8fae8e6-da92-430c-ac47-3f4e27e183cb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19A6A9EC</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a8b29d20-4146-4971-a673-a5135f9cbc5c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19A6A9EC</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4e4109dd-83c7-4673-8f03-0047440cf5b3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19A6A9EC</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87401594-e1a4-460f-a239-7728b5949dce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19A6A9EC</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325bf6bc-054b-470d-9b34-fa56e358ad24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19A6A9EC</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b520ce2e-0468-4dba-b7b7-0ae8cf79ed2f</errorID>
      <errorWord xmlns="http://schemas.wps.cn/vas-ai-hub/contract-review">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不符</item>
      </candidateList>
      <explain xmlns="http://schemas.wps.cn/vas-ai-hub/contract-review"/>
      <paraID xmlns="http://schemas.wps.cn/vas-ai-hub/contract-review">1C85A4D7</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f45d8e1c-a8ab-40e1-a745-a5e0bcc58337</errorID>
      <errorWord xmlns="http://schemas.wps.cn/vas-ai-hub/contract-review">构成有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构成</item>
      </candidateList>
      <explain xmlns="http://schemas.wps.cn/vas-ai-hub/contract-review">❶〈动〉〈形〉成；造成：眼镜由镜片和镜架～｜违法情节轻微，还没有～犯罪。❷〈名〉结构▲：研究所目前的人员～不太合理。</explain>
      <paraID xmlns="http://schemas.wps.cn/vas-ai-hub/contract-review">3058CF40</paraID>
      <start xmlns="http://schemas.wps.cn/vas-ai-hub/contract-review">37</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e6df32e2-00b5-4d58-9edf-69693bb20f5c</errorID>
      <errorWord xmlns="http://schemas.wps.cn/vas-ai-hub/contract-review">缺项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缺陷</item>
      </candidateList>
      <explain xmlns="http://schemas.wps.cn/vas-ai-hub/contract-review"/>
      <paraID xmlns="http://schemas.wps.cn/vas-ai-hub/contract-review">3058CF40</paraID>
      <start xmlns="http://schemas.wps.cn/vas-ai-hub/contract-review">42</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ed1b64c9-b005-46c4-89a9-e929db787675</errorID>
      <errorWord xmlns="http://schemas.wps.cn/vas-ai-hub/contract-review">存在有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存在</item>
      </candidateList>
      <explain xmlns="http://schemas.wps.cn/vas-ai-hub/contract-review"/>
      <paraID xmlns="http://schemas.wps.cn/vas-ai-hub/contract-review">4F465DF1</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2b7584d2-a9ef-45e2-aaf4-4a43c50f78cd</errorID>
      <errorWord xmlns="http://schemas.wps.cn/vas-ai-hub/contract-review">，只</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69505839</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a1f5d998-a325-4109-9512-9902720246b4</errorID>
      <errorWord xmlns="http://schemas.wps.cn/vas-ai-hub/contract-review">24．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1B3237CE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58fb12e3-ecc2-461c-b22e-286f5810017f</errorID>
      <errorWord xmlns="http://schemas.wps.cn/vas-ai-hub/contract-review">25．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5FABAAEA</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24d6ac27-26e8-45c5-a14c-ab3bb9f2911f</errorID>
      <errorWord xmlns="http://schemas.wps.cn/vas-ai-hub/contract-review">【2014】214号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〔2014〕214号</item>
      </candidateList>
      <explain xmlns="http://schemas.wps.cn/vas-ai-hub/contract-review">发文字号格式错误。</explain>
      <paraID xmlns="http://schemas.wps.cn/vas-ai-hub/contract-review">31C79E71</paraID>
      <start xmlns="http://schemas.wps.cn/vas-ai-hub/contract-review">57</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8a37d59b-1970-4029-8485-c7899469b58c</errorID>
      <errorWord xmlns="http://schemas.wps.cn/vas-ai-hub/contract-review">六.</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六、</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AA06E22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efdc90af-0862-4d1f-86e1-9515e5df2439</errorID>
      <errorWord xmlns="http://schemas.wps.cn/vas-ai-hub/contract-review">26．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AB47BBD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762a21d9-964e-43ce-9cd5-a4b4aa17ef19</errorID>
      <errorWord xmlns="http://schemas.wps.cn/vas-ai-hub/contract-review">27．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77687630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e12441e4-5a53-4f5e-86f7-507d7bd5a8cf</errorID>
      <errorWord xmlns="http://schemas.wps.cn/vas-ai-hub/contract-review">29．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78D82F4B</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61d72208-523e-49d3-884c-5db4f4e62dfb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19A3D154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14bc540c-5fce-4a46-9447-7ea5fdebfc51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4F10F33C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1ba49840-d6bd-48c1-8cc7-3f171e84ea93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5ABFDDE9</paraID>
      <start xmlns="http://schemas.wps.cn/vas-ai-hub/contract-review">9</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a35c102f-8c4c-4635-9379-ea7ec1d0c16a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7244838D</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ef0e4685-5914-45d2-b759-c7986456a512</errorID>
      <errorWord xmlns="http://schemas.wps.cn/vas-ai-hub/contract-review">【2014】214号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〔2014〕214号</item>
      </candidateList>
      <explain xmlns="http://schemas.wps.cn/vas-ai-hub/contract-review">发文字号格式错误。</explain>
      <paraID xmlns="http://schemas.wps.cn/vas-ai-hub/contract-review">6F03D154</paraID>
      <start xmlns="http://schemas.wps.cn/vas-ai-hub/contract-review">53</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612c8dac-3b9b-4d47-bc86-1f4ec2119b8f</errorID>
      <errorWord xmlns="http://schemas.wps.cn/vas-ai-hub/contract-review">资格性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资格</item>
      </candidateList>
      <explain xmlns="http://schemas.wps.cn/vas-ai-hub/contract-review"/>
      <paraID xmlns="http://schemas.wps.cn/vas-ai-hub/contract-review">468563AA</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0db357d7-5c20-49a9-bc1e-87debddfa17c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468563AA</paraID>
      <start xmlns="http://schemas.wps.cn/vas-ai-hub/contract-review">96</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b57b491c-ce1e-46e3-bc58-afe9df6f49bb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69C31024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79803ff9-3f55-493d-aedf-dc537918ec94</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66BE5529</paraID>
      <start xmlns="http://schemas.wps.cn/vas-ai-hub/contract-review">27</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eff7a44a-0713-45de-85ec-8e1db17cc158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4FBC21D3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69bc5d09-3f57-4192-bbcf-786e14be3fc5</errorID>
      <errorWord xmlns="http://schemas.wps.cn/vas-ai-hub/contract-review">得</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的</item>
      </candidateList>
      <explain xmlns="http://schemas.wps.cn/vas-ai-hub/contract-review">“的”常用于连接修饰语与名词性中心语，表示属性、所属或描述。</explain>
      <paraID xmlns="http://schemas.wps.cn/vas-ai-hub/contract-review">4FBC21D3</paraID>
      <start xmlns="http://schemas.wps.cn/vas-ai-hub/contract-review">120</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727c77e7-388e-48c1-bb8c-52b25445cf96</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1CE6A32C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6f6621fb-9f05-4ba3-8f7b-26916605e31e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2D8904BC</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b09af5ad-21ae-4a94-aaa7-911ff6817d3c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2D8904BC</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2e78e9eb-7595-4693-8326-3f97c46f4ea1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2A3F1981</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0e2e45bd-82da-4092-9c10-a3ed07f38aec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249881B4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c2deb5f1-21e8-4cc4-83f0-e776a21cc6dc</errorID>
      <errorWord xmlns="http://schemas.wps.cn/vas-ai-hub/contract-review">占到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占</item>
      </candidateList>
      <explain xmlns="http://schemas.wps.cn/vas-ai-hub/contract-review"/>
      <paraID xmlns="http://schemas.wps.cn/vas-ai-hub/contract-review">7636F423</paraID>
      <start xmlns="http://schemas.wps.cn/vas-ai-hub/contract-review">33</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6b27d775-23c6-4608-80a1-d077a8dc209d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7BAE006D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96b4012e-70ed-47d7-90dc-e5e5c701a9d1</errorID>
      <errorWord xmlns="http://schemas.wps.cn/vas-ai-hub/contract-review">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识和</item>
      </candidateList>
      <explain xmlns="http://schemas.wps.cn/vas-ai-hub/contract-review"/>
      <paraID xmlns="http://schemas.wps.cn/vas-ai-hub/contract-review">2EC18DB0</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f1f563d5-42bb-40fb-ba69-9093ef793898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19EA1591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e676d673-e189-4238-8739-11058fbe28b5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3D274C79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f45a5976-c163-4ff5-819b-f01c998c9627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661735FB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e93be738-f532-47f7-99ad-c0bd3b26aea5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2C4B47FF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9534716f-1ed0-42f8-a5cc-2b85522e1cb5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67E811A7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37ccf291-6fa2-45b8-a3c8-23dc06d10033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509619FB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6a82de1d-57c6-4e40-9ea2-83074c18ecb8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55F5974D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a16fd32b-9f27-468c-af55-66c90be4b153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56912D0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652bc1c8-795e-4857-8746-69aa3257891e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2D431E69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7c31f8e8-16c8-4067-a9f7-3321b54c2741</errorID>
      <errorWord xmlns="http://schemas.wps.cn/vas-ai-hub/contract-review">针对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xmlns="http://schemas.wps.cn/vas-ai-hub/contract-review">58B6AF7B</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7e3d6397-cd48-4c57-95bb-85974285e970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1AA8734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83c2a953-b48f-408c-9102-07e52bb18037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29FB9891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a6563bd1-ec97-422e-922a-fb1b6c6930f2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6EB2A619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d285da97-bded-4a5a-b824-8b5cdc4c1d22</errorID>
      <errorWord xmlns="http://schemas.wps.cn/vas-ai-hub/contract-review">针对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xmlns="http://schemas.wps.cn/vas-ai-hub/contract-review"> 66D22FC</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f1429f46-b221-4b2e-a706-bbdd53d4761f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3CD6F79B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8c5f9041-aab3-4958-a4d1-950ee5a98e8d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7DEDB154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a11475e0-501a-4c35-9e17-ded1012a5e6a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5BA95CF1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eb57e38d-487a-4660-a2cb-75d7dc108808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3EDA7D99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a8231e50-00d7-4988-aba1-ec3e64da1fea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67B063CA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a3d894f9-52c8-480a-bf15-9bbe68374da7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5ED5FCD7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59021dc3-6b29-4a97-96a0-c6345ac5af34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155D88FF</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d00efddf-c0b0-46b4-bc6a-3fd3a3abef67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155D88FF</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bd508a79-2d78-4db5-b172-8b69f0a500f9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4F6D5DBD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c0816ddc-40a9-4fb4-b0ca-1c06c2a3a718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13F7A836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ac0b1eb9-fd6a-47bd-9437-dc8091704cde</errorID>
      <errorWord xmlns="http://schemas.wps.cn/vas-ai-hub/contract-review">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价格</item>
      </candidateList>
      <explain xmlns="http://schemas.wps.cn/vas-ai-hub/contract-review"/>
      <paraID xmlns="http://schemas.wps.cn/vas-ai-hub/contract-review"> 247E17D</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9830f038-dbb1-4aa4-8125-1edf8a19247e</errorID>
      <errorWord xmlns="http://schemas.wps.cn/vas-ai-hub/contract-review">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成后</item>
      </candidateList>
      <explain xmlns="http://schemas.wps.cn/vas-ai-hub/contract-review"/>
      <paraID xmlns="http://schemas.wps.cn/vas-ai-hub/contract-review">2DD5A7C7</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1fe680d9-8674-48a2-8090-25a3b4a5932b</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49B1D659</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666efe9c-2a7b-4d8d-a96c-cf3da3292e07</errorID>
      <errorWord xmlns="http://schemas.wps.cn/vas-ai-hub/contract-review">或其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 11EEA6E</paraID>
      <start xmlns="http://schemas.wps.cn/vas-ai-hub/contract-review">29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c678f517-86cd-4996-b668-bcfed794cfee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11A3C416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465200e9-da5d-474b-ac7d-bc116826bde8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363EEA23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f4e1e7ca-5a36-4c68-a148-5b8187c750e7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34927123</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65412550-ee22-42c1-8281-799bdad42ca7</errorID>
      <errorWord xmlns="http://schemas.wps.cn/vas-ai-hub/contract-review">站站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站</item>
      </candidateList>
      <explain xmlns="http://schemas.wps.cn/vas-ai-hub/contract-review"/>
      <paraID xmlns="http://schemas.wps.cn/vas-ai-hub/contract-review"> 1C76204</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360fab87-afe1-4671-9f9b-8f9d1a5dc1d5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4DA502E5</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5bdd3791-847f-4ee4-82e6-a23195828d63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4DA502E5</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18e8db30-235d-4cb1-b352-bfbc9840738e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1B3D3FC1</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1760a1c8-6eba-4789-9c83-157f0b9f6c4e</errorID>
      <errorWord xmlns="http://schemas.wps.cn/vas-ai-hub/contract-review">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本次</item>
      </candidateList>
      <explain xmlns="http://schemas.wps.cn/vas-ai-hub/contract-review"/>
      <paraID xmlns="http://schemas.wps.cn/vas-ai-hub/contract-review">5D967CBF</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a838b11a-c3d4-46b1-b7f7-2861bc1f8d56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72D28047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7055693e-6996-42bd-a4a3-819e0cfd6526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3B57AFCD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cafd951c-2b5d-4243-8011-b066fc6af494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26A4AE1C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d901188d-eb05-4f14-b7b6-d5d9d5320145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3C0DE217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665ad8d0-358c-418d-8829-06556445bfe9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5E6639B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31ce0c20-864e-4bd2-a754-6a9bf4590548</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37CA2BA1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5c3d77e9-9173-4042-bc7e-309a6b67355e</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6F7CC560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a43d719f-772a-4050-a2a5-5f786e7d1132</errorID>
      <errorWord xmlns="http://schemas.wps.cn/vas-ai-hub/contract-review">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构和</item>
      </candidateList>
      <explain xmlns="http://schemas.wps.cn/vas-ai-hub/contract-review"/>
      <paraID xmlns="http://schemas.wps.cn/vas-ai-hub/contract-review">6F7CC560</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d43f9392-90a3-49c6-bb50-82ec0afd38d8</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1DB11D91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566b5448-3d57-477d-a73a-ec56ac768a77</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796F5E95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26a482d1-4d95-4702-b592-7de19384a560</errorID>
      <errorWord xmlns="http://schemas.wps.cn/vas-ai-hub/contract-review">有悖于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有悖</item>
      </candidateList>
      <explain xmlns="http://schemas.wps.cn/vas-ai-hub/contract-review"/>
      <paraID xmlns="http://schemas.wps.cn/vas-ai-hub/contract-review">796F5E95</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2c3e6240-ecb3-4792-b5bf-6ecaa254dcc5</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5FA13F2A</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d12bfea2-7148-4d95-a640-6b1f2fa2908f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6C2BBA37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ebfccf98-3d82-4ed2-9a2c-64622e34c2c6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6B0A62D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ebca501b-aa72-485f-ac9b-72114ff98746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3A390AC0</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d2b8b3fe-a0cd-4ec4-a7ba-45977362c720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3A390AC0</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3af2caed-ca97-45f3-aab5-99af0aa0032e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27EC06B1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2d98fb71-2a51-4fa2-b2b8-7e7c7f49ec99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69B87B78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0469c8fc-0d6d-4bad-879e-753adfbd00ef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317658A3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1b749ebf-89ed-4341-9951-620fc78d5490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65841A45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01779efd-e854-4b20-81d4-c2315c0dfbbc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4AA3E3D5</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13eb9159-c0f1-4d6c-b5aa-ac61b92d07fe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618CD7C5</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a8cefc92-b395-4cc2-8250-09158384afcf</errorID>
      <errorWord xmlns="http://schemas.wps.cn/vas-ai-hub/contract-review">股东大会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股东会</item>
      </candidateList>
      <explain xmlns="http://schemas.wps.cn/vas-ai-hub/contract-review"/>
      <paraID xmlns="http://schemas.wps.cn/vas-ai-hub/contract-review">752E4698</paraID>
      <start xmlns="http://schemas.wps.cn/vas-ai-hub/contract-review">113</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ffe4671a-b968-4a0c-9e35-6e78c12345f5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6F6F3B23</paraID>
      <start xmlns="http://schemas.wps.cn/vas-ai-hub/contract-review">41</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da218487-1daf-4630-9496-3ee2e101a2c3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6F6F3B23</paraID>
      <start xmlns="http://schemas.wps.cn/vas-ai-hub/contract-review">79</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c03514b2-3c23-4fca-91d3-26c221c52b5c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54A0D45B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40be8246-26fd-489b-a7dc-be5a989b3fe1</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54A0D45B</paraID>
      <start xmlns="http://schemas.wps.cn/vas-ai-hub/contract-review">19</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05252494-de4e-4b05-84d4-e138168ca0c2</errorID>
      <errorWord xmlns="http://schemas.wps.cn/vas-ai-hub/contract-review">〔2017〕 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〔2017〕141号</item>
      </candidateList>
      <explain xmlns="http://schemas.wps.cn/vas-ai-hub/contract-review">发文字号格式错误。</explain>
      <paraID xmlns="http://schemas.wps.cn/vas-ai-hub/contract-review">28185212</paraID>
      <start xmlns="http://schemas.wps.cn/vas-ai-hub/contract-review">49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dd7d6fea-f6d7-49d4-8785-e8c1b8663eb0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211A43F0</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d50fd078-38f0-4a12-9cd9-b858a5a9c8d1</errorID>
      <errorWord xmlns="http://schemas.wps.cn/vas-ai-hub/contract-review">,向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30D89DDD</paraID>
      <start xmlns="http://schemas.wps.cn/vas-ai-hub/contract-review">15</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9dea8e2e-05a6-4d93-b76a-125cc8a8d3ba</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30D89DDD</paraID>
      <start xmlns="http://schemas.wps.cn/vas-ai-hub/contract-review">36</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6361d4cf-67e4-422e-8b1f-61abbacfc3dc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36F7BA89</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1113e216-4197-4a85-a6de-49c0fd2619d0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655D29A3</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3158c-f71d-45bf-8b27-b0e25de4a392}">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18559</Words>
  <Characters>20076</Characters>
  <Lines>245</Lines>
  <Paragraphs>69</Paragraphs>
  <TotalTime>88</TotalTime>
  <ScaleCrop>false</ScaleCrop>
  <LinksUpToDate>false</LinksUpToDate>
  <CharactersWithSpaces>20209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救赎</cp:lastModifiedBy>
  <cp:lastPrinted>2026-01-30T10:43:00Z</cp:lastPrinted>
  <dcterms:modified xsi:type="dcterms:W3CDTF">2026-03-04T03:43:46Z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6B8E211488FB43FE9D592E2297BDEFA9_13</vt:lpwstr>
  </property>
  <property fmtid="{D5CDD505-2E9C-101B-9397-08002B2CF9AE}" pid="4" name="KSOTemplateDocerSaveRecord">
    <vt:lpwstr>eyJoZGlkIjoiOTMxMjYxMTc2YmNmM2ZiYzM3MzRiYzBiMTAxOWMxMDciLCJ1c2VySWQiOiIxNTU5MDg0MTUyIn0=</vt:lpwstr>
  </property>
</Properties>
</file>