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77272">
      <w:pPr>
        <w:pStyle w:val="6"/>
        <w:bidi w:val="0"/>
        <w:rPr>
          <w:rFonts w:hint="eastAsia"/>
        </w:rPr>
      </w:pPr>
      <w:bookmarkStart w:id="0" w:name="_Toc20365"/>
      <w:bookmarkStart w:id="1" w:name="_Toc48834545"/>
      <w:bookmarkStart w:id="2" w:name="_Toc48834466"/>
      <w:bookmarkStart w:id="3" w:name="_Toc48834177"/>
      <w:bookmarkStart w:id="4" w:name="_Toc14082138"/>
      <w:bookmarkStart w:id="5" w:name="_Toc48834107"/>
      <w:bookmarkStart w:id="6" w:name="_Toc48834304"/>
      <w:r>
        <w:t>磋商内容及采购</w:t>
      </w:r>
      <w:r>
        <w:rPr>
          <w:rFonts w:hint="eastAsia"/>
        </w:rPr>
        <w:t>需</w:t>
      </w:r>
      <w:r>
        <w:t>求</w:t>
      </w:r>
      <w:bookmarkEnd w:id="0"/>
      <w:bookmarkEnd w:id="1"/>
      <w:bookmarkEnd w:id="2"/>
      <w:bookmarkEnd w:id="3"/>
      <w:bookmarkEnd w:id="4"/>
      <w:bookmarkEnd w:id="5"/>
      <w:bookmarkEnd w:id="6"/>
    </w:p>
    <w:p w14:paraId="5CAF7C5D">
      <w:pPr>
        <w:keepNext w:val="0"/>
        <w:keepLines w:val="0"/>
        <w:pageBreakBefore w:val="0"/>
        <w:kinsoku/>
        <w:overflowPunct/>
        <w:topLinePunct w:val="0"/>
        <w:bidi w:val="0"/>
        <w:spacing w:line="5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一、项目概况</w:t>
      </w:r>
    </w:p>
    <w:p w14:paraId="139F40D6">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Times New Roman"/>
          <w:color w:val="000000"/>
          <w:lang w:val="en-US" w:eastAsia="zh-CN"/>
        </w:rPr>
      </w:pPr>
      <w:r>
        <w:rPr>
          <w:rFonts w:hint="eastAsia" w:ascii="仿宋" w:hAnsi="仿宋" w:eastAsia="仿宋" w:cs="Times New Roman"/>
          <w:color w:val="000000"/>
          <w:lang w:eastAsia="zh-CN"/>
        </w:rPr>
        <w:t>神木市档案馆及地下公共停车场</w:t>
      </w:r>
      <w:r>
        <w:rPr>
          <w:rFonts w:hint="eastAsia" w:ascii="仿宋" w:hAnsi="仿宋" w:eastAsia="仿宋" w:cs="Times New Roman"/>
          <w:color w:val="000000"/>
        </w:rPr>
        <w:t>采用框架结构，共</w:t>
      </w:r>
      <w:r>
        <w:rPr>
          <w:rFonts w:hint="eastAsia" w:ascii="仿宋" w:hAnsi="仿宋" w:eastAsia="仿宋" w:cs="Times New Roman"/>
          <w:color w:val="000000"/>
          <w:lang w:val="en-US" w:eastAsia="zh-CN"/>
        </w:rPr>
        <w:t>5</w:t>
      </w:r>
      <w:r>
        <w:rPr>
          <w:rFonts w:hint="eastAsia" w:ascii="仿宋" w:hAnsi="仿宋" w:eastAsia="仿宋" w:cs="Times New Roman"/>
          <w:color w:val="000000"/>
        </w:rPr>
        <w:t>层，地上</w:t>
      </w:r>
      <w:r>
        <w:rPr>
          <w:rFonts w:hint="eastAsia" w:ascii="仿宋" w:hAnsi="仿宋" w:eastAsia="仿宋" w:cs="Times New Roman"/>
          <w:color w:val="000000"/>
          <w:lang w:val="en-US" w:eastAsia="zh-CN"/>
        </w:rPr>
        <w:t>4</w:t>
      </w:r>
      <w:r>
        <w:rPr>
          <w:rFonts w:hint="eastAsia" w:ascii="仿宋" w:hAnsi="仿宋" w:eastAsia="仿宋" w:cs="Times New Roman"/>
          <w:color w:val="000000"/>
        </w:rPr>
        <w:t>层，地下1层，建筑面积</w:t>
      </w:r>
      <w:r>
        <w:rPr>
          <w:rFonts w:hint="eastAsia" w:ascii="仿宋" w:hAnsi="仿宋" w:eastAsia="仿宋" w:cs="Times New Roman"/>
          <w:color w:val="000000"/>
          <w:lang w:val="en-US" w:eastAsia="zh-CN"/>
        </w:rPr>
        <w:t>18497.86</w:t>
      </w:r>
      <w:r>
        <w:rPr>
          <w:rFonts w:hint="eastAsia" w:ascii="仿宋" w:hAnsi="仿宋" w:eastAsia="仿宋" w:cs="Times New Roman"/>
          <w:color w:val="000000"/>
        </w:rPr>
        <w:t>㎡。</w:t>
      </w:r>
      <w:r>
        <w:rPr>
          <w:rFonts w:hint="eastAsia" w:ascii="仿宋" w:hAnsi="仿宋" w:eastAsia="仿宋" w:cs="Times New Roman"/>
          <w:color w:val="000000"/>
          <w:lang w:val="en-US" w:eastAsia="zh-CN"/>
        </w:rPr>
        <w:t>绿化面积和铺装面积分别为2853㎡和5065㎡。</w:t>
      </w:r>
      <w:r>
        <w:rPr>
          <w:rFonts w:hint="eastAsia" w:ascii="仿宋" w:hAnsi="仿宋" w:eastAsia="仿宋" w:cs="Times New Roman"/>
          <w:color w:val="000000"/>
        </w:rPr>
        <w:t>内设有：</w:t>
      </w:r>
      <w:r>
        <w:rPr>
          <w:rFonts w:hint="eastAsia" w:ascii="仿宋" w:hAnsi="仿宋" w:eastAsia="仿宋" w:cs="Times New Roman"/>
          <w:color w:val="000000"/>
          <w:lang w:val="en-US" w:eastAsia="zh-CN"/>
        </w:rPr>
        <w:t>300平米展厅2个、报告厅200㎡、图书室1间、接待大厅、中控室、电子查阅室，微机房、会议室、报告厅、设备室及其他附属功能用房30间。地下公共停车场7998.87㎡，设计178个车位。神木市档案馆设有电梯2部。</w:t>
      </w:r>
    </w:p>
    <w:p w14:paraId="6A37359D">
      <w:pPr>
        <w:keepNext w:val="0"/>
        <w:keepLines w:val="0"/>
        <w:pageBreakBefore w:val="0"/>
        <w:numPr>
          <w:ilvl w:val="0"/>
          <w:numId w:val="0"/>
        </w:numPr>
        <w:kinsoku/>
        <w:overflowPunct/>
        <w:topLinePunct w:val="0"/>
        <w:bidi w:val="0"/>
        <w:spacing w:line="5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服务内容</w:t>
      </w:r>
    </w:p>
    <w:p w14:paraId="4DEB166F">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color w:val="000000"/>
          <w:lang w:eastAsia="zh-CN"/>
        </w:rPr>
      </w:pPr>
      <w:r>
        <w:rPr>
          <w:rFonts w:hint="eastAsia" w:ascii="仿宋" w:hAnsi="仿宋" w:eastAsia="仿宋" w:cs="Times New Roman"/>
          <w:color w:val="000000"/>
          <w:lang w:eastAsia="zh-CN"/>
        </w:rPr>
        <w:t>1.保洁服务：所有室内外场所卫生及设施设备的保洁服务，</w:t>
      </w:r>
      <w:r>
        <w:rPr>
          <w:rFonts w:hint="eastAsia" w:ascii="仿宋" w:hAnsi="仿宋" w:eastAsia="仿宋" w:cs="Times New Roman"/>
          <w:color w:val="000000"/>
          <w:lang w:val="en-US" w:eastAsia="zh-CN"/>
        </w:rPr>
        <w:t>垃圾的收集、清运</w:t>
      </w:r>
      <w:r>
        <w:rPr>
          <w:rFonts w:hint="eastAsia" w:ascii="仿宋" w:hAnsi="仿宋" w:eastAsia="仿宋" w:cs="Times New Roman"/>
          <w:color w:val="000000"/>
          <w:lang w:eastAsia="zh-CN"/>
        </w:rPr>
        <w:t>。</w:t>
      </w:r>
    </w:p>
    <w:p w14:paraId="2ED63813">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color w:val="000000"/>
          <w:lang w:eastAsia="zh-CN"/>
        </w:rPr>
      </w:pPr>
      <w:r>
        <w:rPr>
          <w:rFonts w:hint="eastAsia" w:ascii="仿宋" w:hAnsi="仿宋" w:eastAsia="仿宋" w:cs="Times New Roman"/>
          <w:color w:val="000000"/>
          <w:lang w:eastAsia="zh-CN"/>
        </w:rPr>
        <w:t>2.安检、消控、保卫：所有区域24小时的安保服务，所有进出馆内的人员安检，消防值班室的监控，馆内日常设备器材搬运。</w:t>
      </w:r>
    </w:p>
    <w:p w14:paraId="6F9283CB">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color w:val="000000"/>
          <w:lang w:val="en-US" w:eastAsia="zh-CN"/>
        </w:rPr>
      </w:pPr>
      <w:r>
        <w:rPr>
          <w:rFonts w:hint="eastAsia" w:ascii="仿宋" w:hAnsi="仿宋" w:eastAsia="仿宋" w:cs="Times New Roman"/>
          <w:color w:val="000000"/>
          <w:lang w:eastAsia="zh-CN"/>
        </w:rPr>
        <w:t>3.</w:t>
      </w:r>
      <w:r>
        <w:rPr>
          <w:rFonts w:hint="eastAsia" w:ascii="仿宋" w:hAnsi="仿宋" w:eastAsia="仿宋" w:cs="Times New Roman"/>
          <w:color w:val="000000"/>
          <w:lang w:val="en-US" w:eastAsia="zh-CN"/>
        </w:rPr>
        <w:t>对馆内房屋建筑本体共用部位（楼盖、屋顶、梁、柱、外墙面和基础等承重结构部位、楼梯间、走廊通道、门厅、设备房等）的养护和管理。</w:t>
      </w:r>
    </w:p>
    <w:p w14:paraId="6DE7C3ED">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4.对馆内房屋建筑物本体共用设施设备（共用的上下水管道、共用照明、供水系统、</w:t>
      </w:r>
      <w:r>
        <w:rPr>
          <w:rFonts w:hint="eastAsia" w:ascii="仿宋" w:hAnsi="仿宋" w:eastAsia="仿宋" w:cs="Times New Roman"/>
          <w:color w:val="000000"/>
          <w:lang w:val="zh-CN" w:eastAsia="zh-CN"/>
        </w:rPr>
        <w:t>落水管、高压水泵房</w:t>
      </w:r>
      <w:r>
        <w:rPr>
          <w:rFonts w:hint="eastAsia" w:ascii="仿宋" w:hAnsi="仿宋" w:eastAsia="仿宋" w:cs="Times New Roman"/>
          <w:color w:val="000000"/>
          <w:lang w:val="en-US" w:eastAsia="zh-CN"/>
        </w:rPr>
        <w:t>）养护</w:t>
      </w:r>
      <w:r>
        <w:rPr>
          <w:rFonts w:hint="eastAsia" w:ascii="仿宋" w:hAnsi="仿宋" w:eastAsia="仿宋" w:cs="Times New Roman"/>
          <w:color w:val="000000"/>
          <w:lang w:val="zh-CN" w:eastAsia="zh-CN"/>
        </w:rPr>
        <w:t>管理</w:t>
      </w:r>
      <w:r>
        <w:rPr>
          <w:rFonts w:hint="eastAsia" w:ascii="仿宋" w:hAnsi="仿宋" w:eastAsia="仿宋" w:cs="Times New Roman"/>
          <w:color w:val="000000"/>
          <w:lang w:val="en-US" w:eastAsia="zh-CN"/>
        </w:rPr>
        <w:t>管理和运行服务。</w:t>
      </w:r>
    </w:p>
    <w:p w14:paraId="4431B953">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5</w:t>
      </w:r>
      <w:r>
        <w:rPr>
          <w:rFonts w:hint="eastAsia" w:ascii="仿宋" w:hAnsi="仿宋" w:eastAsia="仿宋" w:cs="Times New Roman"/>
          <w:color w:val="000000"/>
          <w:lang w:eastAsia="zh-CN"/>
        </w:rPr>
        <w:t>.车辆、道路管理：进出车辆实行出入证登记管理，引导车辆有序停放。</w:t>
      </w:r>
    </w:p>
    <w:p w14:paraId="1C76A1EA">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6</w:t>
      </w:r>
      <w:r>
        <w:rPr>
          <w:rFonts w:hint="eastAsia" w:ascii="仿宋" w:hAnsi="仿宋" w:eastAsia="仿宋" w:cs="Times New Roman"/>
          <w:color w:val="000000"/>
          <w:lang w:eastAsia="zh-CN"/>
        </w:rPr>
        <w:t>.特约服务：代理单位工作人员的物品邮递。</w:t>
      </w:r>
    </w:p>
    <w:p w14:paraId="5868407A">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7</w:t>
      </w:r>
      <w:r>
        <w:rPr>
          <w:rFonts w:hint="eastAsia" w:ascii="仿宋" w:hAnsi="仿宋" w:eastAsia="仿宋" w:cs="Times New Roman"/>
          <w:color w:val="000000"/>
          <w:lang w:eastAsia="zh-CN"/>
        </w:rPr>
        <w:t>.绿化管理：维护院内公共绿地、</w:t>
      </w:r>
      <w:r>
        <w:rPr>
          <w:rFonts w:hint="eastAsia" w:ascii="仿宋" w:hAnsi="仿宋" w:eastAsia="仿宋" w:cs="Times New Roman"/>
          <w:color w:val="000000"/>
          <w:lang w:val="en-US" w:eastAsia="zh-CN"/>
        </w:rPr>
        <w:t>花草树木、建筑小品等的养护与管理</w:t>
      </w:r>
      <w:r>
        <w:rPr>
          <w:rFonts w:hint="eastAsia" w:ascii="仿宋" w:hAnsi="仿宋" w:eastAsia="仿宋" w:cs="Times New Roman"/>
          <w:color w:val="000000"/>
          <w:lang w:eastAsia="zh-CN"/>
        </w:rPr>
        <w:t>。</w:t>
      </w:r>
    </w:p>
    <w:p w14:paraId="2A11070A">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8</w:t>
      </w:r>
      <w:r>
        <w:rPr>
          <w:rFonts w:hint="eastAsia" w:ascii="仿宋" w:hAnsi="仿宋" w:eastAsia="仿宋" w:cs="Times New Roman"/>
          <w:color w:val="000000"/>
          <w:lang w:eastAsia="zh-CN"/>
        </w:rPr>
        <w:t>.会议服务：负责会议期间接待工作、茶水、卫生服务。</w:t>
      </w:r>
    </w:p>
    <w:p w14:paraId="3D3DC23F">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9</w:t>
      </w:r>
      <w:r>
        <w:rPr>
          <w:rFonts w:hint="eastAsia" w:ascii="仿宋" w:hAnsi="仿宋" w:eastAsia="仿宋" w:cs="Times New Roman"/>
          <w:color w:val="000000"/>
          <w:lang w:eastAsia="zh-CN"/>
        </w:rPr>
        <w:t>.群众文化服务：负责广场文化活动道具搬运、安保工作。</w:t>
      </w:r>
    </w:p>
    <w:p w14:paraId="7DF34590">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10</w:t>
      </w:r>
      <w:r>
        <w:rPr>
          <w:rFonts w:hint="eastAsia" w:ascii="仿宋" w:hAnsi="仿宋" w:eastAsia="仿宋" w:cs="Times New Roman"/>
          <w:color w:val="000000"/>
          <w:lang w:eastAsia="zh-CN"/>
        </w:rPr>
        <w:t>.完成业主代办、委托的其他方便其工作生活的服务事项（如报刊代收发等）。</w:t>
      </w:r>
    </w:p>
    <w:p w14:paraId="1654B9BC">
      <w:pPr>
        <w:keepNext w:val="0"/>
        <w:keepLines w:val="0"/>
        <w:pageBreakBefore w:val="0"/>
        <w:kinsoku/>
        <w:overflowPunct/>
        <w:topLinePunct w:val="0"/>
        <w:bidi w:val="0"/>
        <w:spacing w:line="560" w:lineRule="exact"/>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服务</w:t>
      </w:r>
      <w:r>
        <w:rPr>
          <w:rFonts w:hint="eastAsia" w:ascii="仿宋" w:hAnsi="仿宋" w:eastAsia="仿宋" w:cs="仿宋"/>
          <w:b/>
          <w:bCs/>
          <w:sz w:val="28"/>
          <w:szCs w:val="28"/>
          <w:lang w:val="en-US" w:eastAsia="zh-CN"/>
        </w:rPr>
        <w:t>要求</w:t>
      </w:r>
    </w:p>
    <w:p w14:paraId="19823005">
      <w:pPr>
        <w:keepNext w:val="0"/>
        <w:keepLines w:val="0"/>
        <w:pageBreakBefore w:val="0"/>
        <w:kinsoku/>
        <w:overflowPunct/>
        <w:topLinePunct w:val="0"/>
        <w:bidi w:val="0"/>
        <w:spacing w:line="56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（一）工程养护维修</w:t>
      </w:r>
    </w:p>
    <w:p w14:paraId="5DDEFCC7">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eastAsia="zh-CN"/>
        </w:rPr>
        <w:t>1.定期检查对楼盖、屋顶、梁、柱、共用部位内外墙体和基础等承重结构部位、外墙面、楼梯间、走廊通道、门窗、设备机房等，确保设施完好和正常使用，定期向本单位汇报巡查情况；</w:t>
      </w:r>
    </w:p>
    <w:p w14:paraId="0AEC6E18">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eastAsia="zh-CN"/>
        </w:rPr>
        <w:t>2.每半年进行一次安全普查和楼房完损等定级评定，保证完好率达95%以上；</w:t>
      </w:r>
    </w:p>
    <w:p w14:paraId="080D998D">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3</w:t>
      </w:r>
      <w:r>
        <w:rPr>
          <w:rFonts w:hint="eastAsia" w:ascii="仿宋" w:hAnsi="仿宋" w:eastAsia="仿宋" w:cs="Times New Roman"/>
          <w:color w:val="000000"/>
          <w:lang w:eastAsia="zh-CN"/>
        </w:rPr>
        <w:t>.按计划对建筑物、构筑物及附属设施进行养护、维修，完好率在95%以上，且记录完整；</w:t>
      </w:r>
    </w:p>
    <w:p w14:paraId="19E5B42D">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4</w:t>
      </w:r>
      <w:r>
        <w:rPr>
          <w:rFonts w:hint="eastAsia" w:ascii="仿宋" w:hAnsi="仿宋" w:eastAsia="仿宋" w:cs="Times New Roman"/>
          <w:color w:val="000000"/>
          <w:lang w:eastAsia="zh-CN"/>
        </w:rPr>
        <w:t>.及时完成各项零星维修任务，零修合格率100%，建立维修回访制度且记录完整；</w:t>
      </w:r>
    </w:p>
    <w:p w14:paraId="00241D0A">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5</w:t>
      </w:r>
      <w:r>
        <w:rPr>
          <w:rFonts w:hint="eastAsia" w:ascii="仿宋" w:hAnsi="仿宋" w:eastAsia="仿宋" w:cs="Times New Roman"/>
          <w:color w:val="000000"/>
          <w:lang w:eastAsia="zh-CN"/>
        </w:rPr>
        <w:t>.对各种标识、指示牌进行日常巡检，发现问题及时修复，确保各种标识、指示牌的完好、美观、整洁；</w:t>
      </w:r>
    </w:p>
    <w:p w14:paraId="3CA15C0E">
      <w:pPr>
        <w:keepNext w:val="0"/>
        <w:keepLines w:val="0"/>
        <w:pageBreakBefore w:val="0"/>
        <w:kinsoku/>
        <w:overflowPunct/>
        <w:topLinePunct w:val="0"/>
        <w:bidi w:val="0"/>
        <w:spacing w:line="56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（二）室外场地、道路的养护和维修</w:t>
      </w:r>
    </w:p>
    <w:p w14:paraId="3DF56C6A">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eastAsia="zh-CN"/>
        </w:rPr>
        <w:t>1.专人每天巡视大楼室外场地、道路，确保完好和正常使用；</w:t>
      </w:r>
    </w:p>
    <w:p w14:paraId="0E389172">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eastAsia="zh-CN"/>
        </w:rPr>
        <w:t>2.巡视室内外木制、大理石楼梯及扶手，发现破损翘边、扶手生锈和松动情况及时修复，确保安全、正常使用和整体美观；</w:t>
      </w:r>
    </w:p>
    <w:p w14:paraId="60B368B1">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eastAsia="zh-CN"/>
        </w:rPr>
        <w:t>3.及时完成各项零星维修任务，零星维修合格率100%，且记录完整。</w:t>
      </w:r>
    </w:p>
    <w:p w14:paraId="7E2A39A0">
      <w:pPr>
        <w:keepNext w:val="0"/>
        <w:keepLines w:val="0"/>
        <w:pageBreakBefore w:val="0"/>
        <w:kinsoku/>
        <w:overflowPunct/>
        <w:topLinePunct w:val="0"/>
        <w:bidi w:val="0"/>
        <w:spacing w:line="56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（三）房屋建筑本体共用设施设备的维修、养护、管理和运行服务</w:t>
      </w:r>
    </w:p>
    <w:p w14:paraId="0EE7430D">
      <w:pPr>
        <w:spacing w:line="500" w:lineRule="exact"/>
        <w:ind w:firstLine="560" w:firstLineChars="200"/>
        <w:rPr>
          <w:rFonts w:hint="eastAsia" w:ascii="仿宋" w:hAnsi="仿宋" w:eastAsia="仿宋" w:cs="Times New Roman"/>
          <w:color w:val="000000"/>
          <w:lang w:val="en-US" w:eastAsia="zh-CN"/>
        </w:rPr>
      </w:pPr>
      <w:r>
        <w:rPr>
          <w:rFonts w:hint="eastAsia" w:ascii="仿宋" w:hAnsi="仿宋" w:eastAsia="仿宋" w:cs="Times New Roman"/>
          <w:color w:val="000000"/>
          <w:lang w:eastAsia="zh-CN"/>
        </w:rPr>
        <w:t>1.建立正常的供水管理制度，制定供水管道巡检制度，对供水系统管路、水泵、水箱、阀门等进行日常维护和定期检修，杜绝跑、冒、滴、漏等现象。水箱保持清洁卫生每季度消毒一次，定期对水泵房进行检查、保养、维修、清洁，保证供水符合国家标准。</w:t>
      </w:r>
    </w:p>
    <w:p w14:paraId="7699AF1D">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eastAsia="zh-CN"/>
        </w:rPr>
        <w:t>2.每季度对排水管、化粪池、沟渠、池、井进行清通、养护及清理污垢：</w:t>
      </w:r>
    </w:p>
    <w:p w14:paraId="276E3A6F">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eastAsia="zh-CN"/>
        </w:rPr>
        <w:t>(1)保证室内外排水系统通畅；</w:t>
      </w:r>
    </w:p>
    <w:p w14:paraId="2BF05598">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eastAsia="zh-CN"/>
        </w:rPr>
        <w:t>(2)确保上下水管道完好和正常使用；</w:t>
      </w:r>
    </w:p>
    <w:p w14:paraId="77E0FD70">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3</w:t>
      </w:r>
      <w:r>
        <w:rPr>
          <w:rFonts w:hint="eastAsia" w:ascii="仿宋" w:hAnsi="仿宋" w:eastAsia="仿宋" w:cs="Times New Roman"/>
          <w:color w:val="000000"/>
          <w:lang w:eastAsia="zh-CN"/>
        </w:rPr>
        <w:t>)落水管及时发现并排除故障，零修合格率100%；</w:t>
      </w:r>
    </w:p>
    <w:p w14:paraId="460D12E1">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4</w:t>
      </w:r>
      <w:r>
        <w:rPr>
          <w:rFonts w:hint="eastAsia" w:ascii="仿宋" w:hAnsi="仿宋" w:eastAsia="仿宋" w:cs="Times New Roman"/>
          <w:color w:val="000000"/>
          <w:lang w:eastAsia="zh-CN"/>
        </w:rPr>
        <w:t>)及时完成各项零星维修任务，零修合格率100%；</w:t>
      </w:r>
    </w:p>
    <w:p w14:paraId="4DB7752B">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eastAsia="zh-CN"/>
        </w:rPr>
        <w:t>3.供配电设备运行维护管理：</w:t>
      </w:r>
    </w:p>
    <w:p w14:paraId="68F4E4F7">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eastAsia="zh-CN"/>
        </w:rPr>
        <w:t>(1)每天至少巡检一次配电房及供电系统，并做好巡查记录，严格按照国家规范进行管理，保证运行良好。制定切实可行的供电应急预案，发现问题及时处理，设备状态标识明显、统一、完整；</w:t>
      </w:r>
    </w:p>
    <w:p w14:paraId="2E9F3D4F">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eastAsia="zh-CN"/>
        </w:rPr>
        <w:t>(2)确保供电系统无缺陷，无安全隐患，照明光源完好率、维修更换及时率100%，对供电范围内的电气设备定期巡视维护和重点检测，建立各项设备档案，做到安全、合理、节约用电；</w:t>
      </w:r>
    </w:p>
    <w:p w14:paraId="2DB03B83">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eastAsia="zh-CN"/>
        </w:rPr>
        <w:t>(3)建立严格的配送电运行制度、电气维修制度和配电房管理制度，维修人员持证上岗；</w:t>
      </w:r>
    </w:p>
    <w:p w14:paraId="09210FC3">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eastAsia="zh-CN"/>
        </w:rPr>
        <w:t>(4)实行24小时运行维修值班制度，确保及时排除故障，零修合格率达到100%;</w:t>
      </w:r>
    </w:p>
    <w:p w14:paraId="14CBF0FE">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eastAsia="zh-CN"/>
        </w:rPr>
        <w:t>(5)加强日常维护检修，公共区域的照明灯具（包括各层照明、楼梯、室外院墙照明）、线路、开关保证完好，确保用电安全；</w:t>
      </w:r>
    </w:p>
    <w:p w14:paraId="0F1624AF">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eastAsia="zh-CN"/>
        </w:rPr>
        <w:t>(6)定期检查避雷系统，特别是阴雨天气，发现有生锈和松动现象及时处理维修，确保好避雷设施在良好状态。</w:t>
      </w:r>
    </w:p>
    <w:p w14:paraId="7DD6FB31">
      <w:pPr>
        <w:keepNext w:val="0"/>
        <w:keepLines w:val="0"/>
        <w:pageBreakBefore w:val="0"/>
        <w:kinsoku/>
        <w:overflowPunct/>
        <w:topLinePunct w:val="0"/>
        <w:bidi w:val="0"/>
        <w:spacing w:line="56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（四）空调的管理和维护</w:t>
      </w:r>
    </w:p>
    <w:p w14:paraId="2D3EECC6">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1.</w:t>
      </w:r>
      <w:r>
        <w:rPr>
          <w:rFonts w:hint="eastAsia" w:ascii="仿宋" w:hAnsi="仿宋" w:eastAsia="仿宋" w:cs="Times New Roman"/>
          <w:color w:val="000000"/>
          <w:lang w:eastAsia="zh-CN"/>
        </w:rPr>
        <w:t>建立空调运行管理制度和安全操作规程，保证空调系统安全运行和正常使用，运行中无超标噪音和滴漏水现象；</w:t>
      </w:r>
    </w:p>
    <w:p w14:paraId="6A501A69">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2.</w:t>
      </w:r>
      <w:r>
        <w:rPr>
          <w:rFonts w:hint="eastAsia" w:ascii="仿宋" w:hAnsi="仿宋" w:eastAsia="仿宋" w:cs="Times New Roman"/>
          <w:color w:val="000000"/>
          <w:lang w:eastAsia="zh-CN"/>
        </w:rPr>
        <w:t>制定科学合理的经济运行和节能降耗措施；</w:t>
      </w:r>
    </w:p>
    <w:p w14:paraId="2AE093D4">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3.</w:t>
      </w:r>
      <w:r>
        <w:rPr>
          <w:rFonts w:hint="eastAsia" w:ascii="仿宋" w:hAnsi="仿宋" w:eastAsia="仿宋" w:cs="Times New Roman"/>
          <w:color w:val="000000"/>
          <w:lang w:eastAsia="zh-CN"/>
        </w:rPr>
        <w:t>空调系统出现运行故障后，维修人员及时到达现场维修，并做好记录，零星合格率100%。</w:t>
      </w:r>
    </w:p>
    <w:p w14:paraId="54152EF8">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4.</w:t>
      </w:r>
      <w:r>
        <w:rPr>
          <w:rFonts w:hint="eastAsia" w:ascii="仿宋" w:hAnsi="仿宋" w:eastAsia="仿宋" w:cs="Times New Roman"/>
          <w:color w:val="000000"/>
          <w:lang w:eastAsia="zh-CN"/>
        </w:rPr>
        <w:t>楼内消防设施、设备；（包括火灾自动报警系统、水消防系统、消防联动系统含事故广播和对讲电话）</w:t>
      </w:r>
    </w:p>
    <w:p w14:paraId="6FDBA248">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5.</w:t>
      </w:r>
      <w:r>
        <w:rPr>
          <w:rFonts w:hint="eastAsia" w:ascii="仿宋" w:hAnsi="仿宋" w:eastAsia="仿宋" w:cs="Times New Roman"/>
          <w:color w:val="000000"/>
          <w:lang w:eastAsia="zh-CN"/>
        </w:rPr>
        <w:t>加强日常检查巡视，确保消防系统的设施、线路齐全，完好无损，随时可启用，确保整个系统反应正常；</w:t>
      </w:r>
    </w:p>
    <w:p w14:paraId="08698BC5">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6.</w:t>
      </w:r>
      <w:r>
        <w:rPr>
          <w:rFonts w:hint="eastAsia" w:ascii="仿宋" w:hAnsi="仿宋" w:eastAsia="仿宋" w:cs="Times New Roman"/>
          <w:color w:val="000000"/>
          <w:lang w:eastAsia="zh-CN"/>
        </w:rPr>
        <w:t>制定突发性火灾等应急方案，设立消防疏散示意图，紧急疏散通道通畅，应急照明设备、疏散引路标志完好，零修合格率100%；</w:t>
      </w:r>
    </w:p>
    <w:p w14:paraId="64596181">
      <w:pPr>
        <w:keepNext w:val="0"/>
        <w:keepLines w:val="0"/>
        <w:pageBreakBefore w:val="0"/>
        <w:kinsoku/>
        <w:overflowPunct/>
        <w:topLinePunct w:val="0"/>
        <w:bidi w:val="0"/>
        <w:spacing w:line="56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（五）环境卫生管理</w:t>
      </w:r>
    </w:p>
    <w:p w14:paraId="54A69E6B">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1.</w:t>
      </w:r>
      <w:r>
        <w:rPr>
          <w:rFonts w:hint="eastAsia" w:ascii="仿宋" w:hAnsi="仿宋" w:eastAsia="仿宋" w:cs="Times New Roman"/>
          <w:color w:val="000000"/>
          <w:lang w:eastAsia="zh-CN"/>
        </w:rPr>
        <w:t>制定和落实各项清洁</w:t>
      </w:r>
      <w:r>
        <w:rPr>
          <w:rFonts w:hint="eastAsia" w:ascii="仿宋" w:hAnsi="仿宋" w:eastAsia="仿宋" w:cs="Times New Roman"/>
          <w:color w:val="000000"/>
          <w:lang w:val="en-US" w:eastAsia="zh-CN"/>
        </w:rPr>
        <w:t>管理</w:t>
      </w:r>
      <w:r>
        <w:rPr>
          <w:rFonts w:hint="eastAsia" w:ascii="仿宋" w:hAnsi="仿宋" w:eastAsia="仿宋" w:cs="Times New Roman"/>
          <w:color w:val="000000"/>
          <w:lang w:eastAsia="zh-CN"/>
        </w:rPr>
        <w:t>制度，按计划开展环境卫生的清理和维护工作，并根据实际需要及时调整工作方式、计划等；</w:t>
      </w:r>
    </w:p>
    <w:p w14:paraId="4522F228">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2.</w:t>
      </w:r>
      <w:r>
        <w:rPr>
          <w:rFonts w:hint="eastAsia" w:ascii="仿宋" w:hAnsi="仿宋" w:eastAsia="仿宋" w:cs="Times New Roman"/>
          <w:color w:val="000000"/>
          <w:lang w:eastAsia="zh-CN"/>
        </w:rPr>
        <w:t>根据需要制定工作作息时间（如工作日提前将各科室清洁完毕等），以最大程度提供良好的工作环境和便利；</w:t>
      </w:r>
    </w:p>
    <w:p w14:paraId="0F578DEC">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3.</w:t>
      </w:r>
      <w:r>
        <w:rPr>
          <w:rFonts w:hint="eastAsia" w:ascii="仿宋" w:hAnsi="仿宋" w:eastAsia="仿宋" w:cs="Times New Roman"/>
          <w:color w:val="000000"/>
          <w:lang w:eastAsia="zh-CN"/>
        </w:rPr>
        <w:t>合理、完备的设置清洁设施，垃圾日清，保洁工作满足办公环境、生活环境的要求；</w:t>
      </w:r>
    </w:p>
    <w:p w14:paraId="020C9674">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4.</w:t>
      </w:r>
      <w:r>
        <w:rPr>
          <w:rFonts w:hint="eastAsia" w:ascii="仿宋" w:hAnsi="仿宋" w:eastAsia="仿宋" w:cs="Times New Roman"/>
          <w:color w:val="000000"/>
          <w:lang w:eastAsia="zh-CN"/>
        </w:rPr>
        <w:t>每天对楼梯及所属环境、道路、地面停车场、运动场进行清洁，并及时清除纸屑、树叶等杂物；</w:t>
      </w:r>
    </w:p>
    <w:p w14:paraId="44EE7FA7">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5.</w:t>
      </w:r>
      <w:r>
        <w:rPr>
          <w:rFonts w:hint="eastAsia" w:ascii="仿宋" w:hAnsi="仿宋" w:eastAsia="仿宋" w:cs="Times New Roman"/>
          <w:color w:val="000000"/>
          <w:lang w:eastAsia="zh-CN"/>
        </w:rPr>
        <w:t>定期对大楼各层地面清洁及打蜡，做到地面无尘、无蜘蛛网、无积水；</w:t>
      </w:r>
    </w:p>
    <w:p w14:paraId="2E7B2788">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6.</w:t>
      </w:r>
      <w:r>
        <w:rPr>
          <w:rFonts w:hint="eastAsia" w:ascii="仿宋" w:hAnsi="仿宋" w:eastAsia="仿宋" w:cs="Times New Roman"/>
          <w:color w:val="000000"/>
          <w:lang w:eastAsia="zh-CN"/>
        </w:rPr>
        <w:t>每年对大楼玻璃外墙清洗一次；</w:t>
      </w:r>
    </w:p>
    <w:p w14:paraId="3C42B336">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7.</w:t>
      </w:r>
      <w:r>
        <w:rPr>
          <w:rFonts w:hint="eastAsia" w:ascii="仿宋" w:hAnsi="仿宋" w:eastAsia="仿宋" w:cs="Times New Roman"/>
          <w:color w:val="000000"/>
          <w:lang w:eastAsia="zh-CN"/>
        </w:rPr>
        <w:t>及时更换卫生间的厕纸、擦手纸、洗手液、除臭用品等清洁用品，定期进行消毒，做到大楼内卫生间清洁，无积水、无异味；</w:t>
      </w:r>
    </w:p>
    <w:p w14:paraId="3D9FE487">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8.</w:t>
      </w:r>
      <w:r>
        <w:rPr>
          <w:rFonts w:hint="eastAsia" w:ascii="仿宋" w:hAnsi="仿宋" w:eastAsia="仿宋" w:cs="Times New Roman"/>
          <w:color w:val="000000"/>
          <w:lang w:eastAsia="zh-CN"/>
        </w:rPr>
        <w:t>各个楼层的活动室每日清洁，各储藏室定期打扫，防虫、防尘。</w:t>
      </w:r>
    </w:p>
    <w:p w14:paraId="3981029E">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9.</w:t>
      </w:r>
      <w:r>
        <w:rPr>
          <w:rFonts w:hint="eastAsia" w:ascii="仿宋" w:hAnsi="仿宋" w:eastAsia="仿宋" w:cs="Times New Roman"/>
          <w:color w:val="000000"/>
          <w:lang w:eastAsia="zh-CN"/>
        </w:rPr>
        <w:t>大楼内各层楼梯清洁及扶手的洗抹，做到无污迹、锈迹；</w:t>
      </w:r>
    </w:p>
    <w:p w14:paraId="1C0F2548">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10.</w:t>
      </w:r>
      <w:r>
        <w:rPr>
          <w:rFonts w:hint="eastAsia" w:ascii="仿宋" w:hAnsi="仿宋" w:eastAsia="仿宋" w:cs="Times New Roman"/>
          <w:color w:val="000000"/>
          <w:lang w:eastAsia="zh-CN"/>
        </w:rPr>
        <w:t>定期对大楼室内外各层玻璃窗进行清洁，做到窗镜明亮；馆内各部室窗帘每年清洗一次。</w:t>
      </w:r>
    </w:p>
    <w:p w14:paraId="682A69CC">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11.</w:t>
      </w:r>
      <w:r>
        <w:rPr>
          <w:rFonts w:hint="eastAsia" w:ascii="仿宋" w:hAnsi="仿宋" w:eastAsia="仿宋" w:cs="Times New Roman"/>
          <w:color w:val="000000"/>
          <w:lang w:eastAsia="zh-CN"/>
        </w:rPr>
        <w:t>每天清洁各层公共区域及各办公室卫生及筒内垃圾、烟灰等；</w:t>
      </w:r>
    </w:p>
    <w:p w14:paraId="74C824B5">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12.</w:t>
      </w:r>
      <w:r>
        <w:rPr>
          <w:rFonts w:hint="eastAsia" w:ascii="仿宋" w:hAnsi="仿宋" w:eastAsia="仿宋" w:cs="Times New Roman"/>
          <w:color w:val="000000"/>
          <w:lang w:eastAsia="zh-CN"/>
        </w:rPr>
        <w:t>定期对大楼内各层灯饰、铝合金风口天花、灯箱、肉墙等进行清洁；</w:t>
      </w:r>
    </w:p>
    <w:p w14:paraId="7B9F8CA1">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13.</w:t>
      </w:r>
      <w:r>
        <w:rPr>
          <w:rFonts w:hint="eastAsia" w:ascii="仿宋" w:hAnsi="仿宋" w:eastAsia="仿宋" w:cs="Times New Roman"/>
          <w:color w:val="000000"/>
          <w:lang w:eastAsia="zh-CN"/>
        </w:rPr>
        <w:t>每天对大楼大堂地板、墙面进行清洁，定期对天花、风口清洁，定期进行地板打蜡；</w:t>
      </w:r>
    </w:p>
    <w:p w14:paraId="129C1A80">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14.</w:t>
      </w:r>
      <w:r>
        <w:rPr>
          <w:rFonts w:hint="eastAsia" w:ascii="仿宋" w:hAnsi="仿宋" w:eastAsia="仿宋" w:cs="Times New Roman"/>
          <w:color w:val="000000"/>
          <w:lang w:eastAsia="zh-CN"/>
        </w:rPr>
        <w:t>负责垃圾的收集、清运。垃圾按日清理，密闭运输，并将各区域内的垃圾运送到所属地区指定的垃圾消纳场所，不乱堆乱倒；</w:t>
      </w:r>
    </w:p>
    <w:p w14:paraId="113AC86D">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15.</w:t>
      </w:r>
      <w:r>
        <w:rPr>
          <w:rFonts w:hint="eastAsia" w:ascii="仿宋" w:hAnsi="仿宋" w:eastAsia="仿宋" w:cs="Times New Roman"/>
          <w:color w:val="000000"/>
          <w:lang w:eastAsia="zh-CN"/>
        </w:rPr>
        <w:t>办公大楼室内外日常清洁项目服务标准表；</w:t>
      </w:r>
    </w:p>
    <w:p w14:paraId="5109F6DF">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eastAsia="zh-CN"/>
        </w:rPr>
        <w:t>总体要求：保证室内外卫生常态化，每天不定时不定次循环清理，确保环境时刻保持整洁，不留死角。</w:t>
      </w:r>
    </w:p>
    <w:p w14:paraId="6F36B6A0">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1）</w:t>
      </w:r>
      <w:r>
        <w:rPr>
          <w:rFonts w:hint="eastAsia" w:ascii="仿宋" w:hAnsi="仿宋" w:eastAsia="仿宋" w:cs="Times New Roman"/>
          <w:color w:val="000000"/>
          <w:lang w:eastAsia="zh-CN"/>
        </w:rPr>
        <w:t>楼内公用区域：</w:t>
      </w:r>
    </w:p>
    <w:p w14:paraId="15A5ABCB">
      <w:pPr>
        <w:spacing w:line="500" w:lineRule="exact"/>
        <w:ind w:firstLine="560" w:firstLineChars="200"/>
        <w:rPr>
          <w:rFonts w:hint="eastAsia" w:ascii="仿宋" w:hAnsi="仿宋" w:eastAsia="仿宋" w:cs="Times New Roman"/>
          <w:color w:val="000000"/>
          <w:lang w:eastAsia="zh-CN"/>
        </w:rPr>
      </w:pPr>
      <w:r>
        <w:rPr>
          <w:rFonts w:hint="default" w:ascii="仿宋" w:hAnsi="仿宋" w:eastAsia="仿宋" w:cs="Times New Roman"/>
          <w:color w:val="000000"/>
          <w:lang w:eastAsia="zh-CN"/>
        </w:rPr>
        <w:t>①</w:t>
      </w:r>
      <w:r>
        <w:rPr>
          <w:rFonts w:hint="eastAsia" w:ascii="仿宋" w:hAnsi="仿宋" w:eastAsia="仿宋" w:cs="Times New Roman"/>
          <w:color w:val="000000"/>
          <w:lang w:eastAsia="zh-CN"/>
        </w:rPr>
        <w:t>地面：电梯前厅，每日不定次拖擦，确保干净、明亮、无积尘；每周抛光一次并补蜡；建筑内所有的楼道通道和楼梯，每日不定次拖擦，确保干净、明亮、无积尘；大堂、门厅大理石、花岗石地面，每日至少拖擦2次，定期保养，保持材质干净，有光泽；</w:t>
      </w:r>
    </w:p>
    <w:p w14:paraId="7734C423">
      <w:pPr>
        <w:spacing w:line="500" w:lineRule="exact"/>
        <w:ind w:firstLine="560" w:firstLineChars="200"/>
        <w:rPr>
          <w:rFonts w:hint="default" w:ascii="仿宋" w:hAnsi="仿宋" w:eastAsia="仿宋" w:cs="Times New Roman"/>
          <w:color w:val="000000"/>
          <w:lang w:eastAsia="zh-CN"/>
        </w:rPr>
      </w:pPr>
      <w:r>
        <w:rPr>
          <w:rFonts w:hint="default" w:ascii="仿宋" w:hAnsi="仿宋" w:eastAsia="仿宋" w:cs="Times New Roman"/>
          <w:color w:val="000000"/>
          <w:lang w:eastAsia="zh-CN"/>
        </w:rPr>
        <w:t>②</w:t>
      </w:r>
      <w:r>
        <w:rPr>
          <w:rFonts w:hint="eastAsia" w:ascii="仿宋" w:hAnsi="仿宋" w:eastAsia="仿宋" w:cs="Times New Roman"/>
          <w:color w:val="000000"/>
          <w:lang w:eastAsia="zh-CN"/>
        </w:rPr>
        <w:t>墙面：涂料材质的墙面及2米以上贴砖墙面，每月至少清扫1次，保持无蛛网、无明显污渍；2米以下贴砖墙面，每周至少抹擦1次，保持表面干净、无污溃；</w:t>
      </w:r>
    </w:p>
    <w:p w14:paraId="4C430B21">
      <w:pPr>
        <w:spacing w:line="500" w:lineRule="exact"/>
        <w:ind w:firstLine="560" w:firstLineChars="200"/>
        <w:rPr>
          <w:rFonts w:hint="eastAsia" w:ascii="仿宋" w:hAnsi="仿宋" w:eastAsia="仿宋" w:cs="Times New Roman"/>
          <w:color w:val="000000"/>
          <w:lang w:eastAsia="zh-CN"/>
        </w:rPr>
      </w:pPr>
      <w:r>
        <w:rPr>
          <w:rFonts w:hint="default" w:ascii="仿宋" w:hAnsi="仿宋" w:eastAsia="仿宋" w:cs="Times New Roman"/>
          <w:color w:val="000000"/>
          <w:lang w:eastAsia="zh-CN"/>
        </w:rPr>
        <w:t>③</w:t>
      </w:r>
      <w:r>
        <w:rPr>
          <w:rFonts w:hint="eastAsia" w:ascii="仿宋" w:hAnsi="仿宋" w:eastAsia="仿宋" w:cs="Times New Roman"/>
          <w:color w:val="000000"/>
          <w:lang w:eastAsia="zh-CN"/>
        </w:rPr>
        <w:t>楼梯扶手、电梯按钮、照明开关按钮，每曰至少抹擦一次，保持表面干净、无污渍；</w:t>
      </w:r>
    </w:p>
    <w:p w14:paraId="6AC70782">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eastAsia="zh-CN"/>
        </w:rPr>
        <w:t>④栏杆、窗台每日擦抹一次、消防栓、标识牌等公用设施，每周至少擦抹一次，保持表面干净、无污渍；</w:t>
      </w:r>
    </w:p>
    <w:p w14:paraId="3AC2778A">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eastAsia="zh-CN"/>
        </w:rPr>
        <w:t>⑤天花板、公用照明灯具，每周除尘一次、每月至少全面清抹一次，目视无尘、无污渍、无蛛网；</w:t>
      </w:r>
    </w:p>
    <w:p w14:paraId="5369DED3">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eastAsia="zh-CN"/>
        </w:rPr>
        <w:t>⑥门、窗等玻璃，每月至少擦拭2次，其中门厅玻璃每日至少擦拭1次，目视洁净、光亮、无污渍；</w:t>
      </w:r>
    </w:p>
    <w:p w14:paraId="1D10C9EC">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eastAsia="zh-CN"/>
        </w:rPr>
        <w:t>⑦天台、屋顶等保持清洁、无垃圾、杂物；</w:t>
      </w:r>
    </w:p>
    <w:p w14:paraId="7D73E974">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eastAsia="zh-CN"/>
        </w:rPr>
        <w:t>⑧电梯轿厢，每日至少清扫、擦拭1次，每月对电梯门壁上光一次，表面光亮、无污溃。确保轿席内无杂物、碎屑；</w:t>
      </w:r>
    </w:p>
    <w:p w14:paraId="0C2C4D63">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eastAsia="zh-CN"/>
        </w:rPr>
        <w:t>⑨</w:t>
      </w:r>
      <w:r>
        <w:rPr>
          <w:rFonts w:hint="eastAsia" w:ascii="仿宋" w:hAnsi="仿宋" w:eastAsia="仿宋" w:cs="Times New Roman"/>
          <w:color w:val="000000"/>
          <w:lang w:val="en-US" w:eastAsia="zh-CN"/>
        </w:rPr>
        <w:t xml:space="preserve">档案库房每月保洁一次，并使用吸尘设备进行除尘，清洁时需注意档案物品的保护，防止对书籍、档案资料造成污染和损坏；书库、档案室专人清 洁时，需接受采购人监督和指导； </w:t>
      </w:r>
    </w:p>
    <w:p w14:paraId="2E168203">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2</w:t>
      </w:r>
      <w:r>
        <w:rPr>
          <w:rFonts w:hint="eastAsia" w:ascii="仿宋" w:hAnsi="仿宋" w:eastAsia="仿宋" w:cs="Times New Roman"/>
          <w:color w:val="000000"/>
          <w:lang w:eastAsia="zh-CN"/>
        </w:rPr>
        <w:t>）楼外公用区域：</w:t>
      </w:r>
    </w:p>
    <w:p w14:paraId="610F4335">
      <w:pPr>
        <w:spacing w:line="500" w:lineRule="exact"/>
        <w:ind w:firstLine="560" w:firstLineChars="200"/>
        <w:rPr>
          <w:rFonts w:hint="eastAsia" w:ascii="仿宋" w:hAnsi="仿宋" w:eastAsia="仿宋" w:cs="Times New Roman"/>
          <w:color w:val="000000"/>
          <w:lang w:eastAsia="zh-CN"/>
        </w:rPr>
      </w:pPr>
      <w:r>
        <w:rPr>
          <w:rFonts w:hint="default" w:ascii="仿宋" w:hAnsi="仿宋" w:eastAsia="仿宋" w:cs="Times New Roman"/>
          <w:color w:val="000000"/>
          <w:lang w:eastAsia="zh-CN"/>
        </w:rPr>
        <w:t>①</w:t>
      </w:r>
      <w:r>
        <w:rPr>
          <w:rFonts w:hint="eastAsia" w:ascii="仿宋" w:hAnsi="仿宋" w:eastAsia="仿宋" w:cs="Times New Roman"/>
          <w:color w:val="000000"/>
          <w:lang w:eastAsia="zh-CN"/>
        </w:rPr>
        <w:t>硬化道路地面：每日至少清扫1次，其中广场砖地面每周至少拖擦或冲洗1次，目视地面干净，地面垃圾滞留时间不超过1小时；</w:t>
      </w:r>
    </w:p>
    <w:p w14:paraId="21FCB423">
      <w:pPr>
        <w:spacing w:line="500" w:lineRule="exact"/>
        <w:ind w:firstLine="560" w:firstLineChars="200"/>
        <w:rPr>
          <w:rFonts w:hint="eastAsia" w:ascii="仿宋" w:hAnsi="仿宋" w:eastAsia="仿宋" w:cs="Times New Roman"/>
          <w:color w:val="000000"/>
          <w:lang w:eastAsia="zh-CN"/>
        </w:rPr>
      </w:pPr>
      <w:r>
        <w:rPr>
          <w:rFonts w:hint="default" w:ascii="仿宋" w:hAnsi="仿宋" w:eastAsia="仿宋" w:cs="Times New Roman"/>
          <w:color w:val="000000"/>
          <w:lang w:eastAsia="zh-CN"/>
        </w:rPr>
        <w:t>②</w:t>
      </w:r>
      <w:r>
        <w:rPr>
          <w:rFonts w:hint="eastAsia" w:ascii="仿宋" w:hAnsi="仿宋" w:eastAsia="仿宋" w:cs="Times New Roman"/>
          <w:color w:val="000000"/>
          <w:lang w:eastAsia="zh-CN"/>
        </w:rPr>
        <w:t>建筑物外围及四周每周至少清理1次，确保无杂物、无积水；</w:t>
      </w:r>
    </w:p>
    <w:p w14:paraId="1FB77DDE">
      <w:pPr>
        <w:spacing w:line="500" w:lineRule="exact"/>
        <w:ind w:firstLine="560" w:firstLineChars="200"/>
        <w:rPr>
          <w:rFonts w:hint="eastAsia" w:ascii="仿宋" w:hAnsi="仿宋" w:eastAsia="仿宋" w:cs="Times New Roman"/>
          <w:color w:val="000000"/>
          <w:lang w:eastAsia="zh-CN"/>
        </w:rPr>
      </w:pPr>
      <w:r>
        <w:rPr>
          <w:rFonts w:hint="default" w:ascii="仿宋" w:hAnsi="仿宋" w:eastAsia="仿宋" w:cs="Times New Roman"/>
          <w:color w:val="000000"/>
          <w:lang w:eastAsia="zh-CN"/>
        </w:rPr>
        <w:t>③</w:t>
      </w:r>
      <w:r>
        <w:rPr>
          <w:rFonts w:hint="eastAsia" w:ascii="仿宋" w:hAnsi="仿宋" w:eastAsia="仿宋" w:cs="Times New Roman"/>
          <w:color w:val="000000"/>
          <w:lang w:eastAsia="zh-CN"/>
        </w:rPr>
        <w:t>宣传栏等每日至少擦抹一次，目视无污渍、明亮清洁（2米以上部分每月擦抹、除尘一次）；</w:t>
      </w:r>
    </w:p>
    <w:p w14:paraId="181D1070">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eastAsia="zh-CN"/>
        </w:rPr>
        <w:t>④积水、积雪及时清除。小雪半天内、中雪1天内、大雪2天内所有路面积雪清理完毕；</w:t>
      </w:r>
    </w:p>
    <w:p w14:paraId="2545E377">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eastAsia="zh-CN"/>
        </w:rPr>
        <w:t>⑤玻璃幕墙每年雨季后至少全面清洗一次；</w:t>
      </w:r>
    </w:p>
    <w:p w14:paraId="59C79230">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eastAsia="zh-CN"/>
        </w:rPr>
        <w:t>⑥花盆每日随时清除杂物，根据实际情况每周浇水1-2次。</w:t>
      </w:r>
    </w:p>
    <w:p w14:paraId="0BB30B92">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3</w:t>
      </w:r>
      <w:r>
        <w:rPr>
          <w:rFonts w:hint="eastAsia" w:ascii="仿宋" w:hAnsi="仿宋" w:eastAsia="仿宋" w:cs="Times New Roman"/>
          <w:color w:val="000000"/>
          <w:lang w:eastAsia="zh-CN"/>
        </w:rPr>
        <w:t>）会议室及各类活动室平时保持干净无积尘，室内座椅、棋牌教学设备摆放整齐，用前用后加强清洁。</w:t>
      </w:r>
    </w:p>
    <w:p w14:paraId="01B066A5">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4</w:t>
      </w:r>
      <w:r>
        <w:rPr>
          <w:rFonts w:hint="eastAsia" w:ascii="仿宋" w:hAnsi="仿宋" w:eastAsia="仿宋" w:cs="Times New Roman"/>
          <w:color w:val="000000"/>
          <w:lang w:eastAsia="zh-CN"/>
        </w:rPr>
        <w:t>）公共卫生间内玻璃镜面随时保持无污溃、每周用玻璃清洁剂清刮2次；小便器、洗手盆每日用清洁剂清洗并喷洒香水，保持无臭味，每周用消毒水清洁1次；洗手间隔板每天清抹2次，每周用清洁剂洗抹一次，同时提供卫生间的便纸、抽纸、洗手液等消耗品，定期使用空气清新剂等清除异味。</w:t>
      </w:r>
    </w:p>
    <w:p w14:paraId="6A2A4EF5">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5</w:t>
      </w:r>
      <w:r>
        <w:rPr>
          <w:rFonts w:hint="eastAsia" w:ascii="仿宋" w:hAnsi="仿宋" w:eastAsia="仿宋" w:cs="Times New Roman"/>
          <w:color w:val="000000"/>
          <w:lang w:eastAsia="zh-CN"/>
        </w:rPr>
        <w:t>）垃圾的收集与处理：</w:t>
      </w:r>
    </w:p>
    <w:p w14:paraId="271527C2">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eastAsia="zh-CN"/>
        </w:rPr>
        <w:t>生活垃圾日产日清，垃圾袋装化，垃圾桶、果壳箱无满溢现象，保持垃圾桶清洁无味。</w:t>
      </w:r>
    </w:p>
    <w:p w14:paraId="294FDB02">
      <w:pPr>
        <w:keepNext w:val="0"/>
        <w:keepLines w:val="0"/>
        <w:pageBreakBefore w:val="0"/>
        <w:kinsoku/>
        <w:overflowPunct/>
        <w:topLinePunct w:val="0"/>
        <w:bidi w:val="0"/>
        <w:spacing w:line="56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（六）停车管理 </w:t>
      </w:r>
    </w:p>
    <w:p w14:paraId="5C9354A7">
      <w:pPr>
        <w:spacing w:line="500" w:lineRule="exact"/>
        <w:ind w:firstLine="560" w:firstLineChars="200"/>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 xml:space="preserve">1.建立停车管理制度; </w:t>
      </w:r>
    </w:p>
    <w:p w14:paraId="76DA6AC7">
      <w:pPr>
        <w:spacing w:line="500" w:lineRule="exact"/>
        <w:ind w:firstLine="560" w:firstLineChars="200"/>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 xml:space="preserve">2.建立停车管理档案; </w:t>
      </w:r>
    </w:p>
    <w:p w14:paraId="5A17294E">
      <w:pPr>
        <w:spacing w:line="500" w:lineRule="exact"/>
        <w:ind w:firstLine="560" w:firstLineChars="200"/>
        <w:rPr>
          <w:rFonts w:hint="default" w:ascii="仿宋" w:hAnsi="仿宋" w:eastAsia="仿宋" w:cs="Times New Roman"/>
          <w:color w:val="000000"/>
          <w:lang w:val="en-US" w:eastAsia="zh-CN"/>
        </w:rPr>
      </w:pPr>
      <w:r>
        <w:rPr>
          <w:rFonts w:hint="eastAsia" w:ascii="仿宋" w:hAnsi="仿宋" w:eastAsia="仿宋" w:cs="Times New Roman"/>
          <w:color w:val="000000"/>
          <w:lang w:val="en-US" w:eastAsia="zh-CN"/>
        </w:rPr>
        <w:t>3.在显著位置公告停车须知;</w:t>
      </w:r>
    </w:p>
    <w:p w14:paraId="49F29B5C">
      <w:pPr>
        <w:spacing w:line="500" w:lineRule="exact"/>
        <w:ind w:firstLine="560" w:firstLineChars="200"/>
        <w:rPr>
          <w:rFonts w:hint="eastAsia" w:ascii="仿宋" w:hAnsi="仿宋" w:eastAsia="仿宋" w:cs="Times New Roman"/>
          <w:color w:val="000000"/>
          <w:lang w:val="en-US" w:eastAsia="zh-CN"/>
        </w:rPr>
      </w:pPr>
      <w:r>
        <w:rPr>
          <w:rFonts w:hint="eastAsia" w:ascii="仿宋" w:hAnsi="仿宋" w:eastAsia="仿宋" w:cs="Times New Roman"/>
          <w:color w:val="000000"/>
          <w:lang w:val="en-US" w:eastAsia="zh-CN"/>
        </w:rPr>
        <w:t xml:space="preserve">4.设置规范的交通标志，包括引导标志，疏散指示灯，安全出口标志灯和 其他警示性标志; </w:t>
      </w:r>
    </w:p>
    <w:p w14:paraId="5EEC6958">
      <w:pPr>
        <w:spacing w:line="500" w:lineRule="exact"/>
        <w:ind w:firstLine="560" w:firstLineChars="200"/>
        <w:rPr>
          <w:rFonts w:hint="default" w:ascii="仿宋" w:hAnsi="仿宋" w:eastAsia="仿宋" w:cs="Times New Roman"/>
          <w:color w:val="000000"/>
          <w:lang w:val="en-US" w:eastAsia="zh-CN"/>
        </w:rPr>
      </w:pPr>
      <w:r>
        <w:rPr>
          <w:rFonts w:hint="eastAsia" w:ascii="仿宋" w:hAnsi="仿宋" w:eastAsia="仿宋" w:cs="Times New Roman"/>
          <w:color w:val="000000"/>
          <w:lang w:val="en-US" w:eastAsia="zh-CN"/>
        </w:rPr>
        <w:t>5.机动车辆凭证出入，对临时进入的机动车辆进行登记;</w:t>
      </w:r>
    </w:p>
    <w:p w14:paraId="78210897">
      <w:pPr>
        <w:spacing w:line="500" w:lineRule="exact"/>
        <w:ind w:firstLine="560" w:firstLineChars="200"/>
        <w:rPr>
          <w:rFonts w:hint="default" w:ascii="仿宋" w:hAnsi="仿宋" w:eastAsia="仿宋" w:cs="Times New Roman"/>
          <w:color w:val="000000"/>
          <w:lang w:val="en-US" w:eastAsia="zh-CN"/>
        </w:rPr>
      </w:pPr>
      <w:r>
        <w:rPr>
          <w:rFonts w:hint="eastAsia" w:ascii="仿宋" w:hAnsi="仿宋" w:eastAsia="仿宋" w:cs="Times New Roman"/>
          <w:color w:val="000000"/>
          <w:lang w:val="en-US" w:eastAsia="zh-CN"/>
        </w:rPr>
        <w:t>6.24小时有专人定时巡查停车场及其设施设备;</w:t>
      </w:r>
    </w:p>
    <w:p w14:paraId="109F223B">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7.停车场地面每日清扫1次。</w:t>
      </w:r>
    </w:p>
    <w:p w14:paraId="2EB5FD29">
      <w:pPr>
        <w:keepNext w:val="0"/>
        <w:keepLines w:val="0"/>
        <w:pageBreakBefore w:val="0"/>
        <w:kinsoku/>
        <w:overflowPunct/>
        <w:topLinePunct w:val="0"/>
        <w:bidi w:val="0"/>
        <w:spacing w:line="56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（七）安保管理</w:t>
      </w:r>
    </w:p>
    <w:p w14:paraId="6DF8D480">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eastAsia="zh-CN"/>
        </w:rPr>
        <w:t>总体要求：保障财产安全，确保活动器械和设施无丢失、无人为损毁；保障人员安全，合理设置安全提示语，时刻维护活动秩序（重点是活动人员入场、出场秩序），如遇活动期间有人突发疾病，应立即设法通知病人家属并协助病人就医。所有保安人员均着统一服装，佩戴统一标识，站坐姿规范、文明礼貌、精神面貌良好。保证消防报警系统、消防设施、器材配置合理，更新及时，使用有效。保安人员佩戴明显标志，讲究文明礼貌，举止规范，反应敏捷，熟悉环境，具备及时、妥善处理异常情况的能力。危及物业使用安全的地方和事故易发区域设置明显警示标志提示，具有切实可行的安全防范措施，能及时处理突发事件和各种安全事故及隐患，确保不发生安全方面的问题。做好安全防范和日常巡查工作，负责所有门窗、照明等开、关，及时发现和处理各种安全事故隐患，迅速有效处置突发事件：馆内无火灾、无刑事和交通事故的苗头。实行24小时不间断巡逻制度，对重点区域进行加强监控，确保管理区域内火灾、交通事故发生率为零，其他重大事故控制在1%以内，处理及时率为100%；杜绝闲杂人员进入办公楼，确保办公楼范围内无聚众、阻塞、喧闹、叫卖等现象，如发现处理及时率为100%。</w:t>
      </w:r>
    </w:p>
    <w:p w14:paraId="580D6CDB">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eastAsia="zh-CN"/>
        </w:rPr>
        <w:t>1.物业管理区域主出入口24小时值班，8小时立岗，活动期间严禁无活动证人员和非年龄段人员进入活动场所，重点区域每小时巡查一次，并有巡查记录，室内外活动区域开放时必须安排专人全程监督、指导、规范活动器械的使用，及时发现并排除事故隐患；</w:t>
      </w:r>
    </w:p>
    <w:p w14:paraId="04E77C21">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eastAsia="zh-CN"/>
        </w:rPr>
        <w:t>2.设有安防监控报警系统的，24小时值守，摄录像等资料按约定期限保留；</w:t>
      </w:r>
    </w:p>
    <w:p w14:paraId="22DA9F81">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eastAsia="zh-CN"/>
        </w:rPr>
        <w:t>3.进出物业管理区域的车辆实行登记管理，引导车辆出入，有序停放；</w:t>
      </w:r>
    </w:p>
    <w:p w14:paraId="633D4E87">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eastAsia="zh-CN"/>
        </w:rPr>
        <w:t>4.对火灾、治安、公共卫生等突发事件有应急处理预案，事发时及时报告</w:t>
      </w:r>
      <w:r>
        <w:rPr>
          <w:rFonts w:hint="eastAsia" w:ascii="仿宋" w:hAnsi="仿宋" w:eastAsia="仿宋" w:cs="Times New Roman"/>
          <w:color w:val="000000"/>
          <w:lang w:val="en-US" w:eastAsia="zh-CN"/>
        </w:rPr>
        <w:t>档案</w:t>
      </w:r>
      <w:r>
        <w:rPr>
          <w:rFonts w:hint="eastAsia" w:ascii="仿宋" w:hAnsi="仿宋" w:eastAsia="仿宋" w:cs="Times New Roman"/>
          <w:color w:val="000000"/>
          <w:lang w:eastAsia="zh-CN"/>
        </w:rPr>
        <w:t>馆负责人和政府有关部门，并协助采取相应措施；</w:t>
      </w:r>
    </w:p>
    <w:p w14:paraId="29138E9E">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eastAsia="zh-CN"/>
        </w:rPr>
        <w:t>5.巡查看护馆内公共场所的硬件设备及器材，防止丢失、损坏现象出现；</w:t>
      </w:r>
    </w:p>
    <w:p w14:paraId="524CD075">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eastAsia="zh-CN"/>
        </w:rPr>
        <w:t>6.书画展厅、非遗展厅、数字</w:t>
      </w:r>
      <w:r>
        <w:rPr>
          <w:rFonts w:hint="eastAsia" w:ascii="仿宋" w:hAnsi="仿宋" w:eastAsia="仿宋" w:cs="Times New Roman"/>
          <w:color w:val="000000"/>
          <w:lang w:val="en-US" w:eastAsia="zh-CN"/>
        </w:rPr>
        <w:t>档案</w:t>
      </w:r>
      <w:r>
        <w:rPr>
          <w:rFonts w:hint="eastAsia" w:ascii="仿宋" w:hAnsi="仿宋" w:eastAsia="仿宋" w:cs="Times New Roman"/>
          <w:color w:val="000000"/>
          <w:lang w:eastAsia="zh-CN"/>
        </w:rPr>
        <w:t>馆专人看管，做好入展厅人员登记，防止损坏。</w:t>
      </w:r>
    </w:p>
    <w:p w14:paraId="5D4C9D2A">
      <w:pPr>
        <w:keepNext w:val="0"/>
        <w:keepLines w:val="0"/>
        <w:pageBreakBefore w:val="0"/>
        <w:kinsoku/>
        <w:overflowPunct/>
        <w:topLinePunct w:val="0"/>
        <w:bidi w:val="0"/>
        <w:spacing w:line="56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（八）共用设施设备维护</w:t>
      </w:r>
    </w:p>
    <w:p w14:paraId="372D5242">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1.</w:t>
      </w:r>
      <w:r>
        <w:rPr>
          <w:rFonts w:hint="eastAsia" w:ascii="仿宋" w:hAnsi="仿宋" w:eastAsia="仿宋" w:cs="Times New Roman"/>
          <w:color w:val="000000"/>
          <w:lang w:eastAsia="zh-CN"/>
        </w:rPr>
        <w:t>设备维护管理</w:t>
      </w:r>
    </w:p>
    <w:p w14:paraId="415F1A99">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(1)</w:t>
      </w:r>
      <w:r>
        <w:rPr>
          <w:rFonts w:hint="eastAsia" w:ascii="仿宋" w:hAnsi="仿宋" w:eastAsia="仿宋" w:cs="Times New Roman"/>
          <w:color w:val="000000"/>
          <w:lang w:eastAsia="zh-CN"/>
        </w:rPr>
        <w:t>按合同约定，制定物业管理区域共用设施设备年度、月度养护及维修计划，维修记录齐全；</w:t>
      </w:r>
    </w:p>
    <w:p w14:paraId="12775079">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(2)</w:t>
      </w:r>
      <w:r>
        <w:rPr>
          <w:rFonts w:hint="eastAsia" w:ascii="仿宋" w:hAnsi="仿宋" w:eastAsia="仿宋" w:cs="Times New Roman"/>
          <w:color w:val="000000"/>
          <w:lang w:eastAsia="zh-CN"/>
        </w:rPr>
        <w:t>有完善的设备安全运行、维修养护、设备巡查和设备用房卫生清洁制度在工作场所明示。设施设备标识齐全、规范，责任明确。有设备台账、运行记录和巡查记录；</w:t>
      </w:r>
    </w:p>
    <w:p w14:paraId="576A19D5">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(3)</w:t>
      </w:r>
      <w:r>
        <w:rPr>
          <w:rFonts w:hint="eastAsia" w:ascii="仿宋" w:hAnsi="仿宋" w:eastAsia="仿宋" w:cs="Times New Roman"/>
          <w:color w:val="000000"/>
          <w:lang w:eastAsia="zh-CN"/>
        </w:rPr>
        <w:t>设备运行严格执行操作规程，无重大管理责任事故，有突发事件应急处置预案和处理记录；</w:t>
      </w:r>
    </w:p>
    <w:p w14:paraId="10F15EE1">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(4)</w:t>
      </w:r>
      <w:r>
        <w:rPr>
          <w:rFonts w:hint="eastAsia" w:ascii="仿宋" w:hAnsi="仿宋" w:eastAsia="仿宋" w:cs="Times New Roman"/>
          <w:color w:val="000000"/>
          <w:lang w:eastAsia="zh-CN"/>
        </w:rPr>
        <w:t>设备用房应保持整洁、通风，无跑、冒、滴、漏和鼠害现象；</w:t>
      </w:r>
    </w:p>
    <w:p w14:paraId="0F8A96EC">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(5)</w:t>
      </w:r>
      <w:r>
        <w:rPr>
          <w:rFonts w:hint="eastAsia" w:ascii="仿宋" w:hAnsi="仿宋" w:eastAsia="仿宋" w:cs="Times New Roman"/>
          <w:color w:val="000000"/>
          <w:lang w:eastAsia="zh-CN"/>
        </w:rPr>
        <w:t>定期检查消防设施设备，可随时启用；消防通道畅通；</w:t>
      </w:r>
    </w:p>
    <w:p w14:paraId="3C74D4AC">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(6)</w:t>
      </w:r>
      <w:r>
        <w:rPr>
          <w:rFonts w:hint="eastAsia" w:ascii="仿宋" w:hAnsi="仿宋" w:eastAsia="仿宋" w:cs="Times New Roman"/>
          <w:color w:val="000000"/>
          <w:lang w:eastAsia="zh-CN"/>
        </w:rPr>
        <w:t>每日至少2次对一般共用设施设备进行巡检，巡检记录规范齐全。特种设备的巡检按相关标准执行；</w:t>
      </w:r>
    </w:p>
    <w:p w14:paraId="7F092804">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(7)</w:t>
      </w:r>
      <w:r>
        <w:rPr>
          <w:rFonts w:hint="eastAsia" w:ascii="仿宋" w:hAnsi="仿宋" w:eastAsia="仿宋" w:cs="Times New Roman"/>
          <w:color w:val="000000"/>
          <w:lang w:eastAsia="zh-CN"/>
        </w:rPr>
        <w:t>共用设施设备需要维修或者更新改造的及时编制维修、更新改造计划，向业主或物业使用人提出书面报告与建议，根据物业使用人或物业使用单位决定维修或者更新改造；</w:t>
      </w:r>
    </w:p>
    <w:p w14:paraId="4F2C15C4">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(8)</w:t>
      </w:r>
      <w:r>
        <w:rPr>
          <w:rFonts w:hint="eastAsia" w:ascii="仿宋" w:hAnsi="仿宋" w:eastAsia="仿宋" w:cs="Times New Roman"/>
          <w:color w:val="000000"/>
          <w:lang w:eastAsia="zh-CN"/>
        </w:rPr>
        <w:t>实行24小时值班报修制度。急修半小时内到达现场，一般维修1小时内或在双方约定时间到达现场；</w:t>
      </w:r>
    </w:p>
    <w:p w14:paraId="2364C216">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(9)</w:t>
      </w:r>
      <w:r>
        <w:rPr>
          <w:rFonts w:hint="eastAsia" w:ascii="仿宋" w:hAnsi="仿宋" w:eastAsia="仿宋" w:cs="Times New Roman"/>
          <w:color w:val="000000"/>
          <w:lang w:eastAsia="zh-CN"/>
        </w:rPr>
        <w:t>共用照明设施完好率95%以上，并按规定时间开关，室内外照明灯损坏应及时更换；</w:t>
      </w:r>
    </w:p>
    <w:p w14:paraId="255C2E42">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(10)</w:t>
      </w:r>
      <w:r>
        <w:rPr>
          <w:rFonts w:hint="eastAsia" w:ascii="仿宋" w:hAnsi="仿宋" w:eastAsia="仿宋" w:cs="Times New Roman"/>
          <w:color w:val="000000"/>
          <w:lang w:eastAsia="zh-CN"/>
        </w:rPr>
        <w:t>物业管理区域道路平整，主要道路及地面车位交通标识齐全、规范；</w:t>
      </w:r>
    </w:p>
    <w:p w14:paraId="76350041">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(11)</w:t>
      </w:r>
      <w:r>
        <w:rPr>
          <w:rFonts w:hint="eastAsia" w:ascii="仿宋" w:hAnsi="仿宋" w:eastAsia="仿宋" w:cs="Times New Roman"/>
          <w:color w:val="000000"/>
          <w:lang w:eastAsia="zh-CN"/>
        </w:rPr>
        <w:t>载人电梯每天24小时运行，每半月负责联系电梯维保保养一次，并有保养维修记录；</w:t>
      </w:r>
    </w:p>
    <w:p w14:paraId="12BF5D21">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12</w:t>
      </w:r>
      <w:r>
        <w:rPr>
          <w:rFonts w:hint="eastAsia" w:ascii="仿宋" w:hAnsi="仿宋" w:eastAsia="仿宋" w:cs="Times New Roman"/>
          <w:color w:val="000000"/>
          <w:lang w:eastAsia="zh-CN"/>
        </w:rPr>
        <w:t>）对可能危及人身安全隐患的设施设备、场所，设有明显警示标识和防范措施；</w:t>
      </w:r>
    </w:p>
    <w:p w14:paraId="2CCD3F46">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13</w:t>
      </w:r>
      <w:r>
        <w:rPr>
          <w:rFonts w:hint="eastAsia" w:ascii="仿宋" w:hAnsi="仿宋" w:eastAsia="仿宋" w:cs="Times New Roman"/>
          <w:color w:val="000000"/>
          <w:lang w:eastAsia="zh-CN"/>
        </w:rPr>
        <w:t>）对雨、污水管道每月检查一次，每年对公共雨、污水管道全面疏通一次，确保排水通畅；</w:t>
      </w:r>
    </w:p>
    <w:p w14:paraId="5A758A46">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14</w:t>
      </w:r>
      <w:r>
        <w:rPr>
          <w:rFonts w:hint="eastAsia" w:ascii="仿宋" w:hAnsi="仿宋" w:eastAsia="仿宋" w:cs="Times New Roman"/>
          <w:color w:val="000000"/>
          <w:lang w:eastAsia="zh-CN"/>
        </w:rPr>
        <w:t>）对化粪池每月检查一次，每年清掏1次，每次必须彻底清洗干净；</w:t>
      </w:r>
    </w:p>
    <w:p w14:paraId="365BB611">
      <w:pPr>
        <w:spacing w:line="500" w:lineRule="exact"/>
        <w:ind w:firstLine="560" w:firstLineChars="200"/>
        <w:rPr>
          <w:rFonts w:hint="eastAsia" w:ascii="仿宋" w:hAnsi="仿宋" w:eastAsia="仿宋" w:cs="Times New Roman"/>
          <w:color w:val="000000"/>
          <w:lang w:val="en-US"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15</w:t>
      </w:r>
      <w:r>
        <w:rPr>
          <w:rFonts w:hint="eastAsia" w:ascii="仿宋" w:hAnsi="仿宋" w:eastAsia="仿宋" w:cs="Times New Roman"/>
          <w:color w:val="000000"/>
          <w:lang w:eastAsia="zh-CN"/>
        </w:rPr>
        <w:t>）负责更换卫生间大、小、便池及马桶等设备在使用过程中损坏的零部件。</w:t>
      </w:r>
    </w:p>
    <w:p w14:paraId="53FAAEFE">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val="en-US" w:eastAsia="zh-CN"/>
        </w:rPr>
        <w:t>2.</w:t>
      </w:r>
      <w:r>
        <w:rPr>
          <w:rFonts w:hint="eastAsia" w:ascii="仿宋" w:hAnsi="仿宋" w:eastAsia="仿宋" w:cs="Times New Roman"/>
          <w:color w:val="000000"/>
          <w:lang w:eastAsia="zh-CN"/>
        </w:rPr>
        <w:t>房屋管理</w:t>
      </w:r>
    </w:p>
    <w:p w14:paraId="70012046">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1</w:t>
      </w:r>
      <w:r>
        <w:rPr>
          <w:rFonts w:hint="eastAsia" w:ascii="仿宋" w:hAnsi="仿宋" w:eastAsia="仿宋" w:cs="Times New Roman"/>
          <w:color w:val="000000"/>
          <w:lang w:eastAsia="zh-CN"/>
        </w:rPr>
        <w:t>）对房屋共用部位进行日常管理和维护，巡检记录和保养记录齐全；</w:t>
      </w:r>
    </w:p>
    <w:p w14:paraId="2B5007C4">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2</w:t>
      </w:r>
      <w:r>
        <w:rPr>
          <w:rFonts w:hint="eastAsia" w:ascii="仿宋" w:hAnsi="仿宋" w:eastAsia="仿宋" w:cs="Times New Roman"/>
          <w:color w:val="000000"/>
          <w:lang w:eastAsia="zh-CN"/>
        </w:rPr>
        <w:t>）根据房屋实际使用年限，定期检查房屋共用部位的使用状况，组织维修；</w:t>
      </w:r>
    </w:p>
    <w:p w14:paraId="6FB219DB">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3</w:t>
      </w:r>
      <w:r>
        <w:rPr>
          <w:rFonts w:hint="eastAsia" w:ascii="仿宋" w:hAnsi="仿宋" w:eastAsia="仿宋" w:cs="Times New Roman"/>
          <w:color w:val="000000"/>
          <w:lang w:eastAsia="zh-CN"/>
        </w:rPr>
        <w:t>）每日巡查1次物业管理区域、楼梯通道以及其它共用部位的门窗、玻璃等，做好巡查记录，并及时维护；</w:t>
      </w:r>
    </w:p>
    <w:p w14:paraId="0A5D15C8">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eastAsia="zh-CN"/>
        </w:rPr>
        <w:t>（</w:t>
      </w:r>
      <w:r>
        <w:rPr>
          <w:rFonts w:hint="eastAsia" w:ascii="仿宋" w:hAnsi="仿宋" w:eastAsia="仿宋" w:cs="Times New Roman"/>
          <w:color w:val="000000"/>
          <w:lang w:val="en-US" w:eastAsia="zh-CN"/>
        </w:rPr>
        <w:t>4</w:t>
      </w:r>
      <w:r>
        <w:rPr>
          <w:rFonts w:hint="eastAsia" w:ascii="仿宋" w:hAnsi="仿宋" w:eastAsia="仿宋" w:cs="Times New Roman"/>
          <w:color w:val="000000"/>
          <w:lang w:eastAsia="zh-CN"/>
        </w:rPr>
        <w:t>）物业管理区域设有平面示意图、路标、共用设施和场地标识的，做到维护及时、标识明显。</w:t>
      </w:r>
    </w:p>
    <w:p w14:paraId="3853CDC8">
      <w:pPr>
        <w:keepNext w:val="0"/>
        <w:keepLines w:val="0"/>
        <w:pageBreakBefore w:val="0"/>
        <w:kinsoku/>
        <w:overflowPunct/>
        <w:topLinePunct w:val="0"/>
        <w:bidi w:val="0"/>
        <w:spacing w:line="56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（九）其他</w:t>
      </w:r>
    </w:p>
    <w:p w14:paraId="5CC63B90">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eastAsia="zh-CN"/>
        </w:rPr>
        <w:t>1.物业方要服从</w:t>
      </w:r>
      <w:r>
        <w:rPr>
          <w:rFonts w:hint="eastAsia" w:ascii="仿宋" w:hAnsi="仿宋" w:eastAsia="仿宋" w:cs="Times New Roman"/>
          <w:color w:val="000000"/>
          <w:lang w:val="en-US" w:eastAsia="zh-CN"/>
        </w:rPr>
        <w:t>档案</w:t>
      </w:r>
      <w:r>
        <w:rPr>
          <w:rFonts w:hint="eastAsia" w:ascii="仿宋" w:hAnsi="仿宋" w:eastAsia="仿宋" w:cs="Times New Roman"/>
          <w:color w:val="000000"/>
          <w:lang w:eastAsia="zh-CN"/>
        </w:rPr>
        <w:t>馆管理，同时加强自身管理，工作人员统一着装，坚守岗位。要保证室内卫生常态化，清理到位，不留死角，室内外玻璃必须每年清洗一次。在日常工作中，要勤通风，勤检查，确保各类活动器材和设备完好并及时归位。</w:t>
      </w:r>
    </w:p>
    <w:p w14:paraId="426AA4AF">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eastAsia="zh-CN"/>
        </w:rPr>
        <w:t>2.物业要严格管理室外所属区域，禁止停放车辆，禁止堆放杂物，确保设施完整不受损；</w:t>
      </w:r>
    </w:p>
    <w:p w14:paraId="41EA698C">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lang w:eastAsia="zh-CN"/>
        </w:rPr>
        <w:t>3.物业工作人员要严格遵守</w:t>
      </w:r>
      <w:r>
        <w:rPr>
          <w:rFonts w:hint="eastAsia" w:ascii="仿宋" w:hAnsi="仿宋" w:eastAsia="仿宋" w:cs="Times New Roman"/>
          <w:color w:val="000000"/>
          <w:lang w:val="en-US" w:eastAsia="zh-CN"/>
        </w:rPr>
        <w:t>档案</w:t>
      </w:r>
      <w:r>
        <w:rPr>
          <w:rFonts w:hint="eastAsia" w:ascii="仿宋" w:hAnsi="仿宋" w:eastAsia="仿宋" w:cs="Times New Roman"/>
          <w:color w:val="000000"/>
          <w:lang w:eastAsia="zh-CN"/>
        </w:rPr>
        <w:t>馆各项管理制度，禁止留宿亲戚、朋友等非工作人员，如违反规定造成的一切后果由物业承担；</w:t>
      </w:r>
    </w:p>
    <w:p w14:paraId="30E4EFE6">
      <w:pPr>
        <w:spacing w:line="500" w:lineRule="exact"/>
        <w:ind w:firstLine="560" w:firstLineChars="200"/>
        <w:rPr>
          <w:rFonts w:hint="eastAsia"/>
          <w:lang w:eastAsia="zh-CN"/>
        </w:rPr>
      </w:pPr>
      <w:r>
        <w:rPr>
          <w:rFonts w:hint="eastAsia" w:ascii="仿宋" w:hAnsi="仿宋" w:eastAsia="仿宋" w:cs="Times New Roman"/>
          <w:color w:val="000000"/>
          <w:lang w:eastAsia="zh-CN"/>
        </w:rPr>
        <w:t>4.在休息、节假日期间，严禁外来人员入内活动。如需进入活动，必须征得</w:t>
      </w:r>
      <w:r>
        <w:rPr>
          <w:rFonts w:hint="eastAsia" w:ascii="仿宋" w:hAnsi="仿宋" w:eastAsia="仿宋" w:cs="Times New Roman"/>
          <w:color w:val="000000"/>
          <w:lang w:val="en-US" w:eastAsia="zh-CN"/>
        </w:rPr>
        <w:t>档案</w:t>
      </w:r>
      <w:r>
        <w:rPr>
          <w:rFonts w:hint="eastAsia" w:ascii="仿宋" w:hAnsi="仿宋" w:eastAsia="仿宋" w:cs="Times New Roman"/>
          <w:color w:val="000000"/>
          <w:lang w:eastAsia="zh-CN"/>
        </w:rPr>
        <w:t>馆领导的同意，否则造成的一切后果由物业承担。</w:t>
      </w:r>
    </w:p>
    <w:p w14:paraId="7F00244B">
      <w:pPr>
        <w:keepNext w:val="0"/>
        <w:keepLines w:val="0"/>
        <w:pageBreakBefore w:val="0"/>
        <w:kinsoku/>
        <w:overflowPunct/>
        <w:topLinePunct w:val="0"/>
        <w:bidi w:val="0"/>
        <w:spacing w:line="5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人员配置</w:t>
      </w:r>
      <w:r>
        <w:rPr>
          <w:rFonts w:hint="eastAsia" w:ascii="仿宋" w:hAnsi="仿宋" w:eastAsia="仿宋" w:cs="仿宋"/>
          <w:b/>
          <w:bCs/>
          <w:sz w:val="28"/>
          <w:szCs w:val="28"/>
          <w:lang w:val="en-US" w:eastAsia="zh-CN"/>
        </w:rPr>
        <w:t>及要求</w:t>
      </w:r>
    </w:p>
    <w:tbl>
      <w:tblPr>
        <w:tblStyle w:val="7"/>
        <w:tblW w:w="9017" w:type="dxa"/>
        <w:tblInd w:w="148" w:type="dxa"/>
        <w:tblLayout w:type="fixed"/>
        <w:tblCellMar>
          <w:top w:w="0" w:type="dxa"/>
          <w:left w:w="108" w:type="dxa"/>
          <w:bottom w:w="0" w:type="dxa"/>
          <w:right w:w="108" w:type="dxa"/>
        </w:tblCellMar>
      </w:tblPr>
      <w:tblGrid>
        <w:gridCol w:w="738"/>
        <w:gridCol w:w="1066"/>
        <w:gridCol w:w="1033"/>
        <w:gridCol w:w="2740"/>
        <w:gridCol w:w="3440"/>
      </w:tblGrid>
      <w:tr w14:paraId="373B3D1A">
        <w:tblPrEx>
          <w:tblCellMar>
            <w:top w:w="0" w:type="dxa"/>
            <w:left w:w="108" w:type="dxa"/>
            <w:bottom w:w="0" w:type="dxa"/>
            <w:right w:w="108" w:type="dxa"/>
          </w:tblCellMar>
        </w:tblPrEx>
        <w:trPr>
          <w:trHeight w:val="664" w:hRule="atLeast"/>
        </w:trPr>
        <w:tc>
          <w:tcPr>
            <w:tcW w:w="738" w:type="dxa"/>
            <w:tcBorders>
              <w:top w:val="single" w:color="auto" w:sz="4" w:space="0"/>
              <w:left w:val="single" w:color="auto" w:sz="4" w:space="0"/>
              <w:bottom w:val="single" w:color="auto" w:sz="4" w:space="0"/>
              <w:right w:val="single" w:color="auto" w:sz="4" w:space="0"/>
            </w:tcBorders>
            <w:noWrap w:val="0"/>
            <w:vAlign w:val="center"/>
          </w:tcPr>
          <w:p w14:paraId="33772D51">
            <w:pPr>
              <w:keepNext w:val="0"/>
              <w:keepLines w:val="0"/>
              <w:pageBreakBefore w:val="0"/>
              <w:widowControl/>
              <w:kinsoku/>
              <w:overflowPunct/>
              <w:topLinePunct w:val="0"/>
              <w:bidi w:val="0"/>
              <w:spacing w:line="560" w:lineRule="exact"/>
              <w:jc w:val="center"/>
              <w:rPr>
                <w:rFonts w:hint="eastAsia" w:ascii="仿宋" w:hAnsi="仿宋" w:eastAsia="仿宋" w:cs="仿宋"/>
                <w:b/>
                <w:bCs/>
                <w:color w:val="auto"/>
                <w:kern w:val="0"/>
                <w:sz w:val="24"/>
              </w:rPr>
            </w:pPr>
            <w:r>
              <w:rPr>
                <w:rFonts w:hint="eastAsia" w:ascii="仿宋" w:hAnsi="仿宋" w:eastAsia="仿宋" w:cs="仿宋"/>
                <w:b/>
                <w:bCs/>
                <w:color w:val="auto"/>
                <w:kern w:val="0"/>
                <w:sz w:val="24"/>
              </w:rPr>
              <w:t>序号</w:t>
            </w:r>
          </w:p>
        </w:tc>
        <w:tc>
          <w:tcPr>
            <w:tcW w:w="1066" w:type="dxa"/>
            <w:tcBorders>
              <w:top w:val="single" w:color="auto" w:sz="4" w:space="0"/>
              <w:left w:val="single" w:color="auto" w:sz="4" w:space="0"/>
              <w:bottom w:val="single" w:color="auto" w:sz="4" w:space="0"/>
              <w:right w:val="single" w:color="auto" w:sz="4" w:space="0"/>
            </w:tcBorders>
            <w:noWrap w:val="0"/>
            <w:vAlign w:val="center"/>
          </w:tcPr>
          <w:p w14:paraId="55AF7556">
            <w:pPr>
              <w:keepNext w:val="0"/>
              <w:keepLines w:val="0"/>
              <w:pageBreakBefore w:val="0"/>
              <w:widowControl/>
              <w:kinsoku/>
              <w:overflowPunct/>
              <w:topLinePunct w:val="0"/>
              <w:bidi w:val="0"/>
              <w:spacing w:line="560" w:lineRule="exact"/>
              <w:jc w:val="center"/>
              <w:rPr>
                <w:rFonts w:hint="eastAsia" w:ascii="仿宋" w:hAnsi="仿宋" w:eastAsia="仿宋" w:cs="仿宋"/>
                <w:b/>
                <w:bCs/>
                <w:color w:val="auto"/>
                <w:kern w:val="0"/>
                <w:sz w:val="24"/>
              </w:rPr>
            </w:pPr>
            <w:r>
              <w:rPr>
                <w:rFonts w:hint="eastAsia" w:ascii="仿宋" w:hAnsi="仿宋" w:eastAsia="仿宋" w:cs="仿宋"/>
                <w:b/>
                <w:bCs/>
                <w:color w:val="auto"/>
                <w:kern w:val="0"/>
                <w:sz w:val="24"/>
              </w:rPr>
              <w:t>岗位</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77A0BFCE">
            <w:pPr>
              <w:keepNext w:val="0"/>
              <w:keepLines w:val="0"/>
              <w:pageBreakBefore w:val="0"/>
              <w:widowControl/>
              <w:kinsoku/>
              <w:overflowPunct/>
              <w:topLinePunct w:val="0"/>
              <w:bidi w:val="0"/>
              <w:spacing w:line="560" w:lineRule="exact"/>
              <w:jc w:val="center"/>
              <w:rPr>
                <w:rFonts w:hint="eastAsia" w:ascii="仿宋" w:hAnsi="仿宋" w:eastAsia="仿宋" w:cs="仿宋"/>
                <w:b/>
                <w:bCs/>
                <w:color w:val="auto"/>
                <w:kern w:val="0"/>
                <w:sz w:val="24"/>
                <w:lang w:val="en-US" w:eastAsia="zh-CN"/>
              </w:rPr>
            </w:pPr>
            <w:r>
              <w:rPr>
                <w:rFonts w:hint="eastAsia" w:ascii="仿宋" w:hAnsi="仿宋" w:eastAsia="仿宋" w:cs="仿宋"/>
                <w:b/>
                <w:bCs/>
                <w:color w:val="auto"/>
                <w:kern w:val="0"/>
                <w:sz w:val="24"/>
                <w:lang w:val="en-US" w:eastAsia="zh-CN"/>
              </w:rPr>
              <w:t>人数</w:t>
            </w:r>
          </w:p>
        </w:tc>
        <w:tc>
          <w:tcPr>
            <w:tcW w:w="2740" w:type="dxa"/>
            <w:tcBorders>
              <w:top w:val="single" w:color="auto" w:sz="4" w:space="0"/>
              <w:left w:val="single" w:color="auto" w:sz="4" w:space="0"/>
              <w:bottom w:val="single" w:color="auto" w:sz="4" w:space="0"/>
              <w:right w:val="single" w:color="auto" w:sz="4" w:space="0"/>
            </w:tcBorders>
            <w:noWrap w:val="0"/>
            <w:vAlign w:val="center"/>
          </w:tcPr>
          <w:p w14:paraId="7FFC1918">
            <w:pPr>
              <w:keepNext w:val="0"/>
              <w:keepLines w:val="0"/>
              <w:pageBreakBefore w:val="0"/>
              <w:widowControl/>
              <w:kinsoku/>
              <w:overflowPunct/>
              <w:topLinePunct w:val="0"/>
              <w:bidi w:val="0"/>
              <w:spacing w:line="560" w:lineRule="exact"/>
              <w:jc w:val="center"/>
              <w:rPr>
                <w:rFonts w:hint="eastAsia" w:ascii="仿宋" w:hAnsi="仿宋" w:eastAsia="仿宋" w:cs="仿宋"/>
                <w:b/>
                <w:bCs/>
                <w:color w:val="auto"/>
                <w:kern w:val="0"/>
                <w:sz w:val="24"/>
              </w:rPr>
            </w:pPr>
            <w:r>
              <w:rPr>
                <w:rFonts w:hint="eastAsia" w:ascii="仿宋" w:hAnsi="仿宋" w:eastAsia="仿宋" w:cs="仿宋"/>
                <w:b/>
                <w:bCs/>
                <w:color w:val="auto"/>
                <w:kern w:val="0"/>
                <w:sz w:val="24"/>
              </w:rPr>
              <w:t>要求</w:t>
            </w:r>
          </w:p>
        </w:tc>
        <w:tc>
          <w:tcPr>
            <w:tcW w:w="3440" w:type="dxa"/>
            <w:tcBorders>
              <w:top w:val="single" w:color="auto" w:sz="4" w:space="0"/>
              <w:left w:val="single" w:color="auto" w:sz="4" w:space="0"/>
              <w:bottom w:val="single" w:color="auto" w:sz="4" w:space="0"/>
              <w:right w:val="single" w:color="auto" w:sz="4" w:space="0"/>
            </w:tcBorders>
            <w:noWrap w:val="0"/>
            <w:vAlign w:val="center"/>
          </w:tcPr>
          <w:p w14:paraId="00806248">
            <w:pPr>
              <w:keepNext w:val="0"/>
              <w:keepLines w:val="0"/>
              <w:pageBreakBefore w:val="0"/>
              <w:widowControl/>
              <w:kinsoku/>
              <w:overflowPunct/>
              <w:topLinePunct w:val="0"/>
              <w:bidi w:val="0"/>
              <w:spacing w:line="560" w:lineRule="exact"/>
              <w:jc w:val="center"/>
              <w:rPr>
                <w:rFonts w:hint="eastAsia" w:ascii="仿宋" w:hAnsi="仿宋" w:eastAsia="仿宋" w:cs="仿宋"/>
                <w:b/>
                <w:bCs/>
                <w:color w:val="auto"/>
                <w:kern w:val="0"/>
                <w:sz w:val="24"/>
              </w:rPr>
            </w:pPr>
            <w:r>
              <w:rPr>
                <w:rFonts w:hint="eastAsia" w:ascii="仿宋" w:hAnsi="仿宋" w:eastAsia="仿宋" w:cs="仿宋"/>
                <w:b/>
                <w:bCs/>
                <w:color w:val="auto"/>
                <w:kern w:val="0"/>
                <w:sz w:val="24"/>
              </w:rPr>
              <w:t>岗位职责</w:t>
            </w:r>
          </w:p>
        </w:tc>
      </w:tr>
      <w:tr w14:paraId="7A2DBDF4">
        <w:tblPrEx>
          <w:tblCellMar>
            <w:top w:w="0" w:type="dxa"/>
            <w:left w:w="108" w:type="dxa"/>
            <w:bottom w:w="0" w:type="dxa"/>
            <w:right w:w="108" w:type="dxa"/>
          </w:tblCellMar>
        </w:tblPrEx>
        <w:trPr>
          <w:trHeight w:val="763" w:hRule="atLeast"/>
        </w:trPr>
        <w:tc>
          <w:tcPr>
            <w:tcW w:w="738" w:type="dxa"/>
            <w:tcBorders>
              <w:top w:val="single" w:color="auto" w:sz="4" w:space="0"/>
              <w:left w:val="single" w:color="auto" w:sz="4" w:space="0"/>
              <w:bottom w:val="single" w:color="auto" w:sz="4" w:space="0"/>
              <w:right w:val="single" w:color="auto" w:sz="4" w:space="0"/>
            </w:tcBorders>
            <w:noWrap w:val="0"/>
            <w:vAlign w:val="center"/>
          </w:tcPr>
          <w:p w14:paraId="22DA0636">
            <w:pPr>
              <w:keepNext w:val="0"/>
              <w:keepLines w:val="0"/>
              <w:pageBreakBefore w:val="0"/>
              <w:widowControl/>
              <w:kinsoku/>
              <w:wordWrap/>
              <w:overflowPunct/>
              <w:topLinePunct w:val="0"/>
              <w:autoSpaceDE/>
              <w:autoSpaceDN/>
              <w:bidi w:val="0"/>
              <w:adjustRightInd/>
              <w:snapToGrid/>
              <w:spacing w:line="240" w:lineRule="auto"/>
              <w:ind w:left="0" w:leftChars="0" w:firstLine="218" w:firstLineChars="91"/>
              <w:jc w:val="both"/>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p>
        </w:tc>
        <w:tc>
          <w:tcPr>
            <w:tcW w:w="1066" w:type="dxa"/>
            <w:tcBorders>
              <w:top w:val="single" w:color="auto" w:sz="4" w:space="0"/>
              <w:left w:val="single" w:color="auto" w:sz="4" w:space="0"/>
              <w:bottom w:val="single" w:color="auto" w:sz="4" w:space="0"/>
              <w:right w:val="single" w:color="auto" w:sz="4" w:space="0"/>
            </w:tcBorders>
            <w:noWrap w:val="0"/>
            <w:vAlign w:val="center"/>
          </w:tcPr>
          <w:p w14:paraId="22E3193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highlight w:val="none"/>
              </w:rPr>
              <w:t>项目经理</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757EA77B">
            <w:pPr>
              <w:keepNext w:val="0"/>
              <w:keepLines w:val="0"/>
              <w:pageBreakBefore w:val="0"/>
              <w:widowControl/>
              <w:kinsoku/>
              <w:wordWrap/>
              <w:overflowPunct/>
              <w:topLinePunct w:val="0"/>
              <w:autoSpaceDE/>
              <w:autoSpaceDN/>
              <w:bidi w:val="0"/>
              <w:adjustRightInd/>
              <w:snapToGrid/>
              <w:spacing w:line="240" w:lineRule="auto"/>
              <w:ind w:left="0" w:leftChars="0" w:firstLine="218" w:firstLineChars="91"/>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1</w:t>
            </w:r>
          </w:p>
        </w:tc>
        <w:tc>
          <w:tcPr>
            <w:tcW w:w="2740" w:type="dxa"/>
            <w:tcBorders>
              <w:top w:val="single" w:color="auto" w:sz="4" w:space="0"/>
              <w:left w:val="single" w:color="auto" w:sz="4" w:space="0"/>
              <w:bottom w:val="single" w:color="auto" w:sz="4" w:space="0"/>
              <w:right w:val="single" w:color="auto" w:sz="4" w:space="0"/>
            </w:tcBorders>
            <w:noWrap w:val="0"/>
            <w:vAlign w:val="center"/>
          </w:tcPr>
          <w:p w14:paraId="398F9C0E">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年龄:18-60岁，大专及</w:t>
            </w:r>
            <w:r>
              <w:rPr>
                <w:rFonts w:hint="eastAsia" w:ascii="仿宋" w:hAnsi="仿宋" w:eastAsia="仿宋" w:cs="仿宋"/>
                <w:color w:val="auto"/>
                <w:kern w:val="0"/>
                <w:sz w:val="24"/>
                <w:szCs w:val="24"/>
                <w:highlight w:val="none"/>
              </w:rPr>
              <w:t>以上学历，</w:t>
            </w:r>
            <w:r>
              <w:rPr>
                <w:rFonts w:hint="eastAsia" w:ascii="仿宋" w:hAnsi="仿宋" w:eastAsia="仿宋" w:cs="仿宋"/>
                <w:color w:val="auto"/>
                <w:kern w:val="0"/>
                <w:sz w:val="24"/>
                <w:szCs w:val="24"/>
                <w:highlight w:val="none"/>
                <w:lang w:val="en-US" w:eastAsia="zh-CN"/>
              </w:rPr>
              <w:t>拥有</w:t>
            </w:r>
            <w:r>
              <w:rPr>
                <w:rFonts w:hint="eastAsia" w:ascii="仿宋" w:hAnsi="仿宋" w:eastAsia="仿宋" w:cs="仿宋"/>
                <w:color w:val="auto"/>
                <w:kern w:val="0"/>
                <w:sz w:val="24"/>
                <w:szCs w:val="24"/>
                <w:highlight w:val="none"/>
              </w:rPr>
              <w:t>物业工作</w:t>
            </w:r>
            <w:r>
              <w:rPr>
                <w:rFonts w:hint="eastAsia" w:ascii="仿宋" w:hAnsi="仿宋" w:eastAsia="仿宋" w:cs="仿宋"/>
                <w:color w:val="auto"/>
                <w:kern w:val="0"/>
                <w:sz w:val="24"/>
                <w:szCs w:val="24"/>
                <w:highlight w:val="none"/>
                <w:lang w:val="en-US" w:eastAsia="zh-CN"/>
              </w:rPr>
              <w:t>丰富经验。</w:t>
            </w:r>
          </w:p>
        </w:tc>
        <w:tc>
          <w:tcPr>
            <w:tcW w:w="3440" w:type="dxa"/>
            <w:tcBorders>
              <w:top w:val="single" w:color="auto" w:sz="4" w:space="0"/>
              <w:left w:val="single" w:color="auto" w:sz="4" w:space="0"/>
              <w:bottom w:val="single" w:color="auto" w:sz="4" w:space="0"/>
              <w:right w:val="single" w:color="auto" w:sz="4" w:space="0"/>
            </w:tcBorders>
            <w:noWrap w:val="0"/>
            <w:vAlign w:val="center"/>
          </w:tcPr>
          <w:p w14:paraId="5C584DAF">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负责项目整体工作运行，并严格履行</w:t>
            </w:r>
            <w:r>
              <w:rPr>
                <w:rFonts w:hint="eastAsia" w:ascii="仿宋" w:hAnsi="仿宋" w:eastAsia="仿宋" w:cs="仿宋"/>
                <w:color w:val="auto"/>
                <w:kern w:val="0"/>
                <w:sz w:val="24"/>
                <w:szCs w:val="24"/>
                <w:lang w:val="en-US" w:eastAsia="zh-CN"/>
              </w:rPr>
              <w:t>职责</w:t>
            </w:r>
            <w:r>
              <w:rPr>
                <w:rFonts w:hint="eastAsia" w:ascii="仿宋" w:hAnsi="仿宋" w:eastAsia="仿宋" w:cs="仿宋"/>
                <w:color w:val="auto"/>
                <w:kern w:val="0"/>
                <w:sz w:val="24"/>
                <w:szCs w:val="24"/>
              </w:rPr>
              <w:t>；负责协调处理采购</w:t>
            </w:r>
            <w:r>
              <w:rPr>
                <w:rFonts w:hint="eastAsia" w:ascii="仿宋" w:hAnsi="仿宋" w:eastAsia="仿宋" w:cs="仿宋"/>
                <w:color w:val="auto"/>
                <w:kern w:val="0"/>
                <w:sz w:val="24"/>
                <w:szCs w:val="24"/>
                <w:lang w:eastAsia="zh-CN"/>
              </w:rPr>
              <w:t>人</w:t>
            </w:r>
            <w:r>
              <w:rPr>
                <w:rFonts w:hint="eastAsia" w:ascii="仿宋" w:hAnsi="仿宋" w:eastAsia="仿宋" w:cs="仿宋"/>
                <w:color w:val="auto"/>
                <w:kern w:val="0"/>
                <w:sz w:val="24"/>
                <w:szCs w:val="24"/>
              </w:rPr>
              <w:t>提出的各项要求和意见，协助</w:t>
            </w:r>
            <w:r>
              <w:rPr>
                <w:rFonts w:hint="eastAsia" w:ascii="仿宋" w:hAnsi="仿宋" w:eastAsia="仿宋" w:cs="仿宋"/>
                <w:color w:val="auto"/>
                <w:kern w:val="0"/>
                <w:sz w:val="24"/>
                <w:szCs w:val="24"/>
                <w:lang w:val="en-US" w:eastAsia="zh-CN"/>
              </w:rPr>
              <w:t>采购人</w:t>
            </w:r>
            <w:r>
              <w:rPr>
                <w:rFonts w:hint="eastAsia" w:ascii="仿宋" w:hAnsi="仿宋" w:eastAsia="仿宋" w:cs="仿宋"/>
                <w:color w:val="auto"/>
                <w:kern w:val="0"/>
                <w:sz w:val="24"/>
                <w:szCs w:val="24"/>
              </w:rPr>
              <w:t>做好各项管理工作。</w:t>
            </w:r>
          </w:p>
        </w:tc>
      </w:tr>
      <w:tr w14:paraId="114F7411">
        <w:tblPrEx>
          <w:tblCellMar>
            <w:top w:w="0" w:type="dxa"/>
            <w:left w:w="108" w:type="dxa"/>
            <w:bottom w:w="0" w:type="dxa"/>
            <w:right w:w="108" w:type="dxa"/>
          </w:tblCellMar>
        </w:tblPrEx>
        <w:trPr>
          <w:trHeight w:val="612" w:hRule="atLeast"/>
        </w:trPr>
        <w:tc>
          <w:tcPr>
            <w:tcW w:w="738" w:type="dxa"/>
            <w:tcBorders>
              <w:top w:val="single" w:color="auto" w:sz="4" w:space="0"/>
              <w:left w:val="single" w:color="auto" w:sz="4" w:space="0"/>
              <w:bottom w:val="single" w:color="auto" w:sz="4" w:space="0"/>
              <w:right w:val="single" w:color="auto" w:sz="4" w:space="0"/>
            </w:tcBorders>
            <w:noWrap w:val="0"/>
            <w:vAlign w:val="center"/>
          </w:tcPr>
          <w:p w14:paraId="158F92A7">
            <w:pPr>
              <w:keepNext w:val="0"/>
              <w:keepLines w:val="0"/>
              <w:pageBreakBefore w:val="0"/>
              <w:widowControl/>
              <w:kinsoku/>
              <w:wordWrap/>
              <w:overflowPunct/>
              <w:topLinePunct w:val="0"/>
              <w:autoSpaceDE/>
              <w:autoSpaceDN/>
              <w:bidi w:val="0"/>
              <w:adjustRightInd/>
              <w:snapToGrid/>
              <w:spacing w:line="240" w:lineRule="auto"/>
              <w:ind w:left="0" w:leftChars="0" w:firstLine="218" w:firstLineChars="91"/>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w:t>
            </w:r>
          </w:p>
        </w:tc>
        <w:tc>
          <w:tcPr>
            <w:tcW w:w="1066" w:type="dxa"/>
            <w:tcBorders>
              <w:top w:val="single" w:color="auto" w:sz="4" w:space="0"/>
              <w:left w:val="single" w:color="auto" w:sz="4" w:space="0"/>
              <w:bottom w:val="single" w:color="auto" w:sz="4" w:space="0"/>
              <w:right w:val="single" w:color="auto" w:sz="4" w:space="0"/>
            </w:tcBorders>
            <w:noWrap w:val="0"/>
            <w:vAlign w:val="center"/>
          </w:tcPr>
          <w:p w14:paraId="61BB2F2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秩序维护员</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3EED7333">
            <w:pPr>
              <w:keepNext w:val="0"/>
              <w:keepLines w:val="0"/>
              <w:pageBreakBefore w:val="0"/>
              <w:widowControl/>
              <w:kinsoku/>
              <w:wordWrap/>
              <w:overflowPunct/>
              <w:topLinePunct w:val="0"/>
              <w:autoSpaceDE/>
              <w:autoSpaceDN/>
              <w:bidi w:val="0"/>
              <w:adjustRightInd/>
              <w:snapToGrid/>
              <w:spacing w:line="240" w:lineRule="auto"/>
              <w:ind w:left="0" w:leftChars="0" w:firstLine="218" w:firstLineChars="91"/>
              <w:jc w:val="center"/>
              <w:textAlignment w:val="auto"/>
              <w:rPr>
                <w:rFonts w:hint="eastAsia"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en-US" w:eastAsia="zh-CN"/>
              </w:rPr>
              <w:t>5</w:t>
            </w:r>
          </w:p>
        </w:tc>
        <w:tc>
          <w:tcPr>
            <w:tcW w:w="2740" w:type="dxa"/>
            <w:tcBorders>
              <w:top w:val="single" w:color="auto" w:sz="4" w:space="0"/>
              <w:left w:val="single" w:color="auto" w:sz="4" w:space="0"/>
              <w:bottom w:val="single" w:color="auto" w:sz="4" w:space="0"/>
              <w:right w:val="single" w:color="auto" w:sz="4" w:space="0"/>
            </w:tcBorders>
            <w:noWrap w:val="0"/>
            <w:vAlign w:val="center"/>
          </w:tcPr>
          <w:p w14:paraId="2E1565FD">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年龄:18-60岁，具有较好的军事素质和身体素质，品行端正、身体健康、服务意识及责任心强、有保安工作经验者优先，培训合格上岗，具备保安员上岗证或退伍军人证。</w:t>
            </w:r>
          </w:p>
        </w:tc>
        <w:tc>
          <w:tcPr>
            <w:tcW w:w="3440" w:type="dxa"/>
            <w:tcBorders>
              <w:top w:val="single" w:color="auto" w:sz="4" w:space="0"/>
              <w:left w:val="single" w:color="auto" w:sz="4" w:space="0"/>
              <w:bottom w:val="single" w:color="auto" w:sz="4" w:space="0"/>
              <w:right w:val="single" w:color="auto" w:sz="4" w:space="0"/>
            </w:tcBorders>
            <w:noWrap w:val="0"/>
            <w:vAlign w:val="center"/>
          </w:tcPr>
          <w:p w14:paraId="54921B9E">
            <w:pPr>
              <w:keepNext w:val="0"/>
              <w:keepLines w:val="0"/>
              <w:pageBreakBefore w:val="0"/>
              <w:widowControl/>
              <w:kinsoku/>
              <w:wordWrap w:val="0"/>
              <w:overflowPunct/>
              <w:topLinePunct w:val="0"/>
              <w:autoSpaceDE/>
              <w:autoSpaceDN/>
              <w:bidi w:val="0"/>
              <w:adjustRightInd/>
              <w:snapToGrid/>
              <w:spacing w:line="240" w:lineRule="auto"/>
              <w:ind w:firstLine="480" w:firstLineChars="200"/>
              <w:jc w:val="both"/>
              <w:textAlignment w:val="auto"/>
              <w:rPr>
                <w:rFonts w:hint="default" w:ascii="仿宋" w:hAnsi="仿宋" w:eastAsia="仿宋" w:cs="仿宋"/>
                <w:color w:val="auto"/>
                <w:kern w:val="0"/>
                <w:sz w:val="24"/>
                <w:szCs w:val="24"/>
                <w:lang w:val="en-US"/>
              </w:rPr>
            </w:pPr>
            <w:r>
              <w:rPr>
                <w:rFonts w:hint="eastAsia" w:ascii="仿宋" w:hAnsi="仿宋" w:eastAsia="仿宋" w:cs="仿宋"/>
                <w:color w:val="auto"/>
                <w:kern w:val="0"/>
                <w:sz w:val="24"/>
                <w:szCs w:val="24"/>
              </w:rPr>
              <w:t>负责区域内门岗、巡逻、车场指挥及消防安全</w:t>
            </w:r>
            <w:r>
              <w:rPr>
                <w:rFonts w:hint="eastAsia" w:ascii="仿宋" w:hAnsi="仿宋" w:eastAsia="仿宋" w:cs="仿宋"/>
                <w:color w:val="auto"/>
                <w:kern w:val="0"/>
                <w:sz w:val="24"/>
                <w:szCs w:val="24"/>
                <w:lang w:val="en-US" w:eastAsia="zh-CN"/>
              </w:rPr>
              <w:t>值班</w:t>
            </w:r>
            <w:r>
              <w:rPr>
                <w:rFonts w:hint="eastAsia" w:ascii="仿宋" w:hAnsi="仿宋" w:eastAsia="仿宋" w:cs="仿宋"/>
                <w:color w:val="auto"/>
                <w:kern w:val="0"/>
                <w:sz w:val="24"/>
                <w:szCs w:val="24"/>
              </w:rPr>
              <w:t>等各项工作，</w:t>
            </w:r>
            <w:r>
              <w:rPr>
                <w:rFonts w:hint="eastAsia" w:ascii="仿宋" w:hAnsi="仿宋" w:eastAsia="仿宋" w:cs="仿宋"/>
                <w:color w:val="auto"/>
                <w:kern w:val="0"/>
                <w:sz w:val="24"/>
                <w:szCs w:val="24"/>
                <w:lang w:val="en-US" w:eastAsia="zh-CN"/>
              </w:rPr>
              <w:t>展厅保安早班6:00-18:00 2人，夜班18:00-6:002人。停车场巡逻7:00-19:301人。</w:t>
            </w:r>
          </w:p>
        </w:tc>
      </w:tr>
      <w:tr w14:paraId="5B83E72F">
        <w:tblPrEx>
          <w:tblCellMar>
            <w:top w:w="0" w:type="dxa"/>
            <w:left w:w="108" w:type="dxa"/>
            <w:bottom w:w="0" w:type="dxa"/>
            <w:right w:w="108" w:type="dxa"/>
          </w:tblCellMar>
        </w:tblPrEx>
        <w:trPr>
          <w:trHeight w:val="1099" w:hRule="atLeast"/>
        </w:trPr>
        <w:tc>
          <w:tcPr>
            <w:tcW w:w="738" w:type="dxa"/>
            <w:tcBorders>
              <w:top w:val="single" w:color="auto" w:sz="4" w:space="0"/>
              <w:left w:val="single" w:color="auto" w:sz="4" w:space="0"/>
              <w:bottom w:val="single" w:color="auto" w:sz="4" w:space="0"/>
              <w:right w:val="single" w:color="auto" w:sz="4" w:space="0"/>
            </w:tcBorders>
            <w:noWrap w:val="0"/>
            <w:vAlign w:val="center"/>
          </w:tcPr>
          <w:p w14:paraId="348EA65D">
            <w:pPr>
              <w:keepNext w:val="0"/>
              <w:keepLines w:val="0"/>
              <w:pageBreakBefore w:val="0"/>
              <w:widowControl/>
              <w:kinsoku/>
              <w:wordWrap/>
              <w:overflowPunct/>
              <w:topLinePunct w:val="0"/>
              <w:autoSpaceDE/>
              <w:autoSpaceDN/>
              <w:bidi w:val="0"/>
              <w:adjustRightInd/>
              <w:snapToGrid/>
              <w:spacing w:line="240" w:lineRule="auto"/>
              <w:ind w:left="0" w:leftChars="0" w:firstLine="218" w:firstLineChars="91"/>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w:t>
            </w:r>
          </w:p>
        </w:tc>
        <w:tc>
          <w:tcPr>
            <w:tcW w:w="1066" w:type="dxa"/>
            <w:tcBorders>
              <w:top w:val="single" w:color="auto" w:sz="4" w:space="0"/>
              <w:left w:val="single" w:color="auto" w:sz="4" w:space="0"/>
              <w:bottom w:val="single" w:color="auto" w:sz="4" w:space="0"/>
              <w:right w:val="single" w:color="auto" w:sz="4" w:space="0"/>
            </w:tcBorders>
            <w:noWrap w:val="0"/>
            <w:vAlign w:val="center"/>
          </w:tcPr>
          <w:p w14:paraId="20B0115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卫生清洁员</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5A318AFE">
            <w:pPr>
              <w:keepNext w:val="0"/>
              <w:keepLines w:val="0"/>
              <w:pageBreakBefore w:val="0"/>
              <w:widowControl/>
              <w:kinsoku/>
              <w:wordWrap/>
              <w:overflowPunct/>
              <w:topLinePunct w:val="0"/>
              <w:autoSpaceDE/>
              <w:autoSpaceDN/>
              <w:bidi w:val="0"/>
              <w:adjustRightInd/>
              <w:snapToGrid/>
              <w:spacing w:line="240" w:lineRule="auto"/>
              <w:ind w:left="0" w:leftChars="0" w:firstLine="218" w:firstLineChars="91"/>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4</w:t>
            </w:r>
          </w:p>
        </w:tc>
        <w:tc>
          <w:tcPr>
            <w:tcW w:w="2740" w:type="dxa"/>
            <w:tcBorders>
              <w:top w:val="single" w:color="auto" w:sz="4" w:space="0"/>
              <w:left w:val="single" w:color="auto" w:sz="4" w:space="0"/>
              <w:bottom w:val="single" w:color="auto" w:sz="4" w:space="0"/>
              <w:right w:val="single" w:color="auto" w:sz="4" w:space="0"/>
            </w:tcBorders>
            <w:noWrap w:val="0"/>
            <w:vAlign w:val="center"/>
          </w:tcPr>
          <w:p w14:paraId="5FDA9443">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highlight w:val="none"/>
                <w:lang w:val="en-US" w:eastAsia="zh-CN"/>
              </w:rPr>
              <w:t>年龄:18-60岁，</w:t>
            </w:r>
            <w:r>
              <w:rPr>
                <w:rFonts w:hint="eastAsia" w:ascii="仿宋" w:hAnsi="仿宋" w:eastAsia="仿宋" w:cs="仿宋"/>
                <w:color w:val="auto"/>
                <w:kern w:val="0"/>
                <w:sz w:val="24"/>
                <w:szCs w:val="24"/>
                <w:lang w:val="en-US" w:eastAsia="zh-CN"/>
              </w:rPr>
              <w:t>品行端正、身体健康、服务意识及责任心强、有</w:t>
            </w:r>
            <w:r>
              <w:rPr>
                <w:rFonts w:hint="eastAsia" w:ascii="仿宋" w:hAnsi="仿宋" w:eastAsia="仿宋" w:cs="仿宋"/>
                <w:color w:val="auto"/>
                <w:kern w:val="0"/>
                <w:sz w:val="24"/>
                <w:szCs w:val="24"/>
              </w:rPr>
              <w:t>保洁工作</w:t>
            </w:r>
            <w:r>
              <w:rPr>
                <w:rFonts w:hint="eastAsia" w:ascii="仿宋" w:hAnsi="仿宋" w:eastAsia="仿宋" w:cs="仿宋"/>
                <w:color w:val="auto"/>
                <w:kern w:val="0"/>
                <w:sz w:val="24"/>
                <w:szCs w:val="24"/>
                <w:lang w:val="en-US" w:eastAsia="zh-CN"/>
              </w:rPr>
              <w:t>经验者优先。</w:t>
            </w:r>
          </w:p>
        </w:tc>
        <w:tc>
          <w:tcPr>
            <w:tcW w:w="3440" w:type="dxa"/>
            <w:tcBorders>
              <w:top w:val="single" w:color="auto" w:sz="4" w:space="0"/>
              <w:left w:val="single" w:color="auto" w:sz="4" w:space="0"/>
              <w:bottom w:val="single" w:color="auto" w:sz="4" w:space="0"/>
              <w:right w:val="single" w:color="auto" w:sz="4" w:space="0"/>
            </w:tcBorders>
            <w:noWrap w:val="0"/>
            <w:vAlign w:val="center"/>
          </w:tcPr>
          <w:p w14:paraId="7A9C4620">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负责室内</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停车场</w:t>
            </w:r>
            <w:r>
              <w:rPr>
                <w:rFonts w:hint="eastAsia" w:ascii="仿宋" w:hAnsi="仿宋" w:eastAsia="仿宋" w:cs="仿宋"/>
                <w:color w:val="auto"/>
                <w:kern w:val="0"/>
                <w:sz w:val="24"/>
                <w:szCs w:val="24"/>
              </w:rPr>
              <w:t>、室外各项保洁工作。</w:t>
            </w:r>
          </w:p>
        </w:tc>
      </w:tr>
      <w:tr w14:paraId="04F85519">
        <w:tblPrEx>
          <w:tblCellMar>
            <w:top w:w="0" w:type="dxa"/>
            <w:left w:w="108" w:type="dxa"/>
            <w:bottom w:w="0" w:type="dxa"/>
            <w:right w:w="108" w:type="dxa"/>
          </w:tblCellMar>
        </w:tblPrEx>
        <w:trPr>
          <w:trHeight w:val="1099" w:hRule="atLeast"/>
        </w:trPr>
        <w:tc>
          <w:tcPr>
            <w:tcW w:w="738" w:type="dxa"/>
            <w:tcBorders>
              <w:top w:val="single" w:color="auto" w:sz="4" w:space="0"/>
              <w:left w:val="single" w:color="auto" w:sz="4" w:space="0"/>
              <w:bottom w:val="single" w:color="auto" w:sz="4" w:space="0"/>
              <w:right w:val="single" w:color="auto" w:sz="4" w:space="0"/>
            </w:tcBorders>
            <w:noWrap w:val="0"/>
            <w:vAlign w:val="center"/>
          </w:tcPr>
          <w:p w14:paraId="2BCF5AE6">
            <w:pPr>
              <w:keepNext w:val="0"/>
              <w:keepLines w:val="0"/>
              <w:pageBreakBefore w:val="0"/>
              <w:widowControl/>
              <w:kinsoku/>
              <w:wordWrap/>
              <w:overflowPunct/>
              <w:topLinePunct w:val="0"/>
              <w:autoSpaceDE/>
              <w:autoSpaceDN/>
              <w:bidi w:val="0"/>
              <w:adjustRightInd/>
              <w:snapToGrid/>
              <w:spacing w:line="240" w:lineRule="auto"/>
              <w:ind w:left="0" w:leftChars="0" w:firstLine="218" w:firstLineChars="91"/>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w:t>
            </w:r>
          </w:p>
        </w:tc>
        <w:tc>
          <w:tcPr>
            <w:tcW w:w="1066" w:type="dxa"/>
            <w:tcBorders>
              <w:top w:val="single" w:color="auto" w:sz="4" w:space="0"/>
              <w:left w:val="single" w:color="auto" w:sz="4" w:space="0"/>
              <w:bottom w:val="single" w:color="auto" w:sz="4" w:space="0"/>
              <w:right w:val="single" w:color="auto" w:sz="4" w:space="0"/>
            </w:tcBorders>
            <w:noWrap w:val="0"/>
            <w:vAlign w:val="center"/>
          </w:tcPr>
          <w:p w14:paraId="46B2827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Times New Roman"/>
                <w:color w:val="000000"/>
                <w:sz w:val="24"/>
                <w:szCs w:val="24"/>
                <w:lang w:val="en-US" w:eastAsia="zh-CN"/>
              </w:rPr>
              <w:t>档案交接协管员</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156FCB7D">
            <w:pPr>
              <w:keepNext w:val="0"/>
              <w:keepLines w:val="0"/>
              <w:pageBreakBefore w:val="0"/>
              <w:widowControl/>
              <w:kinsoku/>
              <w:wordWrap/>
              <w:overflowPunct/>
              <w:topLinePunct w:val="0"/>
              <w:autoSpaceDE/>
              <w:autoSpaceDN/>
              <w:bidi w:val="0"/>
              <w:adjustRightInd/>
              <w:snapToGrid/>
              <w:spacing w:line="240" w:lineRule="auto"/>
              <w:ind w:left="0" w:leftChars="0" w:firstLine="218" w:firstLineChars="91"/>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w:t>
            </w:r>
          </w:p>
        </w:tc>
        <w:tc>
          <w:tcPr>
            <w:tcW w:w="2740" w:type="dxa"/>
            <w:tcBorders>
              <w:top w:val="single" w:color="auto" w:sz="4" w:space="0"/>
              <w:left w:val="single" w:color="auto" w:sz="4" w:space="0"/>
              <w:bottom w:val="single" w:color="auto" w:sz="4" w:space="0"/>
              <w:right w:val="single" w:color="auto" w:sz="4" w:space="0"/>
            </w:tcBorders>
            <w:noWrap w:val="0"/>
            <w:vAlign w:val="center"/>
          </w:tcPr>
          <w:p w14:paraId="7A420EA4">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年龄:18-60岁，</w:t>
            </w:r>
            <w:r>
              <w:rPr>
                <w:rFonts w:hint="eastAsia" w:ascii="仿宋" w:hAnsi="仿宋" w:eastAsia="仿宋" w:cs="仿宋"/>
                <w:color w:val="auto"/>
                <w:kern w:val="0"/>
                <w:sz w:val="24"/>
                <w:szCs w:val="24"/>
                <w:lang w:val="en-US" w:eastAsia="zh-CN"/>
              </w:rPr>
              <w:t>品行端正、身体健康、服务意识及责任心强。</w:t>
            </w:r>
          </w:p>
        </w:tc>
        <w:tc>
          <w:tcPr>
            <w:tcW w:w="3440" w:type="dxa"/>
            <w:tcBorders>
              <w:top w:val="single" w:color="auto" w:sz="4" w:space="0"/>
              <w:left w:val="single" w:color="auto" w:sz="4" w:space="0"/>
              <w:bottom w:val="single" w:color="auto" w:sz="4" w:space="0"/>
              <w:right w:val="single" w:color="auto" w:sz="4" w:space="0"/>
            </w:tcBorders>
            <w:noWrap w:val="0"/>
            <w:vAlign w:val="center"/>
          </w:tcPr>
          <w:p w14:paraId="51722AE3">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熟悉档案归档范围，懂得分门别类，对档案的整理、书写要求规范化，科学化</w:t>
            </w:r>
            <w:r>
              <w:rPr>
                <w:rFonts w:hint="eastAsia" w:ascii="仿宋" w:hAnsi="仿宋" w:eastAsia="仿宋" w:cs="仿宋"/>
                <w:color w:val="auto"/>
                <w:kern w:val="0"/>
                <w:sz w:val="24"/>
                <w:szCs w:val="24"/>
                <w:lang w:eastAsia="zh-CN"/>
              </w:rPr>
              <w:t>。</w:t>
            </w:r>
          </w:p>
        </w:tc>
      </w:tr>
      <w:tr w14:paraId="5C244391">
        <w:tblPrEx>
          <w:tblCellMar>
            <w:top w:w="0" w:type="dxa"/>
            <w:left w:w="108" w:type="dxa"/>
            <w:bottom w:w="0" w:type="dxa"/>
            <w:right w:w="108" w:type="dxa"/>
          </w:tblCellMar>
        </w:tblPrEx>
        <w:trPr>
          <w:trHeight w:val="1099" w:hRule="atLeast"/>
        </w:trPr>
        <w:tc>
          <w:tcPr>
            <w:tcW w:w="738" w:type="dxa"/>
            <w:tcBorders>
              <w:top w:val="single" w:color="auto" w:sz="4" w:space="0"/>
              <w:left w:val="single" w:color="auto" w:sz="4" w:space="0"/>
              <w:bottom w:val="single" w:color="auto" w:sz="4" w:space="0"/>
              <w:right w:val="single" w:color="auto" w:sz="4" w:space="0"/>
            </w:tcBorders>
            <w:noWrap w:val="0"/>
            <w:vAlign w:val="center"/>
          </w:tcPr>
          <w:p w14:paraId="210DC986">
            <w:pPr>
              <w:keepNext w:val="0"/>
              <w:keepLines w:val="0"/>
              <w:pageBreakBefore w:val="0"/>
              <w:widowControl/>
              <w:kinsoku/>
              <w:wordWrap/>
              <w:overflowPunct/>
              <w:topLinePunct w:val="0"/>
              <w:autoSpaceDE/>
              <w:autoSpaceDN/>
              <w:bidi w:val="0"/>
              <w:adjustRightInd/>
              <w:snapToGrid/>
              <w:spacing w:line="240" w:lineRule="auto"/>
              <w:ind w:left="0" w:leftChars="0" w:firstLine="218" w:firstLineChars="91"/>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w:t>
            </w:r>
          </w:p>
        </w:tc>
        <w:tc>
          <w:tcPr>
            <w:tcW w:w="1066" w:type="dxa"/>
            <w:tcBorders>
              <w:top w:val="single" w:color="auto" w:sz="4" w:space="0"/>
              <w:left w:val="single" w:color="auto" w:sz="4" w:space="0"/>
              <w:bottom w:val="single" w:color="auto" w:sz="4" w:space="0"/>
              <w:right w:val="single" w:color="auto" w:sz="4" w:space="0"/>
            </w:tcBorders>
            <w:noWrap w:val="0"/>
            <w:vAlign w:val="center"/>
          </w:tcPr>
          <w:p w14:paraId="68149BF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4"/>
                <w:szCs w:val="24"/>
              </w:rPr>
            </w:pPr>
            <w:r>
              <w:rPr>
                <w:rFonts w:hint="eastAsia"/>
                <w:sz w:val="24"/>
                <w:szCs w:val="24"/>
              </w:rPr>
              <w:t>综合维修员</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2EA45941">
            <w:pPr>
              <w:keepNext w:val="0"/>
              <w:keepLines w:val="0"/>
              <w:pageBreakBefore w:val="0"/>
              <w:widowControl/>
              <w:kinsoku/>
              <w:wordWrap/>
              <w:overflowPunct/>
              <w:topLinePunct w:val="0"/>
              <w:autoSpaceDE/>
              <w:autoSpaceDN/>
              <w:bidi w:val="0"/>
              <w:adjustRightInd/>
              <w:snapToGrid/>
              <w:spacing w:line="240" w:lineRule="auto"/>
              <w:ind w:left="0" w:leftChars="0" w:firstLine="218" w:firstLineChars="91"/>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1</w:t>
            </w:r>
          </w:p>
        </w:tc>
        <w:tc>
          <w:tcPr>
            <w:tcW w:w="2740" w:type="dxa"/>
            <w:tcBorders>
              <w:top w:val="single" w:color="auto" w:sz="4" w:space="0"/>
              <w:left w:val="single" w:color="auto" w:sz="4" w:space="0"/>
              <w:bottom w:val="single" w:color="auto" w:sz="4" w:space="0"/>
              <w:right w:val="single" w:color="auto" w:sz="4" w:space="0"/>
            </w:tcBorders>
            <w:noWrap w:val="0"/>
            <w:vAlign w:val="center"/>
          </w:tcPr>
          <w:p w14:paraId="1591537B">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年龄:18-60岁，</w:t>
            </w:r>
            <w:r>
              <w:rPr>
                <w:rFonts w:hint="eastAsia" w:ascii="仿宋" w:hAnsi="仿宋" w:eastAsia="仿宋" w:cs="仿宋"/>
                <w:color w:val="auto"/>
                <w:kern w:val="0"/>
                <w:sz w:val="24"/>
                <w:szCs w:val="24"/>
                <w:lang w:val="en-US" w:eastAsia="zh-CN"/>
              </w:rPr>
              <w:t>持有政府管理部门颁发的有效特种作业操作证上岗。</w:t>
            </w:r>
          </w:p>
        </w:tc>
        <w:tc>
          <w:tcPr>
            <w:tcW w:w="3440" w:type="dxa"/>
            <w:tcBorders>
              <w:top w:val="single" w:color="auto" w:sz="4" w:space="0"/>
              <w:left w:val="single" w:color="auto" w:sz="4" w:space="0"/>
              <w:bottom w:val="single" w:color="auto" w:sz="4" w:space="0"/>
              <w:right w:val="single" w:color="auto" w:sz="4" w:space="0"/>
            </w:tcBorders>
            <w:noWrap w:val="0"/>
            <w:vAlign w:val="center"/>
          </w:tcPr>
          <w:p w14:paraId="5EF018A8">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负责设施设备的运行，以及管道的养护、维修工作包括（弱电工程、空调等），负责按规定要求对水气暖、配电设备、公共设施、给排水设施、照明设施及门窗的维修作业。</w:t>
            </w:r>
          </w:p>
        </w:tc>
      </w:tr>
      <w:tr w14:paraId="5871DA6A">
        <w:tblPrEx>
          <w:tblCellMar>
            <w:top w:w="0" w:type="dxa"/>
            <w:left w:w="108" w:type="dxa"/>
            <w:bottom w:w="0" w:type="dxa"/>
            <w:right w:w="108" w:type="dxa"/>
          </w:tblCellMar>
        </w:tblPrEx>
        <w:trPr>
          <w:trHeight w:val="1519" w:hRule="atLeast"/>
        </w:trPr>
        <w:tc>
          <w:tcPr>
            <w:tcW w:w="738" w:type="dxa"/>
            <w:tcBorders>
              <w:top w:val="single" w:color="auto" w:sz="4" w:space="0"/>
              <w:left w:val="single" w:color="auto" w:sz="4" w:space="0"/>
              <w:bottom w:val="single" w:color="auto" w:sz="4" w:space="0"/>
              <w:right w:val="single" w:color="auto" w:sz="4" w:space="0"/>
            </w:tcBorders>
            <w:noWrap w:val="0"/>
            <w:vAlign w:val="center"/>
          </w:tcPr>
          <w:p w14:paraId="17A5894A">
            <w:pPr>
              <w:keepNext w:val="0"/>
              <w:keepLines w:val="0"/>
              <w:pageBreakBefore w:val="0"/>
              <w:widowControl/>
              <w:kinsoku/>
              <w:wordWrap/>
              <w:overflowPunct/>
              <w:topLinePunct w:val="0"/>
              <w:autoSpaceDE/>
              <w:autoSpaceDN/>
              <w:bidi w:val="0"/>
              <w:adjustRightInd/>
              <w:snapToGrid/>
              <w:spacing w:line="240" w:lineRule="auto"/>
              <w:ind w:left="0" w:leftChars="0" w:firstLine="218" w:firstLineChars="91"/>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6</w:t>
            </w:r>
          </w:p>
        </w:tc>
        <w:tc>
          <w:tcPr>
            <w:tcW w:w="1066" w:type="dxa"/>
            <w:tcBorders>
              <w:top w:val="single" w:color="auto" w:sz="4" w:space="0"/>
              <w:left w:val="single" w:color="auto" w:sz="4" w:space="0"/>
              <w:bottom w:val="single" w:color="auto" w:sz="4" w:space="0"/>
              <w:right w:val="single" w:color="auto" w:sz="4" w:space="0"/>
            </w:tcBorders>
            <w:noWrap w:val="0"/>
            <w:vAlign w:val="center"/>
          </w:tcPr>
          <w:p w14:paraId="53EB7CB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应急处置员</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5DB6267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p>
        </w:tc>
        <w:tc>
          <w:tcPr>
            <w:tcW w:w="2740" w:type="dxa"/>
            <w:tcBorders>
              <w:top w:val="single" w:color="auto" w:sz="4" w:space="0"/>
              <w:left w:val="single" w:color="auto" w:sz="4" w:space="0"/>
              <w:bottom w:val="single" w:color="auto" w:sz="4" w:space="0"/>
              <w:right w:val="single" w:color="auto" w:sz="4" w:space="0"/>
            </w:tcBorders>
            <w:noWrap w:val="0"/>
            <w:vAlign w:val="center"/>
          </w:tcPr>
          <w:p w14:paraId="62273F84">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年龄:18-60岁，</w:t>
            </w:r>
            <w:r>
              <w:rPr>
                <w:rFonts w:hint="eastAsia" w:ascii="仿宋" w:hAnsi="仿宋" w:eastAsia="仿宋" w:cs="仿宋"/>
                <w:color w:val="auto"/>
                <w:kern w:val="0"/>
                <w:sz w:val="24"/>
                <w:szCs w:val="24"/>
                <w:highlight w:val="none"/>
              </w:rPr>
              <w:t>语言表达能力与沟通交流能力较强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须持消防设施操作员证上岗。</w:t>
            </w:r>
          </w:p>
        </w:tc>
        <w:tc>
          <w:tcPr>
            <w:tcW w:w="3440" w:type="dxa"/>
            <w:tcBorders>
              <w:top w:val="single" w:color="auto" w:sz="4" w:space="0"/>
              <w:left w:val="single" w:color="auto" w:sz="4" w:space="0"/>
              <w:bottom w:val="single" w:color="auto" w:sz="4" w:space="0"/>
              <w:right w:val="single" w:color="auto" w:sz="4" w:space="0"/>
            </w:tcBorders>
            <w:noWrap w:val="0"/>
            <w:vAlign w:val="center"/>
          </w:tcPr>
          <w:p w14:paraId="3766170C">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负责档案馆整体消防安全工作</w:t>
            </w:r>
          </w:p>
        </w:tc>
      </w:tr>
      <w:tr w14:paraId="6C943FA7">
        <w:tblPrEx>
          <w:tblCellMar>
            <w:top w:w="0" w:type="dxa"/>
            <w:left w:w="108" w:type="dxa"/>
            <w:bottom w:w="0" w:type="dxa"/>
            <w:right w:w="108" w:type="dxa"/>
          </w:tblCellMar>
        </w:tblPrEx>
        <w:trPr>
          <w:trHeight w:val="1519" w:hRule="atLeast"/>
        </w:trPr>
        <w:tc>
          <w:tcPr>
            <w:tcW w:w="738" w:type="dxa"/>
            <w:tcBorders>
              <w:top w:val="single" w:color="auto" w:sz="4" w:space="0"/>
              <w:left w:val="single" w:color="auto" w:sz="4" w:space="0"/>
              <w:bottom w:val="single" w:color="auto" w:sz="4" w:space="0"/>
              <w:right w:val="single" w:color="auto" w:sz="4" w:space="0"/>
            </w:tcBorders>
            <w:noWrap w:val="0"/>
            <w:vAlign w:val="center"/>
          </w:tcPr>
          <w:p w14:paraId="3543D37C">
            <w:pPr>
              <w:keepNext w:val="0"/>
              <w:keepLines w:val="0"/>
              <w:pageBreakBefore w:val="0"/>
              <w:widowControl/>
              <w:kinsoku/>
              <w:wordWrap/>
              <w:overflowPunct/>
              <w:topLinePunct w:val="0"/>
              <w:autoSpaceDE/>
              <w:autoSpaceDN/>
              <w:bidi w:val="0"/>
              <w:adjustRightInd/>
              <w:snapToGrid/>
              <w:spacing w:line="240" w:lineRule="auto"/>
              <w:ind w:left="0" w:leftChars="0" w:firstLine="218" w:firstLineChars="91"/>
              <w:jc w:val="both"/>
              <w:textAlignment w:val="auto"/>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7</w:t>
            </w:r>
          </w:p>
        </w:tc>
        <w:tc>
          <w:tcPr>
            <w:tcW w:w="1066" w:type="dxa"/>
            <w:tcBorders>
              <w:top w:val="single" w:color="auto" w:sz="4" w:space="0"/>
              <w:left w:val="single" w:color="auto" w:sz="4" w:space="0"/>
              <w:bottom w:val="single" w:color="auto" w:sz="4" w:space="0"/>
              <w:right w:val="single" w:color="auto" w:sz="4" w:space="0"/>
            </w:tcBorders>
            <w:noWrap w:val="0"/>
            <w:vAlign w:val="center"/>
          </w:tcPr>
          <w:p w14:paraId="63ED387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展厅接待员</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74D2F36A">
            <w:pPr>
              <w:keepNext w:val="0"/>
              <w:keepLines w:val="0"/>
              <w:pageBreakBefore w:val="0"/>
              <w:widowControl/>
              <w:kinsoku/>
              <w:wordWrap/>
              <w:overflowPunct/>
              <w:topLinePunct w:val="0"/>
              <w:autoSpaceDE/>
              <w:autoSpaceDN/>
              <w:bidi w:val="0"/>
              <w:adjustRightInd/>
              <w:snapToGrid/>
              <w:spacing w:line="240" w:lineRule="auto"/>
              <w:ind w:left="0" w:leftChars="0" w:firstLine="218" w:firstLineChars="91"/>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p>
        </w:tc>
        <w:tc>
          <w:tcPr>
            <w:tcW w:w="2740" w:type="dxa"/>
            <w:tcBorders>
              <w:top w:val="single" w:color="auto" w:sz="4" w:space="0"/>
              <w:left w:val="single" w:color="auto" w:sz="4" w:space="0"/>
              <w:bottom w:val="single" w:color="auto" w:sz="4" w:space="0"/>
              <w:right w:val="single" w:color="auto" w:sz="4" w:space="0"/>
            </w:tcBorders>
            <w:noWrap w:val="0"/>
            <w:vAlign w:val="center"/>
          </w:tcPr>
          <w:p w14:paraId="2040CD55">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default"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en-US" w:eastAsia="zh-CN"/>
              </w:rPr>
              <w:t>年龄:18-35岁，大专及</w:t>
            </w:r>
            <w:r>
              <w:rPr>
                <w:rFonts w:hint="eastAsia" w:ascii="仿宋" w:hAnsi="仿宋" w:eastAsia="仿宋" w:cs="仿宋"/>
                <w:color w:val="auto"/>
                <w:kern w:val="0"/>
                <w:sz w:val="24"/>
                <w:szCs w:val="24"/>
                <w:highlight w:val="none"/>
              </w:rPr>
              <w:t>以上学历，</w:t>
            </w:r>
            <w:r>
              <w:rPr>
                <w:rFonts w:hint="eastAsia" w:ascii="仿宋" w:hAnsi="仿宋" w:eastAsia="仿宋" w:cs="仿宋"/>
                <w:color w:val="auto"/>
                <w:kern w:val="0"/>
                <w:sz w:val="24"/>
                <w:szCs w:val="24"/>
                <w:highlight w:val="none"/>
                <w:lang w:val="en-US" w:eastAsia="zh-CN"/>
              </w:rPr>
              <w:t>女性。</w:t>
            </w:r>
          </w:p>
        </w:tc>
        <w:tc>
          <w:tcPr>
            <w:tcW w:w="3440" w:type="dxa"/>
            <w:tcBorders>
              <w:top w:val="single" w:color="auto" w:sz="4" w:space="0"/>
              <w:left w:val="single" w:color="auto" w:sz="4" w:space="0"/>
              <w:bottom w:val="single" w:color="auto" w:sz="4" w:space="0"/>
              <w:right w:val="single" w:color="auto" w:sz="4" w:space="0"/>
            </w:tcBorders>
            <w:noWrap w:val="0"/>
            <w:vAlign w:val="center"/>
          </w:tcPr>
          <w:p w14:paraId="77F068FC">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负责神木市档案馆对内对外所有会议的服务接待茶水等服务。</w:t>
            </w:r>
          </w:p>
        </w:tc>
      </w:tr>
      <w:tr w14:paraId="407B3AC2">
        <w:tblPrEx>
          <w:tblCellMar>
            <w:top w:w="0" w:type="dxa"/>
            <w:left w:w="108" w:type="dxa"/>
            <w:bottom w:w="0" w:type="dxa"/>
            <w:right w:w="108" w:type="dxa"/>
          </w:tblCellMar>
        </w:tblPrEx>
        <w:trPr>
          <w:trHeight w:val="1519" w:hRule="atLeast"/>
        </w:trPr>
        <w:tc>
          <w:tcPr>
            <w:tcW w:w="738" w:type="dxa"/>
            <w:tcBorders>
              <w:top w:val="single" w:color="auto" w:sz="4" w:space="0"/>
              <w:left w:val="single" w:color="auto" w:sz="4" w:space="0"/>
              <w:bottom w:val="single" w:color="auto" w:sz="4" w:space="0"/>
              <w:right w:val="single" w:color="auto" w:sz="4" w:space="0"/>
            </w:tcBorders>
            <w:noWrap w:val="0"/>
            <w:vAlign w:val="center"/>
          </w:tcPr>
          <w:p w14:paraId="172BDCC2">
            <w:pPr>
              <w:keepNext w:val="0"/>
              <w:keepLines w:val="0"/>
              <w:pageBreakBefore w:val="0"/>
              <w:widowControl/>
              <w:kinsoku/>
              <w:wordWrap/>
              <w:overflowPunct/>
              <w:topLinePunct w:val="0"/>
              <w:autoSpaceDE/>
              <w:autoSpaceDN/>
              <w:bidi w:val="0"/>
              <w:adjustRightInd/>
              <w:snapToGrid/>
              <w:spacing w:line="240" w:lineRule="auto"/>
              <w:ind w:left="0" w:leftChars="0" w:firstLine="218" w:firstLineChars="91"/>
              <w:jc w:val="both"/>
              <w:textAlignment w:val="auto"/>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8</w:t>
            </w:r>
          </w:p>
        </w:tc>
        <w:tc>
          <w:tcPr>
            <w:tcW w:w="1066" w:type="dxa"/>
            <w:tcBorders>
              <w:top w:val="single" w:color="auto" w:sz="4" w:space="0"/>
              <w:left w:val="single" w:color="auto" w:sz="4" w:space="0"/>
              <w:bottom w:val="single" w:color="auto" w:sz="4" w:space="0"/>
              <w:right w:val="single" w:color="auto" w:sz="4" w:space="0"/>
            </w:tcBorders>
            <w:noWrap w:val="0"/>
            <w:vAlign w:val="center"/>
          </w:tcPr>
          <w:p w14:paraId="5258E61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Times New Roman"/>
                <w:color w:val="000000"/>
                <w:sz w:val="24"/>
                <w:szCs w:val="24"/>
                <w:lang w:val="en-US" w:eastAsia="zh-CN"/>
              </w:rPr>
              <w:t>保密管理辅助员</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50B667AF">
            <w:pPr>
              <w:keepNext w:val="0"/>
              <w:keepLines w:val="0"/>
              <w:pageBreakBefore w:val="0"/>
              <w:widowControl/>
              <w:kinsoku/>
              <w:wordWrap/>
              <w:overflowPunct/>
              <w:topLinePunct w:val="0"/>
              <w:autoSpaceDE/>
              <w:autoSpaceDN/>
              <w:bidi w:val="0"/>
              <w:adjustRightInd/>
              <w:snapToGrid/>
              <w:spacing w:line="240" w:lineRule="auto"/>
              <w:ind w:left="0" w:leftChars="0" w:firstLine="218" w:firstLineChars="91"/>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p>
        </w:tc>
        <w:tc>
          <w:tcPr>
            <w:tcW w:w="2740" w:type="dxa"/>
            <w:tcBorders>
              <w:top w:val="single" w:color="auto" w:sz="4" w:space="0"/>
              <w:left w:val="single" w:color="auto" w:sz="4" w:space="0"/>
              <w:bottom w:val="single" w:color="auto" w:sz="4" w:space="0"/>
              <w:right w:val="single" w:color="auto" w:sz="4" w:space="0"/>
            </w:tcBorders>
            <w:noWrap w:val="0"/>
            <w:vAlign w:val="center"/>
          </w:tcPr>
          <w:p w14:paraId="00B78DC1">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年龄:18-35岁，大专及</w:t>
            </w:r>
            <w:r>
              <w:rPr>
                <w:rFonts w:hint="eastAsia" w:ascii="仿宋" w:hAnsi="仿宋" w:eastAsia="仿宋" w:cs="仿宋"/>
                <w:color w:val="auto"/>
                <w:kern w:val="0"/>
                <w:sz w:val="24"/>
                <w:szCs w:val="24"/>
                <w:highlight w:val="none"/>
              </w:rPr>
              <w:t>以上学历，</w:t>
            </w:r>
            <w:r>
              <w:rPr>
                <w:rFonts w:hint="eastAsia" w:ascii="仿宋" w:hAnsi="仿宋" w:eastAsia="仿宋" w:cs="仿宋"/>
                <w:color w:val="auto"/>
                <w:kern w:val="0"/>
                <w:sz w:val="24"/>
                <w:szCs w:val="24"/>
                <w:highlight w:val="none"/>
                <w:lang w:val="en-US" w:eastAsia="zh-CN"/>
              </w:rPr>
              <w:t>女性。</w:t>
            </w:r>
          </w:p>
        </w:tc>
        <w:tc>
          <w:tcPr>
            <w:tcW w:w="3440" w:type="dxa"/>
            <w:tcBorders>
              <w:top w:val="single" w:color="auto" w:sz="4" w:space="0"/>
              <w:left w:val="single" w:color="auto" w:sz="4" w:space="0"/>
              <w:bottom w:val="single" w:color="auto" w:sz="4" w:space="0"/>
              <w:right w:val="single" w:color="auto" w:sz="4" w:space="0"/>
            </w:tcBorders>
            <w:noWrap w:val="0"/>
            <w:vAlign w:val="center"/>
          </w:tcPr>
          <w:p w14:paraId="0B901DC0">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负责物资出入库登记、验收与发放，库存盘点、账物核对，货物分类存放、保管维护，库存异常上报、单据整理归档。</w:t>
            </w:r>
          </w:p>
        </w:tc>
      </w:tr>
      <w:tr w14:paraId="4160A8A1">
        <w:tblPrEx>
          <w:tblCellMar>
            <w:top w:w="0" w:type="dxa"/>
            <w:left w:w="108" w:type="dxa"/>
            <w:bottom w:w="0" w:type="dxa"/>
            <w:right w:w="108" w:type="dxa"/>
          </w:tblCellMar>
        </w:tblPrEx>
        <w:trPr>
          <w:trHeight w:val="1519" w:hRule="atLeast"/>
        </w:trPr>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606819A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合计</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6DB53730">
            <w:pPr>
              <w:keepNext w:val="0"/>
              <w:keepLines w:val="0"/>
              <w:pageBreakBefore w:val="0"/>
              <w:widowControl/>
              <w:kinsoku/>
              <w:wordWrap/>
              <w:overflowPunct/>
              <w:topLinePunct w:val="0"/>
              <w:autoSpaceDE/>
              <w:autoSpaceDN/>
              <w:bidi w:val="0"/>
              <w:adjustRightInd/>
              <w:snapToGrid/>
              <w:spacing w:line="240" w:lineRule="auto"/>
              <w:ind w:left="0" w:leftChars="0" w:firstLine="218" w:firstLineChars="91"/>
              <w:jc w:val="both"/>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16人</w:t>
            </w:r>
          </w:p>
        </w:tc>
        <w:tc>
          <w:tcPr>
            <w:tcW w:w="6180" w:type="dxa"/>
            <w:gridSpan w:val="2"/>
            <w:tcBorders>
              <w:top w:val="single" w:color="auto" w:sz="4" w:space="0"/>
              <w:left w:val="single" w:color="auto" w:sz="4" w:space="0"/>
              <w:bottom w:val="single" w:color="auto" w:sz="4" w:space="0"/>
              <w:right w:val="single" w:color="auto" w:sz="4" w:space="0"/>
            </w:tcBorders>
            <w:noWrap w:val="0"/>
            <w:vAlign w:val="center"/>
          </w:tcPr>
          <w:p w14:paraId="6F3DB65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4"/>
                <w:szCs w:val="24"/>
                <w:lang w:val="en-US" w:eastAsia="zh-CN"/>
              </w:rPr>
            </w:pPr>
          </w:p>
        </w:tc>
      </w:tr>
    </w:tbl>
    <w:p w14:paraId="27CF1A45">
      <w:pPr>
        <w:keepNext w:val="0"/>
        <w:keepLines w:val="0"/>
        <w:pageBreakBefore w:val="0"/>
        <w:widowControl/>
        <w:kinsoku/>
        <w:wordWrap/>
        <w:overflowPunct/>
        <w:topLinePunct w:val="0"/>
        <w:autoSpaceDE/>
        <w:autoSpaceDN/>
        <w:bidi w:val="0"/>
        <w:adjustRightInd/>
        <w:snapToGrid/>
        <w:spacing w:line="500" w:lineRule="exact"/>
        <w:ind w:left="0" w:firstLine="562" w:firstLineChars="200"/>
        <w:textAlignment w:val="auto"/>
        <w:rPr>
          <w:rFonts w:hint="default" w:ascii="Times New Roman" w:hAnsi="Times New Roman" w:eastAsia="仿宋" w:cs="Times New Roman"/>
          <w:b/>
          <w:bCs w:val="0"/>
          <w:color w:val="auto"/>
          <w:sz w:val="28"/>
          <w:szCs w:val="28"/>
          <w:lang w:val="en-US" w:eastAsia="zh-CN"/>
        </w:rPr>
      </w:pPr>
      <w:r>
        <w:rPr>
          <w:rFonts w:hint="eastAsia" w:ascii="Times New Roman" w:hAnsi="Times New Roman" w:eastAsia="仿宋" w:cs="Times New Roman"/>
          <w:b/>
          <w:bCs w:val="0"/>
          <w:color w:val="auto"/>
          <w:sz w:val="28"/>
          <w:szCs w:val="28"/>
          <w:lang w:val="en-US" w:eastAsia="zh-CN"/>
        </w:rPr>
        <w:t>五、综合要求</w:t>
      </w:r>
    </w:p>
    <w:p w14:paraId="62CED06C">
      <w:pPr>
        <w:keepNext w:val="0"/>
        <w:keepLines w:val="0"/>
        <w:pageBreakBefore w:val="0"/>
        <w:widowControl/>
        <w:kinsoku/>
        <w:wordWrap/>
        <w:overflowPunct/>
        <w:topLinePunct w:val="0"/>
        <w:autoSpaceDE/>
        <w:autoSpaceDN/>
        <w:bidi w:val="0"/>
        <w:adjustRightInd/>
        <w:snapToGrid/>
        <w:spacing w:line="500" w:lineRule="exact"/>
        <w:ind w:left="0" w:firstLine="560" w:firstLineChars="200"/>
        <w:textAlignment w:val="auto"/>
        <w:rPr>
          <w:rFonts w:hint="eastAsia" w:ascii="Times New Roman" w:hAnsi="Times New Roman" w:eastAsia="仿宋" w:cs="Times New Roman"/>
          <w:b w:val="0"/>
          <w:bCs/>
          <w:color w:val="auto"/>
          <w:sz w:val="28"/>
          <w:szCs w:val="28"/>
          <w:lang w:val="en-US" w:eastAsia="zh-CN"/>
        </w:rPr>
      </w:pPr>
      <w:r>
        <w:rPr>
          <w:rFonts w:hint="eastAsia" w:ascii="Times New Roman" w:hAnsi="Times New Roman" w:eastAsia="仿宋" w:cs="Times New Roman"/>
          <w:b w:val="0"/>
          <w:bCs/>
          <w:color w:val="auto"/>
          <w:sz w:val="28"/>
          <w:szCs w:val="28"/>
          <w:lang w:val="en-US" w:eastAsia="zh-CN"/>
        </w:rPr>
        <w:t xml:space="preserve">1、磋商供应商所提供的服务各项指标符合或优于本次磋商要求、国家标准、行业标准及规范。 </w:t>
      </w:r>
    </w:p>
    <w:p w14:paraId="21F63516">
      <w:pPr>
        <w:keepNext w:val="0"/>
        <w:keepLines w:val="0"/>
        <w:pageBreakBefore w:val="0"/>
        <w:widowControl/>
        <w:kinsoku/>
        <w:wordWrap/>
        <w:overflowPunct/>
        <w:topLinePunct w:val="0"/>
        <w:autoSpaceDE/>
        <w:autoSpaceDN/>
        <w:bidi w:val="0"/>
        <w:adjustRightInd/>
        <w:snapToGrid/>
        <w:spacing w:line="500" w:lineRule="exact"/>
        <w:ind w:left="0" w:firstLine="560" w:firstLineChars="200"/>
        <w:textAlignment w:val="auto"/>
        <w:rPr>
          <w:rFonts w:hint="eastAsia" w:ascii="Times New Roman" w:hAnsi="Times New Roman" w:eastAsia="仿宋" w:cs="Times New Roman"/>
          <w:b w:val="0"/>
          <w:bCs/>
          <w:color w:val="auto"/>
          <w:sz w:val="28"/>
          <w:szCs w:val="28"/>
          <w:lang w:val="en-US" w:eastAsia="zh-CN"/>
        </w:rPr>
      </w:pPr>
      <w:r>
        <w:rPr>
          <w:rFonts w:hint="eastAsia" w:ascii="Times New Roman" w:hAnsi="Times New Roman" w:eastAsia="仿宋" w:cs="Times New Roman"/>
          <w:b w:val="0"/>
          <w:bCs/>
          <w:color w:val="auto"/>
          <w:sz w:val="28"/>
          <w:szCs w:val="28"/>
          <w:lang w:val="en-US" w:eastAsia="zh-CN"/>
        </w:rPr>
        <w:t>2、磋商供应商必须按磋商文件各章节条款的内容和顺序逐项作出实质性应答。无论磋商文件如何表述，磋商小组欢迎磋商供应商尽可能用数据响应技术要求。所提供的服务要求与所规定要求的任何偏离都必须逐条列入磋商响应文件中的技术服务偏离表中，任何不按此要求的磋商响应文件将承担被拒绝接受的风险。成交后，磋商供应商在合同谈判中的任何偏差都不得超越此偏离表中已被采购人确认的条款。</w:t>
      </w:r>
    </w:p>
    <w:p w14:paraId="0D275C23">
      <w:pPr>
        <w:keepNext w:val="0"/>
        <w:keepLines w:val="0"/>
        <w:pageBreakBefore w:val="0"/>
        <w:widowControl/>
        <w:kinsoku/>
        <w:wordWrap/>
        <w:overflowPunct/>
        <w:topLinePunct w:val="0"/>
        <w:autoSpaceDE/>
        <w:autoSpaceDN/>
        <w:bidi w:val="0"/>
        <w:adjustRightInd/>
        <w:snapToGrid/>
        <w:spacing w:line="500" w:lineRule="exact"/>
        <w:ind w:left="0" w:firstLine="560" w:firstLineChars="200"/>
        <w:textAlignment w:val="auto"/>
        <w:rPr>
          <w:rFonts w:hint="eastAsia" w:ascii="Times New Roman" w:hAnsi="Times New Roman" w:eastAsia="仿宋" w:cs="Times New Roman"/>
          <w:b w:val="0"/>
          <w:bCs/>
          <w:color w:val="auto"/>
          <w:sz w:val="28"/>
          <w:szCs w:val="28"/>
          <w:lang w:val="en-US" w:eastAsia="zh-CN"/>
        </w:rPr>
      </w:pPr>
      <w:r>
        <w:rPr>
          <w:rFonts w:hint="eastAsia" w:ascii="Times New Roman" w:hAnsi="Times New Roman" w:eastAsia="仿宋" w:cs="Times New Roman"/>
          <w:b w:val="0"/>
          <w:bCs/>
          <w:color w:val="auto"/>
          <w:sz w:val="28"/>
          <w:szCs w:val="28"/>
          <w:lang w:val="en-US" w:eastAsia="zh-CN"/>
        </w:rPr>
        <w:t>3、供应商应为本项目配备一支有能力的服务团队，人员要求应满足磋商文件中规定的各岗位人员最低要求。</w:t>
      </w:r>
    </w:p>
    <w:p w14:paraId="38C3FB9B">
      <w:pPr>
        <w:keepNext w:val="0"/>
        <w:keepLines w:val="0"/>
        <w:pageBreakBefore w:val="0"/>
        <w:widowControl/>
        <w:kinsoku/>
        <w:wordWrap/>
        <w:overflowPunct/>
        <w:topLinePunct w:val="0"/>
        <w:autoSpaceDE/>
        <w:autoSpaceDN/>
        <w:bidi w:val="0"/>
        <w:adjustRightInd/>
        <w:snapToGrid/>
        <w:spacing w:line="500" w:lineRule="exact"/>
        <w:ind w:left="0" w:firstLine="560" w:firstLineChars="200"/>
        <w:textAlignment w:val="auto"/>
        <w:rPr>
          <w:rFonts w:hint="eastAsia" w:ascii="Times New Roman" w:hAnsi="Times New Roman" w:eastAsia="仿宋" w:cs="Times New Roman"/>
          <w:b w:val="0"/>
          <w:bCs/>
          <w:color w:val="auto"/>
          <w:sz w:val="28"/>
          <w:szCs w:val="28"/>
          <w:lang w:val="en-US" w:eastAsia="zh-CN"/>
        </w:rPr>
      </w:pPr>
      <w:r>
        <w:rPr>
          <w:rFonts w:hint="eastAsia" w:ascii="Times New Roman" w:hAnsi="Times New Roman" w:eastAsia="仿宋" w:cs="Times New Roman"/>
          <w:b w:val="0"/>
          <w:bCs/>
          <w:color w:val="auto"/>
          <w:sz w:val="28"/>
          <w:szCs w:val="28"/>
          <w:lang w:val="en-US" w:eastAsia="zh-CN"/>
        </w:rPr>
        <w:t>4、供应商需在磋商响应文件中制定针对本项目的相关服务方案、应急预案及保障措施等。</w:t>
      </w:r>
    </w:p>
    <w:p w14:paraId="3BAFA326">
      <w:pPr>
        <w:keepNext w:val="0"/>
        <w:keepLines w:val="0"/>
        <w:pageBreakBefore w:val="0"/>
        <w:widowControl/>
        <w:kinsoku/>
        <w:wordWrap/>
        <w:overflowPunct/>
        <w:topLinePunct w:val="0"/>
        <w:autoSpaceDE/>
        <w:autoSpaceDN/>
        <w:bidi w:val="0"/>
        <w:adjustRightInd/>
        <w:snapToGrid/>
        <w:spacing w:afterLines="0" w:line="500" w:lineRule="exact"/>
        <w:ind w:left="0" w:leftChars="0" w:firstLine="562" w:firstLineChars="200"/>
        <w:jc w:val="both"/>
        <w:textAlignment w:val="auto"/>
        <w:outlineLvl w:val="1"/>
        <w:rPr>
          <w:rFonts w:hint="eastAsia" w:ascii="仿宋" w:hAnsi="仿宋" w:eastAsia="仿宋" w:cs="仿宋"/>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★六、实质性条款要求</w:t>
      </w:r>
      <w:r>
        <w:rPr>
          <w:rFonts w:hint="eastAsia" w:ascii="仿宋" w:hAnsi="仿宋" w:eastAsia="仿宋" w:cs="仿宋"/>
          <w:color w:val="auto"/>
          <w:kern w:val="2"/>
          <w:sz w:val="28"/>
          <w:szCs w:val="28"/>
          <w:lang w:val="en-US" w:eastAsia="zh-CN" w:bidi="ar-SA"/>
        </w:rPr>
        <w:t xml:space="preserve"> </w:t>
      </w:r>
    </w:p>
    <w:p w14:paraId="398479A4">
      <w:pPr>
        <w:keepNext w:val="0"/>
        <w:keepLines w:val="0"/>
        <w:pageBreakBefore w:val="0"/>
        <w:widowControl/>
        <w:numPr>
          <w:ilvl w:val="0"/>
          <w:numId w:val="1"/>
        </w:numPr>
        <w:kinsoku/>
        <w:wordWrap/>
        <w:overflowPunct/>
        <w:topLinePunct w:val="0"/>
        <w:autoSpaceDE/>
        <w:autoSpaceDN/>
        <w:bidi w:val="0"/>
        <w:adjustRightInd/>
        <w:snapToGrid/>
        <w:spacing w:afterLines="0" w:line="500" w:lineRule="exact"/>
        <w:ind w:left="0" w:leftChars="0" w:firstLine="562" w:firstLineChars="200"/>
        <w:jc w:val="both"/>
        <w:textAlignment w:val="auto"/>
        <w:outlineLvl w:val="1"/>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供应商承诺函（须提供承诺函，格式自拟，未提供承诺函则视为无效响应）</w:t>
      </w:r>
    </w:p>
    <w:p w14:paraId="08E4BFEF">
      <w:pPr>
        <w:keepNext w:val="0"/>
        <w:keepLines w:val="0"/>
        <w:pageBreakBefore w:val="0"/>
        <w:widowControl/>
        <w:numPr>
          <w:ilvl w:val="0"/>
          <w:numId w:val="2"/>
        </w:numPr>
        <w:kinsoku/>
        <w:wordWrap/>
        <w:overflowPunct/>
        <w:topLinePunct w:val="0"/>
        <w:autoSpaceDE/>
        <w:autoSpaceDN/>
        <w:bidi w:val="0"/>
        <w:adjustRightInd/>
        <w:snapToGrid/>
        <w:spacing w:afterLines="0" w:line="500" w:lineRule="exact"/>
        <w:ind w:firstLine="562" w:firstLineChars="200"/>
        <w:jc w:val="both"/>
        <w:textAlignment w:val="auto"/>
        <w:outlineLvl w:val="1"/>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 xml:space="preserve">供应商须承诺：拟派物业服务人员完全满足磋商文件人数（16人）要求。 </w:t>
      </w:r>
    </w:p>
    <w:p w14:paraId="7A0E041C">
      <w:pPr>
        <w:keepNext w:val="0"/>
        <w:keepLines w:val="0"/>
        <w:pageBreakBefore w:val="0"/>
        <w:widowControl/>
        <w:numPr>
          <w:ilvl w:val="0"/>
          <w:numId w:val="2"/>
        </w:numPr>
        <w:kinsoku/>
        <w:wordWrap/>
        <w:overflowPunct/>
        <w:topLinePunct w:val="0"/>
        <w:autoSpaceDE/>
        <w:autoSpaceDN/>
        <w:bidi w:val="0"/>
        <w:adjustRightInd/>
        <w:snapToGrid/>
        <w:spacing w:afterLines="0" w:line="500" w:lineRule="exact"/>
        <w:ind w:left="0" w:leftChars="0" w:firstLine="562" w:firstLineChars="200"/>
        <w:jc w:val="both"/>
        <w:textAlignment w:val="auto"/>
        <w:outlineLvl w:val="1"/>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供应商须承诺：项目经理不得同时兼任其他项目的管理岗位，且不得随意更换，如需更换须经采购人同意。</w:t>
      </w:r>
    </w:p>
    <w:p w14:paraId="0547B04E">
      <w:pPr>
        <w:keepNext w:val="0"/>
        <w:keepLines w:val="0"/>
        <w:pageBreakBefore w:val="0"/>
        <w:widowControl/>
        <w:numPr>
          <w:ilvl w:val="0"/>
          <w:numId w:val="2"/>
        </w:numPr>
        <w:kinsoku/>
        <w:wordWrap/>
        <w:overflowPunct/>
        <w:topLinePunct w:val="0"/>
        <w:autoSpaceDE/>
        <w:autoSpaceDN/>
        <w:bidi w:val="0"/>
        <w:adjustRightInd/>
        <w:snapToGrid/>
        <w:spacing w:afterLines="0" w:line="500" w:lineRule="exact"/>
        <w:ind w:left="0" w:leftChars="0" w:firstLine="562" w:firstLineChars="200"/>
        <w:jc w:val="both"/>
        <w:textAlignment w:val="auto"/>
        <w:outlineLvl w:val="1"/>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供应商须承诺：拟派的秩序维护员满足磋商文件人数（5人）要求且均持有保安员上岗证或退伍军人证。</w:t>
      </w:r>
    </w:p>
    <w:p w14:paraId="602AE960">
      <w:pPr>
        <w:keepNext w:val="0"/>
        <w:keepLines w:val="0"/>
        <w:pageBreakBefore w:val="0"/>
        <w:widowControl/>
        <w:numPr>
          <w:ilvl w:val="0"/>
          <w:numId w:val="2"/>
        </w:numPr>
        <w:kinsoku/>
        <w:wordWrap/>
        <w:overflowPunct/>
        <w:topLinePunct w:val="0"/>
        <w:autoSpaceDE/>
        <w:autoSpaceDN/>
        <w:bidi w:val="0"/>
        <w:adjustRightInd/>
        <w:snapToGrid/>
        <w:spacing w:afterLines="0" w:line="500" w:lineRule="exact"/>
        <w:ind w:left="0" w:leftChars="0" w:firstLine="562" w:firstLineChars="200"/>
        <w:jc w:val="both"/>
        <w:textAlignment w:val="auto"/>
        <w:outlineLvl w:val="1"/>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供应商须承诺：拟聘用人员均持有健康证明。</w:t>
      </w:r>
    </w:p>
    <w:p w14:paraId="61CDFEA3">
      <w:pPr>
        <w:keepNext w:val="0"/>
        <w:keepLines w:val="0"/>
        <w:pageBreakBefore w:val="0"/>
        <w:widowControl/>
        <w:numPr>
          <w:ilvl w:val="0"/>
          <w:numId w:val="1"/>
        </w:numPr>
        <w:kinsoku/>
        <w:wordWrap/>
        <w:overflowPunct/>
        <w:topLinePunct w:val="0"/>
        <w:autoSpaceDE/>
        <w:autoSpaceDN/>
        <w:bidi w:val="0"/>
        <w:adjustRightInd/>
        <w:snapToGrid/>
        <w:spacing w:afterLines="0" w:line="500" w:lineRule="exact"/>
        <w:ind w:left="0" w:leftChars="0" w:firstLine="562" w:firstLineChars="200"/>
        <w:jc w:val="both"/>
        <w:textAlignment w:val="auto"/>
        <w:outlineLvl w:val="1"/>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人员资格证书要求（提供处于有效期内且经过年审的证书复印件并加盖投标人公章，未提供或缺漏项的视为无效投标）</w:t>
      </w:r>
    </w:p>
    <w:p w14:paraId="4CF8C0AE">
      <w:pPr>
        <w:numPr>
          <w:ilvl w:val="0"/>
          <w:numId w:val="3"/>
        </w:numPr>
        <w:spacing w:afterLines="0" w:line="500" w:lineRule="exact"/>
        <w:ind w:left="0" w:leftChars="0" w:firstLine="562" w:firstLineChars="200"/>
        <w:jc w:val="both"/>
        <w:outlineLvl w:val="1"/>
        <w:rPr>
          <w:rFonts w:hint="eastAsia" w:ascii="仿宋" w:hAnsi="仿宋" w:eastAsia="仿宋" w:cs="Times New Roman"/>
          <w:b/>
          <w:color w:val="auto"/>
          <w:kern w:val="2"/>
          <w:sz w:val="28"/>
          <w:szCs w:val="28"/>
          <w:lang w:val="en-US" w:eastAsia="zh-CN" w:bidi="ar-SA"/>
        </w:rPr>
      </w:pPr>
      <w:r>
        <w:rPr>
          <w:rFonts w:hint="eastAsia" w:ascii="仿宋" w:hAnsi="仿宋" w:eastAsia="仿宋" w:cs="Times New Roman"/>
          <w:b/>
          <w:color w:val="auto"/>
          <w:kern w:val="2"/>
          <w:sz w:val="28"/>
          <w:szCs w:val="28"/>
          <w:lang w:val="en-US" w:eastAsia="zh-CN" w:bidi="ar-SA"/>
        </w:rPr>
        <w:t>综合维修员（1人）需提供特种作业操作证（低压电工作业）；</w:t>
      </w:r>
    </w:p>
    <w:p w14:paraId="6A6D7E89">
      <w:pPr>
        <w:numPr>
          <w:ilvl w:val="0"/>
          <w:numId w:val="0"/>
        </w:numPr>
        <w:spacing w:afterLines="0" w:line="500" w:lineRule="exact"/>
        <w:ind w:firstLine="562" w:firstLineChars="200"/>
        <w:jc w:val="both"/>
        <w:outlineLvl w:val="1"/>
        <w:rPr>
          <w:rFonts w:hint="eastAsia" w:ascii="仿宋" w:hAnsi="仿宋" w:eastAsia="仿宋" w:cs="Times New Roman"/>
          <w:b/>
          <w:color w:val="auto"/>
          <w:kern w:val="2"/>
          <w:sz w:val="28"/>
          <w:szCs w:val="28"/>
          <w:lang w:val="en-US" w:eastAsia="zh-CN" w:bidi="ar-SA"/>
        </w:rPr>
      </w:pPr>
      <w:r>
        <w:rPr>
          <w:rFonts w:hint="eastAsia" w:ascii="仿宋" w:hAnsi="仿宋" w:eastAsia="仿宋" w:cs="Times New Roman"/>
          <w:b/>
          <w:color w:val="auto"/>
          <w:kern w:val="2"/>
          <w:sz w:val="28"/>
          <w:szCs w:val="28"/>
          <w:lang w:val="en-US" w:eastAsia="zh-CN" w:bidi="ar-SA"/>
        </w:rPr>
        <w:t>2、应急处置员（2人）需提供消防设施操作员证（初级及以上）</w:t>
      </w:r>
    </w:p>
    <w:p w14:paraId="74B017F4">
      <w:bookmarkStart w:id="7" w:name="_GoBack"/>
      <w:bookmarkEnd w:id="7"/>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4F58AC"/>
    <w:multiLevelType w:val="singleLevel"/>
    <w:tmpl w:val="A94F58AC"/>
    <w:lvl w:ilvl="0" w:tentative="0">
      <w:start w:val="1"/>
      <w:numFmt w:val="decimal"/>
      <w:suff w:val="nothing"/>
      <w:lvlText w:val="%1、"/>
      <w:lvlJc w:val="left"/>
    </w:lvl>
  </w:abstractNum>
  <w:abstractNum w:abstractNumId="1">
    <w:nsid w:val="148E2E08"/>
    <w:multiLevelType w:val="singleLevel"/>
    <w:tmpl w:val="148E2E08"/>
    <w:lvl w:ilvl="0" w:tentative="0">
      <w:start w:val="1"/>
      <w:numFmt w:val="chineseCounting"/>
      <w:suff w:val="nothing"/>
      <w:lvlText w:val="（%1）"/>
      <w:lvlJc w:val="left"/>
      <w:rPr>
        <w:rFonts w:hint="eastAsia"/>
      </w:rPr>
    </w:lvl>
  </w:abstractNum>
  <w:abstractNum w:abstractNumId="2">
    <w:nsid w:val="7FBB169F"/>
    <w:multiLevelType w:val="singleLevel"/>
    <w:tmpl w:val="7FBB169F"/>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250ED6"/>
    <w:rsid w:val="34C44C99"/>
    <w:rsid w:val="666F77CE"/>
    <w:rsid w:val="68670814"/>
    <w:rsid w:val="7B250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6">
    <w:name w:val="heading 1"/>
    <w:basedOn w:val="1"/>
    <w:next w:val="1"/>
    <w:qFormat/>
    <w:uiPriority w:val="9"/>
    <w:pPr>
      <w:keepNext/>
      <w:keepLines/>
      <w:spacing w:line="500" w:lineRule="exact"/>
      <w:jc w:val="center"/>
      <w:outlineLvl w:val="0"/>
    </w:pPr>
    <w:rPr>
      <w:rFonts w:eastAsia="仿宋"/>
      <w:b/>
      <w:color w:val="000000"/>
      <w:kern w:val="44"/>
      <w:sz w:val="32"/>
      <w:szCs w:val="4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unhideWhenUsed/>
    <w:qFormat/>
    <w:uiPriority w:val="0"/>
    <w:pPr>
      <w:spacing w:afterLines="0" w:line="240" w:lineRule="auto"/>
      <w:ind w:firstLine="420" w:firstLineChars="100"/>
    </w:pPr>
    <w:rPr>
      <w:rFonts w:ascii="Times New Roman" w:hAnsi="Times New Roman"/>
      <w:color w:val="auto"/>
      <w:sz w:val="18"/>
      <w:szCs w:val="18"/>
    </w:rPr>
  </w:style>
  <w:style w:type="paragraph" w:styleId="3">
    <w:name w:val="Body Text"/>
    <w:basedOn w:val="1"/>
    <w:next w:val="1"/>
    <w:qFormat/>
    <w:uiPriority w:val="0"/>
    <w:pPr>
      <w:spacing w:afterLines="50" w:line="360" w:lineRule="auto"/>
    </w:pPr>
    <w:rPr>
      <w:rFonts w:ascii="宋体" w:hAnsi="宋体"/>
      <w:color w:val="000000"/>
      <w:sz w:val="24"/>
    </w:rPr>
  </w:style>
  <w:style w:type="paragraph" w:styleId="4">
    <w:name w:val="Body Text First Indent 2"/>
    <w:basedOn w:val="5"/>
    <w:unhideWhenUsed/>
    <w:qFormat/>
    <w:uiPriority w:val="99"/>
    <w:pPr>
      <w:spacing w:before="100" w:beforeAutospacing="1"/>
      <w:ind w:firstLine="420" w:firstLineChars="200"/>
    </w:pPr>
  </w:style>
  <w:style w:type="paragraph" w:styleId="5">
    <w:name w:val="Body Text Indent"/>
    <w:basedOn w:val="1"/>
    <w:unhideWhenUsed/>
    <w:qFormat/>
    <w:uiPriority w:val="99"/>
    <w:pPr>
      <w:spacing w:after="120"/>
      <w:ind w:left="42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2026-03-18T06:50:00Z</dcterms:created>
  <dc:creator>东腻</dc:creator>
  <cp:lastModifiedBy>东腻</cp:lastModifiedBy>
  <dcterms:modified xsi:type="dcterms:W3CDTF">2026-03-18T06:52:55Z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467B960780C247FE872BD41AEE8774A7_11</vt:lpwstr>
  </property>
</Properties>
</file>