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2A972">
      <w:pPr>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宋体" w:hAnsi="宋体"/>
          <w:sz w:val="52"/>
        </w:rPr>
      </w:pPr>
      <w:bookmarkStart w:id="0" w:name="_Hlk7553360"/>
    </w:p>
    <w:p w14:paraId="2F5ACCB4">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黑体" w:hAnsi="黑体" w:eastAsia="黑体" w:cs="黑体"/>
          <w:b/>
          <w:bCs/>
          <w:sz w:val="60"/>
          <w:szCs w:val="44"/>
          <w:lang w:eastAsia="zh-CN"/>
        </w:rPr>
      </w:pPr>
      <w:r>
        <w:rPr>
          <w:rFonts w:hint="eastAsia" w:ascii="黑体" w:hAnsi="黑体" w:eastAsia="黑体" w:cs="黑体"/>
          <w:b/>
          <w:bCs/>
          <w:sz w:val="60"/>
          <w:szCs w:val="44"/>
          <w:lang w:eastAsia="zh-CN"/>
        </w:rPr>
        <w:t>延川县乡镇级空间规划编制</w:t>
      </w:r>
    </w:p>
    <w:p w14:paraId="068FE14D">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黑体" w:hAnsi="黑体" w:eastAsia="黑体" w:cs="黑体"/>
          <w:b/>
          <w:bCs/>
          <w:sz w:val="60"/>
          <w:szCs w:val="44"/>
        </w:rPr>
      </w:pPr>
      <w:r>
        <w:rPr>
          <w:rFonts w:hint="eastAsia" w:ascii="黑体" w:hAnsi="黑体" w:eastAsia="黑体" w:cs="黑体"/>
          <w:b/>
          <w:bCs/>
          <w:sz w:val="60"/>
          <w:szCs w:val="44"/>
          <w:lang w:eastAsia="zh-CN"/>
        </w:rPr>
        <w:t>采购需求</w:t>
      </w:r>
    </w:p>
    <w:p w14:paraId="1EF0BE2A">
      <w:pPr>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ascii="宋体" w:hAnsi="宋体"/>
          <w:sz w:val="36"/>
        </w:rPr>
      </w:pPr>
    </w:p>
    <w:p w14:paraId="50C79D8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24AD2609">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1567E3E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796D8B61">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29C91870">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629229AC">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ascii="宋体" w:hAnsi="宋体"/>
          <w:sz w:val="36"/>
        </w:rPr>
      </w:pPr>
    </w:p>
    <w:p w14:paraId="704A6BB2">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ascii="宋体" w:hAnsi="宋体"/>
          <w:sz w:val="36"/>
        </w:rPr>
      </w:pPr>
    </w:p>
    <w:p w14:paraId="71433C8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ascii="宋体" w:hAnsi="宋体"/>
          <w:sz w:val="36"/>
        </w:rPr>
      </w:pPr>
    </w:p>
    <w:p w14:paraId="60E7E87E">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ascii="宋体" w:hAnsi="宋体"/>
          <w:sz w:val="36"/>
        </w:rPr>
      </w:pPr>
    </w:p>
    <w:p w14:paraId="4EE3F3F9">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ascii="宋体" w:hAnsi="宋体"/>
          <w:sz w:val="36"/>
        </w:rPr>
      </w:pPr>
    </w:p>
    <w:p w14:paraId="302884AE">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2F13614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宋体" w:hAnsi="宋体"/>
          <w:sz w:val="36"/>
        </w:rPr>
      </w:pPr>
    </w:p>
    <w:p w14:paraId="71721B09">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黑体" w:hAnsi="黑体" w:eastAsia="黑体" w:cs="黑体"/>
          <w:sz w:val="36"/>
          <w:lang w:eastAsia="zh-CN"/>
        </w:rPr>
      </w:pPr>
      <w:r>
        <w:rPr>
          <w:rFonts w:hint="eastAsia" w:ascii="黑体" w:hAnsi="黑体" w:eastAsia="黑体" w:cs="黑体"/>
          <w:sz w:val="36"/>
          <w:lang w:eastAsia="zh-CN"/>
        </w:rPr>
        <w:t>延川县自然资源局</w:t>
      </w:r>
    </w:p>
    <w:p w14:paraId="7AB39F3C">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黑体" w:hAnsi="黑体" w:eastAsia="黑体" w:cs="黑体"/>
          <w:sz w:val="36"/>
          <w:lang w:val="en-US" w:eastAsia="zh-CN"/>
        </w:rPr>
      </w:pPr>
      <w:r>
        <w:rPr>
          <w:rFonts w:hint="eastAsia" w:ascii="黑体" w:hAnsi="黑体" w:eastAsia="黑体" w:cs="黑体"/>
          <w:sz w:val="36"/>
          <w:lang w:val="en-US" w:eastAsia="zh-CN"/>
        </w:rPr>
        <w:t>2026年3月19日</w:t>
      </w:r>
    </w:p>
    <w:p w14:paraId="53A886F6">
      <w:pPr>
        <w:keepNext w:val="0"/>
        <w:keepLines w:val="0"/>
        <w:pageBreakBefore w:val="0"/>
        <w:widowControl w:val="0"/>
        <w:kinsoku w:val="0"/>
        <w:wordWrap/>
        <w:overflowPunct w:val="0"/>
        <w:topLinePunct w:val="0"/>
        <w:autoSpaceDE w:val="0"/>
        <w:autoSpaceDN w:val="0"/>
        <w:bidi w:val="0"/>
        <w:adjustRightInd/>
        <w:snapToGrid/>
        <w:spacing w:before="100" w:beforeAutospacing="1" w:after="100" w:afterAutospacing="1" w:line="640" w:lineRule="exact"/>
        <w:jc w:val="center"/>
        <w:textAlignment w:val="auto"/>
        <w:outlineLvl w:val="0"/>
        <w:rPr>
          <w:rFonts w:hint="eastAsia" w:ascii="宋体" w:hAnsi="宋体" w:cs="宋体"/>
          <w:b/>
          <w:bCs/>
          <w:kern w:val="36"/>
          <w:sz w:val="48"/>
          <w:szCs w:val="48"/>
          <w:lang w:eastAsia="zh-CN"/>
        </w:rPr>
      </w:pPr>
    </w:p>
    <w:p w14:paraId="220EB4B7">
      <w:pPr>
        <w:keepNext w:val="0"/>
        <w:keepLines w:val="0"/>
        <w:pageBreakBefore w:val="0"/>
        <w:widowControl w:val="0"/>
        <w:kinsoku w:val="0"/>
        <w:wordWrap/>
        <w:overflowPunct w:val="0"/>
        <w:topLinePunct w:val="0"/>
        <w:autoSpaceDE w:val="0"/>
        <w:autoSpaceDN w:val="0"/>
        <w:bidi w:val="0"/>
        <w:adjustRightInd/>
        <w:snapToGrid/>
        <w:spacing w:line="640" w:lineRule="exact"/>
        <w:jc w:val="left"/>
        <w:textAlignment w:val="auto"/>
        <w:rPr>
          <w:rFonts w:ascii="宋体" w:hAnsi="宋体"/>
          <w:sz w:val="28"/>
        </w:rPr>
      </w:pPr>
    </w:p>
    <w:p w14:paraId="045D81AD">
      <w:pPr>
        <w:keepNext w:val="0"/>
        <w:keepLines w:val="0"/>
        <w:pageBreakBefore w:val="0"/>
        <w:widowControl w:val="0"/>
        <w:kinsoku w:val="0"/>
        <w:wordWrap/>
        <w:overflowPunct w:val="0"/>
        <w:topLinePunct w:val="0"/>
        <w:autoSpaceDE w:val="0"/>
        <w:autoSpaceDN w:val="0"/>
        <w:bidi w:val="0"/>
        <w:adjustRightInd/>
        <w:snapToGrid/>
        <w:spacing w:before="100" w:beforeAutospacing="1" w:after="100" w:afterAutospacing="1" w:line="640" w:lineRule="exact"/>
        <w:jc w:val="center"/>
        <w:textAlignment w:val="auto"/>
        <w:outlineLvl w:val="0"/>
        <w:rPr>
          <w:rFonts w:hint="eastAsia" w:ascii="黑体" w:hAnsi="黑体" w:eastAsia="黑体" w:cs="黑体"/>
          <w:b/>
          <w:bCs/>
          <w:kern w:val="36"/>
          <w:sz w:val="44"/>
          <w:szCs w:val="44"/>
          <w:lang w:eastAsia="zh-CN"/>
        </w:rPr>
      </w:pPr>
      <w:r>
        <w:rPr>
          <w:rFonts w:hint="eastAsia" w:ascii="黑体" w:hAnsi="黑体" w:eastAsia="黑体" w:cs="黑体"/>
          <w:b/>
          <w:bCs/>
          <w:kern w:val="36"/>
          <w:sz w:val="44"/>
          <w:szCs w:val="44"/>
          <w:lang w:eastAsia="zh-CN"/>
        </w:rPr>
        <w:t>延川县</w:t>
      </w:r>
      <w:r>
        <w:rPr>
          <w:rFonts w:hint="eastAsia" w:ascii="黑体" w:hAnsi="黑体" w:eastAsia="黑体" w:cs="黑体"/>
          <w:b/>
          <w:bCs/>
          <w:kern w:val="36"/>
          <w:sz w:val="44"/>
          <w:szCs w:val="44"/>
        </w:rPr>
        <w:t>乡镇级空间规划</w:t>
      </w:r>
      <w:r>
        <w:rPr>
          <w:rFonts w:hint="eastAsia" w:ascii="黑体" w:hAnsi="黑体" w:eastAsia="黑体" w:cs="黑体"/>
          <w:b/>
          <w:bCs/>
          <w:kern w:val="36"/>
          <w:sz w:val="44"/>
          <w:szCs w:val="44"/>
          <w:lang w:eastAsia="zh-CN"/>
        </w:rPr>
        <w:t>编制</w:t>
      </w:r>
    </w:p>
    <w:p w14:paraId="65877009">
      <w:pPr>
        <w:keepNext w:val="0"/>
        <w:keepLines w:val="0"/>
        <w:pageBreakBefore w:val="0"/>
        <w:widowControl w:val="0"/>
        <w:kinsoku w:val="0"/>
        <w:wordWrap/>
        <w:overflowPunct w:val="0"/>
        <w:topLinePunct w:val="0"/>
        <w:autoSpaceDE w:val="0"/>
        <w:autoSpaceDN w:val="0"/>
        <w:bidi w:val="0"/>
        <w:adjustRightInd/>
        <w:snapToGrid/>
        <w:spacing w:before="100" w:beforeAutospacing="1" w:after="100" w:afterAutospacing="1" w:line="640" w:lineRule="exact"/>
        <w:jc w:val="center"/>
        <w:textAlignment w:val="auto"/>
        <w:outlineLvl w:val="0"/>
        <w:rPr>
          <w:rFonts w:hint="eastAsia" w:ascii="黑体" w:hAnsi="黑体" w:eastAsia="黑体" w:cs="黑体"/>
          <w:b/>
          <w:bCs/>
          <w:kern w:val="36"/>
          <w:sz w:val="44"/>
          <w:szCs w:val="44"/>
        </w:rPr>
      </w:pPr>
      <w:r>
        <w:rPr>
          <w:rFonts w:hint="eastAsia" w:ascii="黑体" w:hAnsi="黑体" w:eastAsia="黑体" w:cs="黑体"/>
          <w:b/>
          <w:bCs/>
          <w:kern w:val="36"/>
          <w:sz w:val="44"/>
          <w:szCs w:val="44"/>
        </w:rPr>
        <w:t>采购需求</w:t>
      </w:r>
    </w:p>
    <w:p w14:paraId="2C6659A2">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ascii="宋体" w:hAnsi="宋体" w:cs="宋体"/>
          <w:b/>
          <w:bCs/>
          <w:kern w:val="36"/>
          <w:sz w:val="48"/>
          <w:szCs w:val="48"/>
        </w:rPr>
      </w:pPr>
      <w:r>
        <w:rPr>
          <w:rFonts w:hint="eastAsia" w:ascii="黑体" w:hAnsi="黑体" w:eastAsia="黑体" w:cs="黑体"/>
          <w:b/>
          <w:bCs/>
          <w:kern w:val="36"/>
          <w:sz w:val="32"/>
          <w:szCs w:val="32"/>
        </w:rPr>
        <w:t>一、采购项目基本信息</w:t>
      </w:r>
    </w:p>
    <w:p w14:paraId="5EF9804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lang w:val="en-US" w:eastAsia="zh-CN"/>
        </w:rPr>
        <w:t>1、</w:t>
      </w:r>
      <w:r>
        <w:rPr>
          <w:rFonts w:hint="eastAsia" w:ascii="仿宋_GB2312" w:hAnsi="仿宋_GB2312" w:eastAsia="仿宋_GB2312" w:cs="仿宋_GB2312"/>
          <w:b/>
          <w:bCs/>
          <w:kern w:val="0"/>
          <w:sz w:val="32"/>
          <w:szCs w:val="32"/>
        </w:rPr>
        <w:t>项目名称</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lang w:eastAsia="zh-CN"/>
        </w:rPr>
        <w:t>延川县自然资源局关于乡镇级国土空间规划编制</w:t>
      </w:r>
    </w:p>
    <w:p w14:paraId="3540F470">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bCs/>
          <w:kern w:val="0"/>
          <w:sz w:val="32"/>
          <w:szCs w:val="32"/>
          <w:lang w:val="en-US" w:eastAsia="zh-CN"/>
        </w:rPr>
        <w:t>2、</w:t>
      </w:r>
      <w:r>
        <w:rPr>
          <w:rFonts w:hint="eastAsia" w:ascii="仿宋_GB2312" w:hAnsi="仿宋_GB2312" w:eastAsia="仿宋_GB2312" w:cs="仿宋_GB2312"/>
          <w:b/>
          <w:bCs/>
          <w:kern w:val="0"/>
          <w:sz w:val="32"/>
          <w:szCs w:val="32"/>
        </w:rPr>
        <w:t>采购单位</w:t>
      </w:r>
      <w:r>
        <w:rPr>
          <w:rFonts w:hint="eastAsia" w:ascii="仿宋_GB2312" w:hAnsi="仿宋_GB2312" w:eastAsia="仿宋_GB2312" w:cs="仿宋_GB2312"/>
          <w:b/>
          <w:bCs/>
          <w:kern w:val="0"/>
          <w:sz w:val="32"/>
          <w:szCs w:val="32"/>
          <w:lang w:eastAsia="zh-CN"/>
        </w:rPr>
        <w:t>：</w:t>
      </w:r>
      <w:r>
        <w:rPr>
          <w:rFonts w:hint="eastAsia" w:ascii="仿宋_GB2312" w:hAnsi="仿宋_GB2312" w:eastAsia="仿宋_GB2312" w:cs="仿宋_GB2312"/>
          <w:kern w:val="0"/>
          <w:sz w:val="32"/>
          <w:szCs w:val="32"/>
          <w:lang w:eastAsia="zh-CN"/>
        </w:rPr>
        <w:t>延川县自然资源局</w:t>
      </w:r>
    </w:p>
    <w:p w14:paraId="58C918E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1"/>
        <w:rPr>
          <w:rFonts w:hint="eastAsia" w:ascii="仿宋_GB2312" w:hAnsi="仿宋_GB2312" w:eastAsia="仿宋_GB2312" w:cs="仿宋_GB2312"/>
          <w:b/>
          <w:bCs/>
          <w:kern w:val="0"/>
          <w:sz w:val="32"/>
          <w:szCs w:val="32"/>
          <w:lang w:eastAsia="zh-CN"/>
        </w:rPr>
      </w:pP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采购预算</w:t>
      </w:r>
      <w:r>
        <w:rPr>
          <w:rFonts w:hint="eastAsia" w:ascii="仿宋_GB2312" w:hAnsi="仿宋_GB2312" w:eastAsia="仿宋_GB2312" w:cs="仿宋_GB2312"/>
          <w:b/>
          <w:bCs/>
          <w:kern w:val="0"/>
          <w:sz w:val="32"/>
          <w:szCs w:val="32"/>
          <w:lang w:eastAsia="zh-CN"/>
        </w:rPr>
        <w:t>：</w:t>
      </w:r>
    </w:p>
    <w:p w14:paraId="7969C50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本项目采购预算（</w:t>
      </w:r>
      <w:r>
        <w:rPr>
          <w:rFonts w:hint="eastAsia" w:ascii="仿宋_GB2312" w:hAnsi="仿宋_GB2312" w:eastAsia="仿宋_GB2312" w:cs="仿宋_GB2312"/>
          <w:kern w:val="0"/>
          <w:sz w:val="32"/>
          <w:szCs w:val="32"/>
          <w:lang w:val="en-US" w:eastAsia="zh-CN"/>
        </w:rPr>
        <w:t>最高限价</w:t>
      </w:r>
      <w:r>
        <w:rPr>
          <w:rFonts w:hint="eastAsia" w:ascii="仿宋_GB2312" w:hAnsi="仿宋_GB2312" w:eastAsia="仿宋_GB2312" w:cs="仿宋_GB2312"/>
          <w:kern w:val="0"/>
          <w:sz w:val="32"/>
          <w:szCs w:val="32"/>
          <w:lang w:eastAsia="zh-CN"/>
        </w:rPr>
        <w:t>）为人民币</w:t>
      </w:r>
      <w:r>
        <w:rPr>
          <w:rFonts w:hint="eastAsia" w:ascii="仿宋_GB2312" w:hAnsi="仿宋_GB2312" w:eastAsia="仿宋_GB2312" w:cs="仿宋_GB2312"/>
          <w:kern w:val="0"/>
          <w:sz w:val="32"/>
          <w:szCs w:val="32"/>
          <w:lang w:val="en-US" w:eastAsia="zh-CN"/>
        </w:rPr>
        <w:t>186.04</w:t>
      </w:r>
      <w:r>
        <w:rPr>
          <w:rFonts w:hint="eastAsia" w:ascii="仿宋_GB2312" w:hAnsi="仿宋_GB2312" w:eastAsia="仿宋_GB2312" w:cs="仿宋_GB2312"/>
          <w:kern w:val="0"/>
          <w:sz w:val="32"/>
          <w:szCs w:val="32"/>
          <w:lang w:eastAsia="zh-CN"/>
        </w:rPr>
        <w:t>万元（大写：壹佰捌拾陆万零肆佰元整）</w:t>
      </w:r>
    </w:p>
    <w:bookmarkEnd w:id="0"/>
    <w:p w14:paraId="38884284">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黑体" w:hAnsi="黑体" w:eastAsia="黑体" w:cs="黑体"/>
          <w:b/>
          <w:bCs/>
          <w:kern w:val="36"/>
          <w:sz w:val="32"/>
          <w:szCs w:val="32"/>
        </w:rPr>
      </w:pPr>
      <w:r>
        <w:rPr>
          <w:rFonts w:hint="eastAsia" w:ascii="黑体" w:hAnsi="黑体" w:eastAsia="黑体" w:cs="黑体"/>
          <w:b/>
          <w:bCs/>
          <w:kern w:val="36"/>
          <w:sz w:val="32"/>
          <w:szCs w:val="32"/>
          <w:lang w:eastAsia="zh-CN"/>
        </w:rPr>
        <w:t>二、项目背景</w:t>
      </w:r>
    </w:p>
    <w:p w14:paraId="725EFD9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为深入落实党中央、国务院关于建立国土空间规划体系并监督实施的重大部署，推进“多规合一”落地见效，优化本乡镇国土空间布局、生产力布局、基础设施和公共服务设施布局，助力新型城镇化和乡村振兴发展，结合本乡镇行政区划、功能定位、产业类型、地貌特征，拟启动本次乡镇级空间规划编制工作。本次规划为乡镇级层级，涵盖乡镇全域范围，包括片区规划（若有）和镇区规划两个层次，是对本行政区域开发保护作出的具体安排，侧重实施性，为各类开发保护建设活动提供基本依据。</w:t>
      </w:r>
    </w:p>
    <w:p w14:paraId="6AB6F954">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仿宋_GB2312" w:hAnsi="仿宋_GB2312" w:eastAsia="仿宋_GB2312" w:cs="仿宋_GB2312"/>
          <w:kern w:val="0"/>
          <w:sz w:val="32"/>
          <w:szCs w:val="32"/>
          <w:lang w:val="en-US" w:eastAsia="zh-CN"/>
        </w:rPr>
      </w:pPr>
      <w:r>
        <w:rPr>
          <w:rFonts w:hint="eastAsia" w:ascii="黑体" w:hAnsi="黑体" w:eastAsia="黑体" w:cs="黑体"/>
          <w:b/>
          <w:bCs/>
          <w:kern w:val="36"/>
          <w:sz w:val="32"/>
          <w:szCs w:val="32"/>
          <w:lang w:val="en-US" w:eastAsia="zh-CN"/>
        </w:rPr>
        <w:t>1、</w:t>
      </w:r>
      <w:r>
        <w:rPr>
          <w:rFonts w:hint="eastAsia" w:ascii="仿宋_GB2312" w:hAnsi="仿宋_GB2312" w:eastAsia="仿宋_GB2312" w:cs="仿宋_GB2312"/>
          <w:b/>
          <w:bCs/>
          <w:kern w:val="36"/>
          <w:sz w:val="32"/>
          <w:szCs w:val="32"/>
          <w:lang w:val="en-US" w:eastAsia="zh-CN"/>
        </w:rPr>
        <w:t>项目范围：</w:t>
      </w:r>
      <w:r>
        <w:rPr>
          <w:rFonts w:hint="eastAsia" w:ascii="仿宋_GB2312" w:hAnsi="仿宋_GB2312" w:eastAsia="仿宋_GB2312" w:cs="仿宋_GB2312"/>
          <w:kern w:val="0"/>
          <w:sz w:val="32"/>
          <w:szCs w:val="32"/>
          <w:lang w:eastAsia="zh-CN"/>
        </w:rPr>
        <w:t>延川县6镇镇级国土空间规划镇域行政辖区范围。具体涵盖文安驿镇、贾家坪镇、关庄镇、大禹街道、延水关镇、杨家圪坮镇等</w:t>
      </w:r>
      <w:r>
        <w:rPr>
          <w:rFonts w:hint="eastAsia" w:ascii="仿宋_GB2312" w:hAnsi="仿宋_GB2312" w:eastAsia="仿宋_GB2312" w:cs="仿宋_GB2312"/>
          <w:kern w:val="0"/>
          <w:sz w:val="32"/>
          <w:szCs w:val="32"/>
          <w:lang w:val="en-US" w:eastAsia="zh-CN"/>
        </w:rPr>
        <w:t>6个镇。</w:t>
      </w:r>
    </w:p>
    <w:p w14:paraId="4469896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b/>
          <w:bCs/>
          <w:kern w:val="36"/>
          <w:sz w:val="32"/>
          <w:szCs w:val="32"/>
          <w:lang w:val="en-US" w:eastAsia="zh-CN"/>
        </w:rPr>
      </w:pPr>
      <w:r>
        <w:rPr>
          <w:rFonts w:hint="eastAsia" w:ascii="仿宋_GB2312" w:hAnsi="仿宋_GB2312" w:eastAsia="仿宋_GB2312" w:cs="仿宋_GB2312"/>
          <w:b/>
          <w:bCs/>
          <w:kern w:val="36"/>
          <w:sz w:val="32"/>
          <w:szCs w:val="32"/>
          <w:lang w:val="en-US" w:eastAsia="zh-CN"/>
        </w:rPr>
        <w:t>2、编制依据：</w:t>
      </w:r>
    </w:p>
    <w:p w14:paraId="1DBA428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《中华人民共和国土地管理法》《中华人民共和国城乡规划法》《中华人民共和国环境保护法》等相关法律法规；</w:t>
      </w:r>
    </w:p>
    <w:p w14:paraId="4385CD9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中共中央、国务院《关于建立国土空间规划体系并监督实施的若干意见》及国家、省、市、县关于国土空间规划编制的相关政策文件；</w:t>
      </w:r>
    </w:p>
    <w:p w14:paraId="39658501">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县级国土空间总体规划、相关专项规划及乡镇行政区划和村级建制调整改革相关工作要求；</w:t>
      </w:r>
    </w:p>
    <w:p w14:paraId="1B4FE3A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涉及乡镇国民经济和社会发展规划、乡村振兴规划等相关规划；</w:t>
      </w:r>
    </w:p>
    <w:p w14:paraId="0EF42BC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国家、省、市现行的国土空间规划编制技术标准、规范及指南；</w:t>
      </w:r>
    </w:p>
    <w:p w14:paraId="2568E63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lang w:eastAsia="zh-CN"/>
        </w:rPr>
        <w:t>采购单位提供的本乡镇地形地貌、人口、土地利用、产业发展、基础设施等相关基础资料。</w:t>
      </w:r>
    </w:p>
    <w:p w14:paraId="3E33492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黑体" w:hAnsi="黑体" w:eastAsia="黑体" w:cs="黑体"/>
          <w:b/>
          <w:bCs/>
          <w:kern w:val="36"/>
          <w:sz w:val="32"/>
          <w:szCs w:val="32"/>
          <w:lang w:eastAsia="zh-CN"/>
        </w:rPr>
      </w:pPr>
      <w:r>
        <w:rPr>
          <w:rFonts w:hint="eastAsia" w:ascii="黑体" w:hAnsi="黑体" w:eastAsia="黑体" w:cs="黑体"/>
          <w:b/>
          <w:bCs/>
          <w:kern w:val="36"/>
          <w:sz w:val="32"/>
          <w:szCs w:val="32"/>
          <w:lang w:val="en-US" w:eastAsia="zh-CN"/>
        </w:rPr>
        <w:t>三、项目概述</w:t>
      </w:r>
    </w:p>
    <w:p w14:paraId="3442097A">
      <w:pPr>
        <w:keepNext w:val="0"/>
        <w:keepLines w:val="0"/>
        <w:pageBreakBefore w:val="0"/>
        <w:widowControl w:val="0"/>
        <w:kinsoku w:val="0"/>
        <w:wordWrap/>
        <w:overflowPunct w:val="0"/>
        <w:topLinePunct w:val="0"/>
        <w:autoSpaceDE w:val="0"/>
        <w:autoSpaceDN w:val="0"/>
        <w:bidi w:val="0"/>
        <w:adjustRightInd/>
        <w:snapToGrid/>
        <w:spacing w:line="640" w:lineRule="exact"/>
        <w:ind w:left="0" w:right="0" w:firstLine="600"/>
        <w:textAlignment w:val="auto"/>
        <w:rPr>
          <w:rFonts w:hint="eastAsia" w:ascii="仿宋_GB2312" w:hAnsi="仿宋_GB2312" w:eastAsia="仿宋_GB2312" w:cs="仿宋_GB2312"/>
          <w:b/>
          <w:bCs/>
          <w:color w:val="000000"/>
          <w:sz w:val="32"/>
          <w:szCs w:val="32"/>
          <w:lang w:eastAsia="zh-CN"/>
        </w:rPr>
      </w:pPr>
      <w:r>
        <w:rPr>
          <w:rFonts w:hint="eastAsia" w:ascii="仿宋_GB2312" w:hAnsi="仿宋_GB2312" w:eastAsia="仿宋_GB2312" w:cs="仿宋_GB2312"/>
          <w:b/>
          <w:bCs/>
          <w:color w:val="000000"/>
          <w:sz w:val="32"/>
          <w:szCs w:val="32"/>
          <w:lang w:eastAsia="zh-CN"/>
        </w:rPr>
        <w:t>（一）延川县镇级国土空间规划项目概述</w:t>
      </w:r>
    </w:p>
    <w:p w14:paraId="71F7BBC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1、总体要求</w:t>
      </w:r>
    </w:p>
    <w:p w14:paraId="5ACF3356">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default"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以习近平新时代中国特色社会主义思想为指导，全面贯彻党的二十大及和二十届历次全会精神，贯通落实习近平总书记历次来陕考察、瞻仰延安革命纪念地时的重要讲话重要指示和四封回信精神，统筹全域山水林田湖草沙各要素，坚持以人民为中心，坚持底线思维与绿色发展，完整准确全面贯彻新发展理念，深入落实中省市发展战略，统筹发展、保护与安全，落实有关</w:t>
      </w:r>
      <w:r>
        <w:rPr>
          <w:rFonts w:hint="eastAsia" w:ascii="仿宋_GB2312" w:hAnsi="仿宋_GB2312" w:eastAsia="仿宋_GB2312" w:cs="仿宋_GB2312"/>
          <w:kern w:val="0"/>
          <w:sz w:val="32"/>
          <w:szCs w:val="32"/>
          <w:lang w:val="en-US" w:eastAsia="zh-CN"/>
        </w:rPr>
        <w:t>延川县国土空间总体规划、殡葬专项规划、十四五规划、十五五规划、全域旅游规划及其他</w:t>
      </w:r>
      <w:r>
        <w:rPr>
          <w:rFonts w:hint="default" w:ascii="仿宋_GB2312" w:hAnsi="仿宋_GB2312" w:eastAsia="仿宋_GB2312" w:cs="仿宋_GB2312"/>
          <w:kern w:val="0"/>
          <w:sz w:val="32"/>
          <w:szCs w:val="32"/>
          <w:lang w:val="en-US" w:eastAsia="zh-CN"/>
        </w:rPr>
        <w:t>上位</w:t>
      </w:r>
      <w:r>
        <w:rPr>
          <w:rFonts w:hint="eastAsia" w:ascii="仿宋_GB2312" w:hAnsi="仿宋_GB2312" w:eastAsia="仿宋_GB2312" w:cs="仿宋_GB2312"/>
          <w:kern w:val="0"/>
          <w:sz w:val="32"/>
          <w:szCs w:val="32"/>
          <w:lang w:val="en-US" w:eastAsia="zh-CN"/>
        </w:rPr>
        <w:t>相关</w:t>
      </w:r>
      <w:r>
        <w:rPr>
          <w:rFonts w:hint="default" w:ascii="仿宋_GB2312" w:hAnsi="仿宋_GB2312" w:eastAsia="仿宋_GB2312" w:cs="仿宋_GB2312"/>
          <w:kern w:val="0"/>
          <w:sz w:val="32"/>
          <w:szCs w:val="32"/>
          <w:lang w:val="en-US" w:eastAsia="zh-CN"/>
        </w:rPr>
        <w:t>规划要求的基础上，协调各类空间、用地矛盾，以目标为导向、以问题为核心，对全域国土空间保护开发格局、资源要素配置、国土整治与修复、支撑体系、镇区规划等作出总体部署和统筹安排</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整体谋划</w:t>
      </w:r>
      <w:r>
        <w:rPr>
          <w:rFonts w:hint="eastAsia" w:ascii="仿宋_GB2312" w:hAnsi="仿宋_GB2312" w:eastAsia="仿宋_GB2312" w:cs="仿宋_GB2312"/>
          <w:kern w:val="0"/>
          <w:sz w:val="32"/>
          <w:szCs w:val="32"/>
          <w:lang w:val="en-US" w:eastAsia="zh-CN"/>
        </w:rPr>
        <w:t>6</w:t>
      </w:r>
      <w:r>
        <w:rPr>
          <w:rFonts w:hint="default" w:ascii="仿宋_GB2312" w:hAnsi="仿宋_GB2312" w:eastAsia="仿宋_GB2312" w:cs="仿宋_GB2312"/>
          <w:kern w:val="0"/>
          <w:sz w:val="32"/>
          <w:szCs w:val="32"/>
          <w:lang w:val="en-US" w:eastAsia="zh-CN"/>
        </w:rPr>
        <w:t>镇全域国土空间开发保护新格局</w:t>
      </w:r>
      <w:r>
        <w:rPr>
          <w:rFonts w:hint="eastAsia" w:ascii="仿宋_GB2312" w:hAnsi="仿宋_GB2312" w:eastAsia="仿宋_GB2312" w:cs="仿宋_GB2312"/>
          <w:kern w:val="0"/>
          <w:sz w:val="32"/>
          <w:szCs w:val="32"/>
          <w:lang w:val="en-US" w:eastAsia="zh-CN"/>
        </w:rPr>
        <w:t>，</w:t>
      </w:r>
      <w:r>
        <w:rPr>
          <w:rFonts w:hint="default" w:ascii="仿宋_GB2312" w:hAnsi="仿宋_GB2312" w:eastAsia="仿宋_GB2312" w:cs="仿宋_GB2312"/>
          <w:kern w:val="0"/>
          <w:sz w:val="32"/>
          <w:szCs w:val="32"/>
          <w:lang w:val="en-US" w:eastAsia="zh-CN"/>
        </w:rPr>
        <w:t>形成可实施的</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一张蓝图</w:t>
      </w:r>
      <w:r>
        <w:rPr>
          <w:rFonts w:hint="eastAsia" w:ascii="仿宋_GB2312" w:hAnsi="仿宋_GB2312" w:eastAsia="仿宋_GB2312" w:cs="仿宋_GB2312"/>
          <w:kern w:val="0"/>
          <w:sz w:val="32"/>
          <w:szCs w:val="32"/>
          <w:lang w:eastAsia="zh-CN"/>
        </w:rPr>
        <w:t>”</w:t>
      </w:r>
      <w:r>
        <w:rPr>
          <w:rFonts w:hint="default" w:ascii="仿宋_GB2312" w:hAnsi="仿宋_GB2312" w:eastAsia="仿宋_GB2312" w:cs="仿宋_GB2312"/>
          <w:kern w:val="0"/>
          <w:sz w:val="32"/>
          <w:szCs w:val="32"/>
          <w:lang w:val="en-US" w:eastAsia="zh-CN"/>
        </w:rPr>
        <w:t>，为未来</w:t>
      </w:r>
      <w:r>
        <w:rPr>
          <w:rFonts w:hint="eastAsia" w:ascii="仿宋_GB2312" w:hAnsi="仿宋_GB2312" w:eastAsia="仿宋_GB2312" w:cs="仿宋_GB2312"/>
          <w:kern w:val="0"/>
          <w:sz w:val="32"/>
          <w:szCs w:val="32"/>
          <w:lang w:val="en-US" w:eastAsia="zh-CN"/>
        </w:rPr>
        <w:t>各镇长远</w:t>
      </w:r>
      <w:r>
        <w:rPr>
          <w:rFonts w:hint="default" w:ascii="仿宋_GB2312" w:hAnsi="仿宋_GB2312" w:eastAsia="仿宋_GB2312" w:cs="仿宋_GB2312"/>
          <w:kern w:val="0"/>
          <w:sz w:val="32"/>
          <w:szCs w:val="32"/>
          <w:lang w:val="en-US" w:eastAsia="zh-CN"/>
        </w:rPr>
        <w:t>发展</w:t>
      </w:r>
      <w:r>
        <w:rPr>
          <w:rFonts w:hint="eastAsia" w:ascii="仿宋_GB2312" w:hAnsi="仿宋_GB2312" w:eastAsia="仿宋_GB2312" w:cs="仿宋_GB2312"/>
          <w:kern w:val="0"/>
          <w:sz w:val="32"/>
          <w:szCs w:val="32"/>
          <w:lang w:val="en-US" w:eastAsia="zh-CN"/>
        </w:rPr>
        <w:t>和近期建设</w:t>
      </w:r>
      <w:r>
        <w:rPr>
          <w:rFonts w:hint="default" w:ascii="仿宋_GB2312" w:hAnsi="仿宋_GB2312" w:eastAsia="仿宋_GB2312" w:cs="仿宋_GB2312"/>
          <w:kern w:val="0"/>
          <w:sz w:val="32"/>
          <w:szCs w:val="32"/>
          <w:lang w:val="en-US" w:eastAsia="zh-CN"/>
        </w:rPr>
        <w:t>奠定基础。规划成果包括</w:t>
      </w:r>
      <w:r>
        <w:rPr>
          <w:rFonts w:hint="eastAsia" w:ascii="仿宋_GB2312" w:hAnsi="仿宋_GB2312" w:eastAsia="仿宋_GB2312" w:cs="仿宋_GB2312"/>
          <w:kern w:val="0"/>
          <w:sz w:val="32"/>
          <w:szCs w:val="32"/>
          <w:lang w:val="en-US" w:eastAsia="zh-CN"/>
        </w:rPr>
        <w:t>编制文本、说明、图册和数据库</w:t>
      </w:r>
      <w:r>
        <w:rPr>
          <w:rFonts w:hint="default" w:ascii="仿宋_GB2312" w:hAnsi="仿宋_GB2312" w:eastAsia="仿宋_GB2312" w:cs="仿宋_GB2312"/>
          <w:kern w:val="0"/>
          <w:sz w:val="32"/>
          <w:szCs w:val="32"/>
          <w:lang w:val="en-US" w:eastAsia="zh-CN"/>
        </w:rPr>
        <w:t>，各类成果要实现图、数、库、文本、实地一致的要求。</w:t>
      </w:r>
    </w:p>
    <w:p w14:paraId="594E3C7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2、规划目的</w:t>
      </w:r>
    </w:p>
    <w:p w14:paraId="01B5062D">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为贯彻党中央、国务院关于建立国土空间规划体系并监督实施的战略部署，落实陕西省、延安市、延川县国土空间规划，以及延川县委、县政府和镇政府关于全镇国土空间规划的工作要求，强化国土空间规划在国土空间保护开发中的战略引领和刚性管控作用，编制本规划。</w:t>
      </w:r>
    </w:p>
    <w:p w14:paraId="35D255B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3、规划范围与期限</w:t>
      </w:r>
    </w:p>
    <w:p w14:paraId="28955413">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范围：包括镇域（行政辖区全部国土空间）和镇区（城镇开发边界内区域）。</w:t>
      </w:r>
    </w:p>
    <w:p w14:paraId="3AF2FCD6">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期限：2021-2035年，分近期（至2025年）和远期（至2035年）目标。</w:t>
      </w:r>
    </w:p>
    <w:p w14:paraId="5E46C4D8">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4、核心内容</w:t>
      </w:r>
    </w:p>
    <w:p w14:paraId="7B0CA22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空间格局优化：落实“三区三线”（生态保护红线、永久基本农田保护红线、城镇开发边界），构建“生产空间集约高效、生活空间宜居适度、生态空间山清水秀”的国土空间格局。</w:t>
      </w:r>
    </w:p>
    <w:p w14:paraId="6E27069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指标体系：结合各镇规划定位目标，在落实《延川县国土空间总体规划（2021-2035年）》各项约束及引导指标的基础上，综合考虑镇域国土空间开发、保护、国土综合整治与生态修复实际与需求，从底线管控、结构效率、城镇品质等3个方面，提出规划期内指标体系。详见国土空间规划指标表。</w:t>
      </w:r>
    </w:p>
    <w:p w14:paraId="454E6A6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47B3742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662BD5D2">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13000DB3">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76346ED3">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0F5F425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tbl>
      <w:tblPr>
        <w:tblStyle w:val="13"/>
        <w:tblW w:w="8891" w:type="dxa"/>
        <w:tblInd w:w="0" w:type="dxa"/>
        <w:tblLayout w:type="fixed"/>
        <w:tblCellMar>
          <w:top w:w="0" w:type="dxa"/>
          <w:left w:w="0" w:type="dxa"/>
          <w:bottom w:w="0" w:type="dxa"/>
          <w:right w:w="0" w:type="dxa"/>
        </w:tblCellMar>
      </w:tblPr>
      <w:tblGrid>
        <w:gridCol w:w="525"/>
        <w:gridCol w:w="2441"/>
        <w:gridCol w:w="844"/>
        <w:gridCol w:w="750"/>
        <w:gridCol w:w="938"/>
        <w:gridCol w:w="1087"/>
        <w:gridCol w:w="956"/>
        <w:gridCol w:w="1350"/>
      </w:tblGrid>
      <w:tr w14:paraId="6AE32351">
        <w:tblPrEx>
          <w:tblCellMar>
            <w:top w:w="0" w:type="dxa"/>
            <w:left w:w="0" w:type="dxa"/>
            <w:bottom w:w="0" w:type="dxa"/>
            <w:right w:w="0" w:type="dxa"/>
          </w:tblCellMar>
        </w:tblPrEx>
        <w:trPr>
          <w:trHeight w:val="793" w:hRule="atLeast"/>
          <w:tblHeader/>
        </w:trPr>
        <w:tc>
          <w:tcPr>
            <w:tcW w:w="525"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3B907266">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类别</w:t>
            </w:r>
          </w:p>
        </w:tc>
        <w:tc>
          <w:tcPr>
            <w:tcW w:w="2441"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A807CD5">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指标项</w:t>
            </w:r>
          </w:p>
        </w:tc>
        <w:tc>
          <w:tcPr>
            <w:tcW w:w="844"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690B10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单位</w:t>
            </w:r>
          </w:p>
        </w:tc>
        <w:tc>
          <w:tcPr>
            <w:tcW w:w="7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47AD3A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指层层级</w:t>
            </w:r>
          </w:p>
        </w:tc>
        <w:tc>
          <w:tcPr>
            <w:tcW w:w="938"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28E99A8">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规划</w:t>
            </w:r>
          </w:p>
          <w:p w14:paraId="473504E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基期年</w:t>
            </w:r>
          </w:p>
        </w:tc>
        <w:tc>
          <w:tcPr>
            <w:tcW w:w="1087"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40FA0819">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规划近期目标年</w:t>
            </w:r>
          </w:p>
        </w:tc>
        <w:tc>
          <w:tcPr>
            <w:tcW w:w="956"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39597C88">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规划</w:t>
            </w:r>
          </w:p>
          <w:p w14:paraId="22B77C1D">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目标年</w:t>
            </w:r>
          </w:p>
        </w:tc>
        <w:tc>
          <w:tcPr>
            <w:tcW w:w="13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4E70F5AC">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指标</w:t>
            </w:r>
          </w:p>
          <w:p w14:paraId="2543A139">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b/>
                <w:bCs/>
                <w:color w:val="auto"/>
                <w:spacing w:val="-2"/>
                <w:highlight w:val="none"/>
              </w:rPr>
            </w:pPr>
            <w:r>
              <w:rPr>
                <w:rFonts w:hint="eastAsia" w:ascii="仿宋_GB2312" w:hAnsi="仿宋_GB2312" w:eastAsia="仿宋_GB2312" w:cs="仿宋_GB2312"/>
                <w:b/>
                <w:bCs/>
                <w:color w:val="auto"/>
                <w:spacing w:val="-2"/>
                <w:highlight w:val="none"/>
              </w:rPr>
              <w:t>属性</w:t>
            </w:r>
          </w:p>
        </w:tc>
      </w:tr>
      <w:tr w14:paraId="16273392">
        <w:tblPrEx>
          <w:tblCellMar>
            <w:top w:w="0" w:type="dxa"/>
            <w:left w:w="0" w:type="dxa"/>
            <w:bottom w:w="0" w:type="dxa"/>
            <w:right w:w="0" w:type="dxa"/>
          </w:tblCellMar>
        </w:tblPrEx>
        <w:trPr>
          <w:trHeight w:val="499" w:hRule="atLeast"/>
        </w:trPr>
        <w:tc>
          <w:tcPr>
            <w:tcW w:w="525" w:type="dxa"/>
            <w:vMerge w:val="restart"/>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3434B5FB">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p w14:paraId="6D50280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p w14:paraId="7BF300A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底线</w:t>
            </w:r>
          </w:p>
          <w:p w14:paraId="7D4D4EE6">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管控</w:t>
            </w:r>
          </w:p>
        </w:tc>
        <w:tc>
          <w:tcPr>
            <w:tcW w:w="2441"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EBF7B7D">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耕地保有量</w:t>
            </w:r>
          </w:p>
        </w:tc>
        <w:tc>
          <w:tcPr>
            <w:tcW w:w="844"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7ABFDF29">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公顷</w:t>
            </w:r>
          </w:p>
        </w:tc>
        <w:tc>
          <w:tcPr>
            <w:tcW w:w="7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7FA9D743">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30400E5B">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367B2EC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5CA5DC09">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001CE0C8">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约束性</w:t>
            </w:r>
          </w:p>
        </w:tc>
      </w:tr>
      <w:tr w14:paraId="2872463A">
        <w:tblPrEx>
          <w:tblCellMar>
            <w:top w:w="0" w:type="dxa"/>
            <w:left w:w="0" w:type="dxa"/>
            <w:bottom w:w="0" w:type="dxa"/>
            <w:right w:w="0" w:type="dxa"/>
          </w:tblCellMar>
        </w:tblPrEx>
        <w:trPr>
          <w:trHeight w:val="756"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56EEE3CE">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0CBA54E">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永久基本农田保护面积</w:t>
            </w:r>
          </w:p>
        </w:tc>
        <w:tc>
          <w:tcPr>
            <w:tcW w:w="844"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3251F91A">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公顷</w:t>
            </w:r>
          </w:p>
        </w:tc>
        <w:tc>
          <w:tcPr>
            <w:tcW w:w="7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4C470ED8">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auto"/>
            <w:tcMar>
              <w:top w:w="110" w:type="dxa"/>
              <w:left w:w="105" w:type="dxa"/>
              <w:right w:w="105" w:type="dxa"/>
            </w:tcMar>
            <w:vAlign w:val="center"/>
          </w:tcPr>
          <w:p w14:paraId="07DC531F">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auto"/>
            <w:tcMar>
              <w:top w:w="110" w:type="dxa"/>
              <w:left w:w="105" w:type="dxa"/>
              <w:right w:w="105" w:type="dxa"/>
            </w:tcMar>
            <w:vAlign w:val="center"/>
          </w:tcPr>
          <w:p w14:paraId="0C98B2C3">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auto"/>
            <w:tcMar>
              <w:top w:w="110" w:type="dxa"/>
              <w:left w:w="105" w:type="dxa"/>
              <w:right w:w="105" w:type="dxa"/>
            </w:tcMar>
            <w:vAlign w:val="center"/>
          </w:tcPr>
          <w:p w14:paraId="1C0227A6">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5D6D6CA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约束性</w:t>
            </w:r>
          </w:p>
        </w:tc>
      </w:tr>
      <w:tr w14:paraId="44DB7253">
        <w:tblPrEx>
          <w:tblCellMar>
            <w:top w:w="0" w:type="dxa"/>
            <w:left w:w="0" w:type="dxa"/>
            <w:bottom w:w="0" w:type="dxa"/>
            <w:right w:w="0" w:type="dxa"/>
          </w:tblCellMar>
        </w:tblPrEx>
        <w:trPr>
          <w:trHeight w:val="437"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1EA4C73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293CCBF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生态保护红线面积</w:t>
            </w:r>
          </w:p>
        </w:tc>
        <w:tc>
          <w:tcPr>
            <w:tcW w:w="844"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43C6507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公顷</w:t>
            </w:r>
          </w:p>
        </w:tc>
        <w:tc>
          <w:tcPr>
            <w:tcW w:w="7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47183E5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auto"/>
            <w:tcMar>
              <w:top w:w="110" w:type="dxa"/>
              <w:left w:w="105" w:type="dxa"/>
              <w:right w:w="105" w:type="dxa"/>
            </w:tcMar>
            <w:vAlign w:val="center"/>
          </w:tcPr>
          <w:p w14:paraId="0D0970D7">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auto"/>
            <w:tcMar>
              <w:top w:w="110" w:type="dxa"/>
              <w:left w:w="105" w:type="dxa"/>
              <w:right w:w="105" w:type="dxa"/>
            </w:tcMar>
            <w:vAlign w:val="center"/>
          </w:tcPr>
          <w:p w14:paraId="793F0823">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auto"/>
            <w:tcMar>
              <w:top w:w="110" w:type="dxa"/>
              <w:left w:w="105" w:type="dxa"/>
              <w:right w:w="105" w:type="dxa"/>
            </w:tcMar>
            <w:vAlign w:val="center"/>
          </w:tcPr>
          <w:p w14:paraId="751224FD">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auto"/>
            <w:tcMar>
              <w:left w:w="108" w:type="dxa"/>
              <w:right w:w="108" w:type="dxa"/>
            </w:tcMar>
            <w:vAlign w:val="center"/>
          </w:tcPr>
          <w:p w14:paraId="145681E0">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约束性</w:t>
            </w:r>
          </w:p>
        </w:tc>
      </w:tr>
      <w:tr w14:paraId="5E3851B9">
        <w:tblPrEx>
          <w:tblCellMar>
            <w:top w:w="0" w:type="dxa"/>
            <w:left w:w="0" w:type="dxa"/>
            <w:bottom w:w="0" w:type="dxa"/>
            <w:right w:w="0" w:type="dxa"/>
          </w:tblCellMar>
        </w:tblPrEx>
        <w:trPr>
          <w:trHeight w:val="1096"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FDDD290">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374D3D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城镇开发边界规模</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0F2B3F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公顷</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83A7BD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top w:w="110" w:type="dxa"/>
              <w:left w:w="105" w:type="dxa"/>
              <w:right w:w="105" w:type="dxa"/>
            </w:tcMar>
            <w:vAlign w:val="center"/>
          </w:tcPr>
          <w:p w14:paraId="16B8DD63">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top w:w="110" w:type="dxa"/>
              <w:left w:w="105" w:type="dxa"/>
              <w:right w:w="105" w:type="dxa"/>
            </w:tcMar>
            <w:vAlign w:val="center"/>
          </w:tcPr>
          <w:p w14:paraId="0C8985C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top w:w="110" w:type="dxa"/>
              <w:left w:w="105" w:type="dxa"/>
              <w:right w:w="105" w:type="dxa"/>
            </w:tcMar>
            <w:vAlign w:val="center"/>
          </w:tcPr>
          <w:p w14:paraId="3810BD8E">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63689D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约束性</w:t>
            </w:r>
          </w:p>
        </w:tc>
      </w:tr>
      <w:tr w14:paraId="727325A6">
        <w:tblPrEx>
          <w:tblCellMar>
            <w:top w:w="0" w:type="dxa"/>
            <w:left w:w="0" w:type="dxa"/>
            <w:bottom w:w="0" w:type="dxa"/>
            <w:right w:w="0" w:type="dxa"/>
          </w:tblCellMar>
        </w:tblPrEx>
        <w:trPr>
          <w:trHeight w:val="584" w:hRule="atLeast"/>
        </w:trPr>
        <w:tc>
          <w:tcPr>
            <w:tcW w:w="525" w:type="dxa"/>
            <w:vMerge w:val="restart"/>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CED9139">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结构</w:t>
            </w:r>
          </w:p>
          <w:p w14:paraId="48AE0D31">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效率</w:t>
            </w: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8EA140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户籍人口规模</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567EED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万人</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04CBB28">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9D7DE2B">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62D7B11">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5AF5E00">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FEBEB7A">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358CD583">
        <w:tblPrEx>
          <w:tblCellMar>
            <w:top w:w="0" w:type="dxa"/>
            <w:left w:w="0" w:type="dxa"/>
            <w:bottom w:w="0" w:type="dxa"/>
            <w:right w:w="0" w:type="dxa"/>
          </w:tblCellMar>
        </w:tblPrEx>
        <w:trPr>
          <w:trHeight w:val="599"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795C844">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EE947C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常住人口规模</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895A3E5">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万人</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6CD5A7C">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6EA3B41">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560F13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80010FB">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24488BB">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3FFA2258">
        <w:tblPrEx>
          <w:tblCellMar>
            <w:top w:w="0" w:type="dxa"/>
            <w:left w:w="0" w:type="dxa"/>
            <w:bottom w:w="0" w:type="dxa"/>
            <w:right w:w="0" w:type="dxa"/>
          </w:tblCellMar>
        </w:tblPrEx>
        <w:trPr>
          <w:trHeight w:val="756"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ED25551">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50D4E89">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道路网密度</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AE85513">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千米/平方公里</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DC9636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F9E1B00">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top w:w="110" w:type="dxa"/>
              <w:left w:w="105" w:type="dxa"/>
              <w:right w:w="105" w:type="dxa"/>
            </w:tcMar>
            <w:vAlign w:val="center"/>
          </w:tcPr>
          <w:p w14:paraId="62B9467A">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top w:w="110" w:type="dxa"/>
              <w:left w:w="105" w:type="dxa"/>
              <w:right w:w="105" w:type="dxa"/>
            </w:tcMar>
            <w:vAlign w:val="center"/>
          </w:tcPr>
          <w:p w14:paraId="1527273E">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lang w:val="en-US" w:eastAsia="zh-CN"/>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98C6898">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32811905">
        <w:tblPrEx>
          <w:tblCellMar>
            <w:top w:w="0" w:type="dxa"/>
            <w:left w:w="0" w:type="dxa"/>
            <w:bottom w:w="0" w:type="dxa"/>
            <w:right w:w="0" w:type="dxa"/>
          </w:tblCellMar>
        </w:tblPrEx>
        <w:trPr>
          <w:trHeight w:val="644" w:hRule="atLeast"/>
        </w:trPr>
        <w:tc>
          <w:tcPr>
            <w:tcW w:w="525" w:type="dxa"/>
            <w:vMerge w:val="restart"/>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DD1CA21">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生活</w:t>
            </w:r>
          </w:p>
          <w:p w14:paraId="15B16C9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品质</w:t>
            </w: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9D4C32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公园绿地、广场步行5分钟覆盖率</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DE76D64">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lang w:eastAsia="en-US"/>
              </w:rPr>
              <w:t>%</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3E26D50">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镇区</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BABA0BF">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2304A4C">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4A88ECC">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15693BD">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0A0FDFA6">
        <w:tblPrEx>
          <w:tblCellMar>
            <w:top w:w="0" w:type="dxa"/>
            <w:left w:w="0" w:type="dxa"/>
            <w:bottom w:w="0" w:type="dxa"/>
            <w:right w:w="0" w:type="dxa"/>
          </w:tblCellMar>
        </w:tblPrEx>
        <w:trPr>
          <w:trHeight w:val="529"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77B35AA">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63D6A0D">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自来水普及率</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7B6078E">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A6A1806">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56B8863">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18B2014">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E631F44">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DEFD63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599741CF">
        <w:tblPrEx>
          <w:tblCellMar>
            <w:top w:w="0" w:type="dxa"/>
            <w:left w:w="0" w:type="dxa"/>
            <w:bottom w:w="0" w:type="dxa"/>
            <w:right w:w="0" w:type="dxa"/>
          </w:tblCellMar>
        </w:tblPrEx>
        <w:trPr>
          <w:trHeight w:val="644"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B2D23EA">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FD3179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生活垃圾无害化处理率</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AEFF25C">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78552D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DBCA13B">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DEB66F5">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67BEC1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E1B3B27">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19AE637F">
        <w:tblPrEx>
          <w:tblCellMar>
            <w:top w:w="0" w:type="dxa"/>
            <w:left w:w="0" w:type="dxa"/>
            <w:bottom w:w="0" w:type="dxa"/>
            <w:right w:w="0" w:type="dxa"/>
          </w:tblCellMar>
        </w:tblPrEx>
        <w:trPr>
          <w:trHeight w:val="644"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F566584">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3325A6D">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无害化卫生厕所普及率</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6F0559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40B37AA">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90C722D">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C912A46">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394ADDF">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08EB7D5B">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14536805">
        <w:tblPrEx>
          <w:tblCellMar>
            <w:top w:w="0" w:type="dxa"/>
            <w:left w:w="0" w:type="dxa"/>
            <w:bottom w:w="0" w:type="dxa"/>
            <w:right w:w="0" w:type="dxa"/>
          </w:tblCellMar>
        </w:tblPrEx>
        <w:trPr>
          <w:trHeight w:val="559"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5BAA264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A949E3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天然气普及率</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19DEEAB">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6E3D2F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79A8DF7">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49B5D79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D836C88">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4661EC4">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r w14:paraId="1D66F6D9">
        <w:tblPrEx>
          <w:tblCellMar>
            <w:top w:w="0" w:type="dxa"/>
            <w:left w:w="0" w:type="dxa"/>
            <w:bottom w:w="0" w:type="dxa"/>
            <w:right w:w="0" w:type="dxa"/>
          </w:tblCellMar>
        </w:tblPrEx>
        <w:trPr>
          <w:trHeight w:val="749" w:hRule="atLeast"/>
        </w:trPr>
        <w:tc>
          <w:tcPr>
            <w:tcW w:w="525" w:type="dxa"/>
            <w:vMerge w:val="continue"/>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F62C5C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p>
        </w:tc>
        <w:tc>
          <w:tcPr>
            <w:tcW w:w="2441"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82C8F39">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城镇污水处理率</w:t>
            </w:r>
          </w:p>
        </w:tc>
        <w:tc>
          <w:tcPr>
            <w:tcW w:w="844"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6305EFF">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7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38303A3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镇域</w:t>
            </w:r>
          </w:p>
        </w:tc>
        <w:tc>
          <w:tcPr>
            <w:tcW w:w="938"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62B6C506">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087"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746C7149">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956"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1158162E">
            <w:pPr>
              <w:keepNext w:val="0"/>
              <w:keepLines w:val="0"/>
              <w:pageBreakBefore w:val="0"/>
              <w:widowControl w:val="0"/>
              <w:kinsoku w:val="0"/>
              <w:wordWrap/>
              <w:overflowPunct w:val="0"/>
              <w:topLinePunct w:val="0"/>
              <w:autoSpaceDE w:val="0"/>
              <w:autoSpaceDN w:val="0"/>
              <w:bidi w:val="0"/>
              <w:adjustRightInd/>
              <w:snapToGrid/>
              <w:spacing w:line="640" w:lineRule="exact"/>
              <w:jc w:val="center"/>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w:t>
            </w:r>
          </w:p>
        </w:tc>
        <w:tc>
          <w:tcPr>
            <w:tcW w:w="1350" w:type="dxa"/>
            <w:tcBorders>
              <w:top w:val="single" w:color="080000" w:sz="2" w:space="0"/>
              <w:left w:val="single" w:color="080000" w:sz="2" w:space="0"/>
              <w:bottom w:val="single" w:color="080000" w:sz="2" w:space="0"/>
              <w:right w:val="single" w:color="080000" w:sz="2" w:space="0"/>
            </w:tcBorders>
            <w:shd w:val="clear" w:color="auto" w:fill="FFFFFF"/>
            <w:tcMar>
              <w:left w:w="108" w:type="dxa"/>
              <w:right w:w="108" w:type="dxa"/>
            </w:tcMar>
            <w:vAlign w:val="center"/>
          </w:tcPr>
          <w:p w14:paraId="2B593FF2">
            <w:pPr>
              <w:pStyle w:val="22"/>
              <w:keepNext w:val="0"/>
              <w:keepLines w:val="0"/>
              <w:pageBreakBefore w:val="0"/>
              <w:widowControl w:val="0"/>
              <w:kinsoku w:val="0"/>
              <w:wordWrap/>
              <w:overflowPunct w:val="0"/>
              <w:topLinePunct w:val="0"/>
              <w:autoSpaceDE w:val="0"/>
              <w:autoSpaceDN w:val="0"/>
              <w:bidi w:val="0"/>
              <w:adjustRightInd/>
              <w:snapToGrid/>
              <w:spacing w:line="640" w:lineRule="exact"/>
              <w:textAlignment w:val="auto"/>
              <w:rPr>
                <w:rFonts w:hint="eastAsia" w:ascii="仿宋_GB2312" w:hAnsi="仿宋_GB2312" w:eastAsia="仿宋_GB2312" w:cs="仿宋_GB2312"/>
                <w:color w:val="auto"/>
                <w:spacing w:val="-2"/>
                <w:highlight w:val="none"/>
              </w:rPr>
            </w:pPr>
            <w:r>
              <w:rPr>
                <w:rFonts w:hint="eastAsia" w:ascii="仿宋_GB2312" w:hAnsi="仿宋_GB2312" w:eastAsia="仿宋_GB2312" w:cs="仿宋_GB2312"/>
                <w:color w:val="auto"/>
                <w:spacing w:val="-2"/>
                <w:highlight w:val="none"/>
              </w:rPr>
              <w:t>预期性</w:t>
            </w:r>
          </w:p>
        </w:tc>
      </w:tr>
    </w:tbl>
    <w:p w14:paraId="0B0A7A9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传导落实重要控制线：传导落实耕地和永久基本农田保护红线、生态保护红线、 城镇开发边界、 村庄建设边界、洪涝灾害控制线、历史文化保护范围线。</w:t>
      </w:r>
    </w:p>
    <w:p w14:paraId="33E0648C">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国土空间布局优化：规划分区、 用途结构调整</w:t>
      </w:r>
    </w:p>
    <w:p w14:paraId="233323D1">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镇村体系规划：优化镇村体系结构形成镇区—中心村—一般村三级镇村体系；分类引导村庄有序发展，明确村庄发展定位和空间布局；科学合理各村村庄建设管控。</w:t>
      </w:r>
    </w:p>
    <w:p w14:paraId="2167E23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产业发展规划：结合乡镇资源禀赋，规划农业、工业、服务业等产业空间布局，明确产业发展思路、产业发展方向、产业重点建设项目，推动产业融合与升级。</w:t>
      </w:r>
    </w:p>
    <w:p w14:paraId="3FD1E2C4">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自然资源保护与利用：包括耕地资源保护、建设用地节约集约利用、水资源保护利用、林草资源保护利用、矿产资源保护利用。</w:t>
      </w:r>
    </w:p>
    <w:p w14:paraId="2B5EB40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历史文化与景观风貌：包括历史文化保护、历史文化利用、景观风貌塑造。</w:t>
      </w:r>
    </w:p>
    <w:p w14:paraId="5364132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国土综合整治与生态修复：包括开展农用地整治、建设用地整治、生态修复工程，改善生态环境和土地利用效率。</w:t>
      </w:r>
    </w:p>
    <w:p w14:paraId="2662369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基础设施与公共服务：规划交通、能源、水利、通信等基础设施，以及教育、医疗、文化、养老、殡葬等公共服务设施布局，提升乡镇综合承载能力。</w:t>
      </w:r>
    </w:p>
    <w:p w14:paraId="51D6147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镇区规划：包括性质与规模、用地结构与布局、住房建设与人居环境、道路交通、公共服务设施体系规划、绿地与开敞空间、市政基础设施、综合防灾与公共安全、“四线”管控风貌引导。</w:t>
      </w:r>
    </w:p>
    <w:p w14:paraId="2AAB332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详细规划编制单元管控：包括单元管控类型、划分原则思路、单元划定成果、单元管控引导。</w:t>
      </w:r>
    </w:p>
    <w:p w14:paraId="7AF9C6AD">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default" w:ascii="仿宋_GB2312" w:hAnsi="仿宋_GB2312" w:eastAsia="仿宋_GB2312" w:cs="仿宋_GB2312"/>
          <w:kern w:val="0"/>
          <w:sz w:val="32"/>
          <w:szCs w:val="32"/>
          <w:lang w:val="en-US" w:eastAsia="zh-CN"/>
        </w:rPr>
        <w:t>近期建设计划及实施保障</w:t>
      </w:r>
      <w:r>
        <w:rPr>
          <w:rFonts w:hint="eastAsia" w:ascii="仿宋_GB2312" w:hAnsi="仿宋_GB2312" w:eastAsia="仿宋_GB2312" w:cs="仿宋_GB2312"/>
          <w:kern w:val="0"/>
          <w:sz w:val="32"/>
          <w:szCs w:val="32"/>
          <w:lang w:val="en-US" w:eastAsia="zh-CN"/>
        </w:rPr>
        <w:t>：包括近期安排、规划传导、保障措施。</w:t>
      </w:r>
    </w:p>
    <w:p w14:paraId="1643E5D0">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相关附表：包括附表1国土空间规划指标表、附表2国土空间功能结构调整表、附表3国土空间规划分区统计表、附表4规划指标分解表（2035年）、附表 5重点建设项目安排表、附表6 镇区（集中建设区）建设用地结构规划表、附表7 历史文化资源一览表、附表8 国土综合整治与生态修复项目安排表、附表9村庄分级分类指引表、附表10古树名木资源一览表。</w:t>
      </w:r>
    </w:p>
    <w:p w14:paraId="68D6D18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黑体" w:hAnsi="黑体" w:eastAsia="黑体" w:cs="黑体"/>
          <w:b/>
          <w:bCs/>
          <w:kern w:val="36"/>
          <w:sz w:val="32"/>
          <w:szCs w:val="32"/>
          <w:lang w:val="en-US" w:eastAsia="zh-CN"/>
        </w:rPr>
      </w:pPr>
      <w:r>
        <w:rPr>
          <w:rFonts w:hint="eastAsia" w:ascii="黑体" w:hAnsi="黑体" w:eastAsia="黑体" w:cs="黑体"/>
          <w:b/>
          <w:bCs/>
          <w:kern w:val="36"/>
          <w:sz w:val="32"/>
          <w:szCs w:val="32"/>
          <w:lang w:val="en-US" w:eastAsia="zh-CN"/>
        </w:rPr>
        <w:t>四、成果要求</w:t>
      </w:r>
    </w:p>
    <w:p w14:paraId="4C70CC6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本次规划成果以乡镇为单位分别形成，需符合国家、省、市相关技术标准及数据汇交要求，分为纸质成果和电子成果，具体要求如下：</w:t>
      </w:r>
    </w:p>
    <w:p w14:paraId="6582C6A1">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1、纸质成果</w:t>
      </w:r>
    </w:p>
    <w:p w14:paraId="4C3AECE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文本成果：</w:t>
      </w:r>
      <w:r>
        <w:rPr>
          <w:rFonts w:hint="eastAsia" w:ascii="仿宋_GB2312" w:hAnsi="仿宋_GB2312" w:eastAsia="仿宋_GB2312" w:cs="仿宋_GB2312"/>
          <w:kern w:val="0"/>
          <w:sz w:val="32"/>
          <w:szCs w:val="32"/>
          <w:lang w:val="en-US" w:eastAsia="zh-CN"/>
        </w:rPr>
        <w:t>包括规划文本、规划附件（含规划说明书、基础资料汇编、公众参与材料、意见及回复等），采用A3规格装订，一式拾份（可根据实际需求调整份数）。</w:t>
      </w:r>
    </w:p>
    <w:p w14:paraId="5A9DDA1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图件成果：</w:t>
      </w:r>
      <w:r>
        <w:rPr>
          <w:rFonts w:hint="eastAsia" w:ascii="仿宋_GB2312" w:hAnsi="仿宋_GB2312" w:eastAsia="仿宋_GB2312" w:cs="仿宋_GB2312"/>
          <w:kern w:val="0"/>
          <w:sz w:val="32"/>
          <w:szCs w:val="32"/>
          <w:lang w:val="en-US" w:eastAsia="zh-CN"/>
        </w:rPr>
        <w:t>包括综合现状图、综合规划图、耕地和永久基本农田保护规划图、用地布局规划图、产业发展规划图、基础设施规划图、生态保护修复规划图、风貌管控规划图等必备图件及可选图件，采用A3规格彩色打印装订，一式拾份（可根据实际需求调整份数）。</w:t>
      </w:r>
    </w:p>
    <w:p w14:paraId="2FB179AD">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表格成果：</w:t>
      </w:r>
      <w:r>
        <w:rPr>
          <w:rFonts w:hint="eastAsia" w:ascii="仿宋_GB2312" w:hAnsi="仿宋_GB2312" w:eastAsia="仿宋_GB2312" w:cs="仿宋_GB2312"/>
          <w:kern w:val="0"/>
          <w:sz w:val="32"/>
          <w:szCs w:val="32"/>
          <w:lang w:val="en-US" w:eastAsia="zh-CN"/>
        </w:rPr>
        <w:t>包括规划目标表、国土空间结构调整表、近期建设项目表等，采用A4规格装订，一式拾份（可根据实际需求调整份数）。</w:t>
      </w:r>
    </w:p>
    <w:p w14:paraId="45560D1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2、电子成果</w:t>
      </w:r>
    </w:p>
    <w:p w14:paraId="1C2EFDF8">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文本成果：采用PDF格式，清晰可编辑，提交电子文档1份。</w:t>
      </w:r>
    </w:p>
    <w:p w14:paraId="7C2D1193">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图件成果：采用JPG（高清）、CAD格式，提交电子文档1份，确保图形清晰、坐标准确。</w:t>
      </w:r>
    </w:p>
    <w:p w14:paraId="457B44D2">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表格成果：采用XLS格式，符合乡镇级国土空间总体规划成果数据汇交要求，提交电子文档1份。</w:t>
      </w:r>
    </w:p>
    <w:p w14:paraId="0EDF870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矢量数据库成果：采用GDB格式，按照乡镇级规划数据库标准和数据汇交要求同步建设、同步报批，提供电子光盘1份（含数据库及全部电子成果）。</w:t>
      </w:r>
    </w:p>
    <w:p w14:paraId="15F8DDC0">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所有成果需通过上级自然资源主管部门审查备案，供应商需配合采购单位完成成果报批、修改完善等相关工作，直至成果通过最终审查备案。</w:t>
      </w:r>
    </w:p>
    <w:p w14:paraId="45B1DF40">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黑体" w:hAnsi="黑体" w:eastAsia="黑体" w:cs="黑体"/>
          <w:b/>
          <w:bCs/>
          <w:kern w:val="36"/>
          <w:sz w:val="32"/>
          <w:szCs w:val="32"/>
          <w:lang w:val="en-US" w:eastAsia="zh-CN"/>
        </w:rPr>
      </w:pPr>
      <w:r>
        <w:rPr>
          <w:rFonts w:hint="eastAsia" w:ascii="黑体" w:hAnsi="黑体" w:eastAsia="黑体" w:cs="黑体"/>
          <w:b/>
          <w:bCs/>
          <w:kern w:val="36"/>
          <w:sz w:val="32"/>
          <w:szCs w:val="32"/>
          <w:lang w:val="en-US" w:eastAsia="zh-CN"/>
        </w:rPr>
        <w:t>五、服务要求</w:t>
      </w:r>
    </w:p>
    <w:p w14:paraId="742D8FB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1、服务期限</w:t>
      </w:r>
    </w:p>
    <w:p w14:paraId="1126D4A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自合同签订生效之日起120日历天内完成全部规划编制工作并提交成果（不含报批时间）；若因上位规划调整、不可抗力等因素影响工期，由双方协商确定延期事宜。中标人需依据采购人确定的编制时序分批次开展编制工作，并同步提交符合要求的成果报省自然资源厅备案（若有）。</w:t>
      </w:r>
    </w:p>
    <w:p w14:paraId="2F08B46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2、服务流程及要求</w:t>
      </w:r>
    </w:p>
    <w:p w14:paraId="63E949FC">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调研阶段：供应商需在合同签订后30日历天内，完成本乡镇全域现状调研，收集相关基础资料，召开调研座谈会，广泛征求乡镇政府、村（社区）、相关部门及群众意见，形成调研工作报告提交采购单位审核。</w:t>
      </w:r>
    </w:p>
    <w:p w14:paraId="1DFDFA2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编制阶段：根据调研结果、采购需求及相关依据，开展规划编制工作，形成规划草案，提交采购单位初审；根据初审意见修改完善后，形成规划送审稿，配合采购单位组织专家评审、公众公示等相关工作。</w:t>
      </w:r>
    </w:p>
    <w:p w14:paraId="789CD4C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修改完善及报批阶段：根据专家评审意见、公众反馈意见及上级主管部门要求，对规划送审稿进行修改完善，形成规划终审稿，配合采购单位完成成果报批、备案等相关工作，直至成果通过最终审查备案。</w:t>
      </w:r>
    </w:p>
    <w:p w14:paraId="03C6720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售后服务：规划成果交付后，供应商需提供至少2年的免费技术咨询服务，及时解答采购单位及相关部门在规划实施过程中遇到的问题；若因政策调整、上位规划变更等原因需要对规划成果进行小幅修改，供应商需免费提供修改服务（重大修改除外，双方另行协商）。</w:t>
      </w:r>
    </w:p>
    <w:p w14:paraId="3595602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3、保密要求</w:t>
      </w:r>
    </w:p>
    <w:p w14:paraId="12520E76">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供应商在服务过程中接触到的采购单位提供的基础资料、规划成果及相关涉密信息，需严格保密，不得泄露给任何第三方；合同终止后，需将所有涉密资料返还采购单位，不得留存备份，若发生泄密情况，供应商需承担相应的法律责任和经济赔偿责任。</w:t>
      </w:r>
    </w:p>
    <w:p w14:paraId="09A2718A">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黑体" w:hAnsi="黑体" w:eastAsia="黑体" w:cs="黑体"/>
          <w:b/>
          <w:bCs/>
          <w:kern w:val="36"/>
          <w:sz w:val="32"/>
          <w:szCs w:val="32"/>
          <w:lang w:val="en-US" w:eastAsia="zh-CN"/>
        </w:rPr>
      </w:pPr>
      <w:r>
        <w:rPr>
          <w:rFonts w:hint="eastAsia" w:ascii="黑体" w:hAnsi="黑体" w:eastAsia="黑体" w:cs="黑体"/>
          <w:b/>
          <w:bCs/>
          <w:kern w:val="36"/>
          <w:sz w:val="32"/>
          <w:szCs w:val="32"/>
          <w:lang w:val="en-US" w:eastAsia="zh-CN"/>
        </w:rPr>
        <w:t>六、合同条款及付款方式</w:t>
      </w:r>
    </w:p>
    <w:p w14:paraId="401EE091">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1、合同签订</w:t>
      </w:r>
    </w:p>
    <w:p w14:paraId="537B1F1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中标人在收到中标通知书后30日内，与采购单位签订采购合同，合同条款需符合本采购需求文件要求，不得擅自变更核心条款；若中标人未按规定时间签订合同，采购单位有权取消其中标资格。</w:t>
      </w:r>
    </w:p>
    <w:p w14:paraId="502FDC13">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2、付款方式</w:t>
      </w:r>
    </w:p>
    <w:p w14:paraId="27EAA878">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本项目付款方式按以下阶段支付（可根据实际需求调整）：</w:t>
      </w:r>
    </w:p>
    <w:p w14:paraId="003CE534">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合同签订生效后，采购单位按程序支付中标人合同总金额的30%作为预付款；</w:t>
      </w:r>
    </w:p>
    <w:p w14:paraId="7F371EA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规划方案通过市（县）人民政府审批同意后，采购单位按程序支付中标人合同总金额的40%；</w:t>
      </w:r>
    </w:p>
    <w:p w14:paraId="2EC77CC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规划设计成果经省自然资源厅（或上级相关主管部门）备案审查通过后，采购单位一次性支付剩余30%合同款项；</w:t>
      </w:r>
    </w:p>
    <w:p w14:paraId="7AB901F0">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付款时，中标人需提供合法有效的发票，否则采购单位有权顺延付款。</w:t>
      </w:r>
    </w:p>
    <w:p w14:paraId="4417564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3、违约责任</w:t>
      </w:r>
    </w:p>
    <w:p w14:paraId="36D82248">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中标人未按合同约定的期限提交规划成果，每逾期一天，按合同总金额的0.5‰支付违约金；逾期超过30天，采购单位有权解除合同，中标人需退还已支付的全部款项，并承担合同总金额20%的违约金。</w:t>
      </w:r>
    </w:p>
    <w:p w14:paraId="303CB157">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规划成果未通过上级主管部门审查备案，中标人需在规定期限内修改完善，直至通过审查，若多次修改仍无法通过，采购单位有权解除合同，中标人需退还已支付的全部款项，并承担相应的经济损失。</w:t>
      </w:r>
    </w:p>
    <w:p w14:paraId="21FE8075">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采购单位未按合同约定支付款项，每逾期一天，按应付未付金额的0.5‰支付违约金。</w:t>
      </w:r>
    </w:p>
    <w:p w14:paraId="28B50FD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3" w:firstLineChars="200"/>
        <w:jc w:val="left"/>
        <w:textAlignment w:val="auto"/>
        <w:outlineLvl w:val="0"/>
        <w:rPr>
          <w:rFonts w:hint="eastAsia" w:ascii="黑体" w:hAnsi="黑体" w:eastAsia="黑体" w:cs="黑体"/>
          <w:b/>
          <w:bCs/>
          <w:kern w:val="36"/>
          <w:sz w:val="32"/>
          <w:szCs w:val="32"/>
          <w:lang w:val="en-US" w:eastAsia="zh-CN"/>
        </w:rPr>
      </w:pPr>
      <w:r>
        <w:rPr>
          <w:rFonts w:hint="eastAsia" w:ascii="黑体" w:hAnsi="黑体" w:eastAsia="黑体" w:cs="黑体"/>
          <w:b/>
          <w:bCs/>
          <w:kern w:val="36"/>
          <w:sz w:val="32"/>
          <w:szCs w:val="32"/>
          <w:lang w:val="en-US" w:eastAsia="zh-CN"/>
        </w:rPr>
        <w:t>七、其他要求</w:t>
      </w:r>
    </w:p>
    <w:p w14:paraId="072B0AC6">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供应商需在投标文件中明确承诺，严格按照本采购需求文件、相关法律法规及技术标准开展规划编制工作，确保成果质量，配合采购单位完成各项工作。</w:t>
      </w:r>
    </w:p>
    <w:p w14:paraId="7770BC1B">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规划编制过程中，供应商需主动与采购单位、村（社区）、相关部门沟通对接，及时反馈工作进展，听取各方意见，确保规划成果符合当地实际需求。</w:t>
      </w:r>
    </w:p>
    <w:p w14:paraId="5F7541F4">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本采购需求文件未尽事宜，由采购单位与中标人在合同中另行约定。</w:t>
      </w:r>
    </w:p>
    <w:p w14:paraId="1C2C4BB4">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本采购需求文件由自然资源局负责解释。</w:t>
      </w:r>
    </w:p>
    <w:p w14:paraId="746E14F3">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70D6B19E">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640" w:firstLineChars="200"/>
        <w:jc w:val="left"/>
        <w:textAlignment w:val="auto"/>
        <w:rPr>
          <w:rFonts w:hint="eastAsia" w:ascii="仿宋_GB2312" w:hAnsi="仿宋_GB2312" w:eastAsia="仿宋_GB2312" w:cs="仿宋_GB2312"/>
          <w:kern w:val="0"/>
          <w:sz w:val="32"/>
          <w:szCs w:val="32"/>
          <w:lang w:val="en-US" w:eastAsia="zh-CN"/>
        </w:rPr>
      </w:pPr>
    </w:p>
    <w:p w14:paraId="7A700B9F">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1920" w:firstLineChars="6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采购单位（盖章）：延川县自然资源局</w:t>
      </w:r>
    </w:p>
    <w:p w14:paraId="0CC25F49">
      <w:pPr>
        <w:keepNext w:val="0"/>
        <w:keepLines w:val="0"/>
        <w:pageBreakBefore w:val="0"/>
        <w:widowControl w:val="0"/>
        <w:kinsoku w:val="0"/>
        <w:wordWrap/>
        <w:overflowPunct w:val="0"/>
        <w:topLinePunct w:val="0"/>
        <w:autoSpaceDE w:val="0"/>
        <w:autoSpaceDN w:val="0"/>
        <w:bidi w:val="0"/>
        <w:adjustRightInd/>
        <w:snapToGrid/>
        <w:spacing w:beforeAutospacing="0" w:afterAutospacing="0" w:line="640" w:lineRule="exact"/>
        <w:ind w:left="0" w:leftChars="0" w:firstLine="3840" w:firstLineChars="1200"/>
        <w:jc w:val="left"/>
        <w:textAlignment w:val="auto"/>
        <w:rPr>
          <w:rFonts w:hint="eastAsia"/>
        </w:rPr>
      </w:pPr>
      <w:r>
        <w:rPr>
          <w:rFonts w:hint="eastAsia" w:ascii="仿宋_GB2312" w:hAnsi="仿宋_GB2312" w:eastAsia="仿宋_GB2312" w:cs="仿宋_GB2312"/>
          <w:kern w:val="0"/>
          <w:sz w:val="32"/>
          <w:szCs w:val="32"/>
          <w:lang w:val="en-US" w:eastAsia="zh-CN"/>
        </w:rPr>
        <w:t>日期：2026年3月27</w:t>
      </w:r>
      <w:bookmarkStart w:id="1" w:name="_GoBack"/>
      <w:bookmarkEnd w:id="1"/>
      <w:r>
        <w:rPr>
          <w:rFonts w:hint="eastAsia" w:ascii="仿宋_GB2312" w:hAnsi="仿宋_GB2312" w:eastAsia="仿宋_GB2312" w:cs="仿宋_GB2312"/>
          <w:kern w:val="0"/>
          <w:sz w:val="32"/>
          <w:szCs w:val="32"/>
          <w:lang w:val="en-US" w:eastAsia="zh-CN"/>
        </w:rPr>
        <w:t>日</w:t>
      </w:r>
    </w:p>
    <w:sectPr>
      <w:footerReference r:id="rId4" w:type="first"/>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2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9DA85">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0505E6">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00505E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4A034D">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D149328">
                          <w:pPr>
                            <w:pStyle w:val="8"/>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D149328">
                    <w:pPr>
                      <w:pStyle w:val="8"/>
                    </w:pPr>
                    <w:r>
                      <w:fldChar w:fldCharType="begin"/>
                    </w:r>
                    <w:r>
                      <w:instrText xml:space="preserve"> PAGE  \* MERGEFORMAT </w:instrText>
                    </w:r>
                    <w:r>
                      <w:fldChar w:fldCharType="separate"/>
                    </w:r>
                    <w:r>
                      <w:t>0</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1171ACE"/>
    <w:rsid w:val="01634DED"/>
    <w:rsid w:val="025978EC"/>
    <w:rsid w:val="02E96621"/>
    <w:rsid w:val="086F3665"/>
    <w:rsid w:val="09D9119E"/>
    <w:rsid w:val="0B4618D9"/>
    <w:rsid w:val="0C3628D7"/>
    <w:rsid w:val="0F16079E"/>
    <w:rsid w:val="141001CE"/>
    <w:rsid w:val="146124BC"/>
    <w:rsid w:val="18352BD6"/>
    <w:rsid w:val="261050CC"/>
    <w:rsid w:val="26576A62"/>
    <w:rsid w:val="27C20C42"/>
    <w:rsid w:val="299802D6"/>
    <w:rsid w:val="2ABF2DA3"/>
    <w:rsid w:val="2BA54239"/>
    <w:rsid w:val="2C1149D2"/>
    <w:rsid w:val="2E04551F"/>
    <w:rsid w:val="305F7928"/>
    <w:rsid w:val="37483E1F"/>
    <w:rsid w:val="3B4A79F5"/>
    <w:rsid w:val="3D55462F"/>
    <w:rsid w:val="410100F4"/>
    <w:rsid w:val="414D0203"/>
    <w:rsid w:val="45C30031"/>
    <w:rsid w:val="48D82712"/>
    <w:rsid w:val="494A0FFB"/>
    <w:rsid w:val="4B4E6A5C"/>
    <w:rsid w:val="4F7C7BCE"/>
    <w:rsid w:val="54E971B0"/>
    <w:rsid w:val="56156687"/>
    <w:rsid w:val="56896631"/>
    <w:rsid w:val="5B931BB5"/>
    <w:rsid w:val="5B943E2D"/>
    <w:rsid w:val="603A02A0"/>
    <w:rsid w:val="66625872"/>
    <w:rsid w:val="68905889"/>
    <w:rsid w:val="714554EC"/>
    <w:rsid w:val="7B86712E"/>
    <w:rsid w:val="7C1522FA"/>
    <w:rsid w:val="7DCF6254"/>
    <w:rsid w:val="7FCF6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uiPriority="99" w:name="heading 2"/>
    <w:lsdException w:qFormat="1" w:uiPriority="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99"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99"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link w:val="19"/>
    <w:qFormat/>
    <w:uiPriority w:val="9"/>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9"/>
    <w:pPr>
      <w:ind w:firstLine="602"/>
      <w:outlineLvl w:val="2"/>
    </w:pPr>
    <w:rPr>
      <w:rFonts w:hAnsi="Calibri" w:cs="Times New Roman"/>
      <w:b/>
      <w:bCs/>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6"/>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styleId="5">
    <w:name w:val="Body Text"/>
    <w:basedOn w:val="1"/>
    <w:next w:val="6"/>
    <w:unhideWhenUsed/>
    <w:qFormat/>
    <w:uiPriority w:val="99"/>
    <w:rPr>
      <w:rFonts w:ascii="宋体" w:hAnsi="宋体" w:eastAsia="宋体" w:cs="宋体"/>
      <w:sz w:val="21"/>
      <w:szCs w:val="21"/>
      <w:lang w:val="zh-CN" w:eastAsia="zh-CN" w:bidi="zh-CN"/>
    </w:rPr>
  </w:style>
  <w:style w:type="paragraph" w:styleId="6">
    <w:name w:val="Body Text 2"/>
    <w:basedOn w:val="1"/>
    <w:qFormat/>
    <w:uiPriority w:val="0"/>
    <w:rPr>
      <w:rFonts w:ascii="楷体_GB2312" w:hAnsi="Copperplate Gothic Bold" w:eastAsia="楷体_GB2312"/>
      <w:kern w:val="2"/>
      <w:sz w:val="28"/>
    </w:rPr>
  </w:style>
  <w:style w:type="paragraph" w:styleId="7">
    <w:name w:val="Body Text Indent"/>
    <w:basedOn w:val="1"/>
    <w:link w:val="17"/>
    <w:qFormat/>
    <w:uiPriority w:val="0"/>
    <w:pPr>
      <w:spacing w:after="120"/>
      <w:ind w:left="420" w:leftChars="200"/>
    </w:pPr>
    <w:rPr>
      <w:rFonts w:asciiTheme="minorHAnsi" w:hAnsiTheme="minorHAnsi" w:eastAsiaTheme="minorEastAsia" w:cstheme="minorBidi"/>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rPr>
      <w:sz w:val="24"/>
    </w:rPr>
  </w:style>
  <w:style w:type="paragraph" w:styleId="11">
    <w:name w:val="Body Text First Indent"/>
    <w:basedOn w:val="5"/>
    <w:next w:val="12"/>
    <w:qFormat/>
    <w:uiPriority w:val="0"/>
    <w:pPr>
      <w:ind w:firstLine="420" w:firstLineChars="100"/>
    </w:pPr>
    <w:rPr>
      <w:rFonts w:eastAsia="仿宋_GB2312"/>
      <w:sz w:val="28"/>
    </w:rPr>
  </w:style>
  <w:style w:type="paragraph" w:styleId="12">
    <w:name w:val="Body Text First Indent 2"/>
    <w:basedOn w:val="7"/>
    <w:next w:val="1"/>
    <w:unhideWhenUsed/>
    <w:qFormat/>
    <w:uiPriority w:val="99"/>
    <w:pPr>
      <w:ind w:firstLine="420" w:firstLineChars="200"/>
    </w:pPr>
  </w:style>
  <w:style w:type="character" w:styleId="15">
    <w:name w:val="Emphasis"/>
    <w:basedOn w:val="14"/>
    <w:qFormat/>
    <w:uiPriority w:val="99"/>
    <w:rPr>
      <w:i/>
    </w:rPr>
  </w:style>
  <w:style w:type="character" w:customStyle="1" w:styleId="16">
    <w:name w:val="正文缩进 字符"/>
    <w:link w:val="4"/>
    <w:qFormat/>
    <w:uiPriority w:val="0"/>
    <w:rPr>
      <w:rFonts w:ascii="宋体"/>
      <w:sz w:val="24"/>
    </w:rPr>
  </w:style>
  <w:style w:type="character" w:customStyle="1" w:styleId="17">
    <w:name w:val="正文文本缩进 字符"/>
    <w:link w:val="7"/>
    <w:qFormat/>
    <w:uiPriority w:val="0"/>
    <w:rPr>
      <w:szCs w:val="24"/>
    </w:rPr>
  </w:style>
  <w:style w:type="character" w:customStyle="1" w:styleId="18">
    <w:name w:val="正文文本缩进 字符1"/>
    <w:basedOn w:val="14"/>
    <w:semiHidden/>
    <w:qFormat/>
    <w:uiPriority w:val="99"/>
    <w:rPr>
      <w:rFonts w:ascii="Calibri" w:hAnsi="Calibri" w:eastAsia="宋体" w:cs="Times New Roman"/>
      <w:szCs w:val="24"/>
    </w:rPr>
  </w:style>
  <w:style w:type="character" w:customStyle="1" w:styleId="19">
    <w:name w:val="标题 1 字符"/>
    <w:basedOn w:val="14"/>
    <w:link w:val="2"/>
    <w:qFormat/>
    <w:uiPriority w:val="9"/>
    <w:rPr>
      <w:rFonts w:ascii="Calibri" w:hAnsi="Calibri" w:eastAsia="宋体" w:cs="Times New Roman"/>
      <w:b/>
      <w:bCs/>
      <w:kern w:val="44"/>
      <w:sz w:val="44"/>
      <w:szCs w:val="44"/>
    </w:rPr>
  </w:style>
  <w:style w:type="character" w:customStyle="1" w:styleId="20">
    <w:name w:val="页眉 字符"/>
    <w:basedOn w:val="14"/>
    <w:link w:val="9"/>
    <w:qFormat/>
    <w:uiPriority w:val="99"/>
    <w:rPr>
      <w:rFonts w:ascii="Calibri" w:hAnsi="Calibri" w:eastAsia="宋体" w:cs="Times New Roman"/>
      <w:sz w:val="18"/>
      <w:szCs w:val="18"/>
    </w:rPr>
  </w:style>
  <w:style w:type="character" w:customStyle="1" w:styleId="21">
    <w:name w:val="页脚 字符"/>
    <w:basedOn w:val="14"/>
    <w:link w:val="8"/>
    <w:qFormat/>
    <w:uiPriority w:val="99"/>
    <w:rPr>
      <w:rFonts w:ascii="Calibri" w:hAnsi="Calibri" w:eastAsia="宋体" w:cs="Times New Roman"/>
      <w:sz w:val="18"/>
      <w:szCs w:val="18"/>
    </w:rPr>
  </w:style>
  <w:style w:type="paragraph" w:customStyle="1" w:styleId="22">
    <w:name w:val="Table Paragraph"/>
    <w:basedOn w:val="1"/>
    <w:qFormat/>
    <w:uiPriority w:val="1"/>
    <w:pPr>
      <w:autoSpaceDE w:val="0"/>
      <w:autoSpaceDN w:val="0"/>
      <w:spacing w:line="240" w:lineRule="auto"/>
      <w:ind w:firstLine="0" w:firstLineChars="0"/>
      <w:jc w:val="center"/>
    </w:pPr>
    <w:rPr>
      <w:kern w:val="0"/>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4510</Words>
  <Characters>4579</Characters>
  <Lines>31</Lines>
  <Paragraphs>8</Paragraphs>
  <TotalTime>148</TotalTime>
  <ScaleCrop>false</ScaleCrop>
  <LinksUpToDate>false</LinksUpToDate>
  <CharactersWithSpaces>4586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2019-10-30T01:39:00Z</dcterms:created>
  <dc:creator>NTKO</dc:creator>
  <cp:lastModifiedBy>Sun兵</cp:lastModifiedBy>
  <dcterms:modified xsi:type="dcterms:W3CDTF">2026-03-27T07:45:42Z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eyJoZGlkIjoiNjAwZGQxOGJmODNhNzYzYjJmODMwNDlhODEyYmEyNjMiLCJ1c2VySWQiOiIyMzQzNzgyODUifQ==</vt:lpwstr>
  </property>
  <property fmtid="{D5CDD505-2E9C-101B-9397-08002B2CF9AE}" pid="3" name="KSOProductBuildVer">
    <vt:lpwstr>2052-12.1.0.25225</vt:lpwstr>
  </property>
  <property fmtid="{D5CDD505-2E9C-101B-9397-08002B2CF9AE}" pid="4" name="ICV">
    <vt:lpwstr>1A7217C0C5F54122A0FE259F7B043B48_13</vt:lpwstr>
  </property>
</Properties>
</file>