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BD065"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采购需求</w:t>
      </w:r>
    </w:p>
    <w:p w14:paraId="09929E3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F5EC6FC">
      <w:pPr>
        <w:pStyle w:val="1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outlineLvl w:val="1"/>
        <w:rPr>
          <w:rFonts w:hint="eastAsia"/>
          <w:b/>
          <w:color w:val="auto"/>
          <w:szCs w:val="24"/>
        </w:rPr>
      </w:pPr>
      <w:bookmarkStart w:id="0" w:name="_Toc27803"/>
      <w:bookmarkStart w:id="1" w:name="_Toc526757746"/>
      <w:bookmarkStart w:id="2" w:name="_Toc21628320"/>
      <w:bookmarkStart w:id="3" w:name="_Toc13201"/>
      <w:bookmarkStart w:id="4" w:name="_Toc1462"/>
      <w:bookmarkStart w:id="5" w:name="_Toc426457697"/>
      <w:bookmarkStart w:id="6" w:name="_Toc25607"/>
      <w:bookmarkStart w:id="7" w:name="_Toc2203"/>
      <w:r>
        <w:rPr>
          <w:rFonts w:hint="eastAsia"/>
          <w:b/>
          <w:color w:val="auto"/>
          <w:szCs w:val="24"/>
        </w:rPr>
        <w:t>1、</w:t>
      </w:r>
      <w:bookmarkEnd w:id="0"/>
      <w:bookmarkEnd w:id="1"/>
      <w:bookmarkEnd w:id="2"/>
      <w:r>
        <w:rPr>
          <w:rFonts w:hint="eastAsia"/>
          <w:b/>
          <w:color w:val="auto"/>
          <w:szCs w:val="24"/>
        </w:rPr>
        <w:t>项目</w:t>
      </w:r>
      <w:bookmarkEnd w:id="3"/>
      <w:r>
        <w:rPr>
          <w:rFonts w:hint="eastAsia"/>
          <w:b/>
          <w:color w:val="auto"/>
          <w:szCs w:val="24"/>
        </w:rPr>
        <w:t>背景</w:t>
      </w:r>
    </w:p>
    <w:bookmarkEnd w:id="4"/>
    <w:bookmarkEnd w:id="5"/>
    <w:bookmarkEnd w:id="6"/>
    <w:bookmarkEnd w:id="7"/>
    <w:p w14:paraId="1E3BC0A5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ascii="Calibri" w:hAnsi="Calibri" w:eastAsia="楷体" w:cs="Times New Roman"/>
          <w:color w:val="000000"/>
          <w:sz w:val="24"/>
          <w:szCs w:val="24"/>
        </w:rPr>
        <w:t>为落实和深化《渭南市国土空间总体规划（2021-2035年）》、《渭南市华州区国土空间总体规划（2021—2035年）》对华州城区组团国土空间保护开发格局、生态空间、农业空间、城镇空间、文化空间、资源要素配置等方面传导要求，纳入相关专项规划空间管控要求，确定详细规划单元主导功能，明确底线约束、总量控制要求、细化用地类型，明确公共服务配套设施、交通基础设施、市政公用设施、防灾设施等相关要求，并将结构性、约束性管控要求进行统筹与分解，需编制完成《渭南市华州区城区组团详细规划（控制性）单元划定及单元详细规划》。</w:t>
      </w:r>
    </w:p>
    <w:p w14:paraId="5433771E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</w:p>
    <w:p w14:paraId="46E7224E">
      <w:pPr>
        <w:pStyle w:val="1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outlineLvl w:val="1"/>
        <w:rPr>
          <w:rFonts w:hint="eastAsia"/>
          <w:b/>
          <w:color w:val="auto"/>
          <w:szCs w:val="24"/>
        </w:rPr>
      </w:pPr>
      <w:r>
        <w:rPr>
          <w:rFonts w:hint="eastAsia"/>
          <w:b/>
          <w:color w:val="auto"/>
          <w:szCs w:val="24"/>
        </w:rPr>
        <w:t>2、规划内容及范围</w:t>
      </w:r>
      <w:bookmarkStart w:id="11" w:name="_GoBack"/>
      <w:bookmarkEnd w:id="11"/>
    </w:p>
    <w:p w14:paraId="66631D60">
      <w:pPr>
        <w:spacing w:line="360" w:lineRule="auto"/>
        <w:ind w:firstLine="480" w:firstLineChars="200"/>
        <w:rPr>
          <w:rFonts w:ascii="Calibri" w:hAnsi="Calibri" w:eastAsia="楷体" w:cs="Times New Roman"/>
          <w:sz w:val="24"/>
          <w:szCs w:val="24"/>
        </w:rPr>
      </w:pPr>
      <w:r>
        <w:rPr>
          <w:rFonts w:hint="eastAsia" w:ascii="Calibri" w:hAnsi="Calibri" w:eastAsia="楷体" w:cs="Times New Roman"/>
          <w:sz w:val="24"/>
          <w:szCs w:val="24"/>
        </w:rPr>
        <w:t>规划范围包括渭南市华州区城区组团9个城镇单元和华州西区组团2个城镇单元，总面积3220.88公顷。</w:t>
      </w:r>
    </w:p>
    <w:p w14:paraId="19F20646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ascii="Calibri" w:hAnsi="Calibri" w:eastAsia="楷体" w:cs="Times New Roman"/>
          <w:color w:val="000000"/>
          <w:sz w:val="24"/>
          <w:szCs w:val="24"/>
        </w:rPr>
        <w:t>规划成果文件包含</w:t>
      </w:r>
      <w:r>
        <w:rPr>
          <w:rFonts w:hint="eastAsia" w:ascii="Calibri" w:hAnsi="Calibri" w:eastAsia="楷体" w:cs="Times New Roman"/>
          <w:color w:val="000000"/>
          <w:sz w:val="24"/>
          <w:szCs w:val="24"/>
        </w:rPr>
        <w:t>渭南市华州片区（含华州城区组团、华州西区组团）11个城镇单元单元层面详细规划</w:t>
      </w:r>
      <w:r>
        <w:rPr>
          <w:rFonts w:ascii="Calibri" w:hAnsi="Calibri" w:eastAsia="楷体" w:cs="Times New Roman"/>
          <w:color w:val="000000"/>
          <w:sz w:val="24"/>
          <w:szCs w:val="24"/>
        </w:rPr>
        <w:t>文本</w:t>
      </w:r>
      <w:r>
        <w:rPr>
          <w:rFonts w:hint="eastAsia" w:ascii="Calibri" w:hAnsi="Calibri" w:eastAsia="楷体" w:cs="Times New Roman"/>
          <w:color w:val="000000"/>
          <w:sz w:val="24"/>
          <w:szCs w:val="24"/>
        </w:rPr>
        <w:t>、规划说明、图纸、单元普适图则</w:t>
      </w:r>
      <w:r>
        <w:rPr>
          <w:rFonts w:ascii="Calibri" w:hAnsi="Calibri" w:eastAsia="楷体" w:cs="Times New Roman"/>
          <w:color w:val="000000"/>
          <w:sz w:val="24"/>
          <w:szCs w:val="24"/>
        </w:rPr>
        <w:t>的纸质和电子版、矢量数据库</w:t>
      </w:r>
      <w:r>
        <w:rPr>
          <w:rFonts w:hint="eastAsia" w:ascii="Calibri" w:hAnsi="Calibri" w:eastAsia="楷体" w:cs="Times New Roman"/>
          <w:color w:val="000000"/>
          <w:sz w:val="24"/>
          <w:szCs w:val="24"/>
        </w:rPr>
        <w:t>等内容</w:t>
      </w:r>
      <w:r>
        <w:rPr>
          <w:rFonts w:ascii="Calibri" w:hAnsi="Calibri" w:eastAsia="楷体" w:cs="Times New Roman"/>
          <w:color w:val="000000"/>
          <w:sz w:val="24"/>
          <w:szCs w:val="24"/>
        </w:rPr>
        <w:t>。</w:t>
      </w:r>
    </w:p>
    <w:p w14:paraId="6A01843D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</w:p>
    <w:p w14:paraId="06982864">
      <w:pPr>
        <w:pStyle w:val="1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outlineLvl w:val="1"/>
        <w:rPr>
          <w:rFonts w:hint="eastAsia"/>
          <w:b/>
          <w:color w:val="auto"/>
          <w:szCs w:val="24"/>
          <w:lang w:eastAsia="zh-Hans"/>
        </w:rPr>
      </w:pPr>
      <w:r>
        <w:rPr>
          <w:rFonts w:hint="eastAsia"/>
          <w:b/>
          <w:color w:val="auto"/>
          <w:szCs w:val="24"/>
        </w:rPr>
        <w:t>3、</w:t>
      </w:r>
      <w:r>
        <w:rPr>
          <w:rFonts w:hint="eastAsia"/>
          <w:b/>
          <w:color w:val="auto"/>
          <w:szCs w:val="24"/>
          <w:lang w:eastAsia="zh-Hans"/>
        </w:rPr>
        <w:t>项目服务期、项目地点、质量要求</w:t>
      </w:r>
    </w:p>
    <w:p w14:paraId="16523CFA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ascii="Calibri" w:hAnsi="Calibri" w:eastAsia="楷体" w:cs="Times New Roman"/>
          <w:color w:val="000000"/>
          <w:sz w:val="24"/>
          <w:szCs w:val="24"/>
        </w:rPr>
        <w:t>2.1</w:t>
      </w:r>
      <w:r>
        <w:rPr>
          <w:rFonts w:hint="eastAsia" w:ascii="Calibri" w:hAnsi="Calibri" w:eastAsia="楷体" w:cs="Times New Roman"/>
          <w:color w:val="000000"/>
          <w:sz w:val="24"/>
          <w:szCs w:val="24"/>
        </w:rPr>
        <w:t>服务期限：合同签订之日起</w:t>
      </w:r>
      <w:r>
        <w:rPr>
          <w:rFonts w:hint="eastAsia" w:ascii="Calibri" w:hAnsi="Calibri" w:eastAsia="楷体" w:cs="Times New Roman"/>
          <w:color w:val="000000"/>
          <w:sz w:val="24"/>
          <w:szCs w:val="24"/>
          <w:lang w:val="en-US" w:eastAsia="zh-CN"/>
        </w:rPr>
        <w:t>60</w:t>
      </w:r>
      <w:r>
        <w:rPr>
          <w:rFonts w:hint="eastAsia" w:ascii="Calibri" w:hAnsi="Calibri" w:eastAsia="楷体" w:cs="Times New Roman"/>
          <w:color w:val="000000"/>
          <w:sz w:val="24"/>
          <w:szCs w:val="24"/>
        </w:rPr>
        <w:t>日历日；</w:t>
      </w:r>
    </w:p>
    <w:p w14:paraId="6BFA0295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ascii="Calibri" w:hAnsi="Calibri" w:eastAsia="楷体" w:cs="Times New Roman"/>
          <w:color w:val="000000"/>
          <w:sz w:val="24"/>
          <w:szCs w:val="24"/>
        </w:rPr>
        <w:t>2.2</w:t>
      </w:r>
      <w:r>
        <w:rPr>
          <w:rFonts w:hint="eastAsia" w:ascii="Calibri" w:hAnsi="Calibri" w:eastAsia="楷体" w:cs="Times New Roman"/>
          <w:color w:val="000000"/>
          <w:sz w:val="24"/>
          <w:szCs w:val="24"/>
        </w:rPr>
        <w:t>项目地点：采购单位指定地点；</w:t>
      </w:r>
    </w:p>
    <w:p w14:paraId="7141FE12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ascii="Calibri" w:hAnsi="Calibri" w:eastAsia="楷体" w:cs="Times New Roman"/>
          <w:color w:val="000000"/>
          <w:sz w:val="24"/>
          <w:szCs w:val="24"/>
        </w:rPr>
        <w:t>2.3</w:t>
      </w:r>
      <w:r>
        <w:rPr>
          <w:rFonts w:hint="eastAsia" w:ascii="Calibri" w:hAnsi="Calibri" w:eastAsia="楷体" w:cs="Times New Roman"/>
          <w:color w:val="000000"/>
          <w:sz w:val="24"/>
          <w:szCs w:val="24"/>
        </w:rPr>
        <w:t>质量要求：</w:t>
      </w:r>
      <w:r>
        <w:rPr>
          <w:rFonts w:ascii="Calibri" w:hAnsi="Calibri" w:eastAsia="楷体" w:cs="Times New Roman"/>
          <w:color w:val="000000"/>
          <w:sz w:val="24"/>
          <w:szCs w:val="24"/>
        </w:rPr>
        <w:t>符合相关技术标准、规范，通过省、市、县（区）评审、审批、汇交。</w:t>
      </w:r>
    </w:p>
    <w:p w14:paraId="30835F97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</w:p>
    <w:p w14:paraId="273B6163">
      <w:pPr>
        <w:pStyle w:val="1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outlineLvl w:val="1"/>
        <w:rPr>
          <w:rFonts w:hint="eastAsia"/>
          <w:b/>
          <w:color w:val="auto"/>
          <w:szCs w:val="24"/>
        </w:rPr>
      </w:pPr>
      <w:bookmarkStart w:id="8" w:name="_Toc30625"/>
      <w:r>
        <w:rPr>
          <w:rFonts w:hint="eastAsia"/>
          <w:b/>
          <w:color w:val="auto"/>
          <w:szCs w:val="24"/>
        </w:rPr>
        <w:t>4、服务要求</w:t>
      </w:r>
      <w:bookmarkEnd w:id="8"/>
    </w:p>
    <w:p w14:paraId="0AA95F91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hint="eastAsia" w:ascii="Calibri" w:hAnsi="Calibri" w:eastAsia="楷体" w:cs="Times New Roman"/>
          <w:color w:val="000000"/>
          <w:sz w:val="24"/>
          <w:szCs w:val="24"/>
        </w:rPr>
        <w:t>（1）强化规划传导，保障空间管控要素精准落地。</w:t>
      </w:r>
    </w:p>
    <w:p w14:paraId="1EC3FD24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hint="eastAsia" w:ascii="Calibri" w:hAnsi="Calibri" w:eastAsia="楷体" w:cs="Times New Roman"/>
          <w:color w:val="000000"/>
          <w:sz w:val="24"/>
          <w:szCs w:val="24"/>
        </w:rPr>
        <w:t>详细规划单元是总体规划向详细规划传导的纽带，是详细规划充分落实国土空间总体规划管控要求的空间载体。在单元层面详细规划编制阶段，需分解落实上位总体规划明确的战略目标、底线管控、功能布局、空间结构、资源利用等方面要求，保障总体规划的精准落实。</w:t>
      </w:r>
    </w:p>
    <w:p w14:paraId="5FD32225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hint="eastAsia" w:ascii="Calibri" w:hAnsi="Calibri" w:eastAsia="楷体" w:cs="Times New Roman"/>
          <w:color w:val="000000"/>
          <w:sz w:val="24"/>
          <w:szCs w:val="24"/>
        </w:rPr>
        <w:t>（2）实现管控范围的全域覆盖，促进城乡融合。</w:t>
      </w:r>
    </w:p>
    <w:p w14:paraId="41D1DE00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hint="eastAsia" w:ascii="Calibri" w:hAnsi="Calibri" w:eastAsia="楷体" w:cs="Times New Roman"/>
          <w:color w:val="000000"/>
          <w:sz w:val="24"/>
          <w:szCs w:val="24"/>
        </w:rPr>
        <w:t>国土空间规划体系下的详细规划，要求进行全域全要素的国土空间管控。通过单元层面详细规划的编制，可以保证国土空间管理的全覆盖、无冲突，不仅延续了传统控规对城镇空间的用途管制，还为农业空间、生态空间中的建设活动、资源开发、生态修复等各类开发保护活动提供法定依据，促进城乡融合与统筹。</w:t>
      </w:r>
    </w:p>
    <w:p w14:paraId="2B3E89CE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hint="eastAsia" w:ascii="Calibri" w:hAnsi="Calibri" w:eastAsia="楷体" w:cs="Times New Roman"/>
          <w:color w:val="000000"/>
          <w:sz w:val="24"/>
          <w:szCs w:val="24"/>
        </w:rPr>
        <w:t>（3）增加管控弹性，应对城市动态发展需求。</w:t>
      </w:r>
    </w:p>
    <w:p w14:paraId="19397B94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hint="eastAsia" w:ascii="Calibri" w:hAnsi="Calibri" w:eastAsia="楷体" w:cs="Times New Roman"/>
          <w:color w:val="000000"/>
          <w:sz w:val="24"/>
          <w:szCs w:val="24"/>
        </w:rPr>
        <w:t>在详细规划单元层面充分发挥管控的弹性。单元层面仅对主导功能、开发强度、公共服务配套设施和公共绿地等要求进行刚性管控，充分提高规划实施的弹性、灵活性、适应性。</w:t>
      </w:r>
    </w:p>
    <w:p w14:paraId="78882952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</w:p>
    <w:p w14:paraId="066835BD">
      <w:pPr>
        <w:pStyle w:val="1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outlineLvl w:val="1"/>
        <w:rPr>
          <w:rFonts w:hint="eastAsia"/>
          <w:b/>
          <w:color w:val="auto"/>
          <w:szCs w:val="24"/>
        </w:rPr>
      </w:pPr>
      <w:bookmarkStart w:id="9" w:name="_Toc466"/>
      <w:r>
        <w:rPr>
          <w:rFonts w:hint="eastAsia"/>
          <w:b/>
          <w:color w:val="auto"/>
          <w:szCs w:val="24"/>
        </w:rPr>
        <w:t>5、其他</w:t>
      </w:r>
      <w:bookmarkEnd w:id="9"/>
    </w:p>
    <w:p w14:paraId="66E23B5F">
      <w:pPr>
        <w:spacing w:line="360" w:lineRule="auto"/>
        <w:ind w:firstLine="480" w:firstLineChars="200"/>
        <w:rPr>
          <w:rFonts w:ascii="Calibri" w:hAnsi="Calibri" w:eastAsia="楷体" w:cs="Times New Roman"/>
          <w:color w:val="000000"/>
          <w:sz w:val="24"/>
          <w:szCs w:val="24"/>
        </w:rPr>
      </w:pPr>
      <w:r>
        <w:rPr>
          <w:rFonts w:hint="eastAsia" w:ascii="Calibri" w:hAnsi="Calibri" w:eastAsia="楷体" w:cs="Times New Roman"/>
          <w:color w:val="000000"/>
          <w:sz w:val="24"/>
          <w:szCs w:val="24"/>
        </w:rPr>
        <w:t>供应商应根据上述因素结合其他方面因素自行考虑含入投标报价中，采购</w:t>
      </w:r>
      <w:bookmarkStart w:id="10" w:name="_Toc446336337"/>
      <w:r>
        <w:rPr>
          <w:rFonts w:hint="eastAsia" w:ascii="Calibri" w:hAnsi="Calibri" w:eastAsia="楷体" w:cs="Times New Roman"/>
          <w:color w:val="000000"/>
          <w:sz w:val="24"/>
          <w:szCs w:val="24"/>
        </w:rPr>
        <w:t>人不因供应商投标报价中的任何遗漏</w:t>
      </w:r>
      <w:bookmarkEnd w:id="10"/>
      <w:r>
        <w:rPr>
          <w:rFonts w:hint="eastAsia" w:ascii="Calibri" w:hAnsi="Calibri" w:eastAsia="楷体" w:cs="Times New Roman"/>
          <w:color w:val="000000"/>
          <w:sz w:val="24"/>
          <w:szCs w:val="24"/>
        </w:rPr>
        <w:t>而予以增加或补偿费用，投标报价表中标明的价格，在合同执行过程中，不得以任何理由变更。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A3"/>
    <w:rsid w:val="0014216F"/>
    <w:rsid w:val="001C00FA"/>
    <w:rsid w:val="0024347E"/>
    <w:rsid w:val="00303AE2"/>
    <w:rsid w:val="00305ADA"/>
    <w:rsid w:val="00345503"/>
    <w:rsid w:val="00347345"/>
    <w:rsid w:val="003B7E75"/>
    <w:rsid w:val="004521A3"/>
    <w:rsid w:val="004B276E"/>
    <w:rsid w:val="004D282D"/>
    <w:rsid w:val="004E4FDD"/>
    <w:rsid w:val="004F7FBB"/>
    <w:rsid w:val="005C1754"/>
    <w:rsid w:val="005E46AA"/>
    <w:rsid w:val="0062119D"/>
    <w:rsid w:val="00672908"/>
    <w:rsid w:val="006E4499"/>
    <w:rsid w:val="0076274A"/>
    <w:rsid w:val="00800455"/>
    <w:rsid w:val="00804807"/>
    <w:rsid w:val="00842BC5"/>
    <w:rsid w:val="008C20DA"/>
    <w:rsid w:val="008F676C"/>
    <w:rsid w:val="00900C1A"/>
    <w:rsid w:val="00944744"/>
    <w:rsid w:val="00A1481E"/>
    <w:rsid w:val="00AC3285"/>
    <w:rsid w:val="00AD0C59"/>
    <w:rsid w:val="00AE6D2E"/>
    <w:rsid w:val="00B36B0C"/>
    <w:rsid w:val="00BB0E5E"/>
    <w:rsid w:val="00BD1097"/>
    <w:rsid w:val="00BD19F2"/>
    <w:rsid w:val="00C056D4"/>
    <w:rsid w:val="00C11C7D"/>
    <w:rsid w:val="00C73A7B"/>
    <w:rsid w:val="00CB488C"/>
    <w:rsid w:val="00CB6A9F"/>
    <w:rsid w:val="00CD2AAA"/>
    <w:rsid w:val="00D81606"/>
    <w:rsid w:val="00D8186F"/>
    <w:rsid w:val="00DA38AF"/>
    <w:rsid w:val="00DB1E0D"/>
    <w:rsid w:val="00E03662"/>
    <w:rsid w:val="00E03DB4"/>
    <w:rsid w:val="00E729DA"/>
    <w:rsid w:val="00E90651"/>
    <w:rsid w:val="00EA6D5A"/>
    <w:rsid w:val="00EB3971"/>
    <w:rsid w:val="00F24055"/>
    <w:rsid w:val="00F70A36"/>
    <w:rsid w:val="00F70D06"/>
    <w:rsid w:val="00F806FF"/>
    <w:rsid w:val="00FD193A"/>
    <w:rsid w:val="6133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0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B8CB-B61A-4703-9BE1-FB156836EA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1017</Characters>
  <Lines>24</Lines>
  <Paragraphs>19</Paragraphs>
  <TotalTime>0</TotalTime>
  <ScaleCrop>false</ScaleCrop>
  <LinksUpToDate>false</LinksUpToDate>
  <CharactersWithSpaces>1017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2026-03-10T10:03:00Z</dcterms:created>
  <dc:creator>Administrator</dc:creator>
  <cp:lastModifiedBy>简单点。</cp:lastModifiedBy>
  <cp:lastPrinted>2025-03-31T10:13:00Z</cp:lastPrinted>
  <dcterms:modified xsi:type="dcterms:W3CDTF">2026-03-27T09:29:32Z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eyJoZGlkIjoiOWVmZDFkNzQ4NzgxMWZjMWRjZGMwM2RmZjVlMDgzMDUiLCJ1c2VySWQiOiIzMTc2NTQ3MDkifQ==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4673A87CACD64C819DCE0A7A5F3A5159_13</vt:lpwstr>
  </property>
</Properties>
</file>