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9D89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一、项目核心目标</w:t>
      </w:r>
    </w:p>
    <w:p w14:paraId="05AEFB4C">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根据《关于构建数据基础制度更好发挥数据要素作用的意见》《关于进一步明确市县级医保部门数据应用模式的通知》（医保网信办〔</w:t>
      </w:r>
      <w:r>
        <w:rPr>
          <w:rFonts w:hint="eastAsia" w:ascii="仿宋" w:hAnsi="仿宋" w:eastAsia="仿宋" w:cs="仿宋"/>
          <w:color w:val="auto"/>
          <w:kern w:val="2"/>
          <w:sz w:val="24"/>
          <w:szCs w:val="24"/>
          <w:highlight w:val="none"/>
          <w:lang w:eastAsia="zh-CN"/>
        </w:rPr>
        <w:t>2022</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eastAsia="zh-CN"/>
        </w:rPr>
        <w:t>12</w:t>
      </w:r>
      <w:r>
        <w:rPr>
          <w:rFonts w:hint="eastAsia" w:ascii="仿宋" w:hAnsi="仿宋" w:eastAsia="仿宋" w:cs="仿宋"/>
          <w:color w:val="auto"/>
          <w:kern w:val="2"/>
          <w:sz w:val="24"/>
          <w:szCs w:val="24"/>
          <w:highlight w:val="none"/>
          <w:lang w:eastAsia="zh-CN"/>
        </w:rPr>
        <w:t>号）国家医疗保障局《关于开展医保数据“两结合三赋能”试点工作的通知》等文件精神，结合各地市医疗保障局“两结合三赋能”具体工作中对医保数据的需求，实现陕西省地市医保部门的数据共享和应用。</w:t>
      </w:r>
    </w:p>
    <w:p w14:paraId="166FD70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eastAsia="zh-CN"/>
        </w:rPr>
        <w:t>本次项目建设主要是在国家医疗保障局统一指导下，保持我省医保平台和地市</w:t>
      </w:r>
      <w:r>
        <w:rPr>
          <w:rFonts w:hint="eastAsia" w:ascii="仿宋" w:hAnsi="仿宋" w:eastAsia="仿宋" w:cs="仿宋"/>
          <w:color w:val="auto"/>
          <w:sz w:val="24"/>
          <w:szCs w:val="24"/>
          <w:highlight w:val="none"/>
          <w:lang w:eastAsia="zh-CN"/>
        </w:rPr>
        <w:t>数据专区原有技术架构、数据架构、业务架构不变，复用现有云平台管理软件等基础环境，进行资源扩容</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，实现</w:t>
      </w:r>
      <w:r>
        <w:rPr>
          <w:rFonts w:hint="eastAsia" w:ascii="仿宋" w:hAnsi="仿宋" w:eastAsia="仿宋" w:cs="仿宋"/>
          <w:color w:val="auto"/>
          <w:kern w:val="2"/>
          <w:sz w:val="24"/>
          <w:szCs w:val="24"/>
          <w:highlight w:val="none"/>
          <w:lang w:eastAsia="zh-CN"/>
        </w:rPr>
        <w:t>医疗保障信息平台安全生产，确保平台资源使用率满足国家医保局关于医保平台资源使用率不得高于50%的意见和要求，以及市（区）各统筹区医保数据共享应用和医保创新需求应用，充分发挥医保大数据价值，保障陕西省医疗保障局数据赋能管理、改革、服务工作顺利开展和医保信息平台稳定运行。</w:t>
      </w:r>
    </w:p>
    <w:p w14:paraId="1D6157CC">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二、服务范围</w:t>
      </w:r>
    </w:p>
    <w:p w14:paraId="567FE60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陕西医保信息平台资源扩容服务</w:t>
      </w:r>
      <w:r>
        <w:rPr>
          <w:rFonts w:hint="eastAsia" w:ascii="仿宋" w:hAnsi="仿宋" w:eastAsia="仿宋" w:cs="仿宋"/>
          <w:color w:val="auto"/>
          <w:sz w:val="24"/>
          <w:szCs w:val="24"/>
          <w:highlight w:val="none"/>
          <w:lang w:val="en-US" w:eastAsia="zh-CN"/>
        </w:rPr>
        <w:t>，满足我省</w:t>
      </w:r>
      <w:r>
        <w:rPr>
          <w:rFonts w:hint="eastAsia" w:ascii="仿宋" w:hAnsi="仿宋" w:eastAsia="仿宋" w:cs="仿宋"/>
          <w:color w:val="auto"/>
          <w:sz w:val="24"/>
          <w:szCs w:val="24"/>
          <w:highlight w:val="none"/>
          <w:lang w:val="en-US" w:eastAsia="zh-CN"/>
        </w:rPr>
        <w:t>医保信息平台资源所需。</w:t>
      </w:r>
    </w:p>
    <w:p w14:paraId="2A449C8A">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三、核心服务内容及技术要求</w:t>
      </w:r>
    </w:p>
    <w:p w14:paraId="51D78F5F">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（一）资源扩容规格要求</w:t>
      </w:r>
    </w:p>
    <w:p w14:paraId="7C34006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本项目服务内容主要包括</w:t>
      </w:r>
      <w:r>
        <w:rPr>
          <w:rFonts w:hint="eastAsia" w:ascii="仿宋" w:hAnsi="仿宋" w:eastAsia="仿宋" w:cs="仿宋"/>
          <w:color w:val="auto"/>
          <w:sz w:val="24"/>
          <w:szCs w:val="24"/>
          <w:highlight w:val="none"/>
          <w:lang w:eastAsia="zh-CN"/>
        </w:rPr>
        <w:t>陕西医保信息平台资源扩容服务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eastAsia="zh-CN"/>
        </w:rPr>
        <w:t>在现有云平台架构的基础上，满足并适配云平台，扩充的资源清单如下（</w:t>
      </w:r>
      <w:r>
        <w:rPr>
          <w:rFonts w:hint="eastAsia" w:ascii="仿宋" w:hAnsi="仿宋" w:eastAsia="仿宋" w:cs="仿宋"/>
          <w:color w:val="auto"/>
          <w:kern w:val="2"/>
          <w:sz w:val="24"/>
          <w:szCs w:val="24"/>
          <w:highlight w:val="none"/>
          <w:lang w:val="en-US" w:eastAsia="zh-CN"/>
        </w:rPr>
        <w:t>含确保云平台正常使用的授权量</w:t>
      </w:r>
      <w:r>
        <w:rPr>
          <w:rFonts w:hint="eastAsia" w:ascii="仿宋" w:hAnsi="仿宋" w:eastAsia="仿宋" w:cs="仿宋"/>
          <w:color w:val="auto"/>
          <w:kern w:val="2"/>
          <w:sz w:val="24"/>
          <w:szCs w:val="24"/>
          <w:highlight w:val="none"/>
          <w:lang w:eastAsia="zh-CN"/>
        </w:rPr>
        <w:t>）：数据库RDS资源870TB，大数据ODPS资源</w:t>
      </w:r>
      <w:r>
        <w:rPr>
          <w:rFonts w:hint="eastAsia" w:ascii="仿宋" w:hAnsi="仿宋" w:eastAsia="仿宋" w:cs="仿宋"/>
          <w:color w:val="auto"/>
          <w:kern w:val="2"/>
          <w:sz w:val="24"/>
          <w:szCs w:val="24"/>
          <w:highlight w:val="none"/>
          <w:lang w:val="en-US" w:eastAsia="zh-CN"/>
        </w:rPr>
        <w:t>144</w:t>
      </w:r>
      <w:r>
        <w:rPr>
          <w:rFonts w:hint="eastAsia" w:ascii="仿宋" w:hAnsi="仿宋" w:eastAsia="仿宋" w:cs="仿宋"/>
          <w:color w:val="auto"/>
          <w:kern w:val="2"/>
          <w:sz w:val="24"/>
          <w:szCs w:val="24"/>
          <w:highlight w:val="none"/>
          <w:lang w:eastAsia="zh-CN"/>
        </w:rPr>
        <w:t>CU，ECS中vCPU资源7056核，内存14616GB，</w:t>
      </w:r>
      <w:r>
        <w:rPr>
          <w:rFonts w:hint="eastAsia" w:ascii="仿宋" w:hAnsi="仿宋" w:eastAsia="仿宋" w:cs="仿宋"/>
          <w:color w:val="auto"/>
          <w:sz w:val="24"/>
          <w:szCs w:val="24"/>
          <w:highlight w:val="none"/>
          <w:lang w:val="en-US" w:eastAsia="zh-CN"/>
        </w:rPr>
        <w:t>按照甲方要求，根据实际需求，部署在陕西省医疗保障信息平台数据中心机房。</w:t>
      </w:r>
    </w:p>
    <w:tbl>
      <w:tblPr>
        <w:tblStyle w:val="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8"/>
        <w:gridCol w:w="5558"/>
        <w:gridCol w:w="1483"/>
      </w:tblGrid>
      <w:tr w14:paraId="573B1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867" w:type="pct"/>
            <w:tcBorders>
              <w:top w:val="single" w:color="auto" w:sz="12" w:space="0"/>
              <w:left w:val="single" w:color="auto" w:sz="12" w:space="0"/>
              <w:bottom w:val="single" w:color="auto" w:sz="6" w:space="0"/>
              <w:right w:val="single" w:color="auto" w:sz="6" w:space="0"/>
            </w:tcBorders>
            <w:noWrap w:val="0"/>
            <w:vAlign w:val="center"/>
          </w:tcPr>
          <w:p w14:paraId="3B6E7FBB">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
              </w:rPr>
              <w:t>序号</w:t>
            </w:r>
          </w:p>
        </w:tc>
        <w:tc>
          <w:tcPr>
            <w:tcW w:w="3261" w:type="pct"/>
            <w:tcBorders>
              <w:top w:val="single" w:color="auto" w:sz="12" w:space="0"/>
              <w:left w:val="single" w:color="auto" w:sz="6" w:space="0"/>
              <w:bottom w:val="single" w:color="auto" w:sz="6" w:space="0"/>
              <w:right w:val="single" w:color="auto" w:sz="6" w:space="0"/>
            </w:tcBorders>
            <w:noWrap w:val="0"/>
            <w:vAlign w:val="center"/>
          </w:tcPr>
          <w:p w14:paraId="7F94D51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内容</w:t>
            </w:r>
          </w:p>
        </w:tc>
        <w:tc>
          <w:tcPr>
            <w:tcW w:w="870" w:type="pct"/>
            <w:tcBorders>
              <w:top w:val="single" w:color="auto" w:sz="12" w:space="0"/>
              <w:left w:val="single" w:color="auto" w:sz="6" w:space="0"/>
              <w:bottom w:val="single" w:color="auto" w:sz="6" w:space="0"/>
              <w:right w:val="single" w:color="auto" w:sz="12" w:space="0"/>
            </w:tcBorders>
            <w:noWrap w:val="0"/>
            <w:vAlign w:val="center"/>
          </w:tcPr>
          <w:p w14:paraId="3A79F9CF">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备注</w:t>
            </w:r>
          </w:p>
        </w:tc>
      </w:tr>
      <w:tr w14:paraId="3749B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67" w:type="pct"/>
            <w:tcBorders>
              <w:top w:val="single" w:color="auto" w:sz="6" w:space="0"/>
              <w:left w:val="single" w:color="auto" w:sz="12" w:space="0"/>
              <w:bottom w:val="single" w:color="auto" w:sz="6" w:space="0"/>
              <w:right w:val="single" w:color="auto" w:sz="6" w:space="0"/>
            </w:tcBorders>
            <w:noWrap w:val="0"/>
            <w:vAlign w:val="center"/>
          </w:tcPr>
          <w:p w14:paraId="7300A45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261" w:type="pct"/>
            <w:tcBorders>
              <w:top w:val="single" w:color="auto" w:sz="6" w:space="0"/>
              <w:left w:val="single" w:color="auto" w:sz="6" w:space="0"/>
              <w:bottom w:val="single" w:color="auto" w:sz="6" w:space="0"/>
              <w:right w:val="single" w:color="auto" w:sz="6" w:space="0"/>
            </w:tcBorders>
            <w:noWrap w:val="0"/>
            <w:vAlign w:val="center"/>
          </w:tcPr>
          <w:p w14:paraId="604759A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弹性计算服务</w:t>
            </w:r>
          </w:p>
        </w:tc>
        <w:tc>
          <w:tcPr>
            <w:tcW w:w="870" w:type="pct"/>
            <w:tcBorders>
              <w:top w:val="single" w:color="auto" w:sz="6" w:space="0"/>
              <w:left w:val="single" w:color="auto" w:sz="6" w:space="0"/>
              <w:bottom w:val="single" w:color="auto" w:sz="6" w:space="0"/>
              <w:right w:val="single" w:color="auto" w:sz="12" w:space="0"/>
            </w:tcBorders>
            <w:noWrap w:val="0"/>
            <w:vAlign w:val="center"/>
          </w:tcPr>
          <w:p w14:paraId="5C83AECF">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kern w:val="2"/>
                <w:sz w:val="24"/>
                <w:szCs w:val="24"/>
                <w:highlight w:val="none"/>
                <w:lang w:val="en-US" w:eastAsia="zh-CN" w:bidi="ar"/>
              </w:rPr>
            </w:pPr>
          </w:p>
        </w:tc>
      </w:tr>
      <w:tr w14:paraId="011CE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67" w:type="pct"/>
            <w:tcBorders>
              <w:top w:val="single" w:color="auto" w:sz="6" w:space="0"/>
              <w:left w:val="single" w:color="auto" w:sz="12" w:space="0"/>
              <w:bottom w:val="single" w:color="auto" w:sz="6" w:space="0"/>
              <w:right w:val="single" w:color="auto" w:sz="6" w:space="0"/>
            </w:tcBorders>
            <w:noWrap w:val="0"/>
            <w:vAlign w:val="center"/>
          </w:tcPr>
          <w:p w14:paraId="104CE06C">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261" w:type="pct"/>
            <w:tcBorders>
              <w:top w:val="single" w:color="auto" w:sz="6" w:space="0"/>
              <w:left w:val="single" w:color="auto" w:sz="6" w:space="0"/>
              <w:bottom w:val="single" w:color="auto" w:sz="6" w:space="0"/>
              <w:right w:val="single" w:color="auto" w:sz="6" w:space="0"/>
            </w:tcBorders>
            <w:noWrap w:val="0"/>
            <w:vAlign w:val="center"/>
          </w:tcPr>
          <w:p w14:paraId="1931478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关系型数据库服务</w:t>
            </w:r>
          </w:p>
        </w:tc>
        <w:tc>
          <w:tcPr>
            <w:tcW w:w="870" w:type="pct"/>
            <w:tcBorders>
              <w:top w:val="single" w:color="auto" w:sz="6" w:space="0"/>
              <w:left w:val="single" w:color="auto" w:sz="6" w:space="0"/>
              <w:bottom w:val="single" w:color="auto" w:sz="6" w:space="0"/>
              <w:right w:val="single" w:color="auto" w:sz="12" w:space="0"/>
            </w:tcBorders>
            <w:noWrap w:val="0"/>
            <w:vAlign w:val="center"/>
          </w:tcPr>
          <w:p w14:paraId="65D2FC6C">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kern w:val="2"/>
                <w:sz w:val="24"/>
                <w:szCs w:val="24"/>
                <w:highlight w:val="none"/>
                <w:lang w:val="en-US" w:eastAsia="zh-CN" w:bidi="ar"/>
              </w:rPr>
            </w:pPr>
          </w:p>
        </w:tc>
      </w:tr>
      <w:tr w14:paraId="329B2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867" w:type="pct"/>
            <w:tcBorders>
              <w:top w:val="single" w:color="auto" w:sz="6" w:space="0"/>
              <w:left w:val="single" w:color="auto" w:sz="12" w:space="0"/>
              <w:bottom w:val="single" w:color="auto" w:sz="6" w:space="0"/>
              <w:right w:val="single" w:color="auto" w:sz="6" w:space="0"/>
            </w:tcBorders>
            <w:noWrap w:val="0"/>
            <w:vAlign w:val="center"/>
          </w:tcPr>
          <w:p w14:paraId="22F015C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261" w:type="pct"/>
            <w:tcBorders>
              <w:top w:val="single" w:color="auto" w:sz="6" w:space="0"/>
              <w:left w:val="single" w:color="auto" w:sz="6" w:space="0"/>
              <w:bottom w:val="single" w:color="auto" w:sz="6" w:space="0"/>
              <w:right w:val="single" w:color="auto" w:sz="6" w:space="0"/>
            </w:tcBorders>
            <w:noWrap w:val="0"/>
            <w:vAlign w:val="center"/>
          </w:tcPr>
          <w:p w14:paraId="1E81BE9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大数据离线计算服务</w:t>
            </w:r>
          </w:p>
        </w:tc>
        <w:tc>
          <w:tcPr>
            <w:tcW w:w="870" w:type="pct"/>
            <w:tcBorders>
              <w:top w:val="single" w:color="auto" w:sz="6" w:space="0"/>
              <w:left w:val="single" w:color="auto" w:sz="6" w:space="0"/>
              <w:bottom w:val="single" w:color="auto" w:sz="6" w:space="0"/>
              <w:right w:val="single" w:color="auto" w:sz="12" w:space="0"/>
            </w:tcBorders>
            <w:noWrap w:val="0"/>
            <w:vAlign w:val="center"/>
          </w:tcPr>
          <w:p w14:paraId="1840E63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kern w:val="2"/>
                <w:sz w:val="24"/>
                <w:szCs w:val="24"/>
                <w:highlight w:val="none"/>
                <w:lang w:val="en-US" w:eastAsia="zh-CN" w:bidi="ar"/>
              </w:rPr>
            </w:pPr>
          </w:p>
        </w:tc>
      </w:tr>
      <w:tr w14:paraId="6DF00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867" w:type="pct"/>
            <w:tcBorders>
              <w:top w:val="single" w:color="auto" w:sz="6" w:space="0"/>
              <w:left w:val="single" w:color="auto" w:sz="12" w:space="0"/>
              <w:bottom w:val="single" w:color="auto" w:sz="6" w:space="0"/>
              <w:right w:val="single" w:color="auto" w:sz="6" w:space="0"/>
            </w:tcBorders>
            <w:noWrap w:val="0"/>
            <w:vAlign w:val="center"/>
          </w:tcPr>
          <w:p w14:paraId="18E7D24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261" w:type="pct"/>
            <w:tcBorders>
              <w:top w:val="single" w:color="auto" w:sz="6" w:space="0"/>
              <w:left w:val="single" w:color="auto" w:sz="6" w:space="0"/>
              <w:bottom w:val="single" w:color="auto" w:sz="6" w:space="0"/>
              <w:right w:val="single" w:color="auto" w:sz="6" w:space="0"/>
            </w:tcBorders>
            <w:noWrap w:val="0"/>
            <w:vAlign w:val="center"/>
          </w:tcPr>
          <w:p w14:paraId="2BA3B44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企业级分布式应用服务</w:t>
            </w:r>
          </w:p>
        </w:tc>
        <w:tc>
          <w:tcPr>
            <w:tcW w:w="870" w:type="pct"/>
            <w:tcBorders>
              <w:top w:val="single" w:color="auto" w:sz="6" w:space="0"/>
              <w:left w:val="single" w:color="auto" w:sz="6" w:space="0"/>
              <w:bottom w:val="single" w:color="auto" w:sz="6" w:space="0"/>
              <w:right w:val="single" w:color="auto" w:sz="12" w:space="0"/>
            </w:tcBorders>
            <w:noWrap w:val="0"/>
            <w:vAlign w:val="center"/>
          </w:tcPr>
          <w:p w14:paraId="036189D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kern w:val="2"/>
                <w:sz w:val="24"/>
                <w:szCs w:val="24"/>
                <w:highlight w:val="none"/>
                <w:lang w:val="en-US" w:eastAsia="zh-CN" w:bidi="ar"/>
              </w:rPr>
            </w:pPr>
          </w:p>
        </w:tc>
      </w:tr>
    </w:tbl>
    <w:p w14:paraId="219127C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bCs w:val="0"/>
          <w:color w:val="auto"/>
          <w:sz w:val="24"/>
          <w:szCs w:val="24"/>
          <w:highlight w:val="none"/>
          <w:lang w:val="en-US" w:eastAsia="zh-CN"/>
        </w:rPr>
        <w:t>参考标准</w:t>
      </w:r>
    </w:p>
    <w:p w14:paraId="4B68B1B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医疗保障局下发的《医疗保障信息平台建设指南》、《关于医疗保障信息化工作的指导意见》、《医疗保障信息系统安全开发规范》、《医疗保障核心业务区网络安全接入规范》、《XJ-A01-2019医疗保障信息平台云计算平台规范》和《XJ-B01-2019医疗保障信息平台应用系统技术架构规范》等医疗保障信息化建设指导意见。</w:t>
      </w:r>
    </w:p>
    <w:p w14:paraId="78E0FDC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（三）云平台技术参数</w:t>
      </w:r>
    </w:p>
    <w:p w14:paraId="59EE19E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1.弹性计算服务</w:t>
      </w:r>
    </w:p>
    <w:p w14:paraId="3AC197E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规格要求</w:t>
      </w:r>
    </w:p>
    <w:p w14:paraId="22D65BBB">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★总VCPU不低于CPU 7056核、内存 14616GB。</w:t>
      </w:r>
      <w:r>
        <w:rPr>
          <w:rFonts w:hint="eastAsia" w:ascii="仿宋" w:hAnsi="仿宋" w:eastAsia="仿宋" w:cs="仿宋"/>
          <w:color w:val="auto"/>
          <w:sz w:val="24"/>
          <w:szCs w:val="24"/>
          <w:highlight w:val="none"/>
          <w:lang w:val="en-US" w:eastAsia="zh-CN"/>
        </w:rPr>
        <w:t>（提供承诺书）</w:t>
      </w:r>
    </w:p>
    <w:p w14:paraId="05C01AEB">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可提供包含但不限于：1核1G、1核2G、1核4G、1核6G、1核8G、2核2G、2核4G、2核6G、2核8G、2核12G、2核16G、4核4G、4核8G、4核12G、4核16G、4核24G、4核32G、8核16G、8核32G、8核64G、16核32G、16核64G、16核128G、32核64G、32核128G。</w:t>
      </w:r>
    </w:p>
    <w:p w14:paraId="2E1B5B9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功能要求</w:t>
      </w:r>
    </w:p>
    <w:p w14:paraId="1449A8D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1.支持云主机在线扩容CPU/内存等，无需重启即可生效，保证业务系统计算资源可以进行垂直扩容。</w:t>
      </w:r>
    </w:p>
    <w:p w14:paraId="2972AE1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2.支持云主机生命周期管理和维护，包括但不限于创建、启动、关闭、重启、更换操作系统，其中创建、启动、关闭、重启应支持批量操作，提升管理员操作效率。</w:t>
      </w:r>
    </w:p>
    <w:p w14:paraId="0CA878B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3.支持为云服务器指定IP地址创建云主机，方便运维人员进行IP的统筹管理,支持配置IPv6/IPv4双栈网络，云主机实例可自动获取IPv6地址进行内网通信。</w:t>
      </w:r>
    </w:p>
    <w:p w14:paraId="1CB29C6A">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4.支持对云主机CPU、内存、硬盘等基础指标进行监控，同时支持对云主机系统中的各进程CPU、内存、打开文件数进行监控，为用户提供系统级、主动式、细粒度监控服务。</w:t>
      </w:r>
    </w:p>
    <w:p w14:paraId="49E91AF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资源编排组件，支持按照模版规范编写资源栈模版。在模板中可以定义所需资源间的依赖关系、资源配置等，如云服务器实例、云数据库实例、负载均衡实例等，帮助用户简化云计算资源管理和自动化运维的服务。</w:t>
      </w:r>
    </w:p>
    <w:p w14:paraId="509E9C0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6.▲批量创建30台虚拟机时间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80秒，批量删除30台虚拟机时间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15秒。提供由国家认可的第三方机构出具的检测报告证明材料。</w:t>
      </w:r>
    </w:p>
    <w:p w14:paraId="3BA5E18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7.▲云主机支持跨AZ可用区的克隆实现归属机房调整，并可变更目的云主机系统盘和数据盘使用的存储介质类型以及CPU内存规格。提供由国家认可的第三方机构出具的检测报告证明材料。</w:t>
      </w:r>
    </w:p>
    <w:p w14:paraId="4824AD9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支持云主机按宿主机、机架，网络交换机物理拓扑的调度能力，提升业务的可靠性。云平台控制台上调度策略至少支持严格分散（反亲和）和尽量分散（弱反亲和）两种可选。提供由国家认可的第三方机构出具的检测报告证明材料。</w:t>
      </w:r>
    </w:p>
    <w:p w14:paraId="3D1CBD3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关系型数据库服务</w:t>
      </w:r>
    </w:p>
    <w:p w14:paraId="4FA23A0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（1）规格要求</w:t>
      </w:r>
    </w:p>
    <w:p w14:paraId="0BE2F627">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★总磁盘不低于870TB。</w:t>
      </w:r>
      <w:r>
        <w:rPr>
          <w:rFonts w:hint="eastAsia" w:ascii="仿宋" w:hAnsi="仿宋" w:eastAsia="仿宋" w:cs="仿宋"/>
          <w:color w:val="auto"/>
          <w:sz w:val="24"/>
          <w:szCs w:val="24"/>
          <w:highlight w:val="none"/>
          <w:lang w:val="en-US" w:eastAsia="zh-CN"/>
        </w:rPr>
        <w:t>（提供承诺书）</w:t>
      </w:r>
    </w:p>
    <w:p w14:paraId="79E7BE2C">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可提供包含但不限于：2核8G 250GB、2核16G 250GB、4核16G 250GB、4核 32G 250GB、8核32G 500GB、8核64G 500GB、16核 64G 1000GB、16核128G 1000GB、32核128G 2000GB、32核256G 2000GB、64核512G 3000GB。</w:t>
      </w:r>
    </w:p>
    <w:p w14:paraId="4A3E159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（2）功能要求</w:t>
      </w:r>
    </w:p>
    <w:p w14:paraId="7059AAE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1.支持MySQL数据库引擎。</w:t>
      </w:r>
    </w:p>
    <w:p w14:paraId="63D6ED3A">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2.为了满足大量读请求的应用场景，需要支持原生只读实例和读写分离功能，可支持不少于5个只读实例，自动实现读写分离以及读节点间的负载均衡。</w:t>
      </w:r>
    </w:p>
    <w:p w14:paraId="58D5CB9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3.采用全冗余架构，无单点故障。支持单AZ主备高可用及同城2AZ主备高可用。</w:t>
      </w:r>
    </w:p>
    <w:p w14:paraId="02F32C5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4.提供完善的备份、恢复机制，支持手工备份和自动备份，支持物理备份和逻辑备份、逻辑备份支持库级备份，备份文件最长可以保留730天，并支持恢复到指定时间点。</w:t>
      </w:r>
    </w:p>
    <w:p w14:paraId="7588399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5.提供数据库自主诊断、慢查询分析，提供全面的健康状态以便用户自动化运维。</w:t>
      </w:r>
    </w:p>
    <w:p w14:paraId="4C09A4E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6.▲支持MySQL数据库在线的无锁结构变更和无锁数据变更。提供由国家认可的第三方机构出具的检测报告证明材料。</w:t>
      </w:r>
    </w:p>
    <w:p w14:paraId="415E987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大数据离线计算服务</w:t>
      </w:r>
    </w:p>
    <w:p w14:paraId="4AC7892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规格要求</w:t>
      </w:r>
    </w:p>
    <w:p w14:paraId="30D14817">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★总容量不低于 144CU。</w:t>
      </w:r>
      <w:r>
        <w:rPr>
          <w:rFonts w:hint="eastAsia" w:ascii="仿宋" w:hAnsi="仿宋" w:eastAsia="仿宋" w:cs="仿宋"/>
          <w:color w:val="auto"/>
          <w:sz w:val="24"/>
          <w:szCs w:val="24"/>
          <w:highlight w:val="none"/>
          <w:lang w:val="en-US" w:eastAsia="zh-CN"/>
        </w:rPr>
        <w:t>（提供承诺书）</w:t>
      </w:r>
    </w:p>
    <w:p w14:paraId="68D52BD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（2）功能要求</w:t>
      </w:r>
    </w:p>
    <w:p w14:paraId="4B4A305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1.用户服务实例和资源管理基于项目空间隔离，可支持不少于10000个用户项目空间。</w:t>
      </w:r>
    </w:p>
    <w:p w14:paraId="6465B1F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2.支持原生Apache Spark编程接口，用户可以使用Spark接口进行编程处理存储在大数据计算服务中的数据。</w:t>
      </w:r>
    </w:p>
    <w:p w14:paraId="486E32D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3.支持MapReduce类型的分布式计算任务，支持DAG模式的作业处理方式。</w:t>
      </w:r>
    </w:p>
    <w:p w14:paraId="614A673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4.大数据计算服务采用计算单元与存储单元一体化设计，支持在线平滑升级，计算能力、存储容量扩容。</w:t>
      </w:r>
    </w:p>
    <w:p w14:paraId="1D84785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5.提供完整RESTfulAPI的方式提供离线数据处理服务，提供JAVASDK，PythonSDK等编程接口。</w:t>
      </w:r>
    </w:p>
    <w:p w14:paraId="2E7C3E0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 ▲大数据集群应满足以下要求：1.支持同地、异地多集群部；2.支持数据跨集群、跨区域复制，任务跨集群、跨区域计算；3.在多集群部署情况下，支持统一元数据、统一数据视图、全局的计算调度；提供产品功能截图，线上官方文档截图证明产品满足以上要求。</w:t>
      </w:r>
    </w:p>
    <w:p w14:paraId="0036AE9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4.</w:t>
      </w:r>
      <w:r>
        <w:rPr>
          <w:rFonts w:hint="eastAsia" w:ascii="仿宋" w:hAnsi="仿宋" w:eastAsia="仿宋" w:cs="仿宋"/>
          <w:color w:val="auto"/>
          <w:sz w:val="24"/>
          <w:szCs w:val="24"/>
          <w:highlight w:val="none"/>
          <w:lang w:val="en-US" w:eastAsia="zh-CN"/>
        </w:rPr>
        <w:t>企业级分布式应用服务</w:t>
      </w:r>
    </w:p>
    <w:p w14:paraId="682606D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（1）规格要求</w:t>
      </w:r>
    </w:p>
    <w:p w14:paraId="201A41D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★授权数不低于 2000VCPU。</w:t>
      </w:r>
      <w:r>
        <w:rPr>
          <w:rFonts w:hint="eastAsia" w:ascii="仿宋" w:hAnsi="仿宋" w:eastAsia="仿宋" w:cs="仿宋"/>
          <w:color w:val="auto"/>
          <w:sz w:val="24"/>
          <w:szCs w:val="24"/>
          <w:highlight w:val="none"/>
          <w:lang w:val="en-US" w:eastAsia="zh-CN"/>
        </w:rPr>
        <w:t>（提供承诺书）</w:t>
      </w:r>
    </w:p>
    <w:p w14:paraId="5282566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（2）功能要求</w:t>
      </w:r>
    </w:p>
    <w:p w14:paraId="4140911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1.支持基于角色的访问控制（RBAC），为不同用户或租户分配最小必要权限，实现对实例管理、配置变更、监控查看等操作的精细化控制，保障系统安全与多租户隔离。</w:t>
      </w:r>
    </w:p>
    <w:p w14:paraId="6ED65B6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2.支持透明代理 Streamable HTTP 和 Server-Sent Events（SSE）流量，保持连接稳定性，支持心跳检测与连接复用。</w:t>
      </w:r>
    </w:p>
    <w:p w14:paraId="29B6EF5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3.支持通过OpenAI API 协议的兼容主流大模型厂商，自动适配各厂商在请求参数、响应结构、错误码等方面的差异，对外提供统一的 OpenAI 风格接口，降低客户端适配成本。</w:t>
      </w:r>
    </w:p>
    <w:p w14:paraId="29DE36F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4.支持基于 Header、Query、IP 或消费者身份配置限流规则，支持按实际 Token 消耗量进行多维度、多时间粒度的动态限流。</w:t>
      </w:r>
    </w:p>
    <w:p w14:paraId="6331DAF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5.支持通过限制每秒请求数（Queries Per Second）实现流量削峰，支持按消费者、路由、模型服务配置限流规则，防止系统因过载崩溃。</w:t>
      </w:r>
    </w:p>
    <w:p w14:paraId="68602D15">
      <w:pPr>
        <w:pStyle w:val="5"/>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布式任务调度服务SchedulerX提供高可用定时任务、分布式跑批和任务编排能力，满足定时任务、在线数据的跑批以及有数据依赖的应用间可视化任务编排等场景。提供由国家认可的第三方机构出具的检测报告证明材料。</w:t>
      </w:r>
    </w:p>
    <w:p w14:paraId="56DC317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en-US" w:eastAsia="zh-CN"/>
        </w:rPr>
        <w:t>）实施服务要求</w:t>
      </w:r>
    </w:p>
    <w:p w14:paraId="644C5E4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扩容割接原则</w:t>
      </w:r>
    </w:p>
    <w:p w14:paraId="6D88933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业务连续性（不影响线上业务正常服务）、安全合规（零数据丢失、零安全事件）、步骤可控（考虑失败回滚）、整体平滑（对用户无感知或影响极小）、工作高效（在预定时间窗口内完成）。</w:t>
      </w:r>
    </w:p>
    <w:p w14:paraId="6C7F540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割接准备</w:t>
      </w:r>
    </w:p>
    <w:p w14:paraId="530340A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成立专项小组：涵盖项目总系统架构师、运维工程师、网络工程师、数据库管理员、业务应用负责人、监控负责人。</w:t>
      </w:r>
    </w:p>
    <w:p w14:paraId="72AA783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资源评估与方案设计：进行业务影响分析、容量规划、拓扑设计（计算节点扩容采用横向扩展模式，存储扩容采用在线扩展或 “新增 + 数据迁移” 模式，网络规划新节点的 IP 地址、VLAN、安全组 / 防火墙策略）。</w:t>
      </w:r>
    </w:p>
    <w:p w14:paraId="24B1205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制定详细实施手册与回滚方案：针对数据库服务器资源、应用服务器资源、地市数据专区 ODPS 资源三种资源，制定不同资源扩充割接方案，并做好回滚相关准备和核验。</w:t>
      </w:r>
    </w:p>
    <w:p w14:paraId="01667E6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环境准备与检查：硬件就绪（新服务器上架、加电、配置带外管理）、基础软件安装（预安装操作系统、驱动、监控代理等）、配置管理同步、割接项目核验（扩容产品、扩容集群、扩容目标、线上节点、扩容节点、机型等信息）、环境检查（资源扩展版本、产品、适用形态、适用场景等）。</w:t>
      </w:r>
    </w:p>
    <w:p w14:paraId="0484E24A">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风险预估与通知协调：做好业务时间窗口规划，提前通知各业务厂商进行任务调整，并在完成资源扩充后进行验证。</w:t>
      </w:r>
    </w:p>
    <w:p w14:paraId="1B7568E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模拟预演</w:t>
      </w:r>
    </w:p>
    <w:p w14:paraId="03D0AC8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在同资源的测试平台上，进行模拟预演，提前规避潜在问题，为后续正式实施提供经验和解决问题思路。</w:t>
      </w:r>
    </w:p>
    <w:p w14:paraId="04BF393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正式实施</w:t>
      </w:r>
    </w:p>
    <w:p w14:paraId="1785983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按照不同资源类型，在规定的时间窗口期（数据库 RDS 割接、应用服务 ECS 割接为凌晨 1 点至早上 6 点，ODPS 资源割接为凌晨 3 点至早上 6 点），开展资源环境检查、资源扩充实施、资源扩充结果验证、异常回滚等工作。具体实施步骤如下：</w:t>
      </w:r>
    </w:p>
    <w:p w14:paraId="6856C19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创建部署任务：进入 ASI 的 “产品扩容”=&gt;“任务列表” 页面，点击 “集群扩容”，选择需要扩容的产品和集群，创建部署任务。</w:t>
      </w:r>
    </w:p>
    <w:p w14:paraId="3A74C18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确认工作流：点击每条工作流的执行前确认，检查命令中的主机名、集群、目标 SRG、OS，part、app_name 等是否符合预期，确认 diff 结果和执行人员姓名。</w:t>
      </w:r>
    </w:p>
    <w:p w14:paraId="28DC003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执行部署任务：工作流命令确认完成、diff 确认完成之后，点击 “执行” 开始部署；若工作流报错，联系扩容小组排查；若有人工执行步骤，执行完后点击人工执行。</w:t>
      </w:r>
    </w:p>
    <w:p w14:paraId="40AF23F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结果验证：双人复核，实施人执行验证操作，复核人确认实施人验证操作无错误且结果符合预期，包括扩容验证、监控验证、功能验证。</w:t>
      </w:r>
    </w:p>
    <w:p w14:paraId="50D5ED7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异常回滚：若扩容失败，按对应回滚方案执行，确保服务恢复正常。</w:t>
      </w:r>
    </w:p>
    <w:p w14:paraId="6F82305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 后期验证与复盘</w:t>
      </w:r>
    </w:p>
    <w:p w14:paraId="3B59B65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对业务系统可用性、性能指标、水位线等是否达成进行经验总结，异常问题及解决方案归档，更新实施手册和回滚计划。</w:t>
      </w:r>
    </w:p>
    <w:p w14:paraId="2A1DC62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kern w:val="2"/>
          <w:sz w:val="24"/>
          <w:szCs w:val="24"/>
          <w:highlight w:val="none"/>
          <w:lang w:val="en-US" w:eastAsia="zh-CN" w:bidi="ar-SA"/>
        </w:rPr>
        <w:t>（五）</w:t>
      </w:r>
      <w:r>
        <w:rPr>
          <w:rFonts w:hint="eastAsia" w:ascii="仿宋" w:hAnsi="仿宋" w:eastAsia="仿宋" w:cs="仿宋"/>
          <w:bCs w:val="0"/>
          <w:color w:val="auto"/>
          <w:sz w:val="24"/>
          <w:szCs w:val="24"/>
          <w:highlight w:val="none"/>
          <w:lang w:val="en-US" w:eastAsia="zh-CN"/>
        </w:rPr>
        <w:t>项目管理要求</w:t>
      </w:r>
    </w:p>
    <w:p w14:paraId="2640473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为将本次扩容服务所提供的云资源顺利接入至我省医疗保障信息平台现有云平台，投标人还需提供以下服务内容：</w:t>
      </w:r>
    </w:p>
    <w:p w14:paraId="31AB391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项目管理</w:t>
      </w:r>
    </w:p>
    <w:p w14:paraId="535B46A3">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在本项目交付中，委派一名专职项目经理作为项目管理接口人，并负责以下工作：</w:t>
      </w:r>
    </w:p>
    <w:p w14:paraId="6AAC632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需求管理：对项目需求进行沟通和确认</w:t>
      </w:r>
    </w:p>
    <w:p w14:paraId="2CA0992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整体设计：负责建设方案的讨论和输出项目实施计划的制定和输出</w:t>
      </w:r>
    </w:p>
    <w:p w14:paraId="11015E9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项目变更管理：管理项目需求变更并执行项目变更</w:t>
      </w:r>
    </w:p>
    <w:p w14:paraId="75F0851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项目进度管理：对项目整体进度进行管控</w:t>
      </w:r>
    </w:p>
    <w:p w14:paraId="17011C4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沟通管理：汇报项目进展和状态</w:t>
      </w:r>
    </w:p>
    <w:p w14:paraId="7BE4196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问题解决：负责收集，跟踪和安排资源解决项目过程中出现的问题</w:t>
      </w:r>
    </w:p>
    <w:p w14:paraId="502A04D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项目验收：负责推动项目验收工作，签署完工报告</w:t>
      </w:r>
    </w:p>
    <w:p w14:paraId="4283C55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云平台部署</w:t>
      </w:r>
    </w:p>
    <w:p w14:paraId="7D23FE56">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包括云平台基础网络搭建、云平台操作系统部署、云产品部署。</w:t>
      </w:r>
    </w:p>
    <w:p w14:paraId="4B4FE470">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云平台基础网络搭建：在安装完成后，根据网络架构方案进行调试和部署。</w:t>
      </w:r>
    </w:p>
    <w:p w14:paraId="53EE117D">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云平台操作系统部署：针对云服务器的不同用途和服务类类型进行云操作系统安装。</w:t>
      </w:r>
    </w:p>
    <w:p w14:paraId="31E6AF5C">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云产品部署：在各项准备工作安装完成后，对云产品进行安装调试，并纳入现有陕西省医疗保障信息平台云平台进行统一管理。</w:t>
      </w:r>
    </w:p>
    <w:p w14:paraId="646FCF4F">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云平台测试及验收：</w:t>
      </w:r>
    </w:p>
    <w:p w14:paraId="620EDC65">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在云平台完成部署之后，对云平台的功能进行测试，确保云平台达到可交付水平。按照本项目的云软件采购清单，在平台交付使用前完成云产品功能测试，按照测试用例执行测试并提交测试报告。</w:t>
      </w:r>
    </w:p>
    <w:p w14:paraId="3ED8BE3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lang w:val="en-US" w:eastAsia="zh-CN"/>
        </w:rPr>
        <w:t>远程支持</w:t>
      </w:r>
    </w:p>
    <w:p w14:paraId="08D5D21E">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提供远程专家支持，包括实施过程中问题解决、方案核对、配置文件核对等工作。</w:t>
      </w:r>
    </w:p>
    <w:p w14:paraId="00A3636F">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lang w:val="en-US" w:eastAsia="zh-CN"/>
        </w:rPr>
        <w:t>安全整改配合</w:t>
      </w:r>
    </w:p>
    <w:p w14:paraId="2FC5A942">
      <w:pPr>
        <w:pStyle w:val="5"/>
        <w:keepNext w:val="0"/>
        <w:keepLines w:val="0"/>
        <w:pageBreakBefore w:val="0"/>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配合招标人完成等级保护测评、密码改造测评等需整改内容的修复。</w:t>
      </w:r>
    </w:p>
    <w:p w14:paraId="5ABF338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val="0"/>
          <w:color w:val="auto"/>
          <w:kern w:val="2"/>
          <w:sz w:val="24"/>
          <w:szCs w:val="24"/>
          <w:highlight w:val="none"/>
          <w:lang w:val="en-US" w:eastAsia="zh-CN" w:bidi="ar-SA"/>
        </w:rPr>
        <w:t>（六）</w:t>
      </w:r>
      <w:r>
        <w:rPr>
          <w:rFonts w:hint="eastAsia" w:ascii="仿宋" w:hAnsi="仿宋" w:eastAsia="仿宋" w:cs="仿宋"/>
          <w:color w:val="auto"/>
          <w:sz w:val="24"/>
          <w:szCs w:val="24"/>
          <w:highlight w:val="none"/>
          <w:lang w:val="en-US" w:eastAsia="zh-CN"/>
        </w:rPr>
        <w:t>兼容性要求</w:t>
      </w:r>
    </w:p>
    <w:p w14:paraId="6BBBF6E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因本次云服务采购属于对现有陕西省医疗保障信息平台云平台资源扩容，因此本次采购的云平台除上述技术要求外还应满足以下要求：</w:t>
      </w:r>
    </w:p>
    <w:p w14:paraId="4A0B4DC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投标方所提供云产品应已通过与国家医保局的HSAF框架验证、适配，或有他省市生产环境的使用案例，其稳定性、可管理性、性能等应由投标方保证（提供相关证明材料）。</w:t>
      </w:r>
    </w:p>
    <w:p w14:paraId="52363C3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本次扩容软件须与现有陕西省医保信息平台核心区云平台兼容和适配。（提供相关证明材料）。</w:t>
      </w:r>
    </w:p>
    <w:p w14:paraId="1DECAFB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▲本次扩容如涉及到原有云平台管理软件授权节点增加的，投标人应承诺并提供相应云平台管理软件授权。</w:t>
      </w:r>
    </w:p>
    <w:p w14:paraId="4FB90E1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kern w:val="2"/>
          <w:sz w:val="24"/>
          <w:szCs w:val="24"/>
          <w:highlight w:val="none"/>
          <w:lang w:val="en-US" w:eastAsia="zh-CN" w:bidi="ar-SA"/>
        </w:rPr>
        <w:t>（七）</w:t>
      </w:r>
      <w:r>
        <w:rPr>
          <w:rFonts w:hint="eastAsia" w:ascii="仿宋" w:hAnsi="仿宋" w:eastAsia="仿宋" w:cs="仿宋"/>
          <w:bCs w:val="0"/>
          <w:color w:val="auto"/>
          <w:sz w:val="24"/>
          <w:szCs w:val="24"/>
          <w:highlight w:val="none"/>
          <w:lang w:val="en-US" w:eastAsia="zh-CN"/>
        </w:rPr>
        <w:t>质量保障要求</w:t>
      </w:r>
    </w:p>
    <w:p w14:paraId="663E105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（1）投标人应保证提供的服务完全符合规定的质量、规格和性能的要求。</w:t>
      </w:r>
    </w:p>
    <w:p w14:paraId="6245D95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（2）投标人应对维保期内由于服务的缺陷（非人为因素）而引发的任何不足负责，费用由投标人承担。 </w:t>
      </w:r>
    </w:p>
    <w:p w14:paraId="66B14F5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（3）采购人应尽快以书面形式通知投标人由于缺陷而发生的索赔。 </w:t>
      </w:r>
    </w:p>
    <w:p w14:paraId="39C510FF">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（4）如果投标人在收到通知后3天内没有弥补缺陷，采购人可采取必要的补救措施，但风险和费用将由投标人负责。</w:t>
      </w:r>
    </w:p>
    <w:p w14:paraId="56E0A2AA">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val="en-US" w:eastAsia="zh-CN"/>
        </w:rPr>
        <w:t>）运维保障服务要求</w:t>
      </w:r>
    </w:p>
    <w:p w14:paraId="7EBB093B">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服务周期</w:t>
      </w:r>
    </w:p>
    <w:p w14:paraId="20C6B0E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本项目服务周期为 1 年。</w:t>
      </w:r>
    </w:p>
    <w:p w14:paraId="28741BF3">
      <w:pPr>
        <w:pStyle w:val="5"/>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交付期：合同签订后</w:t>
      </w:r>
      <w:r>
        <w:rPr>
          <w:rFonts w:hint="eastAsia" w:ascii="仿宋" w:hAnsi="仿宋" w:eastAsia="仿宋" w:cs="仿宋"/>
          <w:color w:val="auto"/>
          <w:sz w:val="24"/>
          <w:szCs w:val="24"/>
          <w:highlight w:val="none"/>
          <w:lang w:val="en-US" w:eastAsia="zh-CN"/>
        </w:rPr>
        <w:t>3个月完成资源扩容</w:t>
      </w:r>
      <w:r>
        <w:rPr>
          <w:rFonts w:hint="eastAsia" w:ascii="仿宋" w:hAnsi="仿宋" w:eastAsia="仿宋" w:cs="仿宋"/>
          <w:color w:val="auto"/>
          <w:sz w:val="24"/>
          <w:szCs w:val="24"/>
          <w:highlight w:val="none"/>
          <w:lang w:val="en-US" w:eastAsia="zh-CN"/>
        </w:rPr>
        <w:t>。</w:t>
      </w:r>
    </w:p>
    <w:p w14:paraId="25290F1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 人员配置</w:t>
      </w:r>
    </w:p>
    <w:p w14:paraId="6BFB787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服务期间，服务方应按照实际工作需要，日常运营服务派驻不少于 5 人的驻场服务团队，二线支撑团队不少于 20 人，服务人员应通过项目单位的考核和审查，运营团队需要具备丰富客服回复经验、政务服务相关经验和系统操作知识，能够高效开展日常运营的相关工作，项目管理运营团队主要成员需具备多年政务信息化项目经验。</w:t>
      </w:r>
    </w:p>
    <w:p w14:paraId="711EDCC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响应时间保障。供应商除应遵守国家和我省层面已经印发的信息化系统运维规定、标准外，运维人员常驻省医保技术中心指定的集中办公场地，工作日每天8小时现场值守，并按照省医保技术中心要求提供5×8小时现场值守服务，现场运维人员随时响应省医保技术中心运维要求；双休日、法定节假日需按照省医保技术中心要求提供7×24小时现场值守服务，其他人员24小时在线响应，维护人员的通讯工具365天×24小时保持在线。对于省医保技术中心的故障请求，应在15分钟内做出响应并到达项目现场，重大故障到达现场后1小时内解决、普通故障到达现场后0.5小时内解决。</w:t>
      </w:r>
    </w:p>
    <w:p w14:paraId="617637F1">
      <w:pPr>
        <w:pStyle w:val="5"/>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（注：上述服务保障要求投标人须提供承诺函或证明材料。）</w:t>
      </w:r>
    </w:p>
    <w:p w14:paraId="022BA6A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日常运维</w:t>
      </w:r>
    </w:p>
    <w:p w14:paraId="1479784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巡检与报告保障。负责通过定期巡检、实时监测、异常处理和问题收集等多种方式确保应用系统运行稳定，应根据系统运行实际情况建立巡检机制，平常以天为单位，按招标人要求提交系统巡检报告；巡检中发现的问题应及时进行处理。</w:t>
      </w:r>
    </w:p>
    <w:p w14:paraId="414A04F1">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bCs w:val="0"/>
          <w:color w:val="auto"/>
          <w:sz w:val="24"/>
          <w:szCs w:val="24"/>
          <w:highlight w:val="none"/>
          <w:lang w:val="en-US" w:eastAsia="zh-CN"/>
        </w:rPr>
      </w:pPr>
      <w:bookmarkStart w:id="0" w:name="_Toc16532"/>
      <w:r>
        <w:rPr>
          <w:rFonts w:hint="eastAsia" w:ascii="仿宋" w:hAnsi="仿宋" w:eastAsia="仿宋" w:cs="仿宋"/>
          <w:color w:val="auto"/>
          <w:sz w:val="24"/>
          <w:szCs w:val="24"/>
          <w:highlight w:val="none"/>
          <w:lang w:val="en-US" w:eastAsia="zh-CN"/>
        </w:rPr>
        <w:t>5.</w:t>
      </w:r>
      <w:r>
        <w:rPr>
          <w:rFonts w:hint="eastAsia" w:ascii="仿宋" w:hAnsi="仿宋" w:eastAsia="仿宋" w:cs="仿宋"/>
          <w:bCs w:val="0"/>
          <w:color w:val="auto"/>
          <w:sz w:val="24"/>
          <w:szCs w:val="24"/>
          <w:highlight w:val="none"/>
          <w:lang w:val="en-US" w:eastAsia="zh-CN"/>
        </w:rPr>
        <w:t>培训要求</w:t>
      </w:r>
      <w:bookmarkEnd w:id="0"/>
      <w:r>
        <w:rPr>
          <w:rFonts w:hint="eastAsia" w:ascii="仿宋" w:hAnsi="仿宋" w:eastAsia="仿宋" w:cs="仿宋"/>
          <w:bCs w:val="0"/>
          <w:color w:val="auto"/>
          <w:sz w:val="24"/>
          <w:szCs w:val="24"/>
          <w:highlight w:val="none"/>
          <w:lang w:val="en-US" w:eastAsia="zh-CN"/>
        </w:rPr>
        <w:t xml:space="preserve"> </w:t>
      </w:r>
    </w:p>
    <w:p w14:paraId="5B00372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供应商培训方案需包括培训方式、培训次数、培训内容、培训师资和培训教材等方面。通过系统培训确保具体系统使用人员能够独立、熟练地完成系统日常操作。具体要求： </w:t>
      </w:r>
    </w:p>
    <w:p w14:paraId="63B3BCDB">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（1）供应商提供现场培训、远程培训等培训方式。 </w:t>
      </w:r>
    </w:p>
    <w:p w14:paraId="08EAA95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（2）现场培训不少于3次，远程培训不少于3次。 </w:t>
      </w:r>
    </w:p>
    <w:p w14:paraId="243A814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（3）培训内容包括平台使用培训、常见故障处理等。 </w:t>
      </w:r>
    </w:p>
    <w:p w14:paraId="28CAC42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（4）由专业的培训讲师进行系统培训。 </w:t>
      </w:r>
    </w:p>
    <w:p w14:paraId="7C93FD0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（5）培训教材包括但不限于纸质教材、Word、PPT等。 </w:t>
      </w:r>
    </w:p>
    <w:p w14:paraId="0BE1EEEB">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p>
    <w:p w14:paraId="4701FBD6">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四、交付物要求</w:t>
      </w:r>
    </w:p>
    <w:p w14:paraId="2766979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技术文档：资源扩容实施方案、</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lang w:val="en-US" w:eastAsia="zh-CN"/>
        </w:rPr>
        <w:t>技术设计文档、</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val="en-US" w:eastAsia="zh-CN"/>
        </w:rPr>
        <w:t>资源清单、割接实施</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lang w:val="en-US" w:eastAsia="zh-CN"/>
        </w:rPr>
        <w:t>、运维手册、月度 / 季度 / 年度服务报告、应急方案、培训材料、调试验收报告等，提供 PDF+Word 双版本。</w:t>
      </w:r>
    </w:p>
    <w:p w14:paraId="53B5986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五、服务考核要求</w:t>
      </w:r>
    </w:p>
    <w:p w14:paraId="7EF5CE1F">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（一）考核组织与周期</w:t>
      </w:r>
    </w:p>
    <w:p w14:paraId="04367A2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考核组织：牵头单位为陕西省医疗保障技术服务中心，协同单位为第三方监理机构，考核对象为资源扩容服务提供商。</w:t>
      </w:r>
    </w:p>
    <w:p w14:paraId="299BF1D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考核周期：月度考核（每月结束后 5 个工作日内）、季度考核（每季度结束后 10 个工作日内）、年度考核（服务周期结束后 15 个工作日内）。</w:t>
      </w:r>
    </w:p>
    <w:p w14:paraId="19E198E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（二）考核指标体系（总分 100 分）</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27"/>
        <w:gridCol w:w="1528"/>
        <w:gridCol w:w="1528"/>
        <w:gridCol w:w="3960"/>
      </w:tblGrid>
      <w:tr w14:paraId="01F2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A1139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
              </w:rPr>
              <w:t>考核维度</w:t>
            </w: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40B8B6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
              </w:rPr>
              <w:t>权重</w:t>
            </w: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26C53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
              </w:rPr>
              <w:t>指标名称</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77AF14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
              </w:rPr>
              <w:t>量化标准</w:t>
            </w:r>
          </w:p>
        </w:tc>
      </w:tr>
      <w:tr w14:paraId="35A1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restart"/>
            <w:tcBorders>
              <w:top w:val="single" w:color="CCCCCC" w:sz="6" w:space="0"/>
              <w:left w:val="single" w:color="CCCCCC" w:sz="6" w:space="0"/>
              <w:right w:val="single" w:color="CCCCCC" w:sz="6" w:space="0"/>
            </w:tcBorders>
            <w:shd w:val="clear" w:color="auto" w:fill="auto"/>
            <w:tcMar>
              <w:top w:w="120" w:type="dxa"/>
              <w:left w:w="120" w:type="dxa"/>
              <w:bottom w:w="120" w:type="dxa"/>
              <w:right w:w="120" w:type="dxa"/>
            </w:tcMar>
            <w:vAlign w:val="center"/>
          </w:tcPr>
          <w:p w14:paraId="46F1DFC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服务合规性</w:t>
            </w:r>
          </w:p>
        </w:tc>
        <w:tc>
          <w:tcPr>
            <w:tcW w:w="894" w:type="pct"/>
            <w:vMerge w:val="restart"/>
            <w:tcBorders>
              <w:top w:val="single" w:color="CCCCCC" w:sz="6" w:space="0"/>
              <w:left w:val="single" w:color="CCCCCC" w:sz="6" w:space="0"/>
              <w:right w:val="single" w:color="CCCCCC" w:sz="6" w:space="0"/>
            </w:tcBorders>
            <w:shd w:val="clear" w:color="auto" w:fill="auto"/>
            <w:tcMar>
              <w:top w:w="120" w:type="dxa"/>
              <w:left w:w="120" w:type="dxa"/>
              <w:bottom w:w="120" w:type="dxa"/>
              <w:right w:w="120" w:type="dxa"/>
            </w:tcMar>
            <w:vAlign w:val="center"/>
          </w:tcPr>
          <w:p w14:paraId="2ABF885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30 分</w:t>
            </w: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AB183C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资源稳定性</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73E8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系统连续稳定运行时间≥99.9% 得 15 分；99.5%-99.9% 得 10 分；99%-99.5% 得 5 分；&lt;99% 得 0 分</w:t>
            </w:r>
          </w:p>
        </w:tc>
      </w:tr>
      <w:tr w14:paraId="4627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continue"/>
            <w:tcBorders>
              <w:left w:val="single" w:color="CCCCCC" w:sz="6" w:space="0"/>
              <w:right w:val="single" w:color="CCCCCC" w:sz="6" w:space="0"/>
            </w:tcBorders>
            <w:shd w:val="clear" w:color="auto" w:fill="auto"/>
            <w:tcMar>
              <w:top w:w="120" w:type="dxa"/>
              <w:left w:w="120" w:type="dxa"/>
              <w:bottom w:w="120" w:type="dxa"/>
              <w:right w:w="120" w:type="dxa"/>
            </w:tcMar>
            <w:vAlign w:val="center"/>
          </w:tcPr>
          <w:p w14:paraId="5BD4D1F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eastAsia="zh-CN"/>
              </w:rPr>
            </w:pPr>
          </w:p>
        </w:tc>
        <w:tc>
          <w:tcPr>
            <w:tcW w:w="894" w:type="pct"/>
            <w:vMerge w:val="continue"/>
            <w:tcBorders>
              <w:left w:val="single" w:color="CCCCCC" w:sz="6" w:space="0"/>
              <w:right w:val="single" w:color="CCCCCC" w:sz="6" w:space="0"/>
            </w:tcBorders>
            <w:shd w:val="clear" w:color="auto" w:fill="auto"/>
            <w:tcMar>
              <w:top w:w="120" w:type="dxa"/>
              <w:left w:w="120" w:type="dxa"/>
              <w:bottom w:w="120" w:type="dxa"/>
              <w:right w:w="120" w:type="dxa"/>
            </w:tcMar>
            <w:vAlign w:val="center"/>
          </w:tcPr>
          <w:p w14:paraId="6328FD9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0317A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资源可用性</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BF6044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核心资源可用率≥99.9% 得 10 分；99.5%-99.9% 得 7 分；99%-99.5% 得 3 分；&lt;99% 得 0 分</w:t>
            </w:r>
          </w:p>
        </w:tc>
      </w:tr>
      <w:tr w14:paraId="72FF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continue"/>
            <w:tcBorders>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47342EA">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eastAsia="zh-CN"/>
              </w:rPr>
            </w:pPr>
          </w:p>
        </w:tc>
        <w:tc>
          <w:tcPr>
            <w:tcW w:w="894" w:type="pct"/>
            <w:vMerge w:val="continue"/>
            <w:tcBorders>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977E2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50518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配置合规性</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FAC1A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资源规格与合同一致得 5 分；每发现 1 项不符扣 2 分，扣完为止</w:t>
            </w:r>
          </w:p>
        </w:tc>
      </w:tr>
      <w:tr w14:paraId="29C6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restart"/>
            <w:tcBorders>
              <w:top w:val="single" w:color="CCCCCC" w:sz="6" w:space="0"/>
              <w:left w:val="single" w:color="CCCCCC" w:sz="6" w:space="0"/>
              <w:right w:val="single" w:color="CCCCCC" w:sz="6" w:space="0"/>
            </w:tcBorders>
            <w:shd w:val="clear" w:color="auto" w:fill="auto"/>
            <w:tcMar>
              <w:top w:w="120" w:type="dxa"/>
              <w:left w:w="120" w:type="dxa"/>
              <w:bottom w:w="120" w:type="dxa"/>
              <w:right w:w="120" w:type="dxa"/>
            </w:tcMar>
            <w:vAlign w:val="center"/>
          </w:tcPr>
          <w:p w14:paraId="7844F9D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服务能力</w:t>
            </w:r>
          </w:p>
        </w:tc>
        <w:tc>
          <w:tcPr>
            <w:tcW w:w="894" w:type="pct"/>
            <w:vMerge w:val="restart"/>
            <w:tcBorders>
              <w:top w:val="single" w:color="CCCCCC" w:sz="6" w:space="0"/>
              <w:left w:val="single" w:color="CCCCCC" w:sz="6" w:space="0"/>
              <w:right w:val="single" w:color="CCCCCC" w:sz="6" w:space="0"/>
            </w:tcBorders>
            <w:shd w:val="clear" w:color="auto" w:fill="auto"/>
            <w:tcMar>
              <w:top w:w="120" w:type="dxa"/>
              <w:left w:w="120" w:type="dxa"/>
              <w:bottom w:w="120" w:type="dxa"/>
              <w:right w:w="120" w:type="dxa"/>
            </w:tcMar>
            <w:vAlign w:val="center"/>
          </w:tcPr>
          <w:p w14:paraId="16F1F38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40 分</w:t>
            </w: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4F905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团队配置</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5F5AD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驻场人员数量≥合同约定得 5 分；等于约定得 3 分；少 1 人得 1 分；少 2 人及以上得 0 分</w:t>
            </w:r>
          </w:p>
        </w:tc>
      </w:tr>
      <w:tr w14:paraId="25D3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continue"/>
            <w:tcBorders>
              <w:left w:val="single" w:color="CCCCCC" w:sz="6" w:space="0"/>
              <w:right w:val="single" w:color="CCCCCC" w:sz="6" w:space="0"/>
            </w:tcBorders>
            <w:shd w:val="clear" w:color="auto" w:fill="auto"/>
            <w:tcMar>
              <w:top w:w="120" w:type="dxa"/>
              <w:left w:w="120" w:type="dxa"/>
              <w:bottom w:w="120" w:type="dxa"/>
              <w:right w:w="120" w:type="dxa"/>
            </w:tcMar>
            <w:vAlign w:val="center"/>
          </w:tcPr>
          <w:p w14:paraId="5A3941B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eastAsia="zh-CN"/>
              </w:rPr>
            </w:pPr>
          </w:p>
        </w:tc>
        <w:tc>
          <w:tcPr>
            <w:tcW w:w="894" w:type="pct"/>
            <w:vMerge w:val="continue"/>
            <w:tcBorders>
              <w:left w:val="single" w:color="CCCCCC" w:sz="6" w:space="0"/>
              <w:right w:val="single" w:color="CCCCCC" w:sz="6" w:space="0"/>
            </w:tcBorders>
            <w:shd w:val="clear" w:color="auto" w:fill="auto"/>
            <w:tcMar>
              <w:top w:w="120" w:type="dxa"/>
              <w:left w:w="120" w:type="dxa"/>
              <w:bottom w:w="120" w:type="dxa"/>
              <w:right w:w="120" w:type="dxa"/>
            </w:tcMar>
            <w:vAlign w:val="center"/>
          </w:tcPr>
          <w:p w14:paraId="7F6123C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052E1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故障响应时效</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5AEA66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平均响应时间≤15 分钟得 10 分；15-30分钟得 6 分；30-60 分钟得 3 分；&gt;60 分钟得 0 分</w:t>
            </w:r>
          </w:p>
        </w:tc>
      </w:tr>
      <w:tr w14:paraId="1549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continue"/>
            <w:tcBorders>
              <w:left w:val="single" w:color="CCCCCC" w:sz="6" w:space="0"/>
              <w:right w:val="single" w:color="CCCCCC" w:sz="6" w:space="0"/>
            </w:tcBorders>
            <w:shd w:val="clear" w:color="auto" w:fill="auto"/>
            <w:tcMar>
              <w:top w:w="120" w:type="dxa"/>
              <w:left w:w="120" w:type="dxa"/>
              <w:bottom w:w="120" w:type="dxa"/>
              <w:right w:w="120" w:type="dxa"/>
            </w:tcMar>
            <w:vAlign w:val="center"/>
          </w:tcPr>
          <w:p w14:paraId="0873AA43">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eastAsia="zh-CN"/>
              </w:rPr>
            </w:pPr>
          </w:p>
        </w:tc>
        <w:tc>
          <w:tcPr>
            <w:tcW w:w="894" w:type="pct"/>
            <w:vMerge w:val="continue"/>
            <w:tcBorders>
              <w:left w:val="single" w:color="CCCCCC" w:sz="6" w:space="0"/>
              <w:right w:val="single" w:color="CCCCCC" w:sz="6" w:space="0"/>
            </w:tcBorders>
            <w:shd w:val="clear" w:color="auto" w:fill="auto"/>
            <w:tcMar>
              <w:top w:w="120" w:type="dxa"/>
              <w:left w:w="120" w:type="dxa"/>
              <w:bottom w:w="120" w:type="dxa"/>
              <w:right w:w="120" w:type="dxa"/>
            </w:tcMar>
            <w:vAlign w:val="center"/>
          </w:tcPr>
          <w:p w14:paraId="0D0B8D1C">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3F80F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故障解决率</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18C37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故障解决率≥90% 得 10 分；80%-90% 得 6 分；60%-80% 得 2 分；&lt;60% 得 0 分</w:t>
            </w:r>
          </w:p>
        </w:tc>
      </w:tr>
      <w:tr w14:paraId="72C0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continue"/>
            <w:tcBorders>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945F44B">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center"/>
              <w:textAlignment w:val="auto"/>
              <w:rPr>
                <w:rFonts w:hint="eastAsia" w:ascii="仿宋" w:hAnsi="仿宋" w:eastAsia="仿宋" w:cs="仿宋"/>
                <w:color w:val="auto"/>
                <w:sz w:val="24"/>
                <w:szCs w:val="24"/>
                <w:highlight w:val="none"/>
                <w:lang w:eastAsia="zh-CN"/>
              </w:rPr>
            </w:pPr>
          </w:p>
        </w:tc>
        <w:tc>
          <w:tcPr>
            <w:tcW w:w="894" w:type="pct"/>
            <w:vMerge w:val="continue"/>
            <w:tcBorders>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9DE2D2D">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81899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应急处置能力</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1205B9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重大故障≤4 小时解决得 10 分；4-8 小时得 7 分；8-12 小时得 3 分；&gt;12 小时得 0 分</w:t>
            </w:r>
          </w:p>
        </w:tc>
      </w:tr>
      <w:tr w14:paraId="1429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restart"/>
            <w:tcBorders>
              <w:top w:val="single" w:color="CCCCCC" w:sz="6" w:space="0"/>
              <w:left w:val="single" w:color="CCCCCC" w:sz="6" w:space="0"/>
              <w:right w:val="single" w:color="CCCCCC" w:sz="6" w:space="0"/>
            </w:tcBorders>
            <w:shd w:val="clear" w:color="auto" w:fill="auto"/>
            <w:tcMar>
              <w:top w:w="120" w:type="dxa"/>
              <w:left w:w="120" w:type="dxa"/>
              <w:bottom w:w="120" w:type="dxa"/>
              <w:right w:w="120" w:type="dxa"/>
            </w:tcMar>
            <w:vAlign w:val="center"/>
          </w:tcPr>
          <w:p w14:paraId="3815A78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服务质量</w:t>
            </w:r>
          </w:p>
        </w:tc>
        <w:tc>
          <w:tcPr>
            <w:tcW w:w="894" w:type="pct"/>
            <w:vMerge w:val="restart"/>
            <w:tcBorders>
              <w:top w:val="single" w:color="CCCCCC" w:sz="6" w:space="0"/>
              <w:left w:val="single" w:color="CCCCCC" w:sz="6" w:space="0"/>
              <w:right w:val="single" w:color="CCCCCC" w:sz="6" w:space="0"/>
            </w:tcBorders>
            <w:shd w:val="clear" w:color="auto" w:fill="auto"/>
            <w:tcMar>
              <w:top w:w="120" w:type="dxa"/>
              <w:left w:w="120" w:type="dxa"/>
              <w:bottom w:w="120" w:type="dxa"/>
              <w:right w:w="120" w:type="dxa"/>
            </w:tcMar>
            <w:vAlign w:val="center"/>
          </w:tcPr>
          <w:p w14:paraId="7DEE1F0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30 分</w:t>
            </w: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0C24C3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客户满意度</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778EE6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满意度≥95% 得 15 分；90%-95% 得 10 分；80%-90% 得 5 分；&lt;80% 得 0 分</w:t>
            </w:r>
          </w:p>
        </w:tc>
      </w:tr>
      <w:tr w14:paraId="4274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continue"/>
            <w:tcBorders>
              <w:left w:val="single" w:color="CCCCCC" w:sz="6" w:space="0"/>
              <w:right w:val="single" w:color="CCCCCC" w:sz="6" w:space="0"/>
            </w:tcBorders>
            <w:shd w:val="clear" w:color="auto" w:fill="auto"/>
            <w:tcMar>
              <w:top w:w="120" w:type="dxa"/>
              <w:left w:w="120" w:type="dxa"/>
              <w:bottom w:w="120" w:type="dxa"/>
              <w:right w:w="120" w:type="dxa"/>
            </w:tcMar>
            <w:vAlign w:val="center"/>
          </w:tcPr>
          <w:p w14:paraId="0ADC2EAA">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vMerge w:val="continue"/>
            <w:tcBorders>
              <w:left w:val="single" w:color="CCCCCC" w:sz="6" w:space="0"/>
              <w:right w:val="single" w:color="CCCCCC" w:sz="6" w:space="0"/>
            </w:tcBorders>
            <w:shd w:val="clear" w:color="auto" w:fill="auto"/>
            <w:tcMar>
              <w:top w:w="120" w:type="dxa"/>
              <w:left w:w="120" w:type="dxa"/>
              <w:bottom w:w="120" w:type="dxa"/>
              <w:right w:w="120" w:type="dxa"/>
            </w:tcMar>
            <w:vAlign w:val="center"/>
          </w:tcPr>
          <w:p w14:paraId="077878C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12250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文档完整性</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33A11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文档齐全且及时更新得 5 分；基本齐全得 3 分；较多遗漏得 1 分；严重缺失得 0 分</w:t>
            </w:r>
          </w:p>
        </w:tc>
      </w:tr>
      <w:tr w14:paraId="4123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94" w:type="pct"/>
            <w:vMerge w:val="continue"/>
            <w:tcBorders>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26181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vMerge w:val="continue"/>
            <w:tcBorders>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0F18C2">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eastAsia="zh-CN"/>
              </w:rPr>
            </w:pPr>
          </w:p>
        </w:tc>
        <w:tc>
          <w:tcPr>
            <w:tcW w:w="8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B6C4D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业务适配性</w:t>
            </w:r>
          </w:p>
        </w:tc>
        <w:tc>
          <w:tcPr>
            <w:tcW w:w="2317"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8126FB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02" w:line="214"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无资源适配不足导致的业务卡顿 / 中断得 10 分；每出现 1 次扣 2 分，扣完为止</w:t>
            </w:r>
          </w:p>
        </w:tc>
      </w:tr>
    </w:tbl>
    <w:p w14:paraId="267F4924">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（三）考核结果应用</w:t>
      </w:r>
    </w:p>
    <w:p w14:paraId="0F19B7F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合格及以上：</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lang w:val="en-US" w:eastAsia="zh-CN"/>
        </w:rPr>
        <w:t xml:space="preserve"> 分）：全额支付服务费用；</w:t>
      </w:r>
    </w:p>
    <w:p w14:paraId="52D610E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不合格（&lt;75 分）：扣除 20% 服务费用，1 个月内完成整改；整改不合格不予终验</w:t>
      </w:r>
      <w:r>
        <w:rPr>
          <w:rFonts w:hint="eastAsia" w:ascii="仿宋" w:hAnsi="仿宋" w:eastAsia="仿宋" w:cs="仿宋"/>
          <w:color w:val="auto"/>
          <w:sz w:val="24"/>
          <w:szCs w:val="24"/>
          <w:highlight w:val="none"/>
          <w:lang w:val="en-US" w:eastAsia="zh-CN"/>
        </w:rPr>
        <w:t>。</w:t>
      </w:r>
    </w:p>
    <w:p w14:paraId="019C84EB">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（四）争议处理</w:t>
      </w:r>
    </w:p>
    <w:p w14:paraId="6576BFC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服务商对考核结果有异议的，可在收到考核结果后 3 个工作日内向陕西省医疗保障技术服务中心提交书面申诉及相关证明材料；技术中心收到申诉后 5 个工作日内组织复核，必要时邀请第三方机构参与评审，复核结果为最终考核结果；争议处理期间，服务商需正常履行服务义务，不得擅自中断或降低服务质量。</w:t>
      </w:r>
    </w:p>
    <w:p w14:paraId="45CED62A">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六、其他特殊要求</w:t>
      </w:r>
    </w:p>
    <w:p w14:paraId="18F2ACEF">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val="en-US" w:eastAsia="zh-CN"/>
        </w:rPr>
        <w:t>）保密要求</w:t>
      </w:r>
    </w:p>
    <w:p w14:paraId="5F24454E">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供应商对运维过程中涉及的业务秘密、业务数据和系统安全与风险信息负有保密责任，供应商需与采购人签署保密协议并严格执行。未经采购人书面授权不得使用、传播或公开采购人的保密信息。</w:t>
      </w:r>
    </w:p>
    <w:p w14:paraId="65A89B18">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（四）退出机制要求</w:t>
      </w:r>
    </w:p>
    <w:p w14:paraId="5872761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退出认定：发生以下情形之一的，启动退出机制：</w:t>
      </w:r>
    </w:p>
    <w:p w14:paraId="4DCB8DA5">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（1）服务期内，存在违反有关法律法规规定的。</w:t>
      </w:r>
    </w:p>
    <w:p w14:paraId="35986B90">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（2）服务期内，如服务商提出退出要求，需至少提前 6 个月向采购单位提出退出申请，经批准后需提供 6 个月的延续服务；若由于服务商服务能力不能满足约定要求，例如：数据安全泄露事件、服务考核不达标、服务质量不达标、违反规章规范等情形，采购单位有权终止合同，责令其退出，并由服务商向采购单位支付违约金。</w:t>
      </w:r>
    </w:p>
    <w:p w14:paraId="1BFEA8D7">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（3）服务期满后，若双方不再续约，服务商无条件免费配合各方完成服务交接工作，服务交接期一般延续 6 个月。</w:t>
      </w:r>
    </w:p>
    <w:p w14:paraId="786184D9">
      <w:pPr>
        <w:pStyle w:val="5"/>
        <w:keepNext w:val="0"/>
        <w:keepLines w:val="0"/>
        <w:pageBreakBefore w:val="0"/>
        <w:numPr>
          <w:ilvl w:val="0"/>
          <w:numId w:val="0"/>
        </w:numPr>
        <w:kinsoku/>
        <w:wordWrap/>
        <w:overflowPunct/>
        <w:topLinePunct w:val="0"/>
        <w:autoSpaceDE/>
        <w:autoSpaceDN/>
        <w:bidi w:val="0"/>
        <w:adjustRightInd/>
        <w:snapToGrid/>
        <w:spacing w:before="102" w:line="214"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（4）如服务商丧失履约能力、发生资不抵债或进入破产程序，采购单位可在任何时候以书面形式通知服务商终止本项目的执行而不给予服务商补偿。</w:t>
      </w:r>
    </w:p>
    <w:p w14:paraId="3355DD58">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color w:val="auto"/>
          <w:sz w:val="24"/>
          <w:szCs w:val="24"/>
          <w:highlight w:val="none"/>
          <w:lang w:val="en-US" w:eastAsia="zh-CN"/>
        </w:rPr>
        <w:t>退出程序：退出机制启动后，服务商无条件协助采购单位完成本项目相关系统的移交和退出。从系统迁移出数据并通过数据的完整性、有效性验证，服务商不得自行保留，也不得以技术手段恢复相关数据和文档资料，按相关要求对数据进行安全处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50766D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 w:type="paragraph" w:customStyle="1" w:styleId="5">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7812</Words>
  <Characters>8498</Characters>
  <Lines>0</Lines>
  <Paragraphs>0</Paragraphs>
  <TotalTime>1</TotalTime>
  <ScaleCrop>false</ScaleCrop>
  <LinksUpToDate>false</LinksUpToDate>
  <CharactersWithSpaces>8746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钟玉艳</cp:lastModifiedBy>
  <dcterms:modified xsi:type="dcterms:W3CDTF">2026-03-27T14:24:31Z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eyJoZGlkIjoiYzI5ZmM3ZTRjNzNmYjlhOGQ1NzY4ZTk1NTg5ZDYxNDMiLCJ1c2VySWQiOiIzMzYwMzQ1MTgifQ==</vt:lpwstr>
  </property>
  <property fmtid="{D5CDD505-2E9C-101B-9397-08002B2CF9AE}" pid="4" name="ICV">
    <vt:lpwstr>A783EEA5520648EEAB8DABBDDB2B2100_12</vt:lpwstr>
  </property>
</Properties>
</file>