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51AB">
      <w:pPr>
        <w:spacing w:after="190" w:afterLines="50" w:line="240" w:lineRule="auto"/>
        <w:rPr>
          <w:rFonts w:hint="eastAsia" w:ascii="宋体" w:hAnsi="宋体" w:eastAsia="宋体" w:cs="宋体"/>
          <w:color w:val="000000" w:themeColor="text1"/>
          <w:sz w:val="52"/>
          <w:szCs w:val="52"/>
          <w14:textFill>
            <w14:solidFill>
              <w14:schemeClr w14:val="tx1"/>
            </w14:solidFill>
          </w14:textFill>
        </w:rPr>
      </w:pPr>
      <w:bookmarkStart w:id="0" w:name="_Toc20135"/>
      <w:bookmarkStart w:id="1" w:name="_Toc852"/>
      <w:bookmarkStart w:id="2" w:name="_Toc1"/>
      <w:bookmarkStart w:id="3" w:name="_Toc7047"/>
      <w:bookmarkStart w:id="4" w:name="_Toc6774"/>
      <w:bookmarkStart w:id="5" w:name="_Toc21160"/>
      <w:bookmarkStart w:id="6" w:name="_Toc10513"/>
    </w:p>
    <w:p w14:paraId="1D47F3AA">
      <w:pPr>
        <w:spacing w:after="190" w:afterLines="50" w:line="240" w:lineRule="auto"/>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52"/>
          <w:szCs w:val="52"/>
          <w:lang w:eastAsia="zh-CN"/>
          <w14:textFill>
            <w14:solidFill>
              <w14:schemeClr w14:val="tx1"/>
            </w14:solidFill>
          </w14:textFill>
        </w:rPr>
        <w:t>吴堡县城市投资经营集团有限公司黄河流域吴堡段2026年度采砂服务项目</w:t>
      </w:r>
    </w:p>
    <w:p w14:paraId="721585DF">
      <w:pPr>
        <w:spacing w:line="240" w:lineRule="auto"/>
        <w:jc w:val="center"/>
        <w:rPr>
          <w:rFonts w:hint="eastAsia" w:ascii="宋体" w:hAnsi="宋体" w:eastAsia="宋体" w:cs="宋体"/>
          <w:color w:val="000000" w:themeColor="text1"/>
          <w:kern w:val="0"/>
          <w:sz w:val="96"/>
          <w:szCs w:val="96"/>
          <w14:textFill>
            <w14:solidFill>
              <w14:schemeClr w14:val="tx1"/>
            </w14:solidFill>
          </w14:textFill>
        </w:rPr>
      </w:pPr>
    </w:p>
    <w:p w14:paraId="0CEFC7F7">
      <w:pPr>
        <w:spacing w:line="240" w:lineRule="auto"/>
        <w:jc w:val="center"/>
        <w:rPr>
          <w:rFonts w:hint="eastAsia" w:ascii="宋体" w:hAnsi="宋体" w:eastAsia="宋体" w:cs="宋体"/>
          <w:color w:val="000000" w:themeColor="text1"/>
          <w:sz w:val="96"/>
          <w:szCs w:val="96"/>
          <w14:textFill>
            <w14:solidFill>
              <w14:schemeClr w14:val="tx1"/>
            </w14:solidFill>
          </w14:textFill>
        </w:rPr>
      </w:pPr>
      <w:r>
        <w:rPr>
          <w:rFonts w:hint="eastAsia" w:ascii="宋体" w:hAnsi="宋体" w:eastAsia="宋体" w:cs="宋体"/>
          <w:color w:val="000000" w:themeColor="text1"/>
          <w:kern w:val="0"/>
          <w:sz w:val="96"/>
          <w:szCs w:val="96"/>
          <w14:textFill>
            <w14:solidFill>
              <w14:schemeClr w14:val="tx1"/>
            </w14:solidFill>
          </w14:textFill>
        </w:rPr>
        <w:t>招标文件</w:t>
      </w:r>
    </w:p>
    <w:p w14:paraId="123702A6">
      <w:pPr>
        <w:spacing w:line="240" w:lineRule="auto"/>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项目编号：HDCGDL-ZC202</w:t>
      </w:r>
      <w:r>
        <w:rPr>
          <w:rFonts w:hint="eastAsia" w:ascii="宋体" w:hAnsi="宋体" w:eastAsia="宋体" w:cs="宋体"/>
          <w:color w:val="000000" w:themeColor="text1"/>
          <w:sz w:val="36"/>
          <w:szCs w:val="36"/>
          <w:lang w:val="en-US" w:eastAsia="zh-CN"/>
          <w14:textFill>
            <w14:solidFill>
              <w14:schemeClr w14:val="tx1"/>
            </w14:solidFill>
          </w14:textFill>
        </w:rPr>
        <w:t>6</w:t>
      </w:r>
      <w:r>
        <w:rPr>
          <w:rFonts w:hint="eastAsia" w:ascii="宋体" w:hAnsi="宋体" w:eastAsia="宋体" w:cs="宋体"/>
          <w:color w:val="000000" w:themeColor="text1"/>
          <w:sz w:val="36"/>
          <w:szCs w:val="36"/>
          <w14:textFill>
            <w14:solidFill>
              <w14:schemeClr w14:val="tx1"/>
            </w14:solidFill>
          </w14:textFill>
        </w:rPr>
        <w:t>-</w:t>
      </w:r>
      <w:r>
        <w:rPr>
          <w:rFonts w:hint="eastAsia" w:ascii="宋体" w:hAnsi="宋体" w:eastAsia="宋体" w:cs="宋体"/>
          <w:color w:val="000000" w:themeColor="text1"/>
          <w:sz w:val="36"/>
          <w:szCs w:val="36"/>
          <w:lang w:val="en-US" w:eastAsia="zh-CN"/>
          <w14:textFill>
            <w14:solidFill>
              <w14:schemeClr w14:val="tx1"/>
            </w14:solidFill>
          </w14:textFill>
        </w:rPr>
        <w:t xml:space="preserve">012 </w:t>
      </w:r>
    </w:p>
    <w:p w14:paraId="1DB068C3">
      <w:pPr>
        <w:spacing w:line="240" w:lineRule="auto"/>
        <w:ind w:left="724" w:leftChars="256" w:right="707" w:rightChars="250"/>
        <w:jc w:val="left"/>
        <w:rPr>
          <w:rFonts w:hint="eastAsia" w:ascii="宋体" w:hAnsi="宋体" w:eastAsia="宋体" w:cs="宋体"/>
          <w:color w:val="000000" w:themeColor="text1"/>
          <w:sz w:val="36"/>
          <w:szCs w:val="36"/>
          <w14:textFill>
            <w14:solidFill>
              <w14:schemeClr w14:val="tx1"/>
            </w14:solidFill>
          </w14:textFill>
        </w:rPr>
      </w:pPr>
    </w:p>
    <w:p w14:paraId="1848EF59">
      <w:pPr>
        <w:spacing w:line="240" w:lineRule="auto"/>
        <w:ind w:left="724" w:leftChars="256" w:right="707" w:rightChars="250"/>
        <w:jc w:val="left"/>
        <w:rPr>
          <w:rFonts w:hint="eastAsia" w:ascii="宋体" w:hAnsi="宋体" w:eastAsia="宋体" w:cs="宋体"/>
          <w:color w:val="000000" w:themeColor="text1"/>
          <w:sz w:val="36"/>
          <w:szCs w:val="36"/>
          <w14:textFill>
            <w14:solidFill>
              <w14:schemeClr w14:val="tx1"/>
            </w14:solidFill>
          </w14:textFill>
        </w:rPr>
      </w:pPr>
    </w:p>
    <w:p w14:paraId="66C54062">
      <w:pPr>
        <w:pStyle w:val="3"/>
        <w:rPr>
          <w:rFonts w:hint="eastAsia"/>
          <w:color w:val="000000" w:themeColor="text1"/>
          <w14:textFill>
            <w14:solidFill>
              <w14:schemeClr w14:val="tx1"/>
            </w14:solidFill>
          </w14:textFill>
        </w:rPr>
      </w:pPr>
    </w:p>
    <w:p w14:paraId="6D1F8B01">
      <w:pPr>
        <w:spacing w:line="240" w:lineRule="auto"/>
        <w:ind w:left="724" w:leftChars="256" w:right="707" w:rightChars="250"/>
        <w:jc w:val="left"/>
        <w:rPr>
          <w:rFonts w:hint="eastAsia" w:ascii="宋体" w:hAnsi="宋体" w:eastAsia="宋体" w:cs="宋体"/>
          <w:color w:val="000000" w:themeColor="text1"/>
          <w:sz w:val="36"/>
          <w:szCs w:val="36"/>
          <w14:textFill>
            <w14:solidFill>
              <w14:schemeClr w14:val="tx1"/>
            </w14:solidFill>
          </w14:textFill>
        </w:rPr>
      </w:pPr>
    </w:p>
    <w:p w14:paraId="2F3CEF6A">
      <w:pPr>
        <w:spacing w:line="240" w:lineRule="auto"/>
        <w:ind w:left="724" w:leftChars="256" w:right="707" w:rightChars="250"/>
        <w:jc w:val="left"/>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采 购 人：</w:t>
      </w:r>
      <w:r>
        <w:rPr>
          <w:rFonts w:hint="eastAsia" w:ascii="宋体" w:hAnsi="宋体" w:eastAsia="宋体" w:cs="宋体"/>
          <w:color w:val="000000" w:themeColor="text1"/>
          <w:sz w:val="36"/>
          <w:szCs w:val="36"/>
          <w:lang w:val="en-US" w:eastAsia="zh-CN"/>
          <w14:textFill>
            <w14:solidFill>
              <w14:schemeClr w14:val="tx1"/>
            </w14:solidFill>
          </w14:textFill>
        </w:rPr>
        <w:t>吴堡县城市投资经营集团有限公司</w:t>
      </w:r>
    </w:p>
    <w:p w14:paraId="11725647">
      <w:pPr>
        <w:spacing w:line="240" w:lineRule="auto"/>
        <w:ind w:left="724" w:leftChars="256" w:right="707" w:rightChars="250"/>
        <w:jc w:val="left"/>
        <w:rPr>
          <w:rFonts w:hint="eastAsia" w:ascii="宋体" w:hAnsi="宋体" w:eastAsia="宋体" w:cs="宋体"/>
          <w:color w:val="000000" w:themeColor="text1"/>
          <w:sz w:val="36"/>
          <w:szCs w:val="36"/>
          <w:lang w:val="en-US" w:eastAsia="zh-CN"/>
          <w14:textFill>
            <w14:solidFill>
              <w14:schemeClr w14:val="tx1"/>
            </w14:solidFill>
          </w14:textFill>
        </w:rPr>
      </w:pPr>
    </w:p>
    <w:p w14:paraId="0FB83F4A">
      <w:pPr>
        <w:spacing w:line="240" w:lineRule="auto"/>
        <w:ind w:right="11" w:firstLine="726" w:firstLineChars="200"/>
        <w:jc w:val="left"/>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采购代理机构：</w:t>
      </w:r>
      <w:r>
        <w:rPr>
          <w:rFonts w:hint="eastAsia" w:ascii="宋体" w:hAnsi="宋体" w:eastAsia="宋体" w:cs="宋体"/>
          <w:color w:val="000000" w:themeColor="text1"/>
          <w:sz w:val="36"/>
          <w:szCs w:val="36"/>
          <w:lang w:eastAsia="zh-CN"/>
          <w14:textFill>
            <w14:solidFill>
              <w14:schemeClr w14:val="tx1"/>
            </w14:solidFill>
          </w14:textFill>
        </w:rPr>
        <w:t>华鼎工程咨询集团有限公司</w:t>
      </w:r>
    </w:p>
    <w:p w14:paraId="0E68CCE8">
      <w:pPr>
        <w:spacing w:line="240" w:lineRule="auto"/>
        <w:ind w:right="11" w:firstLine="726" w:firstLineChars="200"/>
        <w:jc w:val="left"/>
        <w:rPr>
          <w:rFonts w:hint="eastAsia" w:ascii="宋体" w:hAnsi="宋体" w:eastAsia="宋体" w:cs="宋体"/>
          <w:color w:val="000000" w:themeColor="text1"/>
          <w:sz w:val="36"/>
          <w:szCs w:val="36"/>
          <w14:textFill>
            <w14:solidFill>
              <w14:schemeClr w14:val="tx1"/>
            </w14:solidFill>
          </w14:textFill>
        </w:rPr>
      </w:pPr>
    </w:p>
    <w:p w14:paraId="6D9A4FB5">
      <w:pPr>
        <w:spacing w:line="240" w:lineRule="auto"/>
        <w:ind w:right="11" w:firstLine="726" w:firstLineChars="200"/>
        <w:jc w:val="center"/>
        <w:rPr>
          <w:rFonts w:hint="eastAsia" w:ascii="宋体" w:hAnsi="宋体" w:eastAsia="宋体" w:cs="宋体"/>
          <w:bCs/>
          <w:color w:val="000000" w:themeColor="text1"/>
          <w:sz w:val="36"/>
          <w:szCs w:val="36"/>
          <w:lang w:val="en-US" w:eastAsia="zh-CN"/>
          <w14:textFill>
            <w14:solidFill>
              <w14:schemeClr w14:val="tx1"/>
            </w14:solidFill>
          </w14:textFill>
        </w:rPr>
        <w:sectPr>
          <w:headerReference r:id="rId5" w:type="default"/>
          <w:footerReference r:id="rId6" w:type="default"/>
          <w:pgSz w:w="11906" w:h="16838"/>
          <w:pgMar w:top="1417" w:right="1417" w:bottom="1417" w:left="1417" w:header="850" w:footer="992" w:gutter="0"/>
          <w:pgNumType w:start="1"/>
          <w:cols w:space="720" w:num="1"/>
          <w:docGrid w:type="linesAndChars" w:linePitch="381" w:charSpace="704"/>
        </w:sectPr>
      </w:pPr>
      <w:r>
        <w:rPr>
          <w:rFonts w:hint="eastAsia" w:ascii="宋体" w:hAnsi="宋体" w:eastAsia="宋体" w:cs="宋体"/>
          <w:bCs/>
          <w:color w:val="000000" w:themeColor="text1"/>
          <w:sz w:val="36"/>
          <w:szCs w:val="36"/>
          <w:lang w:val="en-US" w:eastAsia="zh-CN"/>
          <w14:textFill>
            <w14:solidFill>
              <w14:schemeClr w14:val="tx1"/>
            </w14:solidFill>
          </w14:textFill>
        </w:rPr>
        <w:t>2026年3月</w:t>
      </w:r>
    </w:p>
    <w:p w14:paraId="59F033B4">
      <w:pPr>
        <w:spacing w:line="240" w:lineRule="auto"/>
        <w:ind w:right="11"/>
        <w:jc w:val="center"/>
        <w:rPr>
          <w:rFonts w:hint="eastAsia" w:ascii="宋体" w:hAnsi="宋体" w:eastAsia="宋体" w:cs="宋体"/>
          <w:b/>
          <w:bCs/>
          <w:color w:val="000000" w:themeColor="text1"/>
          <w:sz w:val="40"/>
          <w:szCs w:val="40"/>
          <w14:textFill>
            <w14:solidFill>
              <w14:schemeClr w14:val="tx1"/>
            </w14:solidFill>
          </w14:textFill>
        </w:rPr>
      </w:pPr>
      <w:r>
        <w:rPr>
          <w:rFonts w:hint="eastAsia" w:ascii="宋体" w:hAnsi="宋体" w:eastAsia="宋体" w:cs="宋体"/>
          <w:b/>
          <w:bCs/>
          <w:color w:val="000000" w:themeColor="text1"/>
          <w:sz w:val="40"/>
          <w:szCs w:val="40"/>
          <w14:textFill>
            <w14:solidFill>
              <w14:schemeClr w14:val="tx1"/>
            </w14:solidFill>
          </w14:textFill>
        </w:rPr>
        <w:t>目  录</w:t>
      </w:r>
      <w:bookmarkEnd w:id="0"/>
      <w:bookmarkEnd w:id="1"/>
      <w:bookmarkEnd w:id="2"/>
      <w:bookmarkEnd w:id="3"/>
      <w:bookmarkEnd w:id="4"/>
      <w:bookmarkEnd w:id="5"/>
      <w:bookmarkEnd w:id="6"/>
    </w:p>
    <w:p w14:paraId="725C421F">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p w14:paraId="1E95EB08">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第一章  </w:t>
      </w:r>
      <w:bookmarkStart w:id="7" w:name="_Toc495012769"/>
      <w:bookmarkStart w:id="8" w:name="_Toc495012819"/>
      <w:bookmarkStart w:id="9" w:name="_Toc445306491"/>
      <w:bookmarkStart w:id="10" w:name="_Toc495014918"/>
      <w:bookmarkStart w:id="11" w:name="_Toc495014647"/>
      <w:bookmarkStart w:id="12" w:name="_Toc495014583"/>
      <w:bookmarkStart w:id="13" w:name="_Toc495014609"/>
      <w:bookmarkStart w:id="14" w:name="_Toc495014952"/>
      <w:r>
        <w:rPr>
          <w:rFonts w:hint="eastAsia" w:ascii="宋体" w:hAnsi="宋体" w:eastAsia="宋体" w:cs="宋体"/>
          <w:color w:val="000000" w:themeColor="text1"/>
          <w:sz w:val="32"/>
          <w:szCs w:val="32"/>
          <w14:textFill>
            <w14:solidFill>
              <w14:schemeClr w14:val="tx1"/>
            </w14:solidFill>
          </w14:textFill>
        </w:rPr>
        <w:t>招标公告</w:t>
      </w:r>
    </w:p>
    <w:p w14:paraId="69B56B79">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第二章  投标人须知</w:t>
      </w:r>
    </w:p>
    <w:p w14:paraId="10048F20">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第三章  评审办法及标准 </w:t>
      </w:r>
    </w:p>
    <w:p w14:paraId="2851E059">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第四章  招标内容及采购需求</w:t>
      </w:r>
    </w:p>
    <w:p w14:paraId="39ADB019">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第五章  合同基本条款</w:t>
      </w:r>
    </w:p>
    <w:p w14:paraId="2EFEC4F0">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第六章  投标文件构成及格式</w:t>
      </w:r>
    </w:p>
    <w:p w14:paraId="26C7F9F7">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第一部分  资格证明文件</w:t>
      </w:r>
    </w:p>
    <w:p w14:paraId="68E670EC">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第二部分  符合性证明文件</w:t>
      </w:r>
    </w:p>
    <w:p w14:paraId="57BD38D4">
      <w:pPr>
        <w:pStyle w:val="15"/>
        <w:ind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第三部分  投标方案</w:t>
      </w:r>
    </w:p>
    <w:p w14:paraId="4E3FE818">
      <w:pPr>
        <w:pStyle w:val="12"/>
        <w:tabs>
          <w:tab w:val="right" w:leader="dot" w:pos="9062"/>
        </w:tabs>
        <w:jc w:val="left"/>
        <w:rPr>
          <w:rFonts w:hint="eastAsia" w:ascii="宋体" w:hAnsi="宋体" w:eastAsia="宋体" w:cs="宋体"/>
          <w:color w:val="000000" w:themeColor="text1"/>
          <w14:textFill>
            <w14:solidFill>
              <w14:schemeClr w14:val="tx1"/>
            </w14:solidFill>
          </w14:textFill>
        </w:rPr>
      </w:pPr>
    </w:p>
    <w:p w14:paraId="36207507">
      <w:pPr>
        <w:pStyle w:val="12"/>
        <w:tabs>
          <w:tab w:val="right" w:leader="dot" w:pos="9062"/>
        </w:tabs>
        <w:jc w:val="left"/>
        <w:rPr>
          <w:rFonts w:hint="eastAsia" w:ascii="宋体" w:hAnsi="宋体" w:eastAsia="宋体" w:cs="宋体"/>
          <w:color w:val="000000" w:themeColor="text1"/>
          <w14:textFill>
            <w14:solidFill>
              <w14:schemeClr w14:val="tx1"/>
            </w14:solidFill>
          </w14:textFill>
        </w:rPr>
      </w:pPr>
    </w:p>
    <w:bookmarkEnd w:id="7"/>
    <w:bookmarkEnd w:id="8"/>
    <w:bookmarkEnd w:id="9"/>
    <w:bookmarkEnd w:id="10"/>
    <w:bookmarkEnd w:id="11"/>
    <w:bookmarkEnd w:id="12"/>
    <w:bookmarkEnd w:id="13"/>
    <w:bookmarkEnd w:id="14"/>
    <w:p w14:paraId="6B2F4B8C">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73F90439">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02EE7990">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5C4F7DDF">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4AB359C4">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0ADA0384">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0A5434D8">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1DCB5C27">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390A9D9C">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p>
    <w:p w14:paraId="14692C84">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sectPr>
          <w:headerReference r:id="rId7" w:type="default"/>
          <w:footerReference r:id="rId8" w:type="default"/>
          <w:pgSz w:w="11906" w:h="16838"/>
          <w:pgMar w:top="1417" w:right="1418" w:bottom="1417" w:left="1418" w:header="851" w:footer="794" w:gutter="0"/>
          <w:pgNumType w:start="1"/>
          <w:cols w:space="720" w:num="1"/>
          <w:docGrid w:type="linesAndChars" w:linePitch="381" w:charSpace="704"/>
        </w:sectPr>
      </w:pPr>
    </w:p>
    <w:p w14:paraId="6D55F8F8">
      <w:pPr>
        <w:pStyle w:val="31"/>
        <w:spacing w:line="500" w:lineRule="exact"/>
        <w:ind w:firstLine="649"/>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第一章</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招标公告</w:t>
      </w:r>
    </w:p>
    <w:p w14:paraId="436D8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00" w:lineRule="exact"/>
        <w:ind w:left="0" w:firstLine="0"/>
        <w:jc w:val="center"/>
        <w:textAlignment w:val="auto"/>
        <w:rPr>
          <w:rFonts w:hint="eastAsia" w:asciiTheme="minorEastAsia" w:hAnsiTheme="minorEastAsia" w:eastAsiaTheme="minorEastAsia" w:cstheme="minorEastAsia"/>
          <w:b/>
          <w:bCs/>
          <w:i w:val="0"/>
          <w:iCs w:val="0"/>
          <w:caps w:val="0"/>
          <w:color w:val="333333"/>
          <w:spacing w:val="0"/>
          <w:kern w:val="0"/>
          <w:sz w:val="32"/>
          <w:szCs w:val="32"/>
          <w:shd w:val="clear" w:fill="FFFFFF"/>
          <w:lang w:val="en-US" w:eastAsia="zh-CN" w:bidi="ar"/>
        </w:rPr>
      </w:pPr>
      <w:bookmarkStart w:id="430" w:name="_GoBack"/>
      <w:r>
        <w:rPr>
          <w:rFonts w:hint="eastAsia" w:asciiTheme="minorEastAsia" w:hAnsiTheme="minorEastAsia" w:eastAsiaTheme="minorEastAsia" w:cstheme="minorEastAsia"/>
          <w:b/>
          <w:bCs/>
          <w:i w:val="0"/>
          <w:iCs w:val="0"/>
          <w:caps w:val="0"/>
          <w:color w:val="333333"/>
          <w:spacing w:val="0"/>
          <w:kern w:val="0"/>
          <w:sz w:val="32"/>
          <w:szCs w:val="32"/>
          <w:shd w:val="clear" w:fill="FFFFFF"/>
          <w:lang w:val="en-US" w:eastAsia="zh-CN" w:bidi="ar"/>
        </w:rPr>
        <w:t>吴堡县城市投资经营集团有限公司黄河流域吴堡段2026年度</w:t>
      </w:r>
    </w:p>
    <w:p w14:paraId="324D2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00" w:lineRule="exact"/>
        <w:ind w:left="0" w:firstLine="0"/>
        <w:jc w:val="center"/>
        <w:textAlignment w:val="auto"/>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kern w:val="0"/>
          <w:sz w:val="32"/>
          <w:szCs w:val="32"/>
          <w:shd w:val="clear" w:fill="FFFFFF"/>
          <w:lang w:val="en-US" w:eastAsia="zh-CN" w:bidi="ar"/>
        </w:rPr>
        <w:t>采砂服务项目招标公告</w:t>
      </w:r>
    </w:p>
    <w:p w14:paraId="04F1D3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项目概况</w:t>
      </w:r>
    </w:p>
    <w:p w14:paraId="3EB7C4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黄河流域吴堡段2026年度采砂服务项目招标项目的潜在投标人应在CA锁报名后自行下载获取招标文件，并于 2026年03月27日 09时</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333333"/>
          <w:spacing w:val="0"/>
          <w:sz w:val="28"/>
          <w:szCs w:val="28"/>
          <w:shd w:val="clear" w:fill="FFFFFF"/>
        </w:rPr>
        <w:t>0分 （北京时间）前递交投标文件。</w:t>
      </w:r>
    </w:p>
    <w:p w14:paraId="4C867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一、项目基本情况</w:t>
      </w:r>
    </w:p>
    <w:p w14:paraId="3DE416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项目编号：HDCGDL-ZC2026-012</w:t>
      </w:r>
    </w:p>
    <w:p w14:paraId="59B657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项目名称：黄河流域吴堡段2026年度采砂服务项目</w:t>
      </w:r>
    </w:p>
    <w:p w14:paraId="227481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采购方式：公开招标</w:t>
      </w:r>
    </w:p>
    <w:p w14:paraId="6DFF8C7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预算金额：17,500,000.00元</w:t>
      </w:r>
    </w:p>
    <w:p w14:paraId="62DBD0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采购需求：</w:t>
      </w:r>
    </w:p>
    <w:p w14:paraId="68BEE3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合同包1(吴堡县城市投资经营集团有限公司黄河流域吴堡段2026年度采砂服务项目(一标包：下山畔采砂区)):</w:t>
      </w:r>
    </w:p>
    <w:p w14:paraId="4C3069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合同包预算金额：2,500,000.00元</w:t>
      </w:r>
    </w:p>
    <w:p w14:paraId="6B955A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合同包最高限价：2,500,000.00元</w:t>
      </w:r>
    </w:p>
    <w:tbl>
      <w:tblPr>
        <w:tblStyle w:val="17"/>
        <w:tblW w:w="100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8"/>
        <w:gridCol w:w="2138"/>
        <w:gridCol w:w="2138"/>
        <w:gridCol w:w="1553"/>
        <w:gridCol w:w="1659"/>
        <w:gridCol w:w="1942"/>
      </w:tblGrid>
      <w:tr w14:paraId="2F5DC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9" w:hRule="atLeast"/>
          <w:tblHeader/>
        </w:trPr>
        <w:tc>
          <w:tcPr>
            <w:tcW w:w="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B914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品目号</w:t>
            </w:r>
          </w:p>
        </w:tc>
        <w:tc>
          <w:tcPr>
            <w:tcW w:w="26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2FFE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品目名称</w:t>
            </w:r>
          </w:p>
        </w:tc>
        <w:tc>
          <w:tcPr>
            <w:tcW w:w="26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4043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采购标的</w:t>
            </w:r>
          </w:p>
        </w:tc>
        <w:tc>
          <w:tcPr>
            <w:tcW w:w="1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F930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数量（单位）</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F3E8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技术规格、参数及要求</w:t>
            </w:r>
          </w:p>
        </w:tc>
        <w:tc>
          <w:tcPr>
            <w:tcW w:w="11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BF5E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品目预算(元)</w:t>
            </w:r>
          </w:p>
        </w:tc>
      </w:tr>
      <w:tr w14:paraId="54D4A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BF1E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92AF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采矿业服务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C7B9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下山畔采砂区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1561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125,000(吨)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B5DF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69B1F6">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2,500,000.00</w:t>
            </w:r>
          </w:p>
        </w:tc>
      </w:tr>
    </w:tbl>
    <w:p w14:paraId="1EBDEC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本合同包不接受联合体投标</w:t>
      </w:r>
    </w:p>
    <w:p w14:paraId="5ECE5D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合同履行期限：165日历天</w:t>
      </w:r>
    </w:p>
    <w:p w14:paraId="427413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合同包2(吴堡县城市投资经营集团有限公司黄河流域吴堡段2026年度采砂服务项目(二标包：槐树港上段采砂区)):</w:t>
      </w:r>
    </w:p>
    <w:p w14:paraId="35D258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合同包预算金额：6,250,000.00元</w:t>
      </w:r>
    </w:p>
    <w:p w14:paraId="113B8DF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合同包最高限价：6,250,000.00元</w:t>
      </w:r>
    </w:p>
    <w:tbl>
      <w:tblPr>
        <w:tblStyle w:val="17"/>
        <w:tblW w:w="100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2"/>
        <w:gridCol w:w="2108"/>
        <w:gridCol w:w="2108"/>
        <w:gridCol w:w="1546"/>
        <w:gridCol w:w="1652"/>
        <w:gridCol w:w="1941"/>
      </w:tblGrid>
      <w:tr w14:paraId="49454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7" w:hRule="atLeast"/>
          <w:tblHeader/>
        </w:trPr>
        <w:tc>
          <w:tcPr>
            <w:tcW w:w="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3EE5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品目号</w:t>
            </w:r>
          </w:p>
        </w:tc>
        <w:tc>
          <w:tcPr>
            <w:tcW w:w="2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42EC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品目名称</w:t>
            </w:r>
          </w:p>
        </w:tc>
        <w:tc>
          <w:tcPr>
            <w:tcW w:w="2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831E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采购标的</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C40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数量（单位）</w:t>
            </w:r>
          </w:p>
        </w:tc>
        <w:tc>
          <w:tcPr>
            <w:tcW w:w="1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4CF5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技术规格、参数及要求</w:t>
            </w:r>
          </w:p>
        </w:tc>
        <w:tc>
          <w:tcPr>
            <w:tcW w:w="1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0DF7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品目预算(元)</w:t>
            </w:r>
          </w:p>
        </w:tc>
      </w:tr>
      <w:tr w14:paraId="5595C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024C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55B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采矿业服务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3F18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槐树港上段采砂区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4BE37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312,500(吨)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3BB0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7238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6,250,000.00</w:t>
            </w:r>
          </w:p>
        </w:tc>
      </w:tr>
    </w:tbl>
    <w:p w14:paraId="2E16CA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本合同包不接受联合体投标</w:t>
      </w:r>
    </w:p>
    <w:p w14:paraId="548BF2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合同履行期限：165日历天</w:t>
      </w:r>
    </w:p>
    <w:p w14:paraId="1A1357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合同包3(吴堡县城市投资经营集团有限公司黄河流域吴堡段2026年度采砂服务项目(三标包：槐树港下段采砂区)):</w:t>
      </w:r>
    </w:p>
    <w:p w14:paraId="6021BB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合同包预算金额：2,500,000.00元</w:t>
      </w:r>
    </w:p>
    <w:p w14:paraId="58270C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合同包最高限价：2,500,000.00元</w:t>
      </w:r>
    </w:p>
    <w:tbl>
      <w:tblPr>
        <w:tblStyle w:val="17"/>
        <w:tblW w:w="100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5"/>
        <w:gridCol w:w="1106"/>
        <w:gridCol w:w="1121"/>
        <w:gridCol w:w="3459"/>
        <w:gridCol w:w="1885"/>
        <w:gridCol w:w="1941"/>
      </w:tblGrid>
      <w:tr w14:paraId="4A6A8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12" w:hRule="atLeast"/>
          <w:tblHeader/>
        </w:trPr>
        <w:tc>
          <w:tcPr>
            <w:tcW w:w="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9B2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品目号</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FB61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品目名称</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DC68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采购标的</w:t>
            </w:r>
          </w:p>
        </w:tc>
        <w:tc>
          <w:tcPr>
            <w:tcW w:w="3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D46A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数量（单位）</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5D68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技术规格、参数及要求</w:t>
            </w:r>
          </w:p>
        </w:tc>
        <w:tc>
          <w:tcPr>
            <w:tcW w:w="1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0A6D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品目预算(元)</w:t>
            </w:r>
          </w:p>
        </w:tc>
      </w:tr>
      <w:tr w14:paraId="635F4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84AD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3-1</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FE29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采矿业服务</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693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槐树港下段采砂区</w:t>
            </w:r>
          </w:p>
        </w:tc>
        <w:tc>
          <w:tcPr>
            <w:tcW w:w="3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85E1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125,000(吨)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EA42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C39F32">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2,500,000.00</w:t>
            </w:r>
          </w:p>
        </w:tc>
      </w:tr>
    </w:tbl>
    <w:p w14:paraId="3B58CB5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本合同包不接受联合体投标</w:t>
      </w:r>
    </w:p>
    <w:p w14:paraId="2121BA9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合同履行期限：165日历天</w:t>
      </w:r>
    </w:p>
    <w:p w14:paraId="72E2BD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合同包4(吴堡县城市投资经营集团有限公司黄河流域吴堡段2026年度采砂服务项目(四标包：冉湾采砂区)):</w:t>
      </w:r>
    </w:p>
    <w:p w14:paraId="21A687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合同包预算金额：6,250,000.00元</w:t>
      </w:r>
    </w:p>
    <w:p w14:paraId="2E1070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合同包最高限价：6,250,000.00元</w:t>
      </w:r>
    </w:p>
    <w:tbl>
      <w:tblPr>
        <w:tblStyle w:val="17"/>
        <w:tblW w:w="9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1910"/>
        <w:gridCol w:w="1910"/>
        <w:gridCol w:w="1681"/>
        <w:gridCol w:w="1806"/>
        <w:gridCol w:w="1941"/>
      </w:tblGrid>
      <w:tr w14:paraId="46A5C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05" w:hRule="atLeast"/>
          <w:tblHeader/>
        </w:trPr>
        <w:tc>
          <w:tcPr>
            <w:tcW w:w="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7F80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品目号</w:t>
            </w:r>
          </w:p>
        </w:tc>
        <w:tc>
          <w:tcPr>
            <w:tcW w:w="2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4B51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品目名称</w:t>
            </w:r>
          </w:p>
        </w:tc>
        <w:tc>
          <w:tcPr>
            <w:tcW w:w="2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A0E2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采购标的</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9325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数量（单位）</w:t>
            </w:r>
          </w:p>
        </w:tc>
        <w:tc>
          <w:tcPr>
            <w:tcW w:w="1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FAE14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技术规格、参数及要求</w:t>
            </w:r>
          </w:p>
        </w:tc>
        <w:tc>
          <w:tcPr>
            <w:tcW w:w="18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338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
              </w:rPr>
              <w:t>品目预算(元)</w:t>
            </w:r>
          </w:p>
        </w:tc>
      </w:tr>
      <w:tr w14:paraId="46FB9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7324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3838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采矿业服务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1B2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冉湾采砂区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697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312,500(吨)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45DC5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D054F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6,250,000.00</w:t>
            </w:r>
          </w:p>
        </w:tc>
      </w:tr>
    </w:tbl>
    <w:p w14:paraId="77C981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本合同包不接受联合体投标</w:t>
      </w:r>
    </w:p>
    <w:p w14:paraId="27F809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合同履行期限：165日历天</w:t>
      </w:r>
    </w:p>
    <w:p w14:paraId="25FF3A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二、申请人的资格要求：</w:t>
      </w:r>
    </w:p>
    <w:p w14:paraId="4E792F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1.满足《中华人民共和国政府采购法》第二十二条规定;</w:t>
      </w:r>
    </w:p>
    <w:p w14:paraId="3DE01B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2.落实政府采购政策需满足的资格要求：</w:t>
      </w:r>
    </w:p>
    <w:p w14:paraId="432EDD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合同包1(吴堡县城市投资经营集团有限公司黄河流域吴堡段2026年度采砂服务项目(一标包：下山畔采砂区))落实政府采购政策需满足的资格要求如下:</w:t>
      </w:r>
    </w:p>
    <w:p w14:paraId="088CB9D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①《财政部工业和信息化部关于印发〈政府采购促进中小企业发展管理办法〉的通知》（财库〔2020〕46号）；</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②《财政部司法部关于政府采购支持监狱企业发展有关问题的通知》（财库〔2014〕68号）；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③《三部门联合发布关于促进残疾人就业政府采购政策的通知》（财库〔2017〕141号）；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④《陕西省财政厅关于印发〈陕西省中小企业政府采购信用融资办法〉的通知》（陕财办采〔2018〕23号）；</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⑤本项目不专门面向中小企业采购；</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⑥其他需要落实的政府采购政策。</w:t>
      </w:r>
    </w:p>
    <w:p w14:paraId="49BBD6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合同包2(吴堡县城市投资经营集团有限公司黄河流域吴堡段2026年度采砂服务项目(二标包：槐树港上段采砂区))落实政府采购政策需满足的资格要求如下:</w:t>
      </w:r>
    </w:p>
    <w:p w14:paraId="0FD303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同合同包1</w:t>
      </w:r>
    </w:p>
    <w:p w14:paraId="15C4F64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合同包3(吴堡县城市投资经营集团有限公司黄河流域吴堡段2026年度采砂服务项目(三标包：槐树港下段采砂区))落实政府采购政策需满足的资格要求如下:</w:t>
      </w:r>
    </w:p>
    <w:p w14:paraId="10B315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同合同包1</w:t>
      </w:r>
    </w:p>
    <w:p w14:paraId="60A4C0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合同包4(吴堡县城市投资经营集团有限公司黄河流域吴堡段2026年度采砂服务项目(四标包：冉湾采砂区))落实政府采购政策需满足的资格要求如下:</w:t>
      </w:r>
    </w:p>
    <w:p w14:paraId="59B6C8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同合同包1</w:t>
      </w:r>
    </w:p>
    <w:p w14:paraId="06DDF7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3.本项目的特定资格要求：</w:t>
      </w:r>
    </w:p>
    <w:p w14:paraId="2ACC7DF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合同包1(吴堡县城市投资经营集团有限公司黄河流域吴堡段2026年度采砂服务项目(一标包：下山畔采砂区))特定资格要求如下:</w:t>
      </w:r>
    </w:p>
    <w:p w14:paraId="1E0B8E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（1）营业执照等主体资格证明文件。</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（2）社保缴纳证明：提供供应商已缴存的2025年6月1日以来任意月份的社会保障资金缴存单据或社保机构开具的社会保险参保缴费情况证明。依法不需要缴纳社会保障资金的供应商应提供相关文件证明。</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（3）税收缴纳证明：提供供应商已缴纳的2025年6月1日以来任意月份的纳税证明或完税证明，纳税证明或完税证明上应有代收机构或税务机关的公章或业务专用章。依法免税的供应商应提供相关文件证明。</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（4）财务状况报告：提供2024年的财务审计报告，成立时间至提交投标文件递交截止时间不足一年的，须提供其基本存款账户开户银行近三个月内出具的银行资信证明或自成立以来的财务报表。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（5）提供具有履行合同所必需的设备和专业技术能力承诺函。</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（6）法定代表人授权委托书：法定代表人参加投标的，提供本人身份证复印件；法定代表人授权他人参加投标的，提供法定代表人授权委托书。</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7）信用记录：对列入“信用中国”网站（www.creditchina.gov.cn）“失信被执行人、税收违法黑名单、企业经营异常名录”记录名单，以及中国政府采购网（www.ccgp.gov.cn）“政府采购严重违法失信行为信息记录”的单位，应当拒绝其参与政府采购活动（查询日期为从招标文件发售之日起至投标截止日前），并附网页截图加盖投标人公章。</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8）供应商应在“信用中国（陕西榆林）”网站进行注册、登录，自主上报信用承诺书（网址：https://credit.yl.gov.cn/）。承诺事项：《榆林市政府采购工程类/货物类/服务类项目供应商信用承诺书》，需上传至承诺书附件；承诺有效期为一年。（承诺书附网页截图及加盖投标人公章）</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（9）供应商拟投入本项目的开采作业船舶应具有有效船舶检验证书。</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（10）投标信用承诺书（保证金）（承诺书效力和作用等同投标保证金）。</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（11）参加政府采购活动前三年内，在经营活动中没有重大违法记录的书面声明。</w:t>
      </w:r>
      <w:r>
        <w:rPr>
          <w:rFonts w:hint="eastAsia" w:asciiTheme="minorEastAsia" w:hAnsiTheme="minorEastAsia" w:eastAsiaTheme="minorEastAsia" w:cstheme="minorEastAsia"/>
          <w:i w:val="0"/>
          <w:iCs w:val="0"/>
          <w:caps w:val="0"/>
          <w:color w:val="333333"/>
          <w:spacing w:val="0"/>
          <w:sz w:val="28"/>
          <w:szCs w:val="28"/>
          <w:shd w:val="clear" w:fill="FFFFFF"/>
        </w:rPr>
        <w:br w:type="textWrapping"/>
      </w:r>
      <w:r>
        <w:rPr>
          <w:rFonts w:hint="eastAsia" w:asciiTheme="minorEastAsia" w:hAnsiTheme="minorEastAsia" w:eastAsiaTheme="minorEastAsia" w:cstheme="minorEastAsia"/>
          <w:i w:val="0"/>
          <w:iCs w:val="0"/>
          <w:caps w:val="0"/>
          <w:color w:val="333333"/>
          <w:spacing w:val="0"/>
          <w:sz w:val="28"/>
          <w:szCs w:val="28"/>
          <w:shd w:val="clear" w:fill="FFFFFF"/>
        </w:rPr>
        <w:t>（12）本项目不接受联合体投标，须提供非联合体投标声明函（单位负责人为同一人或者存在直接控股、管理关系的不同投标人，不得参加同一合同项下的政府采购活动，不允许分包、转包）。</w:t>
      </w:r>
    </w:p>
    <w:p w14:paraId="56B48E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合同包2(吴堡县城市投资经营集团有限公司黄河流域吴堡段2026年度采砂服务项目(二标包：槐树港上段采砂区))特定资格要求如下:</w:t>
      </w:r>
    </w:p>
    <w:p w14:paraId="3A60D9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同合同包1</w:t>
      </w:r>
    </w:p>
    <w:p w14:paraId="7E848F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合同包3(吴堡县城市投资经营集团有限公司黄河流域吴堡段2026年度采砂服务项目(三标包：槐树港下段采砂区))特定资格要求如下:</w:t>
      </w:r>
    </w:p>
    <w:p w14:paraId="1FC0F26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同合同包1</w:t>
      </w:r>
    </w:p>
    <w:p w14:paraId="1D9A15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合同包4(吴堡县城市投资经营集团有限公司黄河流域吴堡段2026年度采砂服务项目(四标包：冉湾采砂区))特定资格要求如下:</w:t>
      </w:r>
    </w:p>
    <w:p w14:paraId="17D6CA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同合同包1</w:t>
      </w:r>
    </w:p>
    <w:p w14:paraId="16B6F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三、获取招标文件</w:t>
      </w:r>
    </w:p>
    <w:p w14:paraId="29AD8A3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时间： 2026年03月06日 至 2026年03月12日 ，每天上午 08:30:00 至 12:00:00 ，下午 12:00:00 至 18:00:00 （北京时间）</w:t>
      </w:r>
    </w:p>
    <w:p w14:paraId="749406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途径：CA锁报名后自行下载</w:t>
      </w:r>
    </w:p>
    <w:p w14:paraId="5EC4CA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方式：在线获取</w:t>
      </w:r>
    </w:p>
    <w:p w14:paraId="0FFAAA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售价： 0元</w:t>
      </w:r>
    </w:p>
    <w:p w14:paraId="723BF6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四、提交投标文件截止时间、开标时间和地点</w:t>
      </w:r>
    </w:p>
    <w:p w14:paraId="6C7A4D9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时间： 2026年03月27日 09时</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333333"/>
          <w:spacing w:val="0"/>
          <w:sz w:val="28"/>
          <w:szCs w:val="28"/>
          <w:shd w:val="clear" w:fill="FFFFFF"/>
        </w:rPr>
        <w:t>0分00秒 （北京时间）</w:t>
      </w:r>
    </w:p>
    <w:p w14:paraId="07014D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提交投标文件地点：网上递交</w:t>
      </w:r>
    </w:p>
    <w:p w14:paraId="45218A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开标地点：榆林市公共资源交易中心18楼开标室1802C</w:t>
      </w:r>
    </w:p>
    <w:p w14:paraId="0B62CB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五、公告期限</w:t>
      </w:r>
    </w:p>
    <w:p w14:paraId="1F6FC4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自本公告发布之日起5个工作日。</w:t>
      </w:r>
    </w:p>
    <w:p w14:paraId="40DCC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六、其他补充事宜</w:t>
      </w:r>
    </w:p>
    <w:p w14:paraId="316503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56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kern w:val="0"/>
          <w:sz w:val="28"/>
          <w:szCs w:val="28"/>
          <w:shd w:val="clear" w:fill="FFFFFF"/>
          <w:lang w:val="en-US" w:eastAsia="zh-CN" w:bidi="ar"/>
        </w:rPr>
        <w:t>本项目开标地点：网上递交</w:t>
      </w:r>
    </w:p>
    <w:p w14:paraId="7ABB0A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56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kern w:val="0"/>
          <w:sz w:val="28"/>
          <w:szCs w:val="28"/>
          <w:shd w:val="clear" w:fill="FFFFFF"/>
          <w:lang w:val="en-US" w:eastAsia="zh-CN" w:bidi="ar"/>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Style w:val="19"/>
          <w:rFonts w:hint="eastAsia" w:asciiTheme="minorEastAsia" w:hAnsiTheme="minorEastAsia" w:eastAsiaTheme="minorEastAsia" w:cstheme="minorEastAsia"/>
          <w:b/>
          <w:bCs/>
          <w:i w:val="0"/>
          <w:iCs w:val="0"/>
          <w:caps w:val="0"/>
          <w:color w:val="000000"/>
          <w:spacing w:val="0"/>
          <w:kern w:val="0"/>
          <w:sz w:val="28"/>
          <w:szCs w:val="28"/>
          <w:shd w:val="clear" w:fill="FFFFFF"/>
          <w:lang w:val="en-US" w:eastAsia="zh-CN" w:bidi="ar"/>
        </w:rPr>
        <w:t>特别提醒</w:t>
      </w:r>
      <w:r>
        <w:rPr>
          <w:rFonts w:hint="eastAsia" w:asciiTheme="minorEastAsia" w:hAnsiTheme="minorEastAsia" w:eastAsiaTheme="minorEastAsia" w:cstheme="minorEastAsia"/>
          <w:i w:val="0"/>
          <w:iCs w:val="0"/>
          <w:caps w:val="0"/>
          <w:color w:val="000000"/>
          <w:spacing w:val="0"/>
          <w:kern w:val="0"/>
          <w:sz w:val="28"/>
          <w:szCs w:val="28"/>
          <w:shd w:val="clear" w:fill="FFFFFF"/>
          <w:lang w:val="en-US" w:eastAsia="zh-CN" w:bidi="ar"/>
        </w:rPr>
        <w:t>：</w:t>
      </w:r>
      <w:r>
        <w:rPr>
          <w:rStyle w:val="19"/>
          <w:rFonts w:hint="eastAsia" w:asciiTheme="minorEastAsia" w:hAnsiTheme="minorEastAsia" w:eastAsiaTheme="minorEastAsia" w:cstheme="minorEastAsia"/>
          <w:b/>
          <w:bCs/>
          <w:i w:val="0"/>
          <w:iCs w:val="0"/>
          <w:caps w:val="0"/>
          <w:color w:val="000000"/>
          <w:spacing w:val="0"/>
          <w:kern w:val="0"/>
          <w:sz w:val="28"/>
          <w:szCs w:val="28"/>
          <w:shd w:val="clear" w:fill="FFFFFF"/>
          <w:lang w:val="en-US" w:eastAsia="zh-CN" w:bidi="ar"/>
        </w:rPr>
        <w:t>本项目采用电子化不见面开标方式</w:t>
      </w:r>
      <w:r>
        <w:rPr>
          <w:rFonts w:hint="eastAsia" w:asciiTheme="minorEastAsia" w:hAnsiTheme="minorEastAsia" w:eastAsiaTheme="minorEastAsia" w:cstheme="minorEastAsia"/>
          <w:i w:val="0"/>
          <w:iCs w:val="0"/>
          <w:caps w:val="0"/>
          <w:color w:val="000000"/>
          <w:spacing w:val="0"/>
          <w:kern w:val="0"/>
          <w:sz w:val="28"/>
          <w:szCs w:val="28"/>
          <w:shd w:val="clear" w:fill="FFFFFF"/>
          <w:lang w:val="en-US" w:eastAsia="zh-CN" w:bidi="ar"/>
        </w:rPr>
        <w:t>，供应商使用数字认证证书（CA锁）对响应文件进行签章、加密、上传、签到、解密。不见面开标系统的签到和响应文件解密事宜，请登录全国公共资源交易平台（陕西省·榆林市）（http://yl.sxggzyjy.cn/），选择“服务指南”，点击“下载专区”，下载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四楼窗口购买，或下载手机APP：陕西公共资源交易服务，线上购买。联系电话：0912-3515031</w:t>
      </w:r>
    </w:p>
    <w:p w14:paraId="184071F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56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kern w:val="0"/>
          <w:sz w:val="28"/>
          <w:szCs w:val="28"/>
          <w:shd w:val="clear" w:fill="FFFFFF"/>
          <w:lang w:val="en-US" w:eastAsia="zh-CN" w:bidi="ar"/>
        </w:rPr>
        <w:t>2.建议使用带有麦克风和摄像头的笔记本电脑。</w:t>
      </w:r>
    </w:p>
    <w:p w14:paraId="5A4F49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Style w:val="19"/>
          <w:rFonts w:hint="eastAsia" w:asciiTheme="minorEastAsia" w:hAnsiTheme="minorEastAsia" w:eastAsiaTheme="minorEastAsia" w:cstheme="minorEastAsia"/>
          <w:b/>
          <w:bCs/>
          <w:i w:val="0"/>
          <w:iCs w:val="0"/>
          <w:caps w:val="0"/>
          <w:color w:val="333333"/>
          <w:spacing w:val="0"/>
          <w:sz w:val="28"/>
          <w:szCs w:val="28"/>
          <w:shd w:val="clear" w:fill="FFFFFF"/>
        </w:rPr>
        <w:t>七、对本次招标提出询问，请按以下方式联系。</w:t>
      </w:r>
    </w:p>
    <w:p w14:paraId="5D5289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1.采购人信息</w:t>
      </w:r>
    </w:p>
    <w:p w14:paraId="256660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名称：吴堡县城市投资经营集团有限公司</w:t>
      </w:r>
    </w:p>
    <w:p w14:paraId="46DAAC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地址：陕西省榆林市吴堡县宋家川街道办新建街155号</w:t>
      </w:r>
    </w:p>
    <w:p w14:paraId="10F33E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联系方式：宋磊 15353385252</w:t>
      </w:r>
    </w:p>
    <w:p w14:paraId="3A7A59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2.采购代理机构信息</w:t>
      </w:r>
    </w:p>
    <w:p w14:paraId="172C74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名称：华鼎工程咨询集团有限公司</w:t>
      </w:r>
    </w:p>
    <w:p w14:paraId="762FE3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地址：延安市枣园路圣都花园10楼</w:t>
      </w:r>
    </w:p>
    <w:p w14:paraId="672F307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联系方式：18109118505</w:t>
      </w:r>
    </w:p>
    <w:p w14:paraId="214E02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3.项目联系方式</w:t>
      </w:r>
    </w:p>
    <w:p w14:paraId="333B312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项目联系人：罗瑞梅</w:t>
      </w:r>
    </w:p>
    <w:p w14:paraId="080CEC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firstLine="48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电话：18109118505</w:t>
      </w:r>
    </w:p>
    <w:bookmarkEnd w:id="430"/>
    <w:p w14:paraId="7F8D0CCA">
      <w:pPr>
        <w:pStyle w:val="32"/>
        <w:keepNext w:val="0"/>
        <w:keepLines w:val="0"/>
        <w:pageBreakBefore w:val="0"/>
        <w:widowControl/>
        <w:kinsoku/>
        <w:overflowPunct/>
        <w:topLinePunct w:val="0"/>
        <w:bidi w:val="0"/>
        <w:spacing w:line="500" w:lineRule="exact"/>
        <w:ind w:left="0" w:leftChars="0" w:right="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第二章  投标人须知</w:t>
      </w:r>
    </w:p>
    <w:p w14:paraId="387C7975">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5" w:name="_Toc48834086"/>
      <w:bookmarkStart w:id="16" w:name="_Toc48834156"/>
      <w:bookmarkStart w:id="17" w:name="_Toc48834524"/>
      <w:bookmarkStart w:id="18" w:name="_Toc48834445"/>
      <w:bookmarkStart w:id="19" w:name="_Toc48834283"/>
      <w:bookmarkStart w:id="20" w:name="_Toc32331"/>
      <w:r>
        <w:rPr>
          <w:rFonts w:hint="eastAsia" w:ascii="宋体" w:hAnsi="宋体" w:eastAsia="宋体" w:cs="宋体"/>
          <w:b/>
          <w:color w:val="000000" w:themeColor="text1"/>
          <w:sz w:val="28"/>
          <w:szCs w:val="28"/>
          <w14:textFill>
            <w14:solidFill>
              <w14:schemeClr w14:val="tx1"/>
            </w14:solidFill>
          </w14:textFill>
        </w:rPr>
        <w:t>一、定义</w:t>
      </w:r>
      <w:bookmarkEnd w:id="15"/>
      <w:bookmarkEnd w:id="16"/>
      <w:bookmarkEnd w:id="17"/>
      <w:bookmarkEnd w:id="18"/>
      <w:bookmarkEnd w:id="19"/>
      <w:bookmarkEnd w:id="20"/>
    </w:p>
    <w:p w14:paraId="58F362D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（一）采购人：</w:t>
      </w:r>
      <w:r>
        <w:rPr>
          <w:rFonts w:hint="eastAsia" w:ascii="宋体" w:hAnsi="宋体" w:eastAsia="宋体" w:cs="宋体"/>
          <w:color w:val="000000" w:themeColor="text1"/>
          <w:lang w:val="en-US" w:eastAsia="zh-CN"/>
          <w14:textFill>
            <w14:solidFill>
              <w14:schemeClr w14:val="tx1"/>
            </w14:solidFill>
          </w14:textFill>
        </w:rPr>
        <w:t>吴堡县城市投资经营集团有限公司</w:t>
      </w:r>
    </w:p>
    <w:p w14:paraId="337A71C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（二）监管部门：</w:t>
      </w:r>
      <w:r>
        <w:rPr>
          <w:rFonts w:hint="eastAsia" w:ascii="宋体" w:hAnsi="宋体" w:eastAsia="宋体" w:cs="宋体"/>
          <w:color w:val="000000" w:themeColor="text1"/>
          <w:lang w:val="en-US" w:eastAsia="zh-CN"/>
          <w14:textFill>
            <w14:solidFill>
              <w14:schemeClr w14:val="tx1"/>
            </w14:solidFill>
          </w14:textFill>
        </w:rPr>
        <w:t>吴堡县</w:t>
      </w:r>
      <w:r>
        <w:rPr>
          <w:rFonts w:hint="eastAsia" w:ascii="宋体" w:hAnsi="宋体" w:eastAsia="宋体" w:cs="宋体"/>
          <w:color w:val="000000" w:themeColor="text1"/>
          <w14:textFill>
            <w14:solidFill>
              <w14:schemeClr w14:val="tx1"/>
            </w14:solidFill>
          </w14:textFill>
        </w:rPr>
        <w:t>财政局</w:t>
      </w:r>
    </w:p>
    <w:p w14:paraId="5E06F5B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（三）采购代理机构：</w:t>
      </w:r>
      <w:r>
        <w:rPr>
          <w:rFonts w:hint="eastAsia" w:ascii="宋体" w:hAnsi="宋体" w:eastAsia="宋体" w:cs="宋体"/>
          <w:color w:val="000000" w:themeColor="text1"/>
          <w:lang w:eastAsia="zh-CN"/>
          <w14:textFill>
            <w14:solidFill>
              <w14:schemeClr w14:val="tx1"/>
            </w14:solidFill>
          </w14:textFill>
        </w:rPr>
        <w:t>华鼎工程咨询集团有限公司</w:t>
      </w:r>
    </w:p>
    <w:p w14:paraId="6D63E3A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（四）投标人：拟向采购人提供货物、工程或者服务的法人、其他组织或者自然人</w:t>
      </w:r>
    </w:p>
    <w:p w14:paraId="66A6B123">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1" w:name="_Toc48834157"/>
      <w:bookmarkStart w:id="22" w:name="_Toc1840"/>
      <w:bookmarkStart w:id="23" w:name="_Toc48834087"/>
      <w:bookmarkStart w:id="24" w:name="_Toc48834525"/>
      <w:bookmarkStart w:id="25" w:name="_Toc48834284"/>
      <w:bookmarkStart w:id="26" w:name="_Toc48834446"/>
      <w:r>
        <w:rPr>
          <w:rFonts w:hint="eastAsia" w:ascii="宋体" w:hAnsi="宋体" w:eastAsia="宋体" w:cs="宋体"/>
          <w:b/>
          <w:color w:val="000000" w:themeColor="text1"/>
          <w:sz w:val="28"/>
          <w:szCs w:val="28"/>
          <w14:textFill>
            <w14:solidFill>
              <w14:schemeClr w14:val="tx1"/>
            </w14:solidFill>
          </w14:textFill>
        </w:rPr>
        <w:t>二、投标人注意事项</w:t>
      </w:r>
      <w:bookmarkEnd w:id="21"/>
      <w:bookmarkEnd w:id="22"/>
      <w:bookmarkEnd w:id="23"/>
      <w:bookmarkEnd w:id="24"/>
      <w:bookmarkEnd w:id="25"/>
      <w:bookmarkEnd w:id="26"/>
    </w:p>
    <w:p w14:paraId="38570105">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bookmarkStart w:id="27" w:name="_Toc23045"/>
      <w:bookmarkStart w:id="28" w:name="_Toc24852"/>
      <w:bookmarkStart w:id="29" w:name="_Toc734"/>
      <w:bookmarkStart w:id="30" w:name="_Toc30368"/>
      <w:r>
        <w:rPr>
          <w:rFonts w:hint="eastAsia" w:ascii="宋体" w:hAnsi="宋体" w:eastAsia="宋体" w:cs="宋体"/>
          <w:b/>
          <w:color w:val="000000" w:themeColor="text1"/>
          <w14:textFill>
            <w14:solidFill>
              <w14:schemeClr w14:val="tx1"/>
            </w14:solidFill>
          </w14:textFill>
        </w:rPr>
        <w:t>（一）询问</w:t>
      </w:r>
      <w:bookmarkEnd w:id="27"/>
      <w:bookmarkEnd w:id="28"/>
      <w:bookmarkEnd w:id="29"/>
      <w:bookmarkEnd w:id="30"/>
    </w:p>
    <w:p w14:paraId="2D5584BD">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color w:val="000000" w:themeColor="text1"/>
          <w14:textFill>
            <w14:solidFill>
              <w14:schemeClr w14:val="tx1"/>
            </w14:solidFill>
          </w14:textFill>
        </w:rPr>
      </w:pPr>
      <w:bookmarkStart w:id="31" w:name="_Toc7423"/>
      <w:bookmarkStart w:id="32" w:name="_Toc16663"/>
      <w:bookmarkStart w:id="33" w:name="_Toc11418"/>
      <w:bookmarkStart w:id="34" w:name="_Toc26397"/>
      <w:r>
        <w:rPr>
          <w:rFonts w:hint="eastAsia" w:ascii="宋体" w:hAnsi="宋体" w:eastAsia="宋体" w:cs="宋体"/>
          <w:color w:val="000000" w:themeColor="text1"/>
          <w14:textFill>
            <w14:solidFill>
              <w14:schemeClr w14:val="tx1"/>
            </w14:solidFill>
          </w14:textFill>
        </w:rPr>
        <w:t>投标人对政府采购活动事项有疑问的，可以向采购人提出询问，采购人应当及时作出答复，但答复的内容不得涉及商业秘密。</w:t>
      </w:r>
    </w:p>
    <w:p w14:paraId="5BCD39BF">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w:t>
      </w:r>
      <w:bookmarkEnd w:id="31"/>
      <w:bookmarkEnd w:id="32"/>
      <w:bookmarkEnd w:id="33"/>
      <w:bookmarkEnd w:id="34"/>
      <w:r>
        <w:rPr>
          <w:rFonts w:hint="eastAsia" w:ascii="宋体" w:hAnsi="宋体" w:eastAsia="宋体" w:cs="宋体"/>
          <w:b/>
          <w:color w:val="000000" w:themeColor="text1"/>
          <w14:textFill>
            <w14:solidFill>
              <w14:schemeClr w14:val="tx1"/>
            </w14:solidFill>
          </w14:textFill>
        </w:rPr>
        <w:t>质疑和投诉</w:t>
      </w:r>
    </w:p>
    <w:p w14:paraId="7DCB3E68">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投标人如果认为招标文件中涉及的采购需求（包括投标人资格条件、评审要素及分值设置、采购内容和要求、合同条款等）使自身的合法权益受到损害，可以在招标文件公告期限届满之日起</w:t>
      </w:r>
      <w:r>
        <w:rPr>
          <w:rFonts w:hint="eastAsia" w:ascii="宋体" w:hAnsi="宋体" w:eastAsia="宋体" w:cs="宋体"/>
          <w:bCs/>
          <w:color w:val="000000" w:themeColor="text1"/>
          <w:kern w:val="2"/>
          <w:sz w:val="28"/>
          <w:lang w:eastAsia="zh-CN"/>
          <w14:textFill>
            <w14:solidFill>
              <w14:schemeClr w14:val="tx1"/>
            </w14:solidFill>
          </w14:textFill>
        </w:rPr>
        <w:t>7</w:t>
      </w:r>
      <w:r>
        <w:rPr>
          <w:rFonts w:hint="eastAsia" w:ascii="宋体" w:hAnsi="宋体" w:eastAsia="宋体" w:cs="宋体"/>
          <w:bCs/>
          <w:color w:val="000000" w:themeColor="text1"/>
          <w:kern w:val="2"/>
          <w:sz w:val="28"/>
          <w14:textFill>
            <w14:solidFill>
              <w14:schemeClr w14:val="tx1"/>
            </w14:solidFill>
          </w14:textFill>
        </w:rPr>
        <w:t>个工作日内，以书面形式向</w:t>
      </w:r>
      <w:r>
        <w:rPr>
          <w:rFonts w:hint="eastAsia" w:ascii="宋体" w:hAnsi="宋体" w:eastAsia="宋体" w:cs="宋体"/>
          <w:b/>
          <w:bCs/>
          <w:color w:val="000000" w:themeColor="text1"/>
          <w:kern w:val="2"/>
          <w:sz w:val="28"/>
          <w14:textFill>
            <w14:solidFill>
              <w14:schemeClr w14:val="tx1"/>
            </w14:solidFill>
          </w14:textFill>
        </w:rPr>
        <w:t>采购人</w:t>
      </w:r>
      <w:r>
        <w:rPr>
          <w:rFonts w:hint="eastAsia" w:ascii="宋体" w:hAnsi="宋体" w:eastAsia="宋体" w:cs="宋体"/>
          <w:bCs/>
          <w:color w:val="000000" w:themeColor="text1"/>
          <w:kern w:val="2"/>
          <w:sz w:val="28"/>
          <w14:textFill>
            <w14:solidFill>
              <w14:schemeClr w14:val="tx1"/>
            </w14:solidFill>
          </w14:textFill>
        </w:rPr>
        <w:t>提出质疑；</w:t>
      </w:r>
    </w:p>
    <w:p w14:paraId="5066DA80">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color w:val="000000" w:themeColor="text1"/>
          <w:kern w:val="2"/>
          <w:sz w:val="28"/>
          <w:lang w:eastAsia="zh-CN"/>
          <w14:textFill>
            <w14:solidFill>
              <w14:schemeClr w14:val="tx1"/>
            </w14:solidFill>
          </w14:textFill>
        </w:rPr>
        <w:t>华鼎工程咨询集团有限公司</w:t>
      </w:r>
      <w:r>
        <w:rPr>
          <w:rFonts w:hint="eastAsia" w:ascii="宋体" w:hAnsi="宋体" w:eastAsia="宋体" w:cs="宋体"/>
          <w:bCs/>
          <w:color w:val="000000" w:themeColor="text1"/>
          <w:kern w:val="2"/>
          <w:sz w:val="28"/>
          <w14:textFill>
            <w14:solidFill>
              <w14:schemeClr w14:val="tx1"/>
            </w14:solidFill>
          </w14:textFill>
        </w:rPr>
        <w:t>提出质疑。</w:t>
      </w:r>
    </w:p>
    <w:p w14:paraId="66AF33F4">
      <w:pPr>
        <w:pStyle w:val="14"/>
        <w:keepNext w:val="0"/>
        <w:keepLines w:val="0"/>
        <w:pageBreakBefore w:val="0"/>
        <w:widowControl/>
        <w:kinsoku/>
        <w:overflowPunct/>
        <w:topLinePunct w:val="0"/>
        <w:bidi w:val="0"/>
        <w:spacing w:beforeAutospacing="0" w:afterAutospacing="0" w:line="500" w:lineRule="exact"/>
        <w:ind w:left="0" w:leftChars="0" w:right="0" w:firstLine="526" w:firstLineChars="200"/>
        <w:jc w:val="both"/>
        <w:textAlignment w:val="auto"/>
        <w:rPr>
          <w:rFonts w:hint="eastAsia" w:ascii="宋体" w:hAnsi="宋体" w:eastAsia="宋体" w:cs="宋体"/>
          <w:bCs/>
          <w:color w:val="000000" w:themeColor="text1"/>
          <w:spacing w:val="-10"/>
          <w:kern w:val="2"/>
          <w:sz w:val="28"/>
          <w14:textFill>
            <w14:solidFill>
              <w14:schemeClr w14:val="tx1"/>
            </w14:solidFill>
          </w14:textFill>
        </w:rPr>
      </w:pPr>
      <w:r>
        <w:rPr>
          <w:rFonts w:hint="eastAsia" w:ascii="宋体" w:hAnsi="宋体" w:eastAsia="宋体" w:cs="宋体"/>
          <w:bCs/>
          <w:color w:val="000000" w:themeColor="text1"/>
          <w:spacing w:val="-10"/>
          <w:kern w:val="2"/>
          <w:sz w:val="28"/>
          <w14:textFill>
            <w14:solidFill>
              <w14:schemeClr w14:val="tx1"/>
            </w14:solidFill>
          </w14:textFill>
        </w:rPr>
        <w:t>采购人、</w:t>
      </w:r>
      <w:r>
        <w:rPr>
          <w:rFonts w:hint="eastAsia" w:ascii="宋体" w:hAnsi="宋体" w:eastAsia="宋体" w:cs="宋体"/>
          <w:bCs/>
          <w:color w:val="000000" w:themeColor="text1"/>
          <w:spacing w:val="-10"/>
          <w:kern w:val="2"/>
          <w:sz w:val="28"/>
          <w:lang w:eastAsia="zh-CN"/>
          <w14:textFill>
            <w14:solidFill>
              <w14:schemeClr w14:val="tx1"/>
            </w14:solidFill>
          </w14:textFill>
        </w:rPr>
        <w:t>华鼎工程咨询集团有限公司</w:t>
      </w:r>
      <w:r>
        <w:rPr>
          <w:rFonts w:hint="eastAsia" w:ascii="宋体" w:hAnsi="宋体" w:eastAsia="宋体" w:cs="宋体"/>
          <w:bCs/>
          <w:color w:val="000000" w:themeColor="text1"/>
          <w:spacing w:val="-10"/>
          <w:kern w:val="2"/>
          <w:sz w:val="28"/>
          <w14:textFill>
            <w14:solidFill>
              <w14:schemeClr w14:val="tx1"/>
            </w14:solidFill>
          </w14:textFill>
        </w:rPr>
        <w:t>将在收到书面质疑后7个工作日内</w:t>
      </w:r>
      <w:r>
        <w:rPr>
          <w:rFonts w:hint="eastAsia" w:ascii="宋体" w:hAnsi="宋体" w:eastAsia="宋体" w:cs="宋体"/>
          <w:bCs/>
          <w:color w:val="000000" w:themeColor="text1"/>
          <w:spacing w:val="-10"/>
          <w:kern w:val="2"/>
          <w:sz w:val="28"/>
          <w:lang w:eastAsia="zh-CN"/>
          <w14:textFill>
            <w14:solidFill>
              <w14:schemeClr w14:val="tx1"/>
            </w14:solidFill>
          </w14:textFill>
        </w:rPr>
        <w:t>作出</w:t>
      </w:r>
      <w:r>
        <w:rPr>
          <w:rFonts w:hint="eastAsia" w:ascii="宋体" w:hAnsi="宋体" w:eastAsia="宋体" w:cs="宋体"/>
          <w:bCs/>
          <w:color w:val="000000" w:themeColor="text1"/>
          <w:spacing w:val="-10"/>
          <w:kern w:val="2"/>
          <w:sz w:val="28"/>
          <w14:textFill>
            <w14:solidFill>
              <w14:schemeClr w14:val="tx1"/>
            </w14:solidFill>
          </w14:textFill>
        </w:rPr>
        <w:t>答复，并以书面形式通知质疑人和其他有关投标人。</w:t>
      </w:r>
    </w:p>
    <w:p w14:paraId="0E22A131">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lang w:eastAsia="zh-CN"/>
          <w14:textFill>
            <w14:solidFill>
              <w14:schemeClr w14:val="tx1"/>
            </w14:solidFill>
          </w14:textFill>
        </w:rPr>
        <w:t>1.</w:t>
      </w:r>
      <w:r>
        <w:rPr>
          <w:rFonts w:hint="eastAsia" w:ascii="宋体" w:hAnsi="宋体" w:eastAsia="宋体" w:cs="宋体"/>
          <w:bCs/>
          <w:color w:val="000000" w:themeColor="text1"/>
          <w:kern w:val="2"/>
          <w:sz w:val="28"/>
          <w14:textFill>
            <w14:solidFill>
              <w14:schemeClr w14:val="tx1"/>
            </w14:solidFill>
          </w14:textFill>
        </w:rPr>
        <w:t>投标人提出质疑应当提交质疑函和必要的证明材料，并按财政部《质疑函范本》给定的格式进行填写，范本下载详见【财政部国库司（gks.mof.gov.cn）】网站〖首页•〉政府采购管理〗栏目中的《政府采购投标人质疑函范本》。</w:t>
      </w:r>
    </w:p>
    <w:p w14:paraId="44F74866">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《政府采购投标人质疑函范本》链接地址：</w:t>
      </w:r>
    </w:p>
    <w:p w14:paraId="6857310A">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http://gks.mof.gov.cn/ztztz/zhengfucaigouguanli/201802/t20180201_2804589.htm</w:t>
      </w:r>
    </w:p>
    <w:p w14:paraId="2E3BDD37">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lang w:eastAsia="zh-CN"/>
          <w14:textFill>
            <w14:solidFill>
              <w14:schemeClr w14:val="tx1"/>
            </w14:solidFill>
          </w14:textFill>
        </w:rPr>
        <w:t>2.</w:t>
      </w:r>
      <w:r>
        <w:rPr>
          <w:rFonts w:hint="eastAsia" w:ascii="宋体" w:hAnsi="宋体" w:eastAsia="宋体" w:cs="宋体"/>
          <w:bCs/>
          <w:color w:val="000000" w:themeColor="text1"/>
          <w:kern w:val="2"/>
          <w:sz w:val="28"/>
          <w14:textFill>
            <w14:solidFill>
              <w14:schemeClr w14:val="tx1"/>
            </w14:solidFill>
          </w14:textFill>
        </w:rPr>
        <w:t>质疑人为自然人的，应当由本人</w:t>
      </w:r>
      <w:r>
        <w:rPr>
          <w:rFonts w:hint="eastAsia" w:ascii="宋体" w:hAnsi="宋体" w:eastAsia="宋体" w:cs="宋体"/>
          <w:bCs/>
          <w:color w:val="000000" w:themeColor="text1"/>
          <w:spacing w:val="-10"/>
          <w:kern w:val="2"/>
          <w:sz w:val="28"/>
          <w14:textFill>
            <w14:solidFill>
              <w14:schemeClr w14:val="tx1"/>
            </w14:solidFill>
          </w14:textFill>
        </w:rPr>
        <w:t>在《质疑函》上</w:t>
      </w:r>
      <w:r>
        <w:rPr>
          <w:rFonts w:hint="eastAsia" w:ascii="宋体" w:hAnsi="宋体" w:eastAsia="宋体" w:cs="宋体"/>
          <w:bCs/>
          <w:color w:val="000000" w:themeColor="text1"/>
          <w:kern w:val="2"/>
          <w:sz w:val="28"/>
          <w14:textFill>
            <w14:solidFill>
              <w14:schemeClr w14:val="tx1"/>
            </w14:solidFill>
          </w14:textFill>
        </w:rPr>
        <w:t>签字；质疑人为法人或者其他组织的，应当由法定代表人、主要负责人，或者其授权代表</w:t>
      </w:r>
      <w:r>
        <w:rPr>
          <w:rFonts w:hint="eastAsia" w:ascii="宋体" w:hAnsi="宋体" w:eastAsia="宋体" w:cs="宋体"/>
          <w:bCs/>
          <w:color w:val="000000" w:themeColor="text1"/>
          <w:spacing w:val="-10"/>
          <w:kern w:val="2"/>
          <w:sz w:val="28"/>
          <w14:textFill>
            <w14:solidFill>
              <w14:schemeClr w14:val="tx1"/>
            </w14:solidFill>
          </w14:textFill>
        </w:rPr>
        <w:t>在《质疑函》上</w:t>
      </w:r>
      <w:r>
        <w:rPr>
          <w:rFonts w:hint="eastAsia" w:ascii="宋体" w:hAnsi="宋体" w:eastAsia="宋体" w:cs="宋体"/>
          <w:bCs/>
          <w:color w:val="000000" w:themeColor="text1"/>
          <w:kern w:val="2"/>
          <w:sz w:val="28"/>
          <w14:textFill>
            <w14:solidFill>
              <w14:schemeClr w14:val="tx1"/>
            </w14:solidFill>
          </w14:textFill>
        </w:rPr>
        <w:t>签字或者盖章，并加盖公章。授权代表办理质疑事项时，除提交《质疑函》外，还应当提交《授权委托书》及授权代表的有效身份证明，《授权委托书》应当载明委托代理的具体权限和事项。</w:t>
      </w:r>
    </w:p>
    <w:p w14:paraId="20D56928">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在法定质疑期内，针对同一采购程序环节的质疑应当一次性提出</w:t>
      </w:r>
    </w:p>
    <w:p w14:paraId="0F56CF5E">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lang w:eastAsia="zh-CN"/>
          <w14:textFill>
            <w14:solidFill>
              <w14:schemeClr w14:val="tx1"/>
            </w14:solidFill>
          </w14:textFill>
        </w:rPr>
        <w:t>3.</w:t>
      </w:r>
      <w:r>
        <w:rPr>
          <w:rFonts w:hint="eastAsia" w:ascii="宋体" w:hAnsi="宋体" w:eastAsia="宋体" w:cs="宋体"/>
          <w:bCs/>
          <w:color w:val="000000" w:themeColor="text1"/>
          <w:kern w:val="2"/>
          <w:sz w:val="28"/>
          <w14:textFill>
            <w14:solidFill>
              <w14:schemeClr w14:val="tx1"/>
            </w14:solidFill>
          </w14:textFill>
        </w:rPr>
        <w:t>有下列情形之一的，属于无效质疑，采购人、</w:t>
      </w:r>
      <w:r>
        <w:rPr>
          <w:rFonts w:hint="eastAsia" w:ascii="宋体" w:hAnsi="宋体" w:eastAsia="宋体" w:cs="宋体"/>
          <w:bCs/>
          <w:color w:val="000000" w:themeColor="text1"/>
          <w:kern w:val="2"/>
          <w:sz w:val="28"/>
          <w:lang w:eastAsia="zh-CN"/>
          <w14:textFill>
            <w14:solidFill>
              <w14:schemeClr w14:val="tx1"/>
            </w14:solidFill>
          </w14:textFill>
        </w:rPr>
        <w:t>华鼎工程咨询集团有限公司</w:t>
      </w:r>
      <w:r>
        <w:rPr>
          <w:rFonts w:hint="eastAsia" w:ascii="宋体" w:hAnsi="宋体" w:eastAsia="宋体" w:cs="宋体"/>
          <w:bCs/>
          <w:color w:val="000000" w:themeColor="text1"/>
          <w:kern w:val="2"/>
          <w:sz w:val="28"/>
          <w14:textFill>
            <w14:solidFill>
              <w14:schemeClr w14:val="tx1"/>
            </w14:solidFill>
          </w14:textFill>
        </w:rPr>
        <w:t>不予受理：</w:t>
      </w:r>
    </w:p>
    <w:p w14:paraId="49856668">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（1）质疑人不是参与本次采购项目的投标人或潜在投标人；</w:t>
      </w:r>
    </w:p>
    <w:p w14:paraId="4E5E3E99">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（2）质疑人与质疑事项不存在利害关系的；</w:t>
      </w:r>
    </w:p>
    <w:p w14:paraId="5D8D2D68">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（3）未在法定期限内提出质疑的；</w:t>
      </w:r>
    </w:p>
    <w:p w14:paraId="7EB3E57E">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（4）质疑未以书面形式提出，或《质疑函》主要内容构成不完整的，或缺乏必要的证明材料及证明材料不完整的；</w:t>
      </w:r>
    </w:p>
    <w:p w14:paraId="0D1BF9CF">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（5）《质疑函》没有合法有效的签字、盖章或授权的；</w:t>
      </w:r>
    </w:p>
    <w:p w14:paraId="455F2F34">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（6）以非法手段取得证据、材料的；</w:t>
      </w:r>
    </w:p>
    <w:p w14:paraId="49C2B73B">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14:textFill>
            <w14:solidFill>
              <w14:schemeClr w14:val="tx1"/>
            </w14:solidFill>
          </w14:textFill>
        </w:rPr>
        <w:t>（7）质疑答复后，同一质疑人就同一事项再次提出质疑的；</w:t>
      </w:r>
    </w:p>
    <w:p w14:paraId="318B0EB1">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lang w:eastAsia="zh-CN"/>
          <w14:textFill>
            <w14:solidFill>
              <w14:schemeClr w14:val="tx1"/>
            </w14:solidFill>
          </w14:textFill>
        </w:rPr>
        <w:t>4.</w:t>
      </w:r>
      <w:r>
        <w:rPr>
          <w:rFonts w:hint="eastAsia" w:ascii="宋体" w:hAnsi="宋体" w:eastAsia="宋体" w:cs="宋体"/>
          <w:bCs/>
          <w:color w:val="000000" w:themeColor="text1"/>
          <w:kern w:val="2"/>
          <w:sz w:val="28"/>
          <w14:textFill>
            <w14:solidFill>
              <w14:schemeClr w14:val="tx1"/>
            </w14:solidFill>
          </w14:textFill>
        </w:rPr>
        <w:t>质疑人对</w:t>
      </w:r>
      <w:r>
        <w:rPr>
          <w:rFonts w:hint="eastAsia" w:ascii="宋体" w:hAnsi="宋体" w:eastAsia="宋体" w:cs="宋体"/>
          <w:bCs/>
          <w:color w:val="000000" w:themeColor="text1"/>
          <w:kern w:val="2"/>
          <w:sz w:val="28"/>
          <w:lang w:eastAsia="zh-CN"/>
          <w14:textFill>
            <w14:solidFill>
              <w14:schemeClr w14:val="tx1"/>
            </w14:solidFill>
          </w14:textFill>
        </w:rPr>
        <w:t>华鼎工程咨询集团有限公司</w:t>
      </w:r>
      <w:r>
        <w:rPr>
          <w:rFonts w:hint="eastAsia" w:ascii="宋体" w:hAnsi="宋体" w:eastAsia="宋体" w:cs="宋体"/>
          <w:bCs/>
          <w:color w:val="000000" w:themeColor="text1"/>
          <w:kern w:val="2"/>
          <w:sz w:val="28"/>
          <w14:textFill>
            <w14:solidFill>
              <w14:schemeClr w14:val="tx1"/>
            </w14:solidFill>
          </w14:textFill>
        </w:rPr>
        <w:t>或采购人的答复不满意，以及采购人、</w:t>
      </w:r>
      <w:r>
        <w:rPr>
          <w:rFonts w:hint="eastAsia" w:ascii="宋体" w:hAnsi="宋体" w:eastAsia="宋体" w:cs="宋体"/>
          <w:bCs/>
          <w:color w:val="000000" w:themeColor="text1"/>
          <w:kern w:val="2"/>
          <w:sz w:val="28"/>
          <w:lang w:eastAsia="zh-CN"/>
          <w14:textFill>
            <w14:solidFill>
              <w14:schemeClr w14:val="tx1"/>
            </w14:solidFill>
          </w14:textFill>
        </w:rPr>
        <w:t>华鼎工程咨询集团有限公司</w:t>
      </w:r>
      <w:r>
        <w:rPr>
          <w:rFonts w:hint="eastAsia" w:ascii="宋体" w:hAnsi="宋体" w:eastAsia="宋体" w:cs="宋体"/>
          <w:bCs/>
          <w:color w:val="000000" w:themeColor="text1"/>
          <w:kern w:val="2"/>
          <w:sz w:val="28"/>
          <w14:textFill>
            <w14:solidFill>
              <w14:schemeClr w14:val="tx1"/>
            </w14:solidFill>
          </w14:textFill>
        </w:rPr>
        <w:t>未在规定时间内</w:t>
      </w:r>
      <w:r>
        <w:rPr>
          <w:rFonts w:hint="eastAsia" w:ascii="宋体" w:hAnsi="宋体" w:eastAsia="宋体" w:cs="宋体"/>
          <w:bCs/>
          <w:color w:val="000000" w:themeColor="text1"/>
          <w:kern w:val="2"/>
          <w:sz w:val="28"/>
          <w:lang w:eastAsia="zh-CN"/>
          <w14:textFill>
            <w14:solidFill>
              <w14:schemeClr w14:val="tx1"/>
            </w14:solidFill>
          </w14:textFill>
        </w:rPr>
        <w:t>作出</w:t>
      </w:r>
      <w:r>
        <w:rPr>
          <w:rFonts w:hint="eastAsia" w:ascii="宋体" w:hAnsi="宋体" w:eastAsia="宋体" w:cs="宋体"/>
          <w:bCs/>
          <w:color w:val="000000" w:themeColor="text1"/>
          <w:kern w:val="2"/>
          <w:sz w:val="28"/>
          <w14:textFill>
            <w14:solidFill>
              <w14:schemeClr w14:val="tx1"/>
            </w14:solidFill>
          </w14:textFill>
        </w:rPr>
        <w:t>答复的，可以在答复期满后15个工作日内向</w:t>
      </w:r>
      <w:r>
        <w:rPr>
          <w:rFonts w:hint="eastAsia" w:ascii="宋体" w:hAnsi="宋体" w:eastAsia="宋体" w:cs="宋体"/>
          <w:bCs/>
          <w:color w:val="000000" w:themeColor="text1"/>
          <w:kern w:val="2"/>
          <w:sz w:val="28"/>
          <w:lang w:val="en-US" w:eastAsia="zh-CN"/>
          <w14:textFill>
            <w14:solidFill>
              <w14:schemeClr w14:val="tx1"/>
            </w14:solidFill>
          </w14:textFill>
        </w:rPr>
        <w:t>吴堡县</w:t>
      </w:r>
      <w:r>
        <w:rPr>
          <w:rFonts w:hint="eastAsia" w:ascii="宋体" w:hAnsi="宋体" w:eastAsia="宋体" w:cs="宋体"/>
          <w:bCs/>
          <w:color w:val="000000" w:themeColor="text1"/>
          <w:kern w:val="2"/>
          <w:sz w:val="28"/>
          <w14:textFill>
            <w14:solidFill>
              <w14:schemeClr w14:val="tx1"/>
            </w14:solidFill>
          </w14:textFill>
        </w:rPr>
        <w:t>财政局提出投诉。</w:t>
      </w:r>
    </w:p>
    <w:p w14:paraId="784B8AB5">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bCs/>
          <w:color w:val="000000" w:themeColor="text1"/>
          <w:kern w:val="2"/>
          <w:sz w:val="28"/>
          <w14:textFill>
            <w14:solidFill>
              <w14:schemeClr w14:val="tx1"/>
            </w14:solidFill>
          </w14:textFill>
        </w:rPr>
      </w:pPr>
      <w:r>
        <w:rPr>
          <w:rFonts w:hint="eastAsia" w:ascii="宋体" w:hAnsi="宋体" w:eastAsia="宋体" w:cs="宋体"/>
          <w:bCs/>
          <w:color w:val="000000" w:themeColor="text1"/>
          <w:kern w:val="2"/>
          <w:sz w:val="28"/>
          <w:lang w:eastAsia="zh-CN"/>
          <w14:textFill>
            <w14:solidFill>
              <w14:schemeClr w14:val="tx1"/>
            </w14:solidFill>
          </w14:textFill>
        </w:rPr>
        <w:t>5.</w:t>
      </w:r>
      <w:r>
        <w:rPr>
          <w:rFonts w:hint="eastAsia" w:ascii="宋体" w:hAnsi="宋体" w:eastAsia="宋体" w:cs="宋体"/>
          <w:bCs/>
          <w:color w:val="000000" w:themeColor="text1"/>
          <w:kern w:val="2"/>
          <w:sz w:val="28"/>
          <w14:textFill>
            <w14:solidFill>
              <w14:schemeClr w14:val="tx1"/>
            </w14:solidFill>
          </w14:textFill>
        </w:rPr>
        <w:t>投标人投诉的事项不得超出已质疑事项的范围。</w:t>
      </w:r>
    </w:p>
    <w:p w14:paraId="7627E2B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对捏造事实、提供虚假材料进行质疑、投诉的行为予以严肃处理。</w:t>
      </w:r>
    </w:p>
    <w:p w14:paraId="530006AF">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2F21D318">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bCs/>
          <w:color w:val="000000" w:themeColor="text1"/>
          <w14:textFill>
            <w14:solidFill>
              <w14:schemeClr w14:val="tx1"/>
            </w14:solidFill>
          </w14:textFill>
        </w:rPr>
        <w:t>投诉人在全国范围内十二个月内三次以上投诉查无实据的，由财政部门列入不良行为记录名单。</w:t>
      </w:r>
    </w:p>
    <w:p w14:paraId="2148D63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③</w:t>
      </w:r>
      <w:r>
        <w:rPr>
          <w:rFonts w:hint="eastAsia" w:ascii="宋体" w:hAnsi="宋体" w:eastAsia="宋体" w:cs="宋体"/>
          <w:color w:val="000000" w:themeColor="text1"/>
          <w14:textFill>
            <w14:solidFill>
              <w14:schemeClr w14:val="tx1"/>
            </w14:solidFill>
          </w14:textFill>
        </w:rPr>
        <w:t>捏造事实、提供虚假材料或者以非法手段取得证明材料的投诉将被驳回，并将提出投诉的投标人列入不良行为记录名单，禁止其一至三年内参加政府采购活动。</w:t>
      </w:r>
    </w:p>
    <w:p w14:paraId="1BF427D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依法严惩捏造事实诬告陷害、诽谤他人的行为。</w:t>
      </w:r>
    </w:p>
    <w:p w14:paraId="065E929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①《中华人民共和国刑法》</w:t>
      </w:r>
      <w:r>
        <w:rPr>
          <w:rFonts w:hint="eastAsia" w:ascii="宋体" w:hAnsi="宋体" w:eastAsia="宋体" w:cs="宋体"/>
          <w:color w:val="000000" w:themeColor="text1"/>
          <w:lang w:eastAsia="zh-CN"/>
          <w14:textFill>
            <w14:solidFill>
              <w14:schemeClr w14:val="tx1"/>
            </w14:solidFill>
          </w14:textFill>
        </w:rPr>
        <w:t>第二百四十三条</w:t>
      </w:r>
      <w:r>
        <w:rPr>
          <w:rFonts w:hint="eastAsia" w:ascii="宋体" w:hAnsi="宋体" w:eastAsia="宋体" w:cs="宋体"/>
          <w:color w:val="000000" w:themeColor="text1"/>
          <w14:textFill>
            <w14:solidFill>
              <w14:schemeClr w14:val="tx1"/>
            </w14:solidFill>
          </w14:textFill>
        </w:rPr>
        <w:t>【诬告陷害罪】捏造事实诬告陷害他人，意图使他人</w:t>
      </w:r>
      <w:r>
        <w:rPr>
          <w:rFonts w:hint="eastAsia" w:ascii="宋体" w:hAnsi="宋体" w:eastAsia="宋体" w:cs="宋体"/>
          <w:color w:val="000000" w:themeColor="text1"/>
          <w:lang w:eastAsia="zh-CN"/>
          <w14:textFill>
            <w14:solidFill>
              <w14:schemeClr w14:val="tx1"/>
            </w14:solidFill>
          </w14:textFill>
        </w:rPr>
        <w:t>受到</w:t>
      </w:r>
      <w:r>
        <w:rPr>
          <w:rFonts w:hint="eastAsia" w:ascii="宋体" w:hAnsi="宋体" w:eastAsia="宋体" w:cs="宋体"/>
          <w:color w:val="000000" w:themeColor="text1"/>
          <w14:textFill>
            <w14:solidFill>
              <w14:schemeClr w14:val="tx1"/>
            </w14:solidFill>
          </w14:textFill>
        </w:rPr>
        <w:t>刑事追究，情节严重的，处三年以下有期徒刑、拘役或者管制；造成严重后果的，处三年以上十年以下有期徒刑。</w:t>
      </w:r>
    </w:p>
    <w:p w14:paraId="3DBBBCD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②《中华人民共和国刑法》</w:t>
      </w:r>
      <w:r>
        <w:rPr>
          <w:rFonts w:hint="eastAsia" w:ascii="宋体" w:hAnsi="宋体" w:eastAsia="宋体" w:cs="宋体"/>
          <w:color w:val="000000" w:themeColor="text1"/>
          <w:lang w:eastAsia="zh-CN"/>
          <w14:textFill>
            <w14:solidFill>
              <w14:schemeClr w14:val="tx1"/>
            </w14:solidFill>
          </w14:textFill>
        </w:rPr>
        <w:t>第二百四十六条</w:t>
      </w:r>
      <w:r>
        <w:rPr>
          <w:rFonts w:hint="eastAsia" w:ascii="宋体" w:hAnsi="宋体" w:eastAsia="宋体" w:cs="宋体"/>
          <w:color w:val="000000" w:themeColor="text1"/>
          <w14:textFill>
            <w14:solidFill>
              <w14:schemeClr w14:val="tx1"/>
            </w14:solidFill>
          </w14:textFill>
        </w:rPr>
        <w:t>【侮辱罪、诽谤罪】以暴力或者其他方法公然侮辱他人或者捏造事实诽谤他人，情节严重的，处三年以下有期徒刑、拘役、管制或者剥夺政治权利。</w:t>
      </w:r>
    </w:p>
    <w:p w14:paraId="6D7376B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质疑函递交：</w:t>
      </w:r>
    </w:p>
    <w:p w14:paraId="3019D0A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采购人：</w:t>
      </w:r>
      <w:r>
        <w:rPr>
          <w:rFonts w:hint="eastAsia" w:ascii="宋体" w:hAnsi="宋体" w:eastAsia="宋体" w:cs="宋体"/>
          <w:color w:val="000000" w:themeColor="text1"/>
          <w:lang w:val="en-US" w:eastAsia="zh-CN"/>
          <w14:textFill>
            <w14:solidFill>
              <w14:schemeClr w14:val="tx1"/>
            </w14:solidFill>
          </w14:textFill>
        </w:rPr>
        <w:t>宋磊</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联系电话：</w:t>
      </w:r>
      <w:r>
        <w:rPr>
          <w:rFonts w:hint="eastAsia" w:ascii="宋体" w:hAnsi="宋体" w:eastAsia="宋体" w:cs="宋体"/>
          <w:color w:val="000000" w:themeColor="text1"/>
          <w:lang w:val="en-US" w:eastAsia="zh-CN"/>
          <w14:textFill>
            <w14:solidFill>
              <w14:schemeClr w14:val="tx1"/>
            </w14:solidFill>
          </w14:textFill>
        </w:rPr>
        <w:t>15353385252</w:t>
      </w:r>
    </w:p>
    <w:p w14:paraId="4797B508">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代理机构：</w:t>
      </w:r>
      <w:r>
        <w:rPr>
          <w:rFonts w:hint="eastAsia" w:ascii="宋体" w:hAnsi="宋体" w:eastAsia="宋体" w:cs="宋体"/>
          <w:color w:val="000000" w:themeColor="text1"/>
          <w:spacing w:val="-10"/>
          <w:lang w:val="en-US" w:eastAsia="zh-CN"/>
          <w14:textFill>
            <w14:solidFill>
              <w14:schemeClr w14:val="tx1"/>
            </w14:solidFill>
          </w14:textFill>
        </w:rPr>
        <w:t>华鼎工程咨询集团有限公司</w:t>
      </w:r>
      <w:r>
        <w:rPr>
          <w:rFonts w:hint="eastAsia" w:ascii="宋体" w:hAnsi="宋体" w:eastAsia="宋体" w:cs="宋体"/>
          <w:color w:val="000000" w:themeColor="text1"/>
          <w:spacing w:val="-10"/>
          <w14:textFill>
            <w14:solidFill>
              <w14:schemeClr w14:val="tx1"/>
            </w14:solidFill>
          </w14:textFill>
        </w:rPr>
        <w:t xml:space="preserve">  </w:t>
      </w:r>
      <w:r>
        <w:rPr>
          <w:rFonts w:hint="eastAsia" w:ascii="宋体" w:hAnsi="宋体" w:eastAsia="宋体" w:cs="宋体"/>
          <w:b/>
          <w:bCs/>
          <w:color w:val="000000" w:themeColor="text1"/>
          <w:spacing w:val="-10"/>
          <w14:textFill>
            <w14:solidFill>
              <w14:schemeClr w14:val="tx1"/>
            </w14:solidFill>
          </w14:textFill>
        </w:rPr>
        <w:t xml:space="preserve"> </w:t>
      </w:r>
      <w:r>
        <w:rPr>
          <w:rFonts w:hint="eastAsia" w:ascii="宋体" w:hAnsi="宋体" w:eastAsia="宋体" w:cs="宋体"/>
          <w:color w:val="000000" w:themeColor="text1"/>
          <w:spacing w:val="-10"/>
          <w14:textFill>
            <w14:solidFill>
              <w14:schemeClr w14:val="tx1"/>
            </w14:solidFill>
          </w14:textFill>
        </w:rPr>
        <w:t xml:space="preserve">        </w:t>
      </w:r>
    </w:p>
    <w:p w14:paraId="50263F8E">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 xml:space="preserve">延安市枣园路圣都花园10楼     </w:t>
      </w:r>
    </w:p>
    <w:p w14:paraId="546451A3">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lang w:val="en-US" w:eastAsia="zh-CN"/>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联系电话：</w:t>
      </w:r>
      <w:r>
        <w:rPr>
          <w:rFonts w:hint="eastAsia" w:ascii="宋体" w:hAnsi="宋体" w:eastAsia="宋体" w:cs="宋体"/>
          <w:color w:val="000000" w:themeColor="text1"/>
          <w:spacing w:val="-10"/>
          <w:lang w:val="en-US" w:eastAsia="zh-CN"/>
          <w14:textFill>
            <w14:solidFill>
              <w14:schemeClr w14:val="tx1"/>
            </w14:solidFill>
          </w14:textFill>
        </w:rPr>
        <w:t>18109118505</w:t>
      </w:r>
      <w:r>
        <w:rPr>
          <w:rFonts w:hint="eastAsia" w:ascii="宋体" w:hAnsi="宋体" w:eastAsia="宋体" w:cs="宋体"/>
          <w:color w:val="000000" w:themeColor="text1"/>
          <w:spacing w:val="-10"/>
          <w14:textFill>
            <w14:solidFill>
              <w14:schemeClr w14:val="tx1"/>
            </w14:solidFill>
          </w14:textFill>
        </w:rPr>
        <w:t xml:space="preserve">        质疑递交（邮箱）：</w:t>
      </w:r>
      <w:r>
        <w:rPr>
          <w:rFonts w:hint="eastAsia" w:ascii="宋体" w:hAnsi="宋体" w:eastAsia="宋体" w:cs="宋体"/>
          <w:color w:val="000000" w:themeColor="text1"/>
          <w:spacing w:val="-10"/>
          <w:lang w:val="en-US" w:eastAsia="zh-CN"/>
          <w14:textFill>
            <w14:solidFill>
              <w14:schemeClr w14:val="tx1"/>
            </w14:solidFill>
          </w14:textFill>
        </w:rPr>
        <w:t>3337449354@qq.com</w:t>
      </w:r>
    </w:p>
    <w:p w14:paraId="6907FC6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投诉书递交地址：</w:t>
      </w:r>
    </w:p>
    <w:p w14:paraId="307CB5EC">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延安市枣园路圣都花园10楼</w:t>
      </w:r>
      <w:r>
        <w:rPr>
          <w:rFonts w:hint="eastAsia" w:ascii="宋体" w:hAnsi="宋体" w:eastAsia="宋体" w:cs="宋体"/>
          <w:color w:val="000000" w:themeColor="text1"/>
          <w14:textFill>
            <w14:solidFill>
              <w14:schemeClr w14:val="tx1"/>
            </w14:solidFill>
          </w14:textFill>
        </w:rPr>
        <w:t xml:space="preserve">      联系电话：</w:t>
      </w:r>
      <w:r>
        <w:rPr>
          <w:rFonts w:hint="eastAsia" w:ascii="宋体" w:hAnsi="宋体" w:eastAsia="宋体" w:cs="宋体"/>
          <w:color w:val="000000" w:themeColor="text1"/>
          <w:spacing w:val="-10"/>
          <w:lang w:val="en-US" w:eastAsia="zh-CN"/>
          <w14:textFill>
            <w14:solidFill>
              <w14:schemeClr w14:val="tx1"/>
            </w14:solidFill>
          </w14:textFill>
        </w:rPr>
        <w:t>18109118505</w:t>
      </w:r>
    </w:p>
    <w:p w14:paraId="7460DBF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bCs/>
          <w:color w:val="000000" w:themeColor="text1"/>
          <w14:textFill>
            <w14:solidFill>
              <w14:schemeClr w14:val="tx1"/>
            </w14:solidFill>
          </w14:textFill>
        </w:rPr>
      </w:pPr>
      <w:bookmarkStart w:id="35" w:name="_Toc30404"/>
      <w:bookmarkStart w:id="36" w:name="_Toc4661"/>
      <w:bookmarkStart w:id="37" w:name="_Toc15976"/>
      <w:bookmarkStart w:id="38" w:name="_Toc4945"/>
      <w:r>
        <w:rPr>
          <w:rFonts w:hint="eastAsia" w:ascii="宋体" w:hAnsi="宋体" w:eastAsia="宋体" w:cs="宋体"/>
          <w:b/>
          <w:bCs/>
          <w:color w:val="000000" w:themeColor="text1"/>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三</w:t>
      </w:r>
      <w:r>
        <w:rPr>
          <w:rFonts w:hint="eastAsia" w:ascii="宋体" w:hAnsi="宋体" w:eastAsia="宋体" w:cs="宋体"/>
          <w:b/>
          <w:bCs/>
          <w:color w:val="000000" w:themeColor="text1"/>
          <w14:textFill>
            <w14:solidFill>
              <w14:schemeClr w14:val="tx1"/>
            </w14:solidFill>
          </w14:textFill>
        </w:rPr>
        <w:t>）执行优惠政策</w:t>
      </w:r>
    </w:p>
    <w:bookmarkEnd w:id="35"/>
    <w:bookmarkEnd w:id="36"/>
    <w:bookmarkEnd w:id="37"/>
    <w:bookmarkEnd w:id="38"/>
    <w:p w14:paraId="5267C1F4">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b/>
          <w:bCs/>
          <w:color w:val="000000" w:themeColor="text1"/>
          <w:spacing w:val="-10"/>
          <w14:textFill>
            <w14:solidFill>
              <w14:schemeClr w14:val="tx1"/>
            </w14:solidFill>
          </w14:textFill>
        </w:rPr>
      </w:pPr>
      <w:bookmarkStart w:id="39" w:name="_Toc1993"/>
      <w:bookmarkStart w:id="40" w:name="_Toc16492"/>
      <w:bookmarkStart w:id="41" w:name="_Toc22982"/>
      <w:bookmarkStart w:id="42" w:name="_Toc16749"/>
      <w:r>
        <w:rPr>
          <w:rFonts w:hint="eastAsia" w:ascii="宋体" w:hAnsi="宋体" w:eastAsia="宋体" w:cs="宋体"/>
          <w:b/>
          <w:bCs/>
          <w:color w:val="000000" w:themeColor="text1"/>
          <w:spacing w:val="-10"/>
          <w:lang w:eastAsia="zh-CN"/>
          <w14:textFill>
            <w14:solidFill>
              <w14:schemeClr w14:val="tx1"/>
            </w14:solidFill>
          </w14:textFill>
        </w:rPr>
        <w:t>1.</w:t>
      </w:r>
      <w:r>
        <w:rPr>
          <w:rFonts w:hint="eastAsia" w:ascii="宋体" w:hAnsi="宋体" w:eastAsia="宋体" w:cs="宋体"/>
          <w:b/>
          <w:bCs/>
          <w:color w:val="000000" w:themeColor="text1"/>
          <w:spacing w:val="-10"/>
          <w:lang w:val="en-US" w:eastAsia="zh-CN"/>
          <w14:textFill>
            <w14:solidFill>
              <w14:schemeClr w14:val="tx1"/>
            </w14:solidFill>
          </w14:textFill>
        </w:rPr>
        <w:t>价格评审</w:t>
      </w:r>
      <w:r>
        <w:rPr>
          <w:rFonts w:hint="eastAsia" w:ascii="宋体" w:hAnsi="宋体" w:eastAsia="宋体" w:cs="宋体"/>
          <w:b/>
          <w:bCs/>
          <w:color w:val="000000" w:themeColor="text1"/>
          <w:spacing w:val="-10"/>
          <w:lang w:val="en-US"/>
          <w14:textFill>
            <w14:solidFill>
              <w14:schemeClr w14:val="tx1"/>
            </w14:solidFill>
          </w14:textFill>
        </w:rPr>
        <w:t>优惠条</w:t>
      </w:r>
      <w:r>
        <w:rPr>
          <w:rFonts w:hint="eastAsia" w:ascii="宋体" w:hAnsi="宋体" w:eastAsia="宋体" w:cs="宋体"/>
          <w:b/>
          <w:bCs/>
          <w:color w:val="000000" w:themeColor="text1"/>
          <w:spacing w:val="-10"/>
          <w14:textFill>
            <w14:solidFill>
              <w14:schemeClr w14:val="tx1"/>
            </w14:solidFill>
          </w14:textFill>
        </w:rPr>
        <w:t>件</w:t>
      </w:r>
    </w:p>
    <w:p w14:paraId="1B3CC6A2">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符合小型、微型企业或监狱企业、残疾人福利性单位条件的，其报价价格评审时将按相应比例进行扣除。</w:t>
      </w:r>
    </w:p>
    <w:p w14:paraId="46A75CE1">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1.1</w:t>
      </w:r>
      <w:r>
        <w:rPr>
          <w:rFonts w:hint="eastAsia" w:ascii="宋体" w:hAnsi="宋体" w:eastAsia="宋体" w:cs="宋体"/>
          <w:color w:val="000000" w:themeColor="text1"/>
          <w:spacing w:val="-10"/>
          <w:lang w:val="en-US" w:eastAsia="zh-CN"/>
          <w14:textFill>
            <w14:solidFill>
              <w14:schemeClr w14:val="tx1"/>
            </w14:solidFill>
          </w14:textFill>
        </w:rPr>
        <w:t>根据〈</w:t>
      </w:r>
      <w:r>
        <w:rPr>
          <w:rFonts w:hint="eastAsia" w:ascii="宋体" w:hAnsi="宋体" w:eastAsia="宋体" w:cs="宋体"/>
          <w:color w:val="000000" w:themeColor="text1"/>
          <w:spacing w:val="-10"/>
          <w14:textFill>
            <w14:solidFill>
              <w14:schemeClr w14:val="tx1"/>
            </w14:solidFill>
          </w14:textFill>
        </w:rPr>
        <w:t>关于印发《政府采购促进中小企业发展管理办法》的通知</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14:textFill>
            <w14:solidFill>
              <w14:schemeClr w14:val="tx1"/>
            </w14:solidFill>
          </w14:textFill>
        </w:rPr>
        <w:t>（财库〔2020〕46号）的规定，在政府采购活动中，供应商提供的货物、工程或者服务符合下列情形的，享受中小企业扶持政策：</w:t>
      </w:r>
    </w:p>
    <w:p w14:paraId="482A47A9">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（一）在货物采购项目中，货物由中小企业制造，即货物由中小企业生产且使用该中小企业商号或者注册商标；</w:t>
      </w:r>
    </w:p>
    <w:p w14:paraId="7739B651">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（二）在工程采购项目中，工程由中小企业承建，即工程施工单位为中小企业；</w:t>
      </w:r>
    </w:p>
    <w:p w14:paraId="65464F63">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（三）在服务采购项目中，服务由中小企业承接，即提供服务的人员为中小企业依照《中华人民共和国劳动合同法》订立劳动合同的从业人员。</w:t>
      </w:r>
    </w:p>
    <w:p w14:paraId="1A761FA3">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在货物采购项目中，供应商提供的货物既有中小企业制造货物，也有大型企业制造货物的，不享受中小企业扶持政策。</w:t>
      </w:r>
    </w:p>
    <w:p w14:paraId="4DFAF31A">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以联合体形式参加政府采购活动，联合体各方均为中小企业的，联合体视同中小企业。其中，联合体各方均为小微企业的，联合体视同小微企业。</w:t>
      </w:r>
    </w:p>
    <w:p w14:paraId="153157BF">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中小企业划分标准详见《关于印发中小企业划型标准规定的通知》</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14:textFill>
            <w14:solidFill>
              <w14:schemeClr w14:val="tx1"/>
            </w14:solidFill>
          </w14:textFill>
        </w:rPr>
        <w:t>工信部联企业〔2011〕300号）</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lang w:val="en-US" w:eastAsia="zh-CN"/>
          <w14:textFill>
            <w14:solidFill>
              <w14:schemeClr w14:val="tx1"/>
            </w14:solidFill>
          </w14:textFill>
        </w:rPr>
        <w:t>但</w:t>
      </w:r>
      <w:r>
        <w:rPr>
          <w:rFonts w:hint="eastAsia" w:ascii="宋体" w:hAnsi="宋体" w:eastAsia="宋体" w:cs="宋体"/>
          <w:color w:val="000000" w:themeColor="text1"/>
          <w:spacing w:val="-10"/>
          <w14:textFill>
            <w14:solidFill>
              <w14:schemeClr w14:val="tx1"/>
            </w14:solidFill>
          </w14:textFill>
        </w:rPr>
        <w:t>与大企业的负责人为同一人，或者与大企业存在直接控股、管理关系的除外。符合中小企业划分标准的个体工商户，在政府采购活动中视同中小企业。</w:t>
      </w:r>
    </w:p>
    <w:p w14:paraId="1BED27AE">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14:textFill>
            <w14:solidFill>
              <w14:schemeClr w14:val="tx1"/>
            </w14:solidFill>
          </w14:textFill>
        </w:rPr>
        <w:t>设区的市</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14:textFill>
            <w14:solidFill>
              <w14:schemeClr w14:val="tx1"/>
            </w14:solidFill>
          </w14:textFill>
        </w:rPr>
        <w:t>监狱、强制隔离戒毒所、戒毒康复所，以及新疆生产建设兵团监狱管理局、戒毒管理局的企业。</w:t>
      </w:r>
    </w:p>
    <w:p w14:paraId="2C42B3B6">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监狱企业参加政府采购活动时，应当提供由省级以上监狱管理局、戒毒管理局</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14:textFill>
            <w14:solidFill>
              <w14:schemeClr w14:val="tx1"/>
            </w14:solidFill>
          </w14:textFill>
        </w:rPr>
        <w:t>含新疆生产建设兵团</w:t>
      </w:r>
      <w:r>
        <w:rPr>
          <w:rFonts w:hint="eastAsia" w:ascii="宋体" w:hAnsi="宋体" w:eastAsia="宋体" w:cs="宋体"/>
          <w:color w:val="000000" w:themeColor="text1"/>
          <w:spacing w:val="-10"/>
          <w:lang w:eastAsia="zh-CN"/>
          <w14:textFill>
            <w14:solidFill>
              <w14:schemeClr w14:val="tx1"/>
            </w14:solidFill>
          </w14:textFill>
        </w:rPr>
        <w:t>）</w:t>
      </w:r>
      <w:r>
        <w:rPr>
          <w:rFonts w:hint="eastAsia" w:ascii="宋体" w:hAnsi="宋体" w:eastAsia="宋体" w:cs="宋体"/>
          <w:color w:val="000000" w:themeColor="text1"/>
          <w:spacing w:val="-10"/>
          <w14:textFill>
            <w14:solidFill>
              <w14:schemeClr w14:val="tx1"/>
            </w14:solidFill>
          </w14:textFill>
        </w:rPr>
        <w:t>出具的属于监狱企业的证明文件。监狱企业参加政府采购活动时，视同小型、微型企业。</w:t>
      </w:r>
    </w:p>
    <w:p w14:paraId="04ACE0D2">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1.3残疾人福利性单位应当同时满足以下条件：</w:t>
      </w:r>
    </w:p>
    <w:p w14:paraId="5DF75EF7">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（1）安置的残疾人占本单位在职职工人数的比例不低于25%（含25%），并且安置的残疾人人数不少于10人（含10人）；</w:t>
      </w:r>
    </w:p>
    <w:p w14:paraId="047BD8FD">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（2）依法与安置的每位残疾人签订了一年以上（含一年）的劳动合同或服务协议；</w:t>
      </w:r>
    </w:p>
    <w:p w14:paraId="632B852E">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（3）为安置的每位残疾人按月足额缴纳了基本养老保险、基本医疗保险、失业保险、工伤保险和生育保险等社会保险费；</w:t>
      </w:r>
    </w:p>
    <w:p w14:paraId="727F3959">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（4）通过银行等金融机构向安置的每位残疾人，按月支付了不低于单位所在区县适用的经省级人民政府批准的月最低工资标准的工资；</w:t>
      </w:r>
    </w:p>
    <w:p w14:paraId="029C588C">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64CE08FB">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EAC02B">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1E6CB294">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供应商提供的中小企业声明函、残疾人福利性单位声明函或监狱证明，与事实不符的，依照</w:t>
      </w:r>
      <w:r>
        <w:rPr>
          <w:rFonts w:hint="eastAsia" w:ascii="宋体" w:hAnsi="宋体" w:eastAsia="宋体" w:cs="宋体"/>
          <w:color w:val="000000" w:themeColor="text1"/>
          <w:spacing w:val="-10"/>
          <w:lang w:eastAsia="zh-CN"/>
          <w14:textFill>
            <w14:solidFill>
              <w14:schemeClr w14:val="tx1"/>
            </w14:solidFill>
          </w14:textFill>
        </w:rPr>
        <w:t>《中华人民共和国政府采购法》</w:t>
      </w:r>
      <w:r>
        <w:rPr>
          <w:rFonts w:hint="eastAsia" w:ascii="宋体" w:hAnsi="宋体" w:eastAsia="宋体" w:cs="宋体"/>
          <w:color w:val="000000" w:themeColor="text1"/>
          <w:spacing w:val="-10"/>
          <w14:textFill>
            <w14:solidFill>
              <w14:schemeClr w14:val="tx1"/>
            </w14:solidFill>
          </w14:textFill>
        </w:rPr>
        <w:t>第七十七条的相关规定追究法律责任。</w:t>
      </w:r>
    </w:p>
    <w:p w14:paraId="3C2D734A">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b/>
          <w:bCs/>
          <w:color w:val="000000" w:themeColor="text1"/>
          <w:spacing w:val="-10"/>
          <w:lang w:eastAsia="zh-CN"/>
          <w14:textFill>
            <w14:solidFill>
              <w14:schemeClr w14:val="tx1"/>
            </w14:solidFill>
          </w14:textFill>
        </w:rPr>
        <w:t>2.</w:t>
      </w:r>
      <w:r>
        <w:rPr>
          <w:rFonts w:hint="eastAsia" w:ascii="宋体" w:hAnsi="宋体" w:eastAsia="宋体" w:cs="宋体"/>
          <w:b/>
          <w:bCs/>
          <w:color w:val="000000" w:themeColor="text1"/>
          <w:spacing w:val="-10"/>
          <w:lang w:val="en-US" w:eastAsia="zh-CN"/>
          <w14:textFill>
            <w14:solidFill>
              <w14:schemeClr w14:val="tx1"/>
            </w14:solidFill>
          </w14:textFill>
        </w:rPr>
        <w:t>价格</w:t>
      </w:r>
      <w:r>
        <w:rPr>
          <w:rFonts w:hint="eastAsia" w:ascii="宋体" w:hAnsi="宋体" w:eastAsia="宋体" w:cs="宋体"/>
          <w:b/>
          <w:bCs/>
          <w:color w:val="000000" w:themeColor="text1"/>
          <w:spacing w:val="-10"/>
          <w14:textFill>
            <w14:solidFill>
              <w14:schemeClr w14:val="tx1"/>
            </w14:solidFill>
          </w14:textFill>
        </w:rPr>
        <w:t>扣除比例：</w:t>
      </w:r>
    </w:p>
    <w:p w14:paraId="2C74FA9D">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b/>
          <w:bCs/>
          <w:color w:val="000000" w:themeColor="text1"/>
          <w:spacing w:val="-10"/>
          <w14:textFill>
            <w14:solidFill>
              <w14:schemeClr w14:val="tx1"/>
            </w14:solidFill>
          </w14:textFill>
        </w:rPr>
      </w:pPr>
      <w:r>
        <w:rPr>
          <w:rFonts w:hint="eastAsia" w:ascii="宋体" w:hAnsi="宋体" w:eastAsia="宋体" w:cs="宋体"/>
          <w:b/>
          <w:bCs/>
          <w:color w:val="000000" w:themeColor="text1"/>
          <w:spacing w:val="-10"/>
          <w14:textFill>
            <w14:solidFill>
              <w14:schemeClr w14:val="tx1"/>
            </w14:solidFill>
          </w14:textFill>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eastAsia="宋体" w:cs="宋体"/>
          <w:b/>
          <w:bCs/>
          <w:color w:val="000000" w:themeColor="text1"/>
          <w:spacing w:val="-10"/>
          <w:lang w:val="en-US" w:eastAsia="zh-CN"/>
          <w14:textFill>
            <w14:solidFill>
              <w14:schemeClr w14:val="tx1"/>
            </w14:solidFill>
          </w14:textFill>
        </w:rPr>
        <w:t>10</w:t>
      </w:r>
      <w:r>
        <w:rPr>
          <w:rFonts w:hint="eastAsia" w:ascii="宋体" w:hAnsi="宋体" w:eastAsia="宋体" w:cs="宋体"/>
          <w:b/>
          <w:bCs/>
          <w:color w:val="000000" w:themeColor="text1"/>
          <w:spacing w:val="-10"/>
          <w14:textFill>
            <w14:solidFill>
              <w14:schemeClr w14:val="tx1"/>
            </w14:solidFill>
          </w14:textFill>
        </w:rPr>
        <w:t>”进行价格扣除，以扣除后的价格参与评审；符合两种及以上情形的，不累加计算扣除价格。</w:t>
      </w:r>
    </w:p>
    <w:p w14:paraId="56804B8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四</w:t>
      </w:r>
      <w:r>
        <w:rPr>
          <w:rFonts w:hint="eastAsia" w:ascii="宋体" w:hAnsi="宋体" w:eastAsia="宋体" w:cs="宋体"/>
          <w:b/>
          <w:color w:val="000000" w:themeColor="text1"/>
          <w14:textFill>
            <w14:solidFill>
              <w14:schemeClr w14:val="tx1"/>
            </w14:solidFill>
          </w14:textFill>
        </w:rPr>
        <w:t>）关于知识产权与保密事项</w:t>
      </w:r>
      <w:bookmarkEnd w:id="39"/>
      <w:bookmarkEnd w:id="40"/>
      <w:bookmarkEnd w:id="41"/>
      <w:bookmarkEnd w:id="42"/>
    </w:p>
    <w:p w14:paraId="25F4077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所有涉及知识产权的产品及设计，投标人必须确保采购人拥有其合法的、不受限制的无偿使用权，并免受任何侵权诉讼或索偿，否则，由此产生的一切经济损失和法律责任由投标人承担。</w:t>
      </w:r>
    </w:p>
    <w:p w14:paraId="0A12BFBF">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618D1E8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bCs/>
          <w:color w:val="000000" w:themeColor="text1"/>
          <w14:textFill>
            <w14:solidFill>
              <w14:schemeClr w14:val="tx1"/>
            </w14:solidFill>
          </w14:textFill>
        </w:rPr>
      </w:pPr>
      <w:bookmarkStart w:id="43" w:name="_Toc48834158"/>
      <w:bookmarkStart w:id="44" w:name="_Toc48834285"/>
      <w:bookmarkStart w:id="45" w:name="_Toc48834447"/>
      <w:bookmarkStart w:id="46" w:name="_Toc25185"/>
      <w:bookmarkStart w:id="47" w:name="_Toc48834088"/>
      <w:bookmarkStart w:id="48" w:name="_Toc48834526"/>
      <w:r>
        <w:rPr>
          <w:rFonts w:hint="eastAsia" w:ascii="宋体" w:hAnsi="宋体" w:eastAsia="宋体" w:cs="宋体"/>
          <w:b/>
          <w:bCs/>
          <w:color w:val="000000" w:themeColor="text1"/>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五</w:t>
      </w:r>
      <w:r>
        <w:rPr>
          <w:rFonts w:hint="eastAsia" w:ascii="宋体" w:hAnsi="宋体" w:eastAsia="宋体" w:cs="宋体"/>
          <w:b/>
          <w:bCs/>
          <w:color w:val="000000" w:themeColor="text1"/>
          <w14:textFill>
            <w14:solidFill>
              <w14:schemeClr w14:val="tx1"/>
            </w14:solidFill>
          </w14:textFill>
        </w:rPr>
        <w:t>）政采贷业务</w:t>
      </w:r>
    </w:p>
    <w:p w14:paraId="72ED074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bookmarkStart w:id="49" w:name="_Toc18387"/>
      <w:bookmarkStart w:id="50" w:name="_Toc19023"/>
      <w:bookmarkStart w:id="51" w:name="_Toc2340"/>
      <w:bookmarkStart w:id="52" w:name="_Toc24866"/>
      <w:r>
        <w:rPr>
          <w:rFonts w:hint="eastAsia" w:ascii="宋体" w:hAnsi="宋体" w:eastAsia="宋体" w:cs="宋体"/>
          <w:color w:val="000000" w:themeColor="text1"/>
          <w14:textFill>
            <w14:solidFill>
              <w14:schemeClr w14:val="tx1"/>
            </w14:solidFill>
          </w14:textFill>
        </w:rPr>
        <w:t>为了进一步推动金融支持政策更好适应</w:t>
      </w:r>
      <w:r>
        <w:rPr>
          <w:rFonts w:hint="eastAsia" w:ascii="宋体" w:hAnsi="宋体" w:eastAsia="宋体" w:cs="宋体"/>
          <w:color w:val="000000" w:themeColor="text1"/>
          <w:lang w:val="en-US" w:eastAsia="zh-CN"/>
          <w14:textFill>
            <w14:solidFill>
              <w14:schemeClr w14:val="tx1"/>
            </w14:solidFill>
          </w14:textFill>
        </w:rPr>
        <w:t>市</w:t>
      </w:r>
      <w:r>
        <w:rPr>
          <w:rFonts w:hint="eastAsia" w:ascii="宋体" w:hAnsi="宋体" w:eastAsia="宋体" w:cs="宋体"/>
          <w:color w:val="000000" w:themeColor="text1"/>
          <w14:textFill>
            <w14:solidFill>
              <w14:schemeClr w14:val="tx1"/>
            </w14:solidFill>
          </w14:textFill>
        </w:rPr>
        <w:t>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w:t>
      </w:r>
      <w:r>
        <w:rPr>
          <w:rFonts w:hint="eastAsia" w:ascii="宋体" w:hAnsi="宋体" w:eastAsia="宋体" w:cs="宋体"/>
          <w:color w:val="000000" w:themeColor="text1"/>
          <w:lang w:val="en-US" w:eastAsia="zh-CN"/>
          <w14:textFill>
            <w14:solidFill>
              <w14:schemeClr w14:val="tx1"/>
            </w14:solidFill>
          </w14:textFill>
        </w:rPr>
        <w:t>市</w:t>
      </w:r>
      <w:r>
        <w:rPr>
          <w:rFonts w:hint="eastAsia" w:ascii="宋体" w:hAnsi="宋体" w:eastAsia="宋体" w:cs="宋体"/>
          <w:color w:val="000000" w:themeColor="text1"/>
          <w14:textFill>
            <w14:solidFill>
              <w14:schemeClr w14:val="tx1"/>
            </w14:solidFill>
          </w14:textFill>
        </w:rPr>
        <w:t>场主导、财政引导、银企自愿、风险自担的原则，中标（成交）投标人可根据自身资金需求，登录陕西省政府采购信用融资平台（http://www.ccgp-shaanxi.gov.cn/zcdservice/zcd/shanxi/）在线申请，依法参加政府采购信用融资活动。</w:t>
      </w:r>
    </w:p>
    <w:p w14:paraId="7AF1065A">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目前的合作银行有：北京银行、中国建设银行、中信银行、中国平安银行、中国光大银行、浦发银行、兴业银行、中国工商银行、秦农银行、浙商银行、中国银行、西安银行、中国农业银行、中国邮政储蓄银行。</w:t>
      </w:r>
    </w:p>
    <w:p w14:paraId="42E1F421">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）投标人的投标费用自理</w:t>
      </w:r>
      <w:bookmarkEnd w:id="49"/>
      <w:bookmarkEnd w:id="50"/>
      <w:bookmarkEnd w:id="51"/>
      <w:bookmarkEnd w:id="52"/>
    </w:p>
    <w:p w14:paraId="6D244B60">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三、招标文件</w:t>
      </w:r>
      <w:bookmarkEnd w:id="43"/>
      <w:bookmarkEnd w:id="44"/>
      <w:bookmarkEnd w:id="45"/>
      <w:bookmarkEnd w:id="46"/>
      <w:bookmarkEnd w:id="47"/>
      <w:bookmarkEnd w:id="48"/>
    </w:p>
    <w:p w14:paraId="1DAEEBEB">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bookmarkStart w:id="53" w:name="_Toc19555"/>
      <w:bookmarkStart w:id="54" w:name="_Toc5972"/>
      <w:bookmarkStart w:id="55" w:name="_Toc20323"/>
      <w:bookmarkStart w:id="56" w:name="_Toc7620"/>
      <w:r>
        <w:rPr>
          <w:rFonts w:hint="eastAsia" w:ascii="宋体" w:hAnsi="宋体" w:eastAsia="宋体" w:cs="宋体"/>
          <w:b/>
          <w:color w:val="000000" w:themeColor="text1"/>
          <w14:textFill>
            <w14:solidFill>
              <w14:schemeClr w14:val="tx1"/>
            </w14:solidFill>
          </w14:textFill>
        </w:rPr>
        <w:t>（一）招标文件包括下列内容</w:t>
      </w:r>
      <w:bookmarkEnd w:id="53"/>
      <w:bookmarkEnd w:id="54"/>
      <w:bookmarkEnd w:id="55"/>
      <w:bookmarkEnd w:id="56"/>
    </w:p>
    <w:p w14:paraId="14E5D57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招标公告</w:t>
      </w:r>
    </w:p>
    <w:p w14:paraId="00D17E6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14:paraId="33176B8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bookmarkStart w:id="57" w:name="_Toc7448"/>
      <w:bookmarkStart w:id="58" w:name="_Toc18777"/>
      <w:bookmarkStart w:id="59" w:name="_Toc32645"/>
      <w:bookmarkStart w:id="60" w:name="_Toc4199"/>
      <w:r>
        <w:rPr>
          <w:rFonts w:hint="eastAsia" w:ascii="宋体" w:hAnsi="宋体" w:eastAsia="宋体" w:cs="宋体"/>
          <w:color w:val="000000" w:themeColor="text1"/>
          <w14:textFill>
            <w14:solidFill>
              <w14:schemeClr w14:val="tx1"/>
            </w14:solidFill>
          </w14:textFill>
        </w:rPr>
        <w:t>第三章　</w:t>
      </w:r>
      <w:r>
        <w:rPr>
          <w:rFonts w:hint="eastAsia" w:ascii="宋体" w:hAnsi="宋体" w:eastAsia="宋体" w:cs="宋体"/>
          <w:color w:val="000000" w:themeColor="text1"/>
          <w:sz w:val="28"/>
          <w:szCs w:val="28"/>
          <w14:textFill>
            <w14:solidFill>
              <w14:schemeClr w14:val="tx1"/>
            </w14:solidFill>
          </w14:textFill>
        </w:rPr>
        <w:t>评审办法及标准</w:t>
      </w:r>
    </w:p>
    <w:p w14:paraId="1731BEA0">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招标内容及采购要求</w:t>
      </w:r>
    </w:p>
    <w:p w14:paraId="017E45B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合同基本条款</w:t>
      </w:r>
    </w:p>
    <w:p w14:paraId="26BB270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第六章  投标文件构成及格式</w:t>
      </w:r>
    </w:p>
    <w:p w14:paraId="7C562290">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（二）招标文件的检查及阅读</w:t>
      </w:r>
      <w:bookmarkEnd w:id="57"/>
      <w:bookmarkEnd w:id="58"/>
      <w:bookmarkEnd w:id="59"/>
      <w:bookmarkEnd w:id="60"/>
    </w:p>
    <w:p w14:paraId="44172A3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投标人下载招标文件后应仔细阅读检查招标文件中的所有内容，按照招标文件中所列事项、条款、规范要求及格式，在投标文件中对招标文件做出全面的响应，并按招标文件的要求提交全部资料。</w:t>
      </w:r>
    </w:p>
    <w:p w14:paraId="79DED5F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如本项目废标后需重新组织招标，</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将重新编制、发布新版招标文件，投标人应按新版招标文件重新编制投标文件。原招标文件及投标文件失效。</w:t>
      </w:r>
    </w:p>
    <w:p w14:paraId="70C98FA0">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投标文件封面、投标函以及法定代表人授权委托书三处的项目名称、项目编号、标段（如有）应当与最新发布的招标文件保持一致，否则将被视为无效投标文件。</w:t>
      </w:r>
    </w:p>
    <w:p w14:paraId="2244FC05">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bookmarkStart w:id="61" w:name="_Toc25748"/>
      <w:bookmarkStart w:id="62" w:name="_Toc27301"/>
      <w:bookmarkStart w:id="63" w:name="_Toc6302"/>
      <w:bookmarkStart w:id="64" w:name="_Toc21665"/>
      <w:r>
        <w:rPr>
          <w:rFonts w:hint="eastAsia" w:ascii="宋体" w:hAnsi="宋体" w:eastAsia="宋体" w:cs="宋体"/>
          <w:b/>
          <w:color w:val="000000" w:themeColor="text1"/>
          <w14:textFill>
            <w14:solidFill>
              <w14:schemeClr w14:val="tx1"/>
            </w14:solidFill>
          </w14:textFill>
        </w:rPr>
        <w:t>（三）招标文件的修改、澄清</w:t>
      </w:r>
      <w:bookmarkEnd w:id="61"/>
      <w:bookmarkEnd w:id="62"/>
      <w:bookmarkEnd w:id="63"/>
      <w:bookmarkEnd w:id="64"/>
    </w:p>
    <w:p w14:paraId="7830F890">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1.华鼎工程咨询集团有限公司</w:t>
      </w:r>
      <w:r>
        <w:rPr>
          <w:rFonts w:hint="eastAsia" w:ascii="宋体" w:hAnsi="宋体" w:eastAsia="宋体" w:cs="宋体"/>
          <w:color w:val="000000" w:themeColor="text1"/>
          <w14:textFill>
            <w14:solidFill>
              <w14:schemeClr w14:val="tx1"/>
            </w14:solidFill>
          </w14:textFill>
        </w:rPr>
        <w:t>可以对已发出的招标文件进行必要的澄清或者修改，</w:t>
      </w:r>
      <w:r>
        <w:rPr>
          <w:rFonts w:hint="eastAsia" w:ascii="宋体" w:hAnsi="宋体" w:eastAsia="宋体" w:cs="宋体"/>
          <w:b/>
          <w:color w:val="000000" w:themeColor="text1"/>
          <w14:textFill>
            <w14:solidFill>
              <w14:schemeClr w14:val="tx1"/>
            </w14:solidFill>
          </w14:textFill>
        </w:rPr>
        <w:t>但不得改变采购标的和资格条件。</w:t>
      </w:r>
      <w:r>
        <w:rPr>
          <w:rFonts w:hint="eastAsia" w:ascii="宋体" w:hAnsi="宋体" w:eastAsia="宋体" w:cs="宋体"/>
          <w:color w:val="000000" w:themeColor="text1"/>
          <w14:textFill>
            <w14:solidFill>
              <w14:schemeClr w14:val="tx1"/>
            </w14:solidFill>
          </w14:textFill>
        </w:rPr>
        <w:t>澄清或者修改</w:t>
      </w:r>
      <w:r>
        <w:rPr>
          <w:rFonts w:hint="eastAsia" w:ascii="宋体" w:hAnsi="宋体" w:eastAsia="宋体" w:cs="宋体"/>
          <w:color w:val="000000" w:themeColor="text1"/>
          <w:lang w:eastAsia="zh-CN"/>
          <w14:textFill>
            <w14:solidFill>
              <w14:schemeClr w14:val="tx1"/>
            </w14:solidFill>
          </w14:textFill>
        </w:rPr>
        <w:t>应</w:t>
      </w:r>
      <w:r>
        <w:rPr>
          <w:rFonts w:hint="eastAsia" w:ascii="宋体" w:hAnsi="宋体" w:eastAsia="宋体" w:cs="宋体"/>
          <w:color w:val="000000" w:themeColor="text1"/>
          <w14:textFill>
            <w14:solidFill>
              <w14:schemeClr w14:val="tx1"/>
            </w14:solidFill>
          </w14:textFill>
        </w:rPr>
        <w:t>在原公告发布媒体上发布澄清公告，其内容为招标文件的组成部分。</w:t>
      </w:r>
    </w:p>
    <w:p w14:paraId="67FAC0DF">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澄清或者修改的内容可能影响投标文件编制的，</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将在投标截止时间至少15日前，在</w:t>
      </w:r>
      <w:r>
        <w:rPr>
          <w:rFonts w:hint="eastAsia" w:ascii="宋体" w:hAnsi="宋体" w:eastAsia="宋体" w:cs="宋体"/>
          <w:color w:val="000000" w:themeColor="text1"/>
          <w:spacing w:val="-10"/>
          <w14:textFill>
            <w14:solidFill>
              <w14:schemeClr w14:val="tx1"/>
            </w14:solidFill>
          </w14:textFill>
        </w:rPr>
        <w:t>原公告</w:t>
      </w:r>
      <w:r>
        <w:rPr>
          <w:rFonts w:hint="eastAsia" w:ascii="宋体" w:hAnsi="宋体" w:eastAsia="宋体" w:cs="宋体"/>
          <w:color w:val="000000" w:themeColor="text1"/>
          <w14:textFill>
            <w14:solidFill>
              <w14:schemeClr w14:val="tx1"/>
            </w14:solidFill>
          </w14:textFill>
        </w:rPr>
        <w:t>发布媒体上</w:t>
      </w:r>
      <w:r>
        <w:rPr>
          <w:rFonts w:hint="eastAsia" w:ascii="宋体" w:hAnsi="宋体" w:eastAsia="宋体" w:cs="宋体"/>
          <w:b/>
          <w:color w:val="000000" w:themeColor="text1"/>
          <w14:textFill>
            <w14:solidFill>
              <w14:schemeClr w14:val="tx1"/>
            </w14:solidFill>
          </w14:textFill>
        </w:rPr>
        <w:t>发布更正公告</w:t>
      </w:r>
      <w:r>
        <w:rPr>
          <w:rFonts w:hint="eastAsia" w:ascii="宋体" w:hAnsi="宋体" w:eastAsia="宋体" w:cs="宋体"/>
          <w:color w:val="000000" w:themeColor="text1"/>
          <w14:textFill>
            <w14:solidFill>
              <w14:schemeClr w14:val="tx1"/>
            </w14:solidFill>
          </w14:textFill>
        </w:rPr>
        <w:t>；不足15日，</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将顺延提交投标文件的截止时间。</w:t>
      </w:r>
    </w:p>
    <w:p w14:paraId="0CE7C97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投标人对招标文件提出质疑的，应在招标文件公告期限届满之日起7个工作日内以书面形式提出，采购人或</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以书面形式予以答复；在此之后提出的针对招标文件的质疑为无效质疑。答复的内容可能影响投标文件编制的，</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将在财政部门指定的政府采购信息发布媒体上</w:t>
      </w:r>
      <w:r>
        <w:rPr>
          <w:rFonts w:hint="eastAsia" w:ascii="宋体" w:hAnsi="宋体" w:eastAsia="宋体" w:cs="宋体"/>
          <w:b/>
          <w:color w:val="000000" w:themeColor="text1"/>
          <w14:textFill>
            <w14:solidFill>
              <w14:schemeClr w14:val="tx1"/>
            </w14:solidFill>
          </w14:textFill>
        </w:rPr>
        <w:t>发布更正公告</w:t>
      </w:r>
      <w:r>
        <w:rPr>
          <w:rFonts w:hint="eastAsia" w:ascii="宋体" w:hAnsi="宋体" w:eastAsia="宋体" w:cs="宋体"/>
          <w:color w:val="000000" w:themeColor="text1"/>
          <w14:textFill>
            <w14:solidFill>
              <w14:schemeClr w14:val="tx1"/>
            </w14:solidFill>
          </w14:textFill>
        </w:rPr>
        <w:t>。</w:t>
      </w:r>
    </w:p>
    <w:p w14:paraId="6BB8371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b/>
          <w:color w:val="000000" w:themeColor="text1"/>
          <w14:textFill>
            <w14:solidFill>
              <w14:schemeClr w14:val="tx1"/>
            </w14:solidFill>
          </w14:textFill>
        </w:rPr>
        <w:t>不再单独通知，因投标人未及时关注所造成的一切后果由投标人自行承担：</w:t>
      </w:r>
    </w:p>
    <w:p w14:paraId="3130D977">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"http://www.ccgp-shaanxi.gov.cn" </w:instrText>
      </w:r>
      <w:r>
        <w:rPr>
          <w:rFonts w:hint="eastAsia" w:ascii="宋体" w:hAnsi="宋体" w:eastAsia="宋体" w:cs="宋体"/>
          <w:color w:val="000000" w:themeColor="text1"/>
          <w14:textFill>
            <w14:solidFill>
              <w14:schemeClr w14:val="tx1"/>
            </w14:solidFill>
          </w14:textFill>
        </w:rPr>
        <w:fldChar w:fldCharType="separate"/>
      </w:r>
      <w:r>
        <w:rPr>
          <w:rStyle w:val="26"/>
          <w:rFonts w:hint="eastAsia" w:ascii="宋体" w:hAnsi="宋体" w:eastAsia="宋体" w:cs="宋体"/>
          <w:color w:val="000000" w:themeColor="text1"/>
          <w:sz w:val="28"/>
          <w:szCs w:val="28"/>
          <w14:textFill>
            <w14:solidFill>
              <w14:schemeClr w14:val="tx1"/>
            </w14:solidFill>
          </w14:textFill>
        </w:rPr>
        <w:t>陕西省政府采购网</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（www.ccgp-shaanxi.gov.cn）】中的〖首页·〉省级公告·〉更正公告〗；</w:t>
      </w:r>
    </w:p>
    <w:p w14:paraId="259047F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（2）【全国公共资源交易平台（陕西省）（http://www.sxggzyjy.cn/）】中的〖首页·〉交易大厅·〉政府采购〗。</w:t>
      </w:r>
    </w:p>
    <w:p w14:paraId="50C69345">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bookmarkStart w:id="65" w:name="_Toc4045"/>
      <w:bookmarkStart w:id="66" w:name="_Toc27379"/>
      <w:bookmarkStart w:id="67" w:name="_Toc6095"/>
      <w:bookmarkStart w:id="68" w:name="_Toc9044"/>
      <w:r>
        <w:rPr>
          <w:rFonts w:hint="eastAsia" w:ascii="宋体" w:hAnsi="宋体" w:eastAsia="宋体" w:cs="宋体"/>
          <w:b/>
          <w:color w:val="000000" w:themeColor="text1"/>
          <w14:textFill>
            <w14:solidFill>
              <w14:schemeClr w14:val="tx1"/>
            </w14:solidFill>
          </w14:textFill>
        </w:rPr>
        <w:t>（四）招标文件的解释权归</w:t>
      </w:r>
      <w:r>
        <w:rPr>
          <w:rFonts w:hint="eastAsia" w:ascii="宋体" w:hAnsi="宋体" w:eastAsia="宋体" w:cs="宋体"/>
          <w:b/>
          <w:color w:val="000000" w:themeColor="text1"/>
          <w:lang w:eastAsia="zh-CN"/>
          <w14:textFill>
            <w14:solidFill>
              <w14:schemeClr w14:val="tx1"/>
            </w14:solidFill>
          </w14:textFill>
        </w:rPr>
        <w:t>华鼎工程咨询集团有限公司</w:t>
      </w:r>
      <w:r>
        <w:rPr>
          <w:rFonts w:hint="eastAsia" w:ascii="宋体" w:hAnsi="宋体" w:eastAsia="宋体" w:cs="宋体"/>
          <w:b/>
          <w:color w:val="000000" w:themeColor="text1"/>
          <w14:textFill>
            <w14:solidFill>
              <w14:schemeClr w14:val="tx1"/>
            </w14:solidFill>
          </w14:textFill>
        </w:rPr>
        <w:t>。</w:t>
      </w:r>
      <w:bookmarkEnd w:id="65"/>
      <w:bookmarkEnd w:id="66"/>
      <w:bookmarkEnd w:id="67"/>
      <w:bookmarkEnd w:id="68"/>
    </w:p>
    <w:p w14:paraId="3B37095F">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9" w:name="_Toc48834287"/>
      <w:bookmarkStart w:id="70" w:name="_Toc48834090"/>
      <w:bookmarkStart w:id="71" w:name="_Toc48834160"/>
      <w:bookmarkStart w:id="72" w:name="_Toc16421"/>
      <w:bookmarkStart w:id="73" w:name="_Toc48834528"/>
      <w:bookmarkStart w:id="74" w:name="_Toc48834449"/>
      <w:r>
        <w:rPr>
          <w:rFonts w:hint="eastAsia" w:ascii="宋体" w:hAnsi="宋体" w:eastAsia="宋体" w:cs="宋体"/>
          <w:b/>
          <w:color w:val="000000" w:themeColor="text1"/>
          <w:sz w:val="28"/>
          <w:szCs w:val="28"/>
          <w14:textFill>
            <w14:solidFill>
              <w14:schemeClr w14:val="tx1"/>
            </w14:solidFill>
          </w14:textFill>
        </w:rPr>
        <w:t>四、投标报价</w:t>
      </w:r>
      <w:bookmarkEnd w:id="69"/>
      <w:bookmarkEnd w:id="70"/>
      <w:bookmarkEnd w:id="71"/>
      <w:bookmarkEnd w:id="72"/>
      <w:bookmarkEnd w:id="73"/>
      <w:bookmarkEnd w:id="74"/>
    </w:p>
    <w:p w14:paraId="7BEEBA1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2F0B15D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（一）投标人应严格按照《投标文件构成及格式》中《开标一览表》中的相关要求填写分类报价及其他需要响应的内容。</w:t>
      </w:r>
    </w:p>
    <w:p w14:paraId="0659FCA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（二）投标报价货币：</w:t>
      </w:r>
      <w:r>
        <w:rPr>
          <w:rFonts w:hint="eastAsia" w:ascii="宋体" w:hAnsi="宋体" w:eastAsia="宋体" w:cs="宋体"/>
          <w:b/>
          <w:color w:val="000000" w:themeColor="text1"/>
          <w14:textFill>
            <w14:solidFill>
              <w14:schemeClr w14:val="tx1"/>
            </w14:solidFill>
          </w14:textFill>
        </w:rPr>
        <w:t>人民币</w:t>
      </w:r>
      <w:r>
        <w:rPr>
          <w:rFonts w:hint="eastAsia" w:ascii="宋体" w:hAnsi="宋体" w:eastAsia="宋体" w:cs="宋体"/>
          <w:color w:val="000000" w:themeColor="text1"/>
          <w14:textFill>
            <w14:solidFill>
              <w14:schemeClr w14:val="tx1"/>
            </w14:solidFill>
          </w14:textFill>
        </w:rPr>
        <w:t>；单位：</w:t>
      </w:r>
      <w:r>
        <w:rPr>
          <w:rFonts w:hint="eastAsia" w:ascii="宋体" w:hAnsi="宋体" w:eastAsia="宋体" w:cs="宋体"/>
          <w:b/>
          <w:color w:val="000000" w:themeColor="text1"/>
          <w14:textFill>
            <w14:solidFill>
              <w14:schemeClr w14:val="tx1"/>
            </w14:solidFill>
          </w14:textFill>
        </w:rPr>
        <w:t>元</w:t>
      </w:r>
      <w:r>
        <w:rPr>
          <w:rFonts w:hint="eastAsia" w:ascii="宋体" w:hAnsi="宋体" w:eastAsia="宋体" w:cs="宋体"/>
          <w:b/>
          <w:bCs/>
          <w:color w:val="000000" w:themeColor="text1"/>
          <w14:textFill>
            <w14:solidFill>
              <w14:schemeClr w14:val="tx1"/>
            </w14:solidFill>
          </w14:textFill>
        </w:rPr>
        <w:t>。</w:t>
      </w:r>
    </w:p>
    <w:p w14:paraId="43C6181F">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（三）投标报价只能提交唯一报价，并且在合同履行过程中是固定不变的，任何有选择的报价将不予接受，按无效投标处理。</w:t>
      </w:r>
    </w:p>
    <w:p w14:paraId="0C7BABB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（四）投标报价应遵守《中华人民共和国价格法》，投标人不得以低于成本的报价参与投标。</w:t>
      </w:r>
    </w:p>
    <w:p w14:paraId="29CE19D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（五）投标文件报价出现前后不一致的，除招标文件另有规定外，按照下列规定修正：</w:t>
      </w:r>
    </w:p>
    <w:p w14:paraId="6740E07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投标文件中开标一览表内容与投标文件中相应内容不一致的，以开标一览表为准；</w:t>
      </w:r>
    </w:p>
    <w:p w14:paraId="70F2584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大写金额和小写金额不一致的，以大写金额为准；</w:t>
      </w:r>
    </w:p>
    <w:p w14:paraId="1942B3D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单价金额小数点或者百分比有明显错位的，以开标一览表的总价为准，并修改单价；</w:t>
      </w:r>
    </w:p>
    <w:p w14:paraId="5E7BFB8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总价金额与按单价汇总金额不一致的，以单价金额计算结果为准；</w:t>
      </w:r>
    </w:p>
    <w:p w14:paraId="77FBEC9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同时出现两种以上不一致的，按照前款规定的顺序修正。</w:t>
      </w:r>
      <w:r>
        <w:rPr>
          <w:rFonts w:hint="eastAsia" w:ascii="宋体" w:hAnsi="宋体" w:eastAsia="宋体" w:cs="宋体"/>
          <w:b/>
          <w:color w:val="000000" w:themeColor="text1"/>
          <w14:textFill>
            <w14:solidFill>
              <w14:schemeClr w14:val="tx1"/>
            </w14:solidFill>
          </w14:textFill>
        </w:rPr>
        <w:t>修正后的报价经投标人确认后产生约束力，投标人不确认的，其投标无效。</w:t>
      </w:r>
    </w:p>
    <w:p w14:paraId="4F0382C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（六）因投标人对招标文件理解不透、误解、疏漏或对</w:t>
      </w:r>
      <w:r>
        <w:rPr>
          <w:rFonts w:hint="eastAsia" w:ascii="宋体" w:hAnsi="宋体" w:eastAsia="宋体" w:cs="宋体"/>
          <w:color w:val="000000" w:themeColor="text1"/>
          <w:lang w:eastAsia="zh-CN"/>
          <w14:textFill>
            <w14:solidFill>
              <w14:schemeClr w14:val="tx1"/>
            </w14:solidFill>
          </w14:textFill>
        </w:rPr>
        <w:t>现场</w:t>
      </w:r>
      <w:r>
        <w:rPr>
          <w:rFonts w:hint="eastAsia" w:ascii="宋体" w:hAnsi="宋体" w:eastAsia="宋体" w:cs="宋体"/>
          <w:color w:val="000000" w:themeColor="text1"/>
          <w14:textFill>
            <w14:solidFill>
              <w14:schemeClr w14:val="tx1"/>
            </w14:solidFill>
          </w14:textFill>
        </w:rPr>
        <w:t>行情了解不清造成的后果和风险，均由投标人自己负责。</w:t>
      </w:r>
    </w:p>
    <w:p w14:paraId="785C05A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bookmarkStart w:id="75" w:name="_Toc48834161"/>
      <w:bookmarkStart w:id="76" w:name="_Toc48834529"/>
      <w:bookmarkStart w:id="77" w:name="_Toc31048"/>
      <w:bookmarkStart w:id="78" w:name="_Toc48834091"/>
      <w:bookmarkStart w:id="79" w:name="_Toc48834288"/>
      <w:bookmarkStart w:id="80" w:name="_Toc48834450"/>
      <w:r>
        <w:rPr>
          <w:rFonts w:hint="eastAsia" w:ascii="宋体" w:hAnsi="宋体" w:eastAsia="宋体" w:cs="宋体"/>
          <w:b/>
          <w:color w:val="000000" w:themeColor="text1"/>
          <w14:textFill>
            <w14:solidFill>
              <w14:schemeClr w14:val="tx1"/>
            </w14:solidFill>
          </w14:textFill>
        </w:rPr>
        <w:t>五、投标文件</w:t>
      </w:r>
      <w:bookmarkEnd w:id="75"/>
      <w:bookmarkEnd w:id="76"/>
      <w:bookmarkEnd w:id="77"/>
      <w:bookmarkEnd w:id="78"/>
      <w:bookmarkEnd w:id="79"/>
      <w:bookmarkEnd w:id="80"/>
    </w:p>
    <w:p w14:paraId="697AD89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（一）投标文件的式样</w:t>
      </w:r>
    </w:p>
    <w:p w14:paraId="7C1E52D0">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本项目采用电子投标文件的形式。</w:t>
      </w:r>
    </w:p>
    <w:p w14:paraId="7B20A39E">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编制电子投标文件时，应使用最新发布的电子招标文件及专用制作工具进行编制。并使用数字认证证书（CA锁）对电子投标文件进行签章、加密、递交及开标时解密等相关招投标事宜。</w:t>
      </w:r>
    </w:p>
    <w:p w14:paraId="64235562">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1.</w:t>
      </w:r>
      <w:r>
        <w:rPr>
          <w:rFonts w:hint="eastAsia" w:ascii="宋体" w:hAnsi="宋体" w:eastAsia="宋体" w:cs="宋体"/>
          <w:bCs/>
          <w:color w:val="000000" w:themeColor="text1"/>
          <w:sz w:val="28"/>
          <w:szCs w:val="28"/>
          <w14:textFill>
            <w14:solidFill>
              <w14:schemeClr w14:val="tx1"/>
            </w14:solidFill>
          </w14:textFill>
        </w:rPr>
        <w:t>电子招标文件下载。投标人登录全国公共资源交易平台（陕西省） 网站〖首页·〉电子交易平台·〉企业端〗后，在〖招标公告/出让公告〗 模块中选择项目点击“我要投标”，参与投标活动。然后即可在〖我的项 目〗中点击“项目流程</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 xml:space="preserve">交易文件下载”下载电子招标文件。 </w:t>
      </w:r>
    </w:p>
    <w:p w14:paraId="55571534">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2.</w:t>
      </w:r>
      <w:r>
        <w:rPr>
          <w:rFonts w:hint="eastAsia" w:ascii="宋体" w:hAnsi="宋体" w:eastAsia="宋体" w:cs="宋体"/>
          <w:bCs/>
          <w:color w:val="000000" w:themeColor="text1"/>
          <w:sz w:val="28"/>
          <w:szCs w:val="28"/>
          <w14:textFill>
            <w14:solidFill>
              <w14:schemeClr w14:val="tx1"/>
            </w14:solidFill>
          </w14:textFill>
        </w:rPr>
        <w:t>电子招标文件需要使用专用软件打开、浏览。投标人可在全国公共 资源交易平台（陕西省）网站〖首页·〉服务指南·〉下载专区〗免费下载“陕西省公共资源交易平台政府采购电子标书制作工具</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V8.0.0.2</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”，并 升级至最新版本，使用该客户端可以打开电子招标文件。软件操作手册详见全国公共资源交易平台（陕西省）网站〖首页·〉服务指南·〉下载专区〗中的《陕西省公共资源交易（政府采购类）投标文件制作软件操作手册》。</w:t>
      </w:r>
    </w:p>
    <w:p w14:paraId="02A7890C">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 xml:space="preserve">制作电子投标文件。电子投标文件同样需要使用上述软件进行编制。 在编制过程中，如有技术性问题，请先翻阅操作手册，或致电软件开发商。 </w:t>
      </w:r>
    </w:p>
    <w:p w14:paraId="2EE36DF1">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技术支持热线：4009280095、4009980000</w:t>
      </w:r>
      <w:r>
        <w:rPr>
          <w:rFonts w:hint="eastAsia" w:ascii="宋体" w:hAnsi="宋体" w:eastAsia="宋体" w:cs="宋体"/>
          <w:bCs/>
          <w:color w:val="000000" w:themeColor="text1"/>
          <w:sz w:val="21"/>
          <w:szCs w:val="21"/>
          <w14:textFill>
            <w14:solidFill>
              <w14:schemeClr w14:val="tx1"/>
            </w14:solidFill>
          </w14:textFill>
        </w:rPr>
        <w:t xml:space="preserve"> </w:t>
      </w:r>
    </w:p>
    <w:p w14:paraId="22A402D0">
      <w:pPr>
        <w:pStyle w:val="15"/>
        <w:keepNext w:val="0"/>
        <w:keepLines w:val="0"/>
        <w:pageBreakBefore w:val="0"/>
        <w:widowControl/>
        <w:kinsoku/>
        <w:overflowPunct/>
        <w:topLinePunct w:val="0"/>
        <w:bidi w:val="0"/>
        <w:spacing w:afterLines="0" w:line="500" w:lineRule="exact"/>
        <w:ind w:left="0" w:leftChars="0" w:right="0" w:firstLine="426"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CA锁购买：</w:t>
      </w:r>
      <w:r>
        <w:rPr>
          <w:rFonts w:hint="eastAsia" w:ascii="宋体" w:hAnsi="宋体" w:eastAsia="宋体" w:cs="宋体"/>
          <w:bCs/>
          <w:color w:val="000000" w:themeColor="text1"/>
          <w:sz w:val="28"/>
          <w:szCs w:val="28"/>
          <w:lang w:eastAsia="zh-CN"/>
          <w14:textFill>
            <w14:solidFill>
              <w14:schemeClr w14:val="tx1"/>
            </w14:solidFill>
          </w14:textFill>
        </w:rPr>
        <w:t>榆林市市民大厦</w:t>
      </w:r>
      <w:r>
        <w:rPr>
          <w:rFonts w:hint="eastAsia" w:ascii="宋体" w:hAnsi="宋体" w:eastAsia="宋体" w:cs="宋体"/>
          <w:bCs/>
          <w:color w:val="000000" w:themeColor="text1"/>
          <w:sz w:val="28"/>
          <w:szCs w:val="28"/>
          <w14:textFill>
            <w14:solidFill>
              <w14:schemeClr w14:val="tx1"/>
            </w14:solidFill>
          </w14:textFill>
        </w:rPr>
        <w:t>四楼窗口购买</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或下载手机APP：陕公共资源交易服务，线上购买。联系电话：0912-3515031</w:t>
      </w:r>
    </w:p>
    <w:p w14:paraId="4FCF3018">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（二）投标文件有效期</w:t>
      </w:r>
    </w:p>
    <w:p w14:paraId="390108E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投标文件有效期为</w:t>
      </w:r>
      <w:r>
        <w:rPr>
          <w:rFonts w:hint="eastAsia" w:ascii="宋体" w:hAnsi="宋体" w:eastAsia="宋体" w:cs="宋体"/>
          <w:b/>
          <w:color w:val="000000" w:themeColor="text1"/>
          <w14:textFill>
            <w14:solidFill>
              <w14:schemeClr w14:val="tx1"/>
            </w14:solidFill>
          </w14:textFill>
        </w:rPr>
        <w:t>自开标之日起90个日历日</w:t>
      </w:r>
      <w:r>
        <w:rPr>
          <w:rFonts w:hint="eastAsia" w:ascii="宋体" w:hAnsi="宋体" w:eastAsia="宋体" w:cs="宋体"/>
          <w:color w:val="000000" w:themeColor="text1"/>
          <w14:textFill>
            <w14:solidFill>
              <w14:schemeClr w14:val="tx1"/>
            </w14:solidFill>
          </w14:textFill>
        </w:rPr>
        <w:t>。如中标，延长至合同执行完毕时止。</w:t>
      </w:r>
    </w:p>
    <w:p w14:paraId="3B466341">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（三）投标文件的提交</w:t>
      </w:r>
    </w:p>
    <w:p w14:paraId="3D4BF32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电子投标文件可于提交投标文件截止时间前任意时段登录全国公共资源交易平台（陕西省）网站“电子交易平台</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企业端”进行提交，逾期系统将拒绝接收。提交时，投标人应登录全国公共资源交易中心平台（陕西省），选择“首页</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电子交易平台</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企业端</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我的项目”，点击“项目流程”，在打开的“项目管理”对话框中选择“上传投标文件”，上传加密的电子投标文件。上传成功后，电子化平台将予以记录。</w:t>
      </w:r>
    </w:p>
    <w:p w14:paraId="6DC3A930">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（四）投标文件的补充、修改和撤回</w:t>
      </w:r>
    </w:p>
    <w:p w14:paraId="794BA8D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投标人在递交投标文件后，且在提交投标文件截止时</w:t>
      </w:r>
      <w:r>
        <w:rPr>
          <w:rFonts w:hint="eastAsia" w:ascii="宋体" w:hAnsi="宋体" w:eastAsia="宋体" w:cs="宋体"/>
          <w:color w:val="000000" w:themeColor="text1"/>
          <w:lang w:eastAsia="zh-CN"/>
          <w14:textFill>
            <w14:solidFill>
              <w14:schemeClr w14:val="tx1"/>
            </w14:solidFill>
          </w14:textFill>
        </w:rPr>
        <w:t>间之</w:t>
      </w:r>
      <w:r>
        <w:rPr>
          <w:rFonts w:hint="eastAsia" w:ascii="宋体" w:hAnsi="宋体" w:eastAsia="宋体" w:cs="宋体"/>
          <w:color w:val="000000" w:themeColor="text1"/>
          <w14:textFill>
            <w14:solidFill>
              <w14:schemeClr w14:val="tx1"/>
            </w14:solidFill>
          </w14:textFill>
        </w:rPr>
        <w:t>前，可以对所提交的投标文件进行补充、修改或撤回。</w:t>
      </w:r>
    </w:p>
    <w:p w14:paraId="55358C30">
      <w:pPr>
        <w:pStyle w:val="33"/>
        <w:keepNext w:val="0"/>
        <w:keepLines w:val="0"/>
        <w:pageBreakBefore w:val="0"/>
        <w:widowControl/>
        <w:numPr>
          <w:ilvl w:val="0"/>
          <w:numId w:val="1"/>
        </w:numPr>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对电子投标文件进行补充、修改的，应先从电子交易平台上撤回旧 版，再重新提交新版。 </w:t>
      </w:r>
    </w:p>
    <w:p w14:paraId="1D715B7E">
      <w:pPr>
        <w:pStyle w:val="33"/>
        <w:keepNext w:val="0"/>
        <w:keepLines w:val="0"/>
        <w:pageBreakBefore w:val="0"/>
        <w:widowControl/>
        <w:numPr>
          <w:ilvl w:val="0"/>
          <w:numId w:val="1"/>
        </w:numPr>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投标文件提交截止时间后，投标人不得对其投标文件做任何修改。</w:t>
      </w:r>
    </w:p>
    <w:p w14:paraId="468F059B">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（五）投标人出现下列情况之一的，其投标文件视为无效文件：</w:t>
      </w:r>
    </w:p>
    <w:p w14:paraId="798F965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逾期提交电子投标文件；</w:t>
      </w:r>
    </w:p>
    <w:p w14:paraId="62E65108">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提交的投标文件与本项目不相符；</w:t>
      </w:r>
    </w:p>
    <w:p w14:paraId="286ADBB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投标人拒绝对电子投标文件进行解密；</w:t>
      </w:r>
    </w:p>
    <w:p w14:paraId="3E19206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因投标人自身原因（如在</w:t>
      </w:r>
      <w:r>
        <w:rPr>
          <w:rFonts w:hint="eastAsia" w:ascii="宋体" w:hAnsi="宋体" w:eastAsia="宋体" w:cs="宋体"/>
          <w:color w:val="000000" w:themeColor="text1"/>
          <w:lang w:eastAsia="zh-CN"/>
          <w14:textFill>
            <w14:solidFill>
              <w14:schemeClr w14:val="tx1"/>
            </w14:solidFill>
          </w14:textFill>
        </w:rPr>
        <w:t>榆林市</w:t>
      </w:r>
      <w:r>
        <w:rPr>
          <w:rFonts w:hint="eastAsia" w:ascii="宋体" w:hAnsi="宋体" w:eastAsia="宋体" w:cs="宋体"/>
          <w:color w:val="000000" w:themeColor="text1"/>
          <w14:textFill>
            <w14:solidFill>
              <w14:schemeClr w14:val="tx1"/>
            </w14:solidFill>
          </w14:textFill>
        </w:rPr>
        <w:t>不见面开标大厅投标截止时间前未签到、供应商网络设备故障或沿用旧版招标文件编制投标文件等情形），导致在规定时间内无法解密投标文件；</w:t>
      </w:r>
    </w:p>
    <w:p w14:paraId="65CED51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上传的电子投标文件无法打开。</w:t>
      </w:r>
    </w:p>
    <w:p w14:paraId="4028A80E">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1" w:name="_Toc14082125"/>
      <w:bookmarkStart w:id="82" w:name="_Toc21349"/>
      <w:bookmarkStart w:id="83" w:name="_Toc48834092"/>
      <w:bookmarkStart w:id="84" w:name="_Toc48834530"/>
      <w:bookmarkStart w:id="85" w:name="_Toc48834289"/>
      <w:bookmarkStart w:id="86" w:name="_Toc48834451"/>
      <w:bookmarkStart w:id="87" w:name="_Toc48834162"/>
      <w:r>
        <w:rPr>
          <w:rFonts w:hint="eastAsia" w:ascii="宋体" w:hAnsi="宋体" w:eastAsia="宋体" w:cs="宋体"/>
          <w:b/>
          <w:color w:val="000000" w:themeColor="text1"/>
          <w:sz w:val="28"/>
          <w:szCs w:val="28"/>
          <w14:textFill>
            <w14:solidFill>
              <w14:schemeClr w14:val="tx1"/>
            </w14:solidFill>
          </w14:textFill>
        </w:rPr>
        <w:t>六、组织开标</w:t>
      </w:r>
      <w:bookmarkEnd w:id="81"/>
      <w:bookmarkEnd w:id="82"/>
      <w:bookmarkEnd w:id="83"/>
      <w:bookmarkEnd w:id="84"/>
      <w:bookmarkEnd w:id="85"/>
      <w:bookmarkEnd w:id="86"/>
      <w:bookmarkEnd w:id="87"/>
    </w:p>
    <w:p w14:paraId="4DECC53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组织招标、开标、评标工作，整个过程受政府采购监管机构的监督、管理。</w:t>
      </w:r>
    </w:p>
    <w:p w14:paraId="3C1BEFF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在</w:t>
      </w:r>
      <w:r>
        <w:rPr>
          <w:rFonts w:hint="eastAsia" w:ascii="宋体" w:hAnsi="宋体" w:eastAsia="宋体" w:cs="宋体"/>
          <w:color w:val="000000" w:themeColor="text1"/>
          <w:lang w:val="en-US"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文件规定的时间和地点组织开标，投标人必须在</w:t>
      </w:r>
      <w:r>
        <w:rPr>
          <w:rFonts w:hint="eastAsia" w:ascii="宋体" w:hAnsi="宋体" w:eastAsia="宋体" w:cs="宋体"/>
          <w:color w:val="000000" w:themeColor="text1"/>
          <w:lang w:eastAsia="zh-CN"/>
          <w14:textFill>
            <w14:solidFill>
              <w14:schemeClr w14:val="tx1"/>
            </w14:solidFill>
          </w14:textFill>
        </w:rPr>
        <w:t>榆林市</w:t>
      </w:r>
      <w:r>
        <w:rPr>
          <w:rFonts w:hint="eastAsia" w:ascii="宋体" w:hAnsi="宋体" w:eastAsia="宋体" w:cs="宋体"/>
          <w:color w:val="000000" w:themeColor="text1"/>
          <w14:textFill>
            <w14:solidFill>
              <w14:schemeClr w14:val="tx1"/>
            </w14:solidFill>
          </w14:textFill>
        </w:rPr>
        <w:t>不见面开标大厅系统签名报到。</w:t>
      </w:r>
    </w:p>
    <w:p w14:paraId="4859C2AF">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投标人不足3家的，不得开标。</w:t>
      </w:r>
    </w:p>
    <w:p w14:paraId="58D417B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（三）开标时，投标人应在规定时间内，在</w:t>
      </w:r>
      <w:r>
        <w:rPr>
          <w:rFonts w:hint="eastAsia" w:ascii="宋体" w:hAnsi="宋体" w:eastAsia="宋体" w:cs="宋体"/>
          <w:color w:val="000000" w:themeColor="text1"/>
          <w:lang w:eastAsia="zh-CN"/>
          <w14:textFill>
            <w14:solidFill>
              <w14:schemeClr w14:val="tx1"/>
            </w14:solidFill>
          </w14:textFill>
        </w:rPr>
        <w:t>榆林市</w:t>
      </w:r>
      <w:r>
        <w:rPr>
          <w:rFonts w:hint="eastAsia" w:ascii="宋体" w:hAnsi="宋体" w:eastAsia="宋体" w:cs="宋体"/>
          <w:color w:val="000000" w:themeColor="text1"/>
          <w14:textFill>
            <w14:solidFill>
              <w14:schemeClr w14:val="tx1"/>
            </w14:solidFill>
          </w14:textFill>
        </w:rPr>
        <w:t>不见面开标大厅系统解密电子投标文件。</w:t>
      </w:r>
    </w:p>
    <w:p w14:paraId="21903E2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（四）开标会议记录由</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工作人员记录，参加开标的各供应商在规定时间内在</w:t>
      </w:r>
      <w:r>
        <w:rPr>
          <w:rFonts w:hint="eastAsia" w:ascii="宋体" w:hAnsi="宋体" w:eastAsia="宋体" w:cs="宋体"/>
          <w:color w:val="000000" w:themeColor="text1"/>
          <w:lang w:eastAsia="zh-CN"/>
          <w14:textFill>
            <w14:solidFill>
              <w14:schemeClr w14:val="tx1"/>
            </w14:solidFill>
          </w14:textFill>
        </w:rPr>
        <w:t>榆林市</w:t>
      </w:r>
      <w:r>
        <w:rPr>
          <w:rFonts w:hint="eastAsia" w:ascii="宋体" w:hAnsi="宋体" w:eastAsia="宋体" w:cs="宋体"/>
          <w:color w:val="000000" w:themeColor="text1"/>
          <w14:textFill>
            <w14:solidFill>
              <w14:schemeClr w14:val="tx1"/>
            </w14:solidFill>
          </w14:textFill>
        </w:rPr>
        <w:t>不见面开标大厅系统签到，参加开标的采购人及</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工作人员签到，所有资料随招标文件一并存档。</w:t>
      </w:r>
    </w:p>
    <w:p w14:paraId="51E0012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（五）投标人对开标过程和开标记录有</w:t>
      </w:r>
      <w:r>
        <w:rPr>
          <w:rFonts w:hint="eastAsia" w:ascii="宋体" w:hAnsi="宋体" w:eastAsia="宋体" w:cs="宋体"/>
          <w:color w:val="000000" w:themeColor="text1"/>
          <w:lang w:eastAsia="zh-CN"/>
          <w14:textFill>
            <w14:solidFill>
              <w14:schemeClr w14:val="tx1"/>
            </w14:solidFill>
          </w14:textFill>
        </w:rPr>
        <w:t>异义</w:t>
      </w:r>
      <w:r>
        <w:rPr>
          <w:rFonts w:hint="eastAsia" w:ascii="宋体" w:hAnsi="宋体" w:eastAsia="宋体" w:cs="宋体"/>
          <w:color w:val="000000" w:themeColor="text1"/>
          <w14:textFill>
            <w14:solidFill>
              <w14:schemeClr w14:val="tx1"/>
            </w14:solidFill>
          </w14:textFill>
        </w:rPr>
        <w:t>，以及认为采购人、</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相关工作人员有需要回避情形的，应在开标大厅提出询问或回避申请，采购人、</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应当及时处理。</w:t>
      </w:r>
    </w:p>
    <w:p w14:paraId="7E9101B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（六）投标人未参加开标的，视同认可开标结果。</w:t>
      </w:r>
    </w:p>
    <w:p w14:paraId="155F0EE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（七）特殊情形下的应急处置：</w:t>
      </w:r>
    </w:p>
    <w:p w14:paraId="278DA29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在开标、评审过程中，如因停电、断网、电子化系统故障等特殊原因导致电子化开、评标无法正常进行时，视具体情况确定是否停止开评标活动。 </w:t>
      </w:r>
    </w:p>
    <w:p w14:paraId="6E7B88F7">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48834093"/>
      <w:bookmarkStart w:id="89" w:name="_Toc48834452"/>
      <w:bookmarkStart w:id="90" w:name="_Toc14082126"/>
      <w:bookmarkStart w:id="91" w:name="_Toc48834290"/>
      <w:bookmarkStart w:id="92" w:name="_Toc48834531"/>
      <w:bookmarkStart w:id="93" w:name="_Toc48834163"/>
      <w:bookmarkStart w:id="94" w:name="_Toc26927"/>
      <w:bookmarkStart w:id="95" w:name="_Toc14917"/>
      <w:bookmarkStart w:id="96" w:name="_Toc48834292"/>
      <w:bookmarkStart w:id="97" w:name="_Toc48834454"/>
      <w:bookmarkStart w:id="98" w:name="_Toc48834095"/>
      <w:bookmarkStart w:id="99" w:name="_Toc48834533"/>
      <w:bookmarkStart w:id="100" w:name="_Toc48834165"/>
      <w:r>
        <w:rPr>
          <w:rFonts w:hint="eastAsia" w:ascii="宋体" w:hAnsi="宋体" w:eastAsia="宋体" w:cs="宋体"/>
          <w:b/>
          <w:color w:val="000000" w:themeColor="text1"/>
          <w:sz w:val="28"/>
          <w:szCs w:val="28"/>
          <w14:textFill>
            <w14:solidFill>
              <w14:schemeClr w14:val="tx1"/>
            </w14:solidFill>
          </w14:textFill>
        </w:rPr>
        <w:t>七、资格审查</w:t>
      </w:r>
      <w:bookmarkEnd w:id="88"/>
      <w:bookmarkEnd w:id="89"/>
      <w:bookmarkEnd w:id="90"/>
      <w:bookmarkEnd w:id="91"/>
      <w:bookmarkEnd w:id="92"/>
      <w:bookmarkEnd w:id="93"/>
      <w:bookmarkEnd w:id="94"/>
    </w:p>
    <w:p w14:paraId="5CD97893">
      <w:pPr>
        <w:pageBreakBefore w:val="0"/>
        <w:kinsoku/>
        <w:autoSpaceDE w:val="0"/>
        <w:autoSpaceDN w:val="0"/>
        <w:bidi w:val="0"/>
        <w:adjustRightInd w:val="0"/>
        <w:snapToGrid w:val="0"/>
        <w:spacing w:line="500" w:lineRule="exact"/>
        <w:ind w:left="0" w:leftChars="0" w:right="0" w:rightChars="0" w:firstLine="574" w:firstLineChars="200"/>
        <w:jc w:val="both"/>
        <w:textAlignment w:val="auto"/>
        <w:rPr>
          <w:rFonts w:hint="eastAsia" w:ascii="宋体" w:hAnsi="宋体" w:eastAsia="宋体" w:cs="宋体"/>
          <w:color w:val="000000" w:themeColor="text1"/>
          <w:spacing w:val="2"/>
          <w:kern w:val="0"/>
          <w14:textFill>
            <w14:solidFill>
              <w14:schemeClr w14:val="tx1"/>
            </w14:solidFill>
          </w14:textFill>
        </w:rPr>
      </w:pPr>
      <w:r>
        <w:rPr>
          <w:rFonts w:hint="eastAsia" w:ascii="宋体" w:hAnsi="宋体" w:eastAsia="宋体" w:cs="宋体"/>
          <w:color w:val="000000" w:themeColor="text1"/>
          <w:spacing w:val="2"/>
          <w:kern w:val="0"/>
          <w14:textFill>
            <w14:solidFill>
              <w14:schemeClr w14:val="tx1"/>
            </w14:solidFill>
          </w14:textFill>
        </w:rPr>
        <w:t>开标结束后，由采购人代表依法对</w:t>
      </w:r>
      <w:r>
        <w:rPr>
          <w:rFonts w:hint="eastAsia" w:ascii="宋体" w:hAnsi="宋体" w:eastAsia="宋体" w:cs="宋体"/>
          <w:color w:val="000000" w:themeColor="text1"/>
          <w:spacing w:val="2"/>
          <w:kern w:val="0"/>
          <w:lang w:eastAsia="zh-CN"/>
          <w14:textFill>
            <w14:solidFill>
              <w14:schemeClr w14:val="tx1"/>
            </w14:solidFill>
          </w14:textFill>
        </w:rPr>
        <w:t>投标人</w:t>
      </w:r>
      <w:r>
        <w:rPr>
          <w:rFonts w:hint="eastAsia" w:ascii="宋体" w:hAnsi="宋体" w:eastAsia="宋体" w:cs="宋体"/>
          <w:color w:val="000000" w:themeColor="text1"/>
          <w:spacing w:val="2"/>
          <w:kern w:val="0"/>
          <w14:textFill>
            <w14:solidFill>
              <w14:schemeClr w14:val="tx1"/>
            </w14:solidFill>
          </w14:textFill>
        </w:rPr>
        <w:t>的资格证明文件进行审查，</w:t>
      </w:r>
      <w:r>
        <w:rPr>
          <w:rFonts w:hint="eastAsia" w:ascii="宋体" w:hAnsi="宋体" w:eastAsia="宋体" w:cs="宋体"/>
          <w:color w:val="000000" w:themeColor="text1"/>
          <w:spacing w:val="2"/>
          <w:kern w:val="0"/>
          <w:lang w:eastAsia="zh-CN"/>
          <w14:textFill>
            <w14:solidFill>
              <w14:schemeClr w14:val="tx1"/>
            </w14:solidFill>
          </w14:textFill>
        </w:rPr>
        <w:t>投标人</w:t>
      </w:r>
      <w:r>
        <w:rPr>
          <w:rFonts w:hint="eastAsia" w:ascii="宋体" w:hAnsi="宋体" w:eastAsia="宋体" w:cs="宋体"/>
          <w:color w:val="000000" w:themeColor="text1"/>
          <w:spacing w:val="2"/>
          <w:kern w:val="0"/>
          <w14:textFill>
            <w14:solidFill>
              <w14:schemeClr w14:val="tx1"/>
            </w14:solidFill>
          </w14:textFill>
        </w:rPr>
        <w:t>无需提供纸质材料，需在</w:t>
      </w:r>
      <w:r>
        <w:rPr>
          <w:rFonts w:hint="eastAsia" w:ascii="宋体" w:hAnsi="宋体" w:eastAsia="宋体" w:cs="宋体"/>
          <w:color w:val="000000" w:themeColor="text1"/>
          <w:spacing w:val="2"/>
          <w:kern w:val="0"/>
          <w:lang w:eastAsia="zh-CN"/>
          <w14:textFill>
            <w14:solidFill>
              <w14:schemeClr w14:val="tx1"/>
            </w14:solidFill>
          </w14:textFill>
        </w:rPr>
        <w:t>投标</w:t>
      </w:r>
      <w:r>
        <w:rPr>
          <w:rFonts w:hint="eastAsia" w:ascii="宋体" w:hAnsi="宋体" w:eastAsia="宋体" w:cs="宋体"/>
          <w:color w:val="000000" w:themeColor="text1"/>
          <w:spacing w:val="2"/>
          <w:kern w:val="0"/>
          <w14:textFill>
            <w14:solidFill>
              <w14:schemeClr w14:val="tx1"/>
            </w14:solidFill>
          </w14:textFill>
        </w:rPr>
        <w:t>文件中提供相关证明材料复印件加盖公章。未通过资格审查的</w:t>
      </w:r>
      <w:r>
        <w:rPr>
          <w:rFonts w:hint="eastAsia" w:ascii="宋体" w:hAnsi="宋体" w:eastAsia="宋体" w:cs="宋体"/>
          <w:color w:val="000000" w:themeColor="text1"/>
          <w:spacing w:val="2"/>
          <w:kern w:val="0"/>
          <w:lang w:eastAsia="zh-CN"/>
          <w14:textFill>
            <w14:solidFill>
              <w14:schemeClr w14:val="tx1"/>
            </w14:solidFill>
          </w14:textFill>
        </w:rPr>
        <w:t>投标人</w:t>
      </w:r>
      <w:r>
        <w:rPr>
          <w:rFonts w:hint="eastAsia" w:ascii="宋体" w:hAnsi="宋体" w:eastAsia="宋体" w:cs="宋体"/>
          <w:color w:val="000000" w:themeColor="text1"/>
          <w:spacing w:val="2"/>
          <w:kern w:val="0"/>
          <w14:textFill>
            <w14:solidFill>
              <w14:schemeClr w14:val="tx1"/>
            </w14:solidFill>
          </w14:textFill>
        </w:rPr>
        <w:t>其</w:t>
      </w:r>
      <w:r>
        <w:rPr>
          <w:rFonts w:hint="eastAsia" w:ascii="宋体" w:hAnsi="宋体" w:eastAsia="宋体" w:cs="宋体"/>
          <w:color w:val="000000" w:themeColor="text1"/>
          <w:spacing w:val="2"/>
          <w:kern w:val="0"/>
          <w:lang w:eastAsia="zh-CN"/>
          <w14:textFill>
            <w14:solidFill>
              <w14:schemeClr w14:val="tx1"/>
            </w14:solidFill>
          </w14:textFill>
        </w:rPr>
        <w:t>投标</w:t>
      </w:r>
      <w:r>
        <w:rPr>
          <w:rFonts w:hint="eastAsia" w:ascii="宋体" w:hAnsi="宋体" w:eastAsia="宋体" w:cs="宋体"/>
          <w:color w:val="000000" w:themeColor="text1"/>
          <w:spacing w:val="2"/>
          <w:kern w:val="0"/>
          <w14:textFill>
            <w14:solidFill>
              <w14:schemeClr w14:val="tx1"/>
            </w14:solidFill>
          </w14:textFill>
        </w:rPr>
        <w:t>文件将被视为无效。</w:t>
      </w:r>
    </w:p>
    <w:p w14:paraId="63E041DD">
      <w:pPr>
        <w:pageBreakBefore w:val="0"/>
        <w:kinsoku/>
        <w:autoSpaceDE w:val="0"/>
        <w:autoSpaceDN w:val="0"/>
        <w:bidi w:val="0"/>
        <w:adjustRightInd w:val="0"/>
        <w:snapToGrid w:val="0"/>
        <w:spacing w:line="500" w:lineRule="exact"/>
        <w:ind w:left="0" w:leftChars="0" w:right="0" w:rightChars="0" w:firstLine="574" w:firstLineChars="200"/>
        <w:jc w:val="both"/>
        <w:textAlignment w:val="auto"/>
        <w:rPr>
          <w:rFonts w:hint="eastAsia" w:ascii="宋体" w:hAnsi="宋体" w:eastAsia="宋体" w:cs="宋体"/>
          <w:color w:val="000000" w:themeColor="text1"/>
          <w:spacing w:val="2"/>
          <w:kern w:val="0"/>
          <w14:textFill>
            <w14:solidFill>
              <w14:schemeClr w14:val="tx1"/>
            </w14:solidFill>
          </w14:textFill>
        </w:rPr>
      </w:pPr>
      <w:r>
        <w:rPr>
          <w:rFonts w:hint="eastAsia" w:ascii="宋体" w:hAnsi="宋体" w:eastAsia="宋体" w:cs="宋体"/>
          <w:color w:val="000000" w:themeColor="text1"/>
          <w:spacing w:val="2"/>
          <w:kern w:val="0"/>
          <w:lang w:eastAsia="zh-CN"/>
          <w14:textFill>
            <w14:solidFill>
              <w14:schemeClr w14:val="tx1"/>
            </w14:solidFill>
          </w14:textFill>
        </w:rPr>
        <w:t>1.</w:t>
      </w:r>
      <w:r>
        <w:rPr>
          <w:rFonts w:hint="eastAsia" w:ascii="宋体" w:hAnsi="宋体" w:eastAsia="宋体" w:cs="宋体"/>
          <w:color w:val="000000" w:themeColor="text1"/>
          <w:spacing w:val="2"/>
          <w:kern w:val="0"/>
          <w14:textFill>
            <w14:solidFill>
              <w14:schemeClr w14:val="tx1"/>
            </w14:solidFill>
          </w14:textFill>
        </w:rPr>
        <w:t>满足《中华人民共和国政府采购法》第二十二条规定。</w:t>
      </w:r>
    </w:p>
    <w:p w14:paraId="3EF3DF79">
      <w:pPr>
        <w:pageBreakBefore w:val="0"/>
        <w:kinsoku/>
        <w:autoSpaceDE w:val="0"/>
        <w:autoSpaceDN w:val="0"/>
        <w:bidi w:val="0"/>
        <w:adjustRightInd w:val="0"/>
        <w:snapToGrid w:val="0"/>
        <w:spacing w:line="500" w:lineRule="exact"/>
        <w:ind w:left="0" w:leftChars="0" w:right="0" w:rightChars="0" w:firstLine="574" w:firstLineChars="200"/>
        <w:jc w:val="both"/>
        <w:textAlignment w:val="auto"/>
        <w:rPr>
          <w:rFonts w:hint="eastAsia" w:ascii="宋体" w:hAnsi="宋体" w:eastAsia="宋体" w:cs="宋体"/>
          <w:color w:val="000000" w:themeColor="text1"/>
          <w:spacing w:val="2"/>
          <w:kern w:val="0"/>
          <w14:textFill>
            <w14:solidFill>
              <w14:schemeClr w14:val="tx1"/>
            </w14:solidFill>
          </w14:textFill>
        </w:rPr>
      </w:pPr>
      <w:r>
        <w:rPr>
          <w:rFonts w:hint="eastAsia" w:ascii="宋体" w:hAnsi="宋体" w:eastAsia="宋体" w:cs="宋体"/>
          <w:color w:val="000000" w:themeColor="text1"/>
          <w:spacing w:val="2"/>
          <w:kern w:val="0"/>
          <w:lang w:eastAsia="zh-CN"/>
          <w14:textFill>
            <w14:solidFill>
              <w14:schemeClr w14:val="tx1"/>
            </w14:solidFill>
          </w14:textFill>
        </w:rPr>
        <w:t>2.</w:t>
      </w:r>
      <w:r>
        <w:rPr>
          <w:rFonts w:hint="eastAsia" w:ascii="宋体" w:hAnsi="宋体" w:eastAsia="宋体" w:cs="宋体"/>
          <w:color w:val="000000" w:themeColor="text1"/>
          <w:spacing w:val="2"/>
          <w:kern w:val="0"/>
          <w14:textFill>
            <w14:solidFill>
              <w14:schemeClr w14:val="tx1"/>
            </w14:solidFill>
          </w14:textFill>
        </w:rPr>
        <w:t>本项目的特定资格要求：</w:t>
      </w:r>
    </w:p>
    <w:p w14:paraId="484BD78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566" w:firstLineChars="200"/>
        <w:jc w:val="both"/>
        <w:textAlignment w:val="auto"/>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lang w:val="en-US" w:eastAsia="zh-CN" w:bidi="ar-SA"/>
          <w14:textFill>
            <w14:solidFill>
              <w14:schemeClr w14:val="tx1"/>
            </w14:solidFill>
          </w14:textFill>
        </w:rPr>
        <w:t>合同包1（吴堡县城市投资经营集团有限公司下山畔采砂区）特定资格要求如下：</w:t>
      </w:r>
    </w:p>
    <w:p w14:paraId="63A08F0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（1）营业执照等主体资格证明文件。</w:t>
      </w:r>
    </w:p>
    <w:p w14:paraId="44C0EE3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（2）社保缴纳证明：提供供应商已缴存的2025年6月1日以来任意月份的社会保障资金缴存单据或社保机构开具的社会保险参保缴费情况证明。依法不需要缴纳社会保障资金的供应商应提供相关文件证明。</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br w:type="textWrapping"/>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（3）税收缴纳证明：提供供应商已缴纳的2025年6月1日以来任意月份的纳税证明或完税证明，纳税证明或完税证明上应有代收机构或税务机关的公章或业务专用章。依法免税的供应商应提供相关文件证明。</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br w:type="textWrapping"/>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（4）财务状况报告：提供2024年的财务审计报告，成立时间至提交投标文件递交截止时间不足一年的，须提供其基本存款账户开户银行近三个月内出具的银行资信证明或自成立以来的财务报表。</w:t>
      </w:r>
    </w:p>
    <w:p w14:paraId="1F7E940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（5）提供具有履行合同所必需的设备和专业技术能力承诺函。</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br w:type="textWrapping"/>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（6）法定代表人授权委托书：法定代表人参加投标的，提供本人身份证复印件；法定代表人授权他人参加投标的，提供法定代表人授权委托书。</w:t>
      </w:r>
    </w:p>
    <w:p w14:paraId="2B4F5A8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7）信用记录：对列入“信用中国”网站（www.creditchina.gov.cn）“记录失信被执行人、税收违法黑名单、企业经营异常名录”记录名单；中国政府采购网（www.ccgp.gov.cn）“政府采购严重违法失信行为信息记录”的单位，应当拒绝参与政府采购活动（查询日期为从招标文件发售之日起至投标截止日前），附网页截图加盖投标人公章。</w:t>
      </w:r>
    </w:p>
    <w:p w14:paraId="40405C1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8）供应商应在“信用中国（陕西榆林）”网站进行注册、登录，自主上报信用承诺书（网址：https://credit.yl.gov.cn/）。承诺事项：《榆林市政府采购工程类/货物类/服务类项目供应商信用承诺书》，需上传至承诺书附件；承诺有效期为一年。（承诺书附网页截图及加盖投标人公章）</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br w:type="textWrapping"/>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（9）供应商拟投入本项目的开采作业船舶应具有有效船舶检验证书。</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br w:type="textWrapping"/>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（10）投标信用承诺书（保证金）（承诺书效力和作用等同投标保证金）。</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br w:type="textWrapping"/>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（11）参加政府采购活动前三年内，在经营活动中没有重大违法记录的书面声明。</w:t>
      </w:r>
    </w:p>
    <w:p w14:paraId="11D75A7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（12）本项目不接受联合体投标，须提供非联合体投标声明函（单位负责人为同一人或者存在直接控股、管理关系的不同投标人，不得参加同一合同项下的政府采购活动，不允许分包、转包）。</w:t>
      </w:r>
    </w:p>
    <w:p w14:paraId="0DE362D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574" w:firstLineChars="20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合同包2（吴堡县城市投资经营集团有限公司槐树港上段采砂区）特定资格要求如下：同合同包1</w:t>
      </w:r>
    </w:p>
    <w:p w14:paraId="2BE2DE5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574" w:firstLineChars="20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合同包3（吴堡县城市投资经营集团有限公司槐树港下段采砂区）特定资格要求如下：同合同包1</w:t>
      </w:r>
    </w:p>
    <w:p w14:paraId="5FF44E4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574" w:firstLineChars="20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合同包4（吴堡县城市投资经营集团有限公司冉湾采砂区）特定资格要求如下：同合同包1</w:t>
      </w:r>
    </w:p>
    <w:p w14:paraId="15F90DF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566" w:firstLineChars="200"/>
        <w:jc w:val="both"/>
        <w:textAlignment w:val="auto"/>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lang w:val="en-US" w:eastAsia="zh-CN" w:bidi="ar-SA"/>
          <w14:textFill>
            <w14:solidFill>
              <w14:schemeClr w14:val="tx1"/>
            </w14:solidFill>
          </w14:textFill>
        </w:rPr>
        <w:t>通过资格审查的投标人不足3家的，不得评标。</w:t>
      </w:r>
    </w:p>
    <w:p w14:paraId="3CBEF847">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kern w:val="2"/>
          <w:sz w:val="28"/>
          <w:szCs w:val="28"/>
          <w:lang w:val="en-US" w:eastAsia="zh-CN" w:bidi="ar-SA"/>
          <w14:textFill>
            <w14:solidFill>
              <w14:schemeClr w14:val="tx1"/>
            </w14:solidFill>
          </w14:textFill>
        </w:rPr>
      </w:pPr>
      <w:bookmarkStart w:id="101" w:name="_Toc48834291"/>
      <w:bookmarkStart w:id="102" w:name="_Toc23906"/>
      <w:bookmarkStart w:id="103" w:name="_Toc48834094"/>
      <w:bookmarkStart w:id="104" w:name="_Toc48834453"/>
      <w:bookmarkStart w:id="105" w:name="_Toc48834532"/>
      <w:bookmarkStart w:id="106" w:name="_Toc48834164"/>
      <w:r>
        <w:rPr>
          <w:rFonts w:hint="eastAsia" w:ascii="宋体" w:hAnsi="宋体" w:eastAsia="宋体" w:cs="宋体"/>
          <w:b/>
          <w:color w:val="000000" w:themeColor="text1"/>
          <w:kern w:val="2"/>
          <w:sz w:val="28"/>
          <w:szCs w:val="28"/>
          <w:lang w:val="en-US" w:eastAsia="zh-CN" w:bidi="ar-SA"/>
          <w14:textFill>
            <w14:solidFill>
              <w14:schemeClr w14:val="tx1"/>
            </w14:solidFill>
          </w14:textFill>
        </w:rPr>
        <w:t>八、组织评标</w:t>
      </w:r>
      <w:bookmarkEnd w:id="101"/>
      <w:bookmarkEnd w:id="102"/>
      <w:bookmarkEnd w:id="103"/>
      <w:bookmarkEnd w:id="104"/>
      <w:bookmarkEnd w:id="105"/>
      <w:bookmarkEnd w:id="106"/>
    </w:p>
    <w:p w14:paraId="4FFE8416">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bookmarkStart w:id="107" w:name="_Toc30503"/>
      <w:bookmarkStart w:id="108" w:name="_Toc31809"/>
      <w:bookmarkStart w:id="109" w:name="_Toc19349"/>
      <w:bookmarkStart w:id="110" w:name="_Toc9950"/>
      <w:r>
        <w:rPr>
          <w:rFonts w:hint="eastAsia" w:ascii="宋体" w:hAnsi="宋体" w:eastAsia="宋体" w:cs="宋体"/>
          <w:b/>
          <w:color w:val="000000" w:themeColor="text1"/>
          <w14:textFill>
            <w14:solidFill>
              <w14:schemeClr w14:val="tx1"/>
            </w14:solidFill>
          </w14:textFill>
        </w:rPr>
        <w:t>（一）采购代理机构负责组织评标工作，并履行下列职责：</w:t>
      </w:r>
      <w:bookmarkEnd w:id="107"/>
      <w:bookmarkEnd w:id="108"/>
      <w:bookmarkEnd w:id="109"/>
      <w:bookmarkEnd w:id="110"/>
    </w:p>
    <w:p w14:paraId="2372422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lang w:eastAsia="zh-CN"/>
          <w14:textFill>
            <w14:solidFill>
              <w14:schemeClr w14:val="tx1"/>
            </w14:solidFill>
          </w14:textFill>
        </w:rPr>
        <w:t>1.</w:t>
      </w:r>
      <w:r>
        <w:rPr>
          <w:rFonts w:hint="eastAsia" w:ascii="宋体" w:hAnsi="宋体" w:eastAsia="宋体" w:cs="宋体"/>
          <w:color w:val="000000" w:themeColor="text1"/>
          <w:shd w:val="clear" w:color="auto" w:fill="FFFFFF"/>
          <w14:textFill>
            <w14:solidFill>
              <w14:schemeClr w14:val="tx1"/>
            </w14:solidFill>
          </w14:textFill>
        </w:rPr>
        <w:t>核对评审专家身份和采购人代表授权函，对评审专家在政府采购活动中的职责履行情况予以记录，并及时将有关违法违规行为向财政部门报告</w:t>
      </w:r>
      <w:r>
        <w:rPr>
          <w:rFonts w:hint="eastAsia" w:ascii="宋体" w:hAnsi="宋体" w:eastAsia="宋体" w:cs="宋体"/>
          <w:color w:val="000000" w:themeColor="text1"/>
          <w:shd w:val="clear" w:color="auto" w:fill="FFFFFF"/>
          <w:lang w:eastAsia="zh-CN"/>
          <w14:textFill>
            <w14:solidFill>
              <w14:schemeClr w14:val="tx1"/>
            </w14:solidFill>
          </w14:textFill>
        </w:rPr>
        <w:t>；</w:t>
      </w:r>
    </w:p>
    <w:p w14:paraId="0AA1F7E9">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kern w:val="2"/>
          <w:sz w:val="28"/>
          <w:shd w:val="clear" w:color="auto" w:fill="FFFFFF"/>
          <w14:textFill>
            <w14:solidFill>
              <w14:schemeClr w14:val="tx1"/>
            </w14:solidFill>
          </w14:textFill>
        </w:rPr>
      </w:pP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2.</w:t>
      </w:r>
      <w:r>
        <w:rPr>
          <w:rFonts w:hint="eastAsia" w:ascii="宋体" w:hAnsi="宋体" w:eastAsia="宋体" w:cs="宋体"/>
          <w:color w:val="000000" w:themeColor="text1"/>
          <w:kern w:val="2"/>
          <w:sz w:val="28"/>
          <w:shd w:val="clear" w:color="auto" w:fill="FFFFFF"/>
          <w14:textFill>
            <w14:solidFill>
              <w14:schemeClr w14:val="tx1"/>
            </w14:solidFill>
          </w14:textFill>
        </w:rPr>
        <w:t>宣布评标纪律</w:t>
      </w: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w:t>
      </w:r>
    </w:p>
    <w:p w14:paraId="2EEC9DC8">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kern w:val="2"/>
          <w:sz w:val="28"/>
          <w:shd w:val="clear" w:color="auto" w:fill="FFFFFF"/>
          <w14:textFill>
            <w14:solidFill>
              <w14:schemeClr w14:val="tx1"/>
            </w14:solidFill>
          </w14:textFill>
        </w:rPr>
      </w:pP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3.</w:t>
      </w:r>
      <w:r>
        <w:rPr>
          <w:rFonts w:hint="eastAsia" w:ascii="宋体" w:hAnsi="宋体" w:eastAsia="宋体" w:cs="宋体"/>
          <w:color w:val="000000" w:themeColor="text1"/>
          <w:kern w:val="2"/>
          <w:sz w:val="28"/>
          <w:shd w:val="clear" w:color="auto" w:fill="FFFFFF"/>
          <w14:textFill>
            <w14:solidFill>
              <w14:schemeClr w14:val="tx1"/>
            </w14:solidFill>
          </w14:textFill>
        </w:rPr>
        <w:t>公布投标人名单，告知评审专家应当回避的情形</w:t>
      </w: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w:t>
      </w:r>
    </w:p>
    <w:p w14:paraId="710D40A4">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kern w:val="2"/>
          <w:sz w:val="28"/>
          <w:shd w:val="clear" w:color="auto" w:fill="FFFFFF"/>
          <w14:textFill>
            <w14:solidFill>
              <w14:schemeClr w14:val="tx1"/>
            </w14:solidFill>
          </w14:textFill>
        </w:rPr>
      </w:pP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4.</w:t>
      </w:r>
      <w:r>
        <w:rPr>
          <w:rFonts w:hint="eastAsia" w:ascii="宋体" w:hAnsi="宋体" w:eastAsia="宋体" w:cs="宋体"/>
          <w:color w:val="000000" w:themeColor="text1"/>
          <w:kern w:val="2"/>
          <w:sz w:val="28"/>
          <w:shd w:val="clear" w:color="auto" w:fill="FFFFFF"/>
          <w14:textFill>
            <w14:solidFill>
              <w14:schemeClr w14:val="tx1"/>
            </w14:solidFill>
          </w14:textFill>
        </w:rPr>
        <w:t>组织评标委员会推选评标组长，采购人代表不得担任组长</w:t>
      </w: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w:t>
      </w:r>
    </w:p>
    <w:p w14:paraId="01C7569E">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kern w:val="2"/>
          <w:sz w:val="28"/>
          <w:shd w:val="clear" w:color="auto" w:fill="FFFFFF"/>
          <w14:textFill>
            <w14:solidFill>
              <w14:schemeClr w14:val="tx1"/>
            </w14:solidFill>
          </w14:textFill>
        </w:rPr>
      </w:pP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5.</w:t>
      </w:r>
      <w:r>
        <w:rPr>
          <w:rFonts w:hint="eastAsia" w:ascii="宋体" w:hAnsi="宋体" w:eastAsia="宋体" w:cs="宋体"/>
          <w:color w:val="000000" w:themeColor="text1"/>
          <w:kern w:val="2"/>
          <w:sz w:val="28"/>
          <w:shd w:val="clear" w:color="auto" w:fill="FFFFFF"/>
          <w14:textFill>
            <w14:solidFill>
              <w14:schemeClr w14:val="tx1"/>
            </w14:solidFill>
          </w14:textFill>
        </w:rPr>
        <w:t>在评标期间采取必要的通讯管理措施，保证评标活动不受外界干扰</w:t>
      </w: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w:t>
      </w:r>
    </w:p>
    <w:p w14:paraId="0A41E070">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kern w:val="2"/>
          <w:sz w:val="28"/>
          <w:shd w:val="clear" w:color="auto" w:fill="FFFFFF"/>
          <w14:textFill>
            <w14:solidFill>
              <w14:schemeClr w14:val="tx1"/>
            </w14:solidFill>
          </w14:textFill>
        </w:rPr>
      </w:pP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6.</w:t>
      </w:r>
      <w:r>
        <w:rPr>
          <w:rFonts w:hint="eastAsia" w:ascii="宋体" w:hAnsi="宋体" w:eastAsia="宋体" w:cs="宋体"/>
          <w:color w:val="000000" w:themeColor="text1"/>
          <w:kern w:val="2"/>
          <w:sz w:val="28"/>
          <w:shd w:val="clear" w:color="auto" w:fill="FFFFFF"/>
          <w14:textFill>
            <w14:solidFill>
              <w14:schemeClr w14:val="tx1"/>
            </w14:solidFill>
          </w14:textFill>
        </w:rPr>
        <w:t>根据评标委员会的要求介绍政府采购相关政策法规、招标文件</w:t>
      </w: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w:t>
      </w:r>
    </w:p>
    <w:p w14:paraId="79F07847">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kern w:val="2"/>
          <w:sz w:val="28"/>
          <w:shd w:val="clear" w:color="auto" w:fill="FFFFFF"/>
          <w:lang w:eastAsia="zh-CN"/>
          <w14:textFill>
            <w14:solidFill>
              <w14:schemeClr w14:val="tx1"/>
            </w14:solidFill>
          </w14:textFill>
        </w:rPr>
        <w:t>7.</w:t>
      </w:r>
      <w:r>
        <w:rPr>
          <w:rFonts w:hint="eastAsia" w:ascii="宋体" w:hAnsi="宋体" w:eastAsia="宋体" w:cs="宋体"/>
          <w:color w:val="000000" w:themeColor="text1"/>
          <w:kern w:val="2"/>
          <w:sz w:val="28"/>
          <w:shd w:val="clear" w:color="auto" w:fill="FFFFFF"/>
          <w14:textFill>
            <w14:solidFill>
              <w14:schemeClr w14:val="tx1"/>
            </w14:solidFill>
          </w14:textFill>
        </w:rPr>
        <w:t>维护评标秩序，监督评标委员会依</w:t>
      </w:r>
      <w:r>
        <w:rPr>
          <w:rFonts w:hint="eastAsia" w:ascii="宋体" w:hAnsi="宋体" w:eastAsia="宋体" w:cs="宋体"/>
          <w:color w:val="000000" w:themeColor="text1"/>
          <w:sz w:val="28"/>
          <w:shd w:val="clear" w:color="auto" w:fill="FFFFFF"/>
          <w14:textFill>
            <w14:solidFill>
              <w14:schemeClr w14:val="tx1"/>
            </w14:solidFill>
          </w14:textFill>
        </w:rPr>
        <w:t>照招标文件规定的评标程序、方法和标准进行独立评审，及时制止和纠正采购人代表、评审专家的倾向性言论或者违法违规行为</w:t>
      </w:r>
      <w:r>
        <w:rPr>
          <w:rFonts w:hint="eastAsia" w:ascii="宋体" w:hAnsi="宋体" w:eastAsia="宋体" w:cs="宋体"/>
          <w:color w:val="000000" w:themeColor="text1"/>
          <w:sz w:val="28"/>
          <w:shd w:val="clear" w:color="auto" w:fill="FFFFFF"/>
          <w:lang w:eastAsia="zh-CN"/>
          <w14:textFill>
            <w14:solidFill>
              <w14:schemeClr w14:val="tx1"/>
            </w14:solidFill>
          </w14:textFill>
        </w:rPr>
        <w:t>；</w:t>
      </w:r>
    </w:p>
    <w:p w14:paraId="68EEC6FC">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highlight w:val="yellow"/>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8.</w:t>
      </w:r>
      <w:r>
        <w:rPr>
          <w:rFonts w:hint="eastAsia" w:ascii="宋体" w:hAnsi="宋体" w:eastAsia="宋体" w:cs="宋体"/>
          <w:color w:val="000000" w:themeColor="text1"/>
          <w:sz w:val="28"/>
          <w:shd w:val="clear" w:color="auto" w:fill="FFFFFF"/>
          <w14:textFill>
            <w14:solidFill>
              <w14:schemeClr w14:val="tx1"/>
            </w14:solidFill>
          </w14:textFill>
        </w:rPr>
        <w:t>核对评标结果；</w:t>
      </w:r>
    </w:p>
    <w:p w14:paraId="083377D1">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9.</w:t>
      </w:r>
      <w:r>
        <w:rPr>
          <w:rFonts w:hint="eastAsia" w:ascii="宋体" w:hAnsi="宋体" w:eastAsia="宋体" w:cs="宋体"/>
          <w:color w:val="000000" w:themeColor="text1"/>
          <w:sz w:val="28"/>
          <w:shd w:val="clear" w:color="auto" w:fill="FFFFFF"/>
          <w14:textFill>
            <w14:solidFill>
              <w14:schemeClr w14:val="tx1"/>
            </w14:solidFill>
          </w14:textFill>
        </w:rPr>
        <w:t>评审工作完成后，按照规定向评审专家支付劳务报酬和异地评审差旅费，不得向评审专家以外的其他人员支付评审劳务报酬；</w:t>
      </w:r>
    </w:p>
    <w:p w14:paraId="084B426C">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10.</w:t>
      </w:r>
      <w:r>
        <w:rPr>
          <w:rFonts w:hint="eastAsia" w:ascii="宋体" w:hAnsi="宋体" w:eastAsia="宋体" w:cs="宋体"/>
          <w:color w:val="000000" w:themeColor="text1"/>
          <w:sz w:val="28"/>
          <w:shd w:val="clear" w:color="auto" w:fill="FFFFFF"/>
          <w14:textFill>
            <w14:solidFill>
              <w14:schemeClr w14:val="tx1"/>
            </w14:solidFill>
          </w14:textFill>
        </w:rPr>
        <w:t>处理与评标有关的其他事项。</w:t>
      </w:r>
    </w:p>
    <w:p w14:paraId="29F9EC8F">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color w:val="000000" w:themeColor="text1"/>
          <w14:textFill>
            <w14:solidFill>
              <w14:schemeClr w14:val="tx1"/>
            </w14:solidFill>
          </w14:textFill>
        </w:rPr>
      </w:pPr>
      <w:bookmarkStart w:id="111" w:name="_Toc21732"/>
      <w:bookmarkStart w:id="112" w:name="_Toc27001"/>
      <w:bookmarkStart w:id="113" w:name="_Toc6679"/>
      <w:bookmarkStart w:id="114" w:name="_Toc14136"/>
      <w:r>
        <w:rPr>
          <w:rFonts w:hint="eastAsia" w:ascii="宋体" w:hAnsi="宋体" w:eastAsia="宋体" w:cs="宋体"/>
          <w:b/>
          <w:color w:val="000000" w:themeColor="text1"/>
          <w14:textFill>
            <w14:solidFill>
              <w14:schemeClr w14:val="tx1"/>
            </w14:solidFill>
          </w14:textFill>
        </w:rPr>
        <w:t>（二）评标委员会负责具体评标事务，并独立履行下列职责：</w:t>
      </w:r>
      <w:bookmarkEnd w:id="111"/>
      <w:bookmarkEnd w:id="112"/>
      <w:bookmarkEnd w:id="113"/>
      <w:bookmarkEnd w:id="114"/>
    </w:p>
    <w:p w14:paraId="7B2A4B66">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1.</w:t>
      </w:r>
      <w:r>
        <w:rPr>
          <w:rFonts w:hint="eastAsia" w:ascii="宋体" w:hAnsi="宋体" w:eastAsia="宋体" w:cs="宋体"/>
          <w:color w:val="000000" w:themeColor="text1"/>
          <w:sz w:val="28"/>
          <w:shd w:val="clear" w:color="auto" w:fill="FFFFFF"/>
          <w14:textFill>
            <w14:solidFill>
              <w14:schemeClr w14:val="tx1"/>
            </w14:solidFill>
          </w14:textFill>
        </w:rPr>
        <w:t>严格遵守评审工作纪律，按照客观、公正、审慎的原则，根据招标文件规定的评审程序、评审方法和评审标准进行独立评审；</w:t>
      </w:r>
    </w:p>
    <w:p w14:paraId="0404404C">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2.</w:t>
      </w:r>
      <w:r>
        <w:rPr>
          <w:rFonts w:hint="eastAsia" w:ascii="宋体" w:hAnsi="宋体" w:eastAsia="宋体" w:cs="宋体"/>
          <w:color w:val="000000" w:themeColor="text1"/>
          <w:sz w:val="28"/>
          <w:shd w:val="clear" w:color="auto" w:fill="FFFFFF"/>
          <w14:textFill>
            <w14:solidFill>
              <w14:schemeClr w14:val="tx1"/>
            </w14:solidFill>
          </w14:textFill>
        </w:rPr>
        <w:t>发现招标文件内容违反国家有关强制性规定或者招标文件存在歧义、重大缺陷导致评审工作无法进行时，应当停止评审并向采购人或者采购代理机构书面说明情况；</w:t>
      </w:r>
    </w:p>
    <w:p w14:paraId="0FF4EABD">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3.</w:t>
      </w:r>
      <w:r>
        <w:rPr>
          <w:rFonts w:hint="eastAsia" w:ascii="宋体" w:hAnsi="宋体" w:eastAsia="宋体" w:cs="宋体"/>
          <w:color w:val="000000" w:themeColor="text1"/>
          <w:sz w:val="28"/>
          <w:shd w:val="clear" w:color="auto" w:fill="FFFFFF"/>
          <w14:textFill>
            <w14:solidFill>
              <w14:schemeClr w14:val="tx1"/>
            </w14:solidFill>
          </w14:textFill>
        </w:rPr>
        <w:t>审查、评价投标文件是否符合招标文件的商务、技术等实质性要求；</w:t>
      </w:r>
    </w:p>
    <w:p w14:paraId="1263205D">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4.</w:t>
      </w:r>
      <w:r>
        <w:rPr>
          <w:rFonts w:hint="eastAsia" w:ascii="宋体" w:hAnsi="宋体" w:eastAsia="宋体" w:cs="宋体"/>
          <w:color w:val="000000" w:themeColor="text1"/>
          <w:sz w:val="28"/>
          <w:shd w:val="clear" w:color="auto" w:fill="FFFFFF"/>
          <w14:textFill>
            <w14:solidFill>
              <w14:schemeClr w14:val="tx1"/>
            </w14:solidFill>
          </w14:textFill>
        </w:rPr>
        <w:t>要求投标人对投标文件有关事项</w:t>
      </w:r>
      <w:r>
        <w:rPr>
          <w:rFonts w:hint="eastAsia" w:ascii="宋体" w:hAnsi="宋体" w:eastAsia="宋体" w:cs="宋体"/>
          <w:color w:val="000000" w:themeColor="text1"/>
          <w:sz w:val="28"/>
          <w:shd w:val="clear" w:color="auto" w:fill="FFFFFF"/>
          <w:lang w:eastAsia="zh-CN"/>
          <w14:textFill>
            <w14:solidFill>
              <w14:schemeClr w14:val="tx1"/>
            </w14:solidFill>
          </w14:textFill>
        </w:rPr>
        <w:t>作出</w:t>
      </w:r>
      <w:r>
        <w:rPr>
          <w:rFonts w:hint="eastAsia" w:ascii="宋体" w:hAnsi="宋体" w:eastAsia="宋体" w:cs="宋体"/>
          <w:color w:val="000000" w:themeColor="text1"/>
          <w:sz w:val="28"/>
          <w:shd w:val="clear" w:color="auto" w:fill="FFFFFF"/>
          <w14:textFill>
            <w14:solidFill>
              <w14:schemeClr w14:val="tx1"/>
            </w14:solidFill>
          </w14:textFill>
        </w:rPr>
        <w:t>澄清或者说明；</w:t>
      </w:r>
    </w:p>
    <w:p w14:paraId="4AA8D9C2">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5.</w:t>
      </w:r>
      <w:r>
        <w:rPr>
          <w:rFonts w:hint="eastAsia" w:ascii="宋体" w:hAnsi="宋体" w:eastAsia="宋体" w:cs="宋体"/>
          <w:color w:val="000000" w:themeColor="text1"/>
          <w:sz w:val="28"/>
          <w:shd w:val="clear" w:color="auto" w:fill="FFFFFF"/>
          <w14:textFill>
            <w14:solidFill>
              <w14:schemeClr w14:val="tx1"/>
            </w14:solidFill>
          </w14:textFill>
        </w:rPr>
        <w:t>对投标文件进行比较和评价；</w:t>
      </w:r>
    </w:p>
    <w:p w14:paraId="1E8A6AD7">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highlight w:val="yellow"/>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6.</w:t>
      </w:r>
      <w:r>
        <w:rPr>
          <w:rFonts w:hint="eastAsia" w:ascii="宋体" w:hAnsi="宋体" w:eastAsia="宋体" w:cs="宋体"/>
          <w:color w:val="000000" w:themeColor="text1"/>
          <w:sz w:val="28"/>
          <w:shd w:val="clear" w:color="auto" w:fill="FFFFFF"/>
          <w14:textFill>
            <w14:solidFill>
              <w14:schemeClr w14:val="tx1"/>
            </w14:solidFill>
          </w14:textFill>
        </w:rPr>
        <w:t>确定中标候选人名单；</w:t>
      </w:r>
    </w:p>
    <w:p w14:paraId="40D78072">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7.</w:t>
      </w:r>
      <w:r>
        <w:rPr>
          <w:rFonts w:hint="eastAsia" w:ascii="宋体" w:hAnsi="宋体" w:eastAsia="宋体" w:cs="宋体"/>
          <w:color w:val="000000" w:themeColor="text1"/>
          <w:sz w:val="28"/>
          <w:shd w:val="clear" w:color="auto" w:fill="FFFFFF"/>
          <w14:textFill>
            <w14:solidFill>
              <w14:schemeClr w14:val="tx1"/>
            </w14:solidFill>
          </w14:textFill>
        </w:rPr>
        <w:t>配合答复投标人的询问、质疑和投诉等事项</w:t>
      </w:r>
      <w:r>
        <w:rPr>
          <w:rFonts w:hint="eastAsia" w:ascii="宋体" w:hAnsi="宋体" w:eastAsia="宋体" w:cs="宋体"/>
          <w:color w:val="000000" w:themeColor="text1"/>
          <w:sz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hd w:val="clear" w:color="auto" w:fill="FFFFFF"/>
          <w14:textFill>
            <w14:solidFill>
              <w14:schemeClr w14:val="tx1"/>
            </w14:solidFill>
          </w14:textFill>
        </w:rPr>
        <w:t>不得泄露评审文件、评审情况和在评审过程中获悉的商业秘密；</w:t>
      </w:r>
    </w:p>
    <w:p w14:paraId="265DD3B6">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8.</w:t>
      </w:r>
      <w:r>
        <w:rPr>
          <w:rFonts w:hint="eastAsia" w:ascii="宋体" w:hAnsi="宋体" w:eastAsia="宋体" w:cs="宋体"/>
          <w:color w:val="000000" w:themeColor="text1"/>
          <w:sz w:val="28"/>
          <w:shd w:val="clear" w:color="auto" w:fill="FFFFFF"/>
          <w14:textFill>
            <w14:solidFill>
              <w14:schemeClr w14:val="tx1"/>
            </w14:solidFill>
          </w14:textFill>
        </w:rPr>
        <w:t>向采购人、采购代理机构或者有关部门报告评标中发现的违法行为。审查、评价投标文件是否符合招标文件的商务、技术等实质性要求。</w:t>
      </w:r>
    </w:p>
    <w:p w14:paraId="4077BD51">
      <w:pPr>
        <w:pStyle w:val="14"/>
        <w:keepNext w:val="0"/>
        <w:keepLines w:val="0"/>
        <w:pageBreakBefore w:val="0"/>
        <w:widowControl/>
        <w:kinsoku/>
        <w:overflowPunct/>
        <w:topLinePunct w:val="0"/>
        <w:bidi w:val="0"/>
        <w:spacing w:beforeAutospacing="0" w:afterAutospacing="0" w:line="500" w:lineRule="exact"/>
        <w:ind w:left="0" w:leftChars="0" w:right="0" w:firstLine="566" w:firstLineChars="200"/>
        <w:jc w:val="both"/>
        <w:textAlignment w:val="auto"/>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宋体" w:hAnsi="宋体" w:eastAsia="宋体" w:cs="宋体"/>
          <w:color w:val="000000" w:themeColor="text1"/>
          <w:sz w:val="28"/>
          <w:shd w:val="clear" w:color="auto" w:fill="FFFFFF"/>
          <w:lang w:eastAsia="zh-CN"/>
          <w14:textFill>
            <w14:solidFill>
              <w14:schemeClr w14:val="tx1"/>
            </w14:solidFill>
          </w14:textFill>
        </w:rPr>
        <w:t>9.</w:t>
      </w:r>
      <w:r>
        <w:rPr>
          <w:rFonts w:hint="eastAsia" w:ascii="宋体" w:hAnsi="宋体" w:eastAsia="宋体" w:cs="宋体"/>
          <w:color w:val="000000" w:themeColor="text1"/>
          <w:sz w:val="28"/>
          <w:shd w:val="clear" w:color="auto" w:fill="FFFFFF"/>
          <w14:textFill>
            <w14:solidFill>
              <w14:schemeClr w14:val="tx1"/>
            </w14:solidFill>
          </w14:textFill>
        </w:rPr>
        <w:t>编写评标报告。</w:t>
      </w:r>
    </w:p>
    <w:p w14:paraId="40CCB008">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color w:val="000000" w:themeColor="text1"/>
          <w14:textFill>
            <w14:solidFill>
              <w14:schemeClr w14:val="tx1"/>
            </w14:solidFill>
          </w14:textFill>
        </w:rPr>
      </w:pPr>
      <w:bookmarkStart w:id="115" w:name="_Toc4434"/>
      <w:bookmarkStart w:id="116" w:name="_Toc4951"/>
      <w:bookmarkStart w:id="117" w:name="_Toc29039"/>
      <w:bookmarkStart w:id="118" w:name="_Toc932"/>
      <w:r>
        <w:rPr>
          <w:rFonts w:hint="eastAsia" w:ascii="宋体" w:hAnsi="宋体" w:eastAsia="宋体" w:cs="宋体"/>
          <w:b/>
          <w:color w:val="000000" w:themeColor="text1"/>
          <w14:textFill>
            <w14:solidFill>
              <w14:schemeClr w14:val="tx1"/>
            </w14:solidFill>
          </w14:textFill>
        </w:rPr>
        <w:t>（三）组建评标委员会</w:t>
      </w:r>
      <w:bookmarkEnd w:id="115"/>
      <w:bookmarkEnd w:id="116"/>
      <w:bookmarkEnd w:id="117"/>
      <w:bookmarkEnd w:id="118"/>
    </w:p>
    <w:p w14:paraId="0ADE4188">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为了确保评标工作的公平、公正，依据政府采购法和政府采购相关法规、规章，成立评标委员会。</w:t>
      </w:r>
    </w:p>
    <w:p w14:paraId="371DB468">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评审专家对本单位的采购项目只能作为采购人代表参与评标。采购代理机构工作人员不得参加由本机构代理的政府采购项目的评标。</w:t>
      </w:r>
    </w:p>
    <w:p w14:paraId="6916C88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评标委员会成员名单在评标结果公告前应当保密。</w:t>
      </w:r>
    </w:p>
    <w:p w14:paraId="11BC2330">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评标专家从政府采购评审专家库内相关专业的</w:t>
      </w:r>
      <w:r>
        <w:rPr>
          <w:rFonts w:hint="eastAsia" w:ascii="宋体" w:hAnsi="宋体" w:eastAsia="宋体" w:cs="宋体"/>
          <w:b/>
          <w:color w:val="000000" w:themeColor="text1"/>
          <w:kern w:val="2"/>
          <w:sz w:val="28"/>
          <w:szCs w:val="28"/>
          <w:lang w:val="en-US" w:eastAsia="zh-CN" w:bidi="ar-SA"/>
          <w14:textFill>
            <w14:solidFill>
              <w14:schemeClr w14:val="tx1"/>
            </w14:solidFill>
          </w14:textFill>
        </w:rPr>
        <w:t>专家名单中随机抽取5人，采购人代表2人，共7人组成评标委员会。</w:t>
      </w:r>
      <w:r>
        <w:rPr>
          <w:rFonts w:hint="eastAsia" w:ascii="宋体" w:hAnsi="宋体" w:eastAsia="宋体" w:cs="宋体"/>
          <w:color w:val="000000" w:themeColor="text1"/>
          <w14:textFill>
            <w14:solidFill>
              <w14:schemeClr w14:val="tx1"/>
            </w14:solidFill>
          </w14:textFill>
        </w:rPr>
        <w:t>对技术复杂、专业性强的采购项目，通过随机方式难以确定合适评审专家的，采购人可以自行选定相应专业领域的评审专家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自行选定评审专家的，应当优先选择本单位以外的评审专家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9FB906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评标中因评标委员会成员缺席、回避或者健康等特殊原因导致评标委员会组成不符合规定的，</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应当依法补足后继续评标。被更换的评标委员会成员所做出的评标意见无效。无法及时补足评标委员会成员的，</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应当停止评标活动，封存所有投标文件和开标、评标资料，依法重新组建评标委员会进行评标。原评标委员会所做出的评标意见无效。</w:t>
      </w:r>
    </w:p>
    <w:p w14:paraId="2D5C6342">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color w:val="000000" w:themeColor="text1"/>
          <w14:textFill>
            <w14:solidFill>
              <w14:schemeClr w14:val="tx1"/>
            </w14:solidFill>
          </w14:textFill>
        </w:rPr>
      </w:pPr>
      <w:bookmarkStart w:id="119" w:name="_Toc23735"/>
      <w:bookmarkStart w:id="120" w:name="_Toc3980"/>
      <w:bookmarkStart w:id="121" w:name="_Toc19340"/>
      <w:bookmarkStart w:id="122" w:name="_Toc21681"/>
      <w:r>
        <w:rPr>
          <w:rFonts w:hint="eastAsia" w:ascii="宋体" w:hAnsi="宋体" w:eastAsia="宋体" w:cs="宋体"/>
          <w:b/>
          <w:color w:val="000000" w:themeColor="text1"/>
          <w14:textFill>
            <w14:solidFill>
              <w14:schemeClr w14:val="tx1"/>
            </w14:solidFill>
          </w14:textFill>
        </w:rPr>
        <w:t>（四）评标方法：本次评审采用综合评分法</w:t>
      </w:r>
      <w:bookmarkEnd w:id="119"/>
      <w:bookmarkEnd w:id="120"/>
      <w:bookmarkEnd w:id="121"/>
      <w:bookmarkEnd w:id="122"/>
    </w:p>
    <w:p w14:paraId="02175331">
      <w:pPr>
        <w:keepNext w:val="0"/>
        <w:keepLines w:val="0"/>
        <w:pageBreakBefore w:val="0"/>
        <w:widowControl/>
        <w:kinsoku/>
        <w:overflowPunct/>
        <w:topLinePunct w:val="0"/>
        <w:bidi w:val="0"/>
        <w:spacing w:line="500" w:lineRule="exact"/>
        <w:ind w:left="0" w:leftChars="0" w:right="0" w:firstLine="52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采用</w:t>
      </w:r>
      <w:r>
        <w:rPr>
          <w:rFonts w:hint="eastAsia" w:ascii="宋体" w:hAnsi="宋体" w:eastAsia="宋体" w:cs="宋体"/>
          <w:bCs/>
          <w:color w:val="000000" w:themeColor="text1"/>
          <w14:textFill>
            <w14:solidFill>
              <w14:schemeClr w14:val="tx1"/>
            </w14:solidFill>
          </w14:textFill>
        </w:rPr>
        <w:t>综合评分法</w:t>
      </w:r>
      <w:r>
        <w:rPr>
          <w:rFonts w:hint="eastAsia" w:ascii="宋体" w:hAnsi="宋体" w:eastAsia="宋体" w:cs="宋体"/>
          <w:color w:val="000000" w:themeColor="text1"/>
          <w14:textFill>
            <w14:solidFill>
              <w14:schemeClr w14:val="tx1"/>
            </w14:solidFill>
          </w14:textFill>
        </w:rPr>
        <w:t>，是</w:t>
      </w:r>
      <w:r>
        <w:rPr>
          <w:rFonts w:hint="eastAsia" w:ascii="宋体" w:hAnsi="宋体" w:eastAsia="宋体" w:cs="宋体"/>
          <w:color w:val="000000" w:themeColor="text1"/>
          <w:lang w:eastAsia="zh-CN"/>
          <w14:textFill>
            <w14:solidFill>
              <w14:schemeClr w14:val="tx1"/>
            </w14:solidFill>
          </w14:textFill>
        </w:rPr>
        <w:t>指</w:t>
      </w:r>
      <w:r>
        <w:rPr>
          <w:rFonts w:hint="eastAsia" w:ascii="宋体" w:hAnsi="宋体" w:eastAsia="宋体" w:cs="宋体"/>
          <w:color w:val="000000" w:themeColor="text1"/>
          <w14:textFill>
            <w14:solidFill>
              <w14:schemeClr w14:val="tx1"/>
            </w14:solidFill>
          </w14:textFill>
        </w:rPr>
        <w:t>投标文件满足招标文件全部实质性要求，且按照评审因素的量化指标评审得分最高的投标人为中标候选人的评标方法。</w:t>
      </w:r>
    </w:p>
    <w:p w14:paraId="4C81FBED">
      <w:pPr>
        <w:keepNext w:val="0"/>
        <w:keepLines w:val="0"/>
        <w:pageBreakBefore w:val="0"/>
        <w:widowControl/>
        <w:kinsoku/>
        <w:overflowPunct/>
        <w:topLinePunct w:val="0"/>
        <w:bidi w:val="0"/>
        <w:spacing w:line="500" w:lineRule="exact"/>
        <w:ind w:left="0" w:leftChars="0" w:right="0" w:firstLine="566" w:firstLineChars="200"/>
        <w:textAlignment w:val="auto"/>
        <w:outlineLvl w:val="2"/>
        <w:rPr>
          <w:rFonts w:hint="eastAsia" w:ascii="宋体" w:hAnsi="宋体" w:eastAsia="宋体" w:cs="宋体"/>
          <w:b/>
          <w:color w:val="000000" w:themeColor="text1"/>
          <w14:textFill>
            <w14:solidFill>
              <w14:schemeClr w14:val="tx1"/>
            </w14:solidFill>
          </w14:textFill>
        </w:rPr>
      </w:pPr>
      <w:bookmarkStart w:id="123" w:name="_Toc15709"/>
      <w:bookmarkStart w:id="124" w:name="_Toc27146"/>
      <w:bookmarkStart w:id="125" w:name="_Toc52"/>
      <w:bookmarkStart w:id="126" w:name="_Toc25401"/>
      <w:r>
        <w:rPr>
          <w:rFonts w:hint="eastAsia" w:ascii="宋体" w:hAnsi="宋体" w:eastAsia="宋体" w:cs="宋体"/>
          <w:b/>
          <w:color w:val="000000" w:themeColor="text1"/>
          <w14:textFill>
            <w14:solidFill>
              <w14:schemeClr w14:val="tx1"/>
            </w14:solidFill>
          </w14:textFill>
        </w:rPr>
        <w:t>（五）评标程序</w:t>
      </w:r>
      <w:bookmarkEnd w:id="123"/>
      <w:bookmarkEnd w:id="124"/>
      <w:bookmarkEnd w:id="125"/>
      <w:bookmarkEnd w:id="126"/>
    </w:p>
    <w:p w14:paraId="5272284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分步评审，每一步评审不符合招标文件要求者，不得进入下一步评审，全部评审合格的投标人，进入最后的打分，最后按得分由高向低排序，推荐中标候选投标人。</w:t>
      </w:r>
    </w:p>
    <w:p w14:paraId="069005A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1.</w:t>
      </w:r>
      <w:r>
        <w:rPr>
          <w:rFonts w:hint="eastAsia" w:ascii="宋体" w:hAnsi="宋体" w:eastAsia="宋体" w:cs="宋体"/>
          <w:b/>
          <w:color w:val="000000" w:themeColor="text1"/>
          <w14:textFill>
            <w14:solidFill>
              <w14:schemeClr w14:val="tx1"/>
            </w14:solidFill>
          </w14:textFill>
        </w:rPr>
        <w:t>投标文件的符合性审查</w:t>
      </w:r>
    </w:p>
    <w:p w14:paraId="0CC17EF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评标委员会应依据招标文件的规定，对投标文件的有效性、完整性和对招标文件的响应程度进行审查，以确定是否对招标文件的全部实质性要求</w:t>
      </w:r>
      <w:r>
        <w:rPr>
          <w:rFonts w:hint="eastAsia" w:ascii="宋体" w:hAnsi="宋体" w:eastAsia="宋体" w:cs="宋体"/>
          <w:color w:val="000000" w:themeColor="text1"/>
          <w:lang w:eastAsia="zh-CN"/>
          <w14:textFill>
            <w14:solidFill>
              <w14:schemeClr w14:val="tx1"/>
            </w14:solidFill>
          </w14:textFill>
        </w:rPr>
        <w:t>作出</w:t>
      </w:r>
      <w:r>
        <w:rPr>
          <w:rFonts w:hint="eastAsia" w:ascii="宋体" w:hAnsi="宋体" w:eastAsia="宋体" w:cs="宋体"/>
          <w:color w:val="000000" w:themeColor="text1"/>
          <w14:textFill>
            <w14:solidFill>
              <w14:schemeClr w14:val="tx1"/>
            </w14:solidFill>
          </w14:textFill>
        </w:rPr>
        <w:t>响应。</w:t>
      </w:r>
    </w:p>
    <w:p w14:paraId="13656D3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4F07650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2.</w:t>
      </w:r>
      <w:r>
        <w:rPr>
          <w:rFonts w:hint="eastAsia" w:ascii="宋体" w:hAnsi="宋体" w:eastAsia="宋体" w:cs="宋体"/>
          <w:b/>
          <w:color w:val="000000" w:themeColor="text1"/>
          <w14:textFill>
            <w14:solidFill>
              <w14:schemeClr w14:val="tx1"/>
            </w14:solidFill>
          </w14:textFill>
        </w:rPr>
        <w:t>投标文件的澄清</w:t>
      </w:r>
    </w:p>
    <w:p w14:paraId="4C788D7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034F86C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（2）依照民法中的过失责任原则，澄清、说明或补正前评标委员会将按最不利于</w:t>
      </w:r>
      <w:r>
        <w:rPr>
          <w:rFonts w:hint="eastAsia" w:ascii="宋体" w:hAnsi="宋体" w:eastAsia="宋体" w:cs="宋体"/>
          <w:color w:val="000000" w:themeColor="text1"/>
          <w:lang w:eastAsia="zh-CN"/>
          <w14:textFill>
            <w14:solidFill>
              <w14:schemeClr w14:val="tx1"/>
            </w14:solidFill>
          </w14:textFill>
        </w:rPr>
        <w:t>投标</w:t>
      </w:r>
      <w:r>
        <w:rPr>
          <w:rFonts w:hint="eastAsia" w:ascii="宋体" w:hAnsi="宋体" w:eastAsia="宋体" w:cs="宋体"/>
          <w:color w:val="000000" w:themeColor="text1"/>
          <w14:textFill>
            <w14:solidFill>
              <w14:schemeClr w14:val="tx1"/>
            </w14:solidFill>
          </w14:textFill>
        </w:rPr>
        <w:t>人的原则对投标文件做出评判。</w:t>
      </w:r>
    </w:p>
    <w:p w14:paraId="0705C65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（3）评标委员会要求投标人澄清、说明或者补正投标文件应通过不见面电子询标系统。投标人应当在规定的澄清时限内按评标委员会要求的方式提交。</w:t>
      </w:r>
    </w:p>
    <w:p w14:paraId="4F280CB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（4）投标人的澄清、说明或者补正不得超出投标文件的范围或者改变投标文件的实质性内容。澄清、说明或者补正的内容将作为</w:t>
      </w:r>
      <w:r>
        <w:rPr>
          <w:rFonts w:hint="eastAsia" w:ascii="宋体" w:hAnsi="宋体" w:eastAsia="宋体" w:cs="宋体"/>
          <w:color w:val="000000" w:themeColor="text1"/>
          <w:kern w:val="0"/>
          <w14:textFill>
            <w14:solidFill>
              <w14:schemeClr w14:val="tx1"/>
            </w14:solidFill>
          </w14:textFill>
        </w:rPr>
        <w:t>合同</w:t>
      </w:r>
      <w:r>
        <w:rPr>
          <w:rFonts w:hint="eastAsia" w:ascii="宋体" w:hAnsi="宋体" w:eastAsia="宋体" w:cs="宋体"/>
          <w:color w:val="000000" w:themeColor="text1"/>
          <w14:textFill>
            <w14:solidFill>
              <w14:schemeClr w14:val="tx1"/>
            </w14:solidFill>
          </w14:textFill>
        </w:rPr>
        <w:t>履行的重要依据。</w:t>
      </w:r>
    </w:p>
    <w:p w14:paraId="05E71018">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综合比较与评价</w:t>
      </w:r>
    </w:p>
    <w:p w14:paraId="055C82C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评标委员会应按“评审要素及分值一览表”中规定的评标标准，对通过符合性和响应性审查的投标文件进行商务和技术评估，综合比较与评价。</w:t>
      </w:r>
    </w:p>
    <w:p w14:paraId="36576F6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4.</w:t>
      </w:r>
      <w:r>
        <w:rPr>
          <w:rFonts w:hint="eastAsia" w:ascii="宋体" w:hAnsi="宋体" w:eastAsia="宋体" w:cs="宋体"/>
          <w:b/>
          <w:color w:val="000000" w:themeColor="text1"/>
          <w14:textFill>
            <w14:solidFill>
              <w14:schemeClr w14:val="tx1"/>
            </w14:solidFill>
          </w14:textFill>
        </w:rPr>
        <w:t>推荐中标候选投标人</w:t>
      </w:r>
    </w:p>
    <w:p w14:paraId="528536F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BF5F58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编写评标报告</w:t>
      </w:r>
    </w:p>
    <w:p w14:paraId="7A2944E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（1）评标委员会应根据全体评标成员签字的原始评标记录和评标结果编写评标报告。评标报告应包括：招标公告刊登的媒体名称、开标日期和地点</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投标人名单和评标委员会成员名单</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评标方法和标准</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开标记录和评标情况及说明，包括无效投标人名单及原因</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评标结果，确定的中标候选人名单或者经采购人委托直接确定的中标人</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其他需要说明的情况，包括评标过程中投标人根据评标委员会要求进行的澄清、说明或者补正，评标委员会成员的更换等。</w:t>
      </w:r>
    </w:p>
    <w:p w14:paraId="7FE6682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（2）评标委员会成员对需要共同认定的事项存在争议的，应当按照少数服从多数的原则</w:t>
      </w:r>
      <w:r>
        <w:rPr>
          <w:rFonts w:hint="eastAsia" w:ascii="宋体" w:hAnsi="宋体" w:eastAsia="宋体" w:cs="宋体"/>
          <w:color w:val="000000" w:themeColor="text1"/>
          <w:lang w:eastAsia="zh-CN"/>
          <w14:textFill>
            <w14:solidFill>
              <w14:schemeClr w14:val="tx1"/>
            </w14:solidFill>
          </w14:textFill>
        </w:rPr>
        <w:t>作出</w:t>
      </w:r>
      <w:r>
        <w:rPr>
          <w:rFonts w:hint="eastAsia" w:ascii="宋体" w:hAnsi="宋体" w:eastAsia="宋体" w:cs="宋体"/>
          <w:color w:val="000000" w:themeColor="text1"/>
          <w14:textFill>
            <w14:solidFill>
              <w14:schemeClr w14:val="tx1"/>
            </w14:solidFill>
          </w14:textFill>
        </w:rPr>
        <w:t>结论。持不同意见的评标委员会成员应当在评标报告上签署不同意见及理由，否则视为同意评标报告。对拒绝说明理由的，报</w:t>
      </w:r>
      <w:r>
        <w:rPr>
          <w:rFonts w:hint="eastAsia" w:ascii="宋体" w:hAnsi="宋体" w:eastAsia="宋体" w:cs="宋体"/>
          <w:color w:val="000000" w:themeColor="text1"/>
          <w:lang w:eastAsia="zh-CN"/>
          <w14:textFill>
            <w14:solidFill>
              <w14:schemeClr w14:val="tx1"/>
            </w14:solidFill>
          </w14:textFill>
        </w:rPr>
        <w:t>县</w:t>
      </w:r>
      <w:r>
        <w:rPr>
          <w:rFonts w:hint="eastAsia" w:ascii="宋体" w:hAnsi="宋体" w:eastAsia="宋体" w:cs="宋体"/>
          <w:color w:val="000000" w:themeColor="text1"/>
          <w14:textFill>
            <w14:solidFill>
              <w14:schemeClr w14:val="tx1"/>
            </w14:solidFill>
          </w14:textFill>
        </w:rPr>
        <w:t>财政局处理，并将其评审情况如实</w:t>
      </w:r>
      <w:r>
        <w:rPr>
          <w:rFonts w:hint="eastAsia" w:ascii="宋体" w:hAnsi="宋体" w:eastAsia="宋体" w:cs="宋体"/>
          <w:color w:val="000000" w:themeColor="text1"/>
          <w:lang w:eastAsia="zh-CN"/>
          <w14:textFill>
            <w14:solidFill>
              <w14:schemeClr w14:val="tx1"/>
            </w14:solidFill>
          </w14:textFill>
        </w:rPr>
        <w:t>记入</w:t>
      </w:r>
      <w:r>
        <w:rPr>
          <w:rFonts w:hint="eastAsia" w:ascii="宋体" w:hAnsi="宋体" w:eastAsia="宋体" w:cs="宋体"/>
          <w:color w:val="000000" w:themeColor="text1"/>
          <w14:textFill>
            <w14:solidFill>
              <w14:schemeClr w14:val="tx1"/>
            </w14:solidFill>
          </w14:textFill>
        </w:rPr>
        <w:t>考核表。</w:t>
      </w:r>
    </w:p>
    <w:p w14:paraId="4326AA3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14:paraId="0ABE81C7">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评标结果汇总完成，评标报告签署前，评标委员会应当当场修改评标结果，并在评标报告中记载。</w:t>
      </w:r>
    </w:p>
    <w:p w14:paraId="3B155D7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评标结果汇总完成，评标报告签署后，应当组织原评标委员会进行重新评审，重新评审改变评标结果的，书面报告</w:t>
      </w:r>
      <w:r>
        <w:rPr>
          <w:rFonts w:hint="eastAsia" w:ascii="宋体" w:hAnsi="宋体" w:eastAsia="宋体" w:cs="宋体"/>
          <w:color w:val="000000" w:themeColor="text1"/>
          <w:lang w:eastAsia="zh-CN"/>
          <w14:textFill>
            <w14:solidFill>
              <w14:schemeClr w14:val="tx1"/>
            </w14:solidFill>
          </w14:textFill>
        </w:rPr>
        <w:t>县</w:t>
      </w:r>
      <w:r>
        <w:rPr>
          <w:rFonts w:hint="eastAsia" w:ascii="宋体" w:hAnsi="宋体" w:eastAsia="宋体" w:cs="宋体"/>
          <w:color w:val="000000" w:themeColor="text1"/>
          <w14:textFill>
            <w14:solidFill>
              <w14:schemeClr w14:val="tx1"/>
            </w14:solidFill>
          </w14:textFill>
        </w:rPr>
        <w:t xml:space="preserve">财政局。 </w:t>
      </w:r>
    </w:p>
    <w:p w14:paraId="194E995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九、无效投标情形</w:t>
      </w:r>
    </w:p>
    <w:p w14:paraId="45A45CF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（一）投标人存在下列情况之一的，投标无效</w:t>
      </w:r>
      <w:r>
        <w:rPr>
          <w:rFonts w:hint="eastAsia" w:ascii="宋体" w:hAnsi="宋体" w:eastAsia="宋体" w:cs="宋体"/>
          <w:b/>
          <w:color w:val="000000" w:themeColor="text1"/>
          <w:lang w:eastAsia="zh-CN"/>
          <w14:textFill>
            <w14:solidFill>
              <w14:schemeClr w14:val="tx1"/>
            </w14:solidFill>
          </w14:textFill>
        </w:rPr>
        <w:t>：</w:t>
      </w:r>
    </w:p>
    <w:p w14:paraId="572EEEF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投标文件未按招标文件要求签署、盖章</w:t>
      </w:r>
      <w:r>
        <w:rPr>
          <w:rFonts w:hint="eastAsia" w:ascii="宋体" w:hAnsi="宋体" w:eastAsia="宋体" w:cs="宋体"/>
          <w:color w:val="000000" w:themeColor="text1"/>
          <w:lang w:eastAsia="zh-CN"/>
          <w14:textFill>
            <w14:solidFill>
              <w14:schemeClr w14:val="tx1"/>
            </w14:solidFill>
          </w14:textFill>
        </w:rPr>
        <w:t>；</w:t>
      </w:r>
    </w:p>
    <w:p w14:paraId="2F724573">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不具备招标文件中规定的资格要求</w:t>
      </w:r>
      <w:r>
        <w:rPr>
          <w:rFonts w:hint="eastAsia" w:ascii="宋体" w:hAnsi="宋体" w:eastAsia="宋体" w:cs="宋体"/>
          <w:color w:val="000000" w:themeColor="text1"/>
          <w:lang w:eastAsia="zh-CN"/>
          <w14:textFill>
            <w14:solidFill>
              <w14:schemeClr w14:val="tx1"/>
            </w14:solidFill>
          </w14:textFill>
        </w:rPr>
        <w:t>；</w:t>
      </w:r>
    </w:p>
    <w:p w14:paraId="49FB465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报价超过招标文件中规定的预算金额或者最高限价</w:t>
      </w:r>
      <w:r>
        <w:rPr>
          <w:rFonts w:hint="eastAsia" w:ascii="宋体" w:hAnsi="宋体" w:eastAsia="宋体" w:cs="宋体"/>
          <w:color w:val="000000" w:themeColor="text1"/>
          <w:lang w:eastAsia="zh-CN"/>
          <w14:textFill>
            <w14:solidFill>
              <w14:schemeClr w14:val="tx1"/>
            </w14:solidFill>
          </w14:textFill>
        </w:rPr>
        <w:t>；</w:t>
      </w:r>
    </w:p>
    <w:p w14:paraId="3D530B9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投标文件含有采购人不能接受的附加条件</w:t>
      </w:r>
      <w:r>
        <w:rPr>
          <w:rFonts w:hint="eastAsia" w:ascii="宋体" w:hAnsi="宋体" w:eastAsia="宋体" w:cs="宋体"/>
          <w:color w:val="000000" w:themeColor="text1"/>
          <w:lang w:eastAsia="zh-CN"/>
          <w14:textFill>
            <w14:solidFill>
              <w14:schemeClr w14:val="tx1"/>
            </w14:solidFill>
          </w14:textFill>
        </w:rPr>
        <w:t>；</w:t>
      </w:r>
    </w:p>
    <w:p w14:paraId="468CD2C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有选择的报价将不予接受，按无效投标处理；</w:t>
      </w:r>
    </w:p>
    <w:p w14:paraId="79CF3766">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按《政府采购货物和服务招标投标管理办法》（财政部令第87号）修正后的报价经投标人确认后产生约束力，投标人不确认的，其投标无效。</w:t>
      </w:r>
    </w:p>
    <w:p w14:paraId="2B2F7D9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（二）投标人存在下列情形之一的，视为串通投标，其投标无效：</w:t>
      </w:r>
    </w:p>
    <w:p w14:paraId="6C4ABB0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不同投标人的投标文件由同一单位或者个人编制；</w:t>
      </w:r>
    </w:p>
    <w:p w14:paraId="49616E8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不同投标人委托同一单位或者个人办理投标事宜；</w:t>
      </w:r>
    </w:p>
    <w:p w14:paraId="7E99DD6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不同投标人的投标文件载明的项目管理成员或者联系人员为同一人；</w:t>
      </w:r>
    </w:p>
    <w:p w14:paraId="467A38B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不同投标人的投标文件异常一致或者投标报价呈规律性差异；</w:t>
      </w:r>
    </w:p>
    <w:p w14:paraId="6D76346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不同投标人的投标文件相互混装；</w:t>
      </w:r>
    </w:p>
    <w:p w14:paraId="1ED53FF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（三）投标人不得以低于成本的报价参加本次采购项目。</w:t>
      </w:r>
      <w:r>
        <w:rPr>
          <w:rFonts w:hint="eastAsia" w:ascii="宋体" w:hAnsi="宋体" w:eastAsia="宋体" w:cs="宋体"/>
          <w:color w:val="000000" w:themeColor="text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投标人不能证明其报价合理性的，评标委员会应当将其作为无效投标处理。</w:t>
      </w:r>
    </w:p>
    <w:p w14:paraId="469C3606">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十、中标</w:t>
      </w:r>
      <w:bookmarkEnd w:id="95"/>
      <w:bookmarkEnd w:id="96"/>
      <w:bookmarkEnd w:id="97"/>
      <w:bookmarkEnd w:id="98"/>
      <w:bookmarkEnd w:id="99"/>
      <w:bookmarkEnd w:id="100"/>
    </w:p>
    <w:p w14:paraId="4190E687">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在评标工作结束后2个工作日内将评标报告送采购人。</w:t>
      </w:r>
    </w:p>
    <w:p w14:paraId="53001AA7">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（二）采购人在收到评标报告之日起5个工作日内，在评标报告确定的中标候选人名单中按顺序确定</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w:t>
      </w:r>
    </w:p>
    <w:p w14:paraId="24BF766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采购人在收到评标报告5个工作日内未按评标报告推荐的中标候选人顺序确定</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，又不能说明合法理由的，视同按评标报告推荐的顺序确定</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将发布中标公告。</w:t>
      </w:r>
    </w:p>
    <w:p w14:paraId="0D3F2488">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将在</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确定之日起2个工作日内</w:t>
      </w:r>
      <w:r>
        <w:rPr>
          <w:rFonts w:hint="eastAsia" w:ascii="宋体" w:hAnsi="宋体" w:eastAsia="宋体" w:cs="宋体"/>
          <w:color w:val="000000" w:themeColor="text1"/>
          <w:lang w:eastAsia="zh-CN"/>
          <w14:textFill>
            <w14:solidFill>
              <w14:schemeClr w14:val="tx1"/>
            </w14:solidFill>
          </w14:textFill>
        </w:rPr>
        <w:t>，在</w:t>
      </w:r>
      <w:r>
        <w:rPr>
          <w:rFonts w:hint="eastAsia" w:ascii="宋体" w:hAnsi="宋体" w:eastAsia="宋体" w:cs="宋体"/>
          <w:color w:val="000000" w:themeColor="text1"/>
          <w14:textFill>
            <w14:solidFill>
              <w14:schemeClr w14:val="tx1"/>
            </w14:solidFill>
          </w14:textFill>
        </w:rPr>
        <w:t>发布媒体为【</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"http://www.ccgp-shaanxi.gov.cn"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陕西省政府采购网</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（www.ccgp-shaanxi.gov.cn）</w:t>
      </w:r>
      <w:r>
        <w:rPr>
          <w:rStyle w:val="26"/>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bCs/>
          <w:color w:val="000000" w:themeColor="text1"/>
          <w14:textFill>
            <w14:solidFill>
              <w14:schemeClr w14:val="tx1"/>
            </w14:solidFill>
          </w14:textFill>
        </w:rPr>
        <w:t>全国公共资源交易平台（陕西省）（http://www.sxggzyjy.cn/）</w:t>
      </w:r>
      <w:r>
        <w:rPr>
          <w:rStyle w:val="26"/>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上公告中标结果。</w:t>
      </w:r>
    </w:p>
    <w:p w14:paraId="364F9DD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中标公告期限为1个工作日。</w:t>
      </w:r>
    </w:p>
    <w:p w14:paraId="585D55B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（四）在公告中标结果的同时，</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向</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发出中标通知书。</w:t>
      </w:r>
    </w:p>
    <w:p w14:paraId="6C36CC1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（五）中标通知书发出后，采购人不得违法改变中标结果，</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无正当理由不得放弃中标。</w:t>
      </w:r>
      <w:bookmarkStart w:id="127" w:name="_Toc48834293"/>
      <w:bookmarkStart w:id="128" w:name="_Toc48834166"/>
      <w:bookmarkStart w:id="129" w:name="_Toc48834455"/>
      <w:bookmarkStart w:id="130" w:name="_Toc48834096"/>
      <w:bookmarkStart w:id="131" w:name="_Toc48834534"/>
      <w:bookmarkStart w:id="132" w:name="_Toc10388"/>
    </w:p>
    <w:p w14:paraId="4AAF33D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投标供应商无需提交纸质投标文件，待采购结果公告后，由中标供应商按以下要求递交纸质投标文件。</w:t>
      </w:r>
      <w:r>
        <w:rPr>
          <w:rFonts w:hint="eastAsia" w:ascii="宋体" w:hAnsi="宋体" w:eastAsia="宋体" w:cs="宋体"/>
          <w:color w:val="000000" w:themeColor="text1"/>
          <w:lang w:val="en-US" w:eastAsia="zh-CN"/>
          <w14:textFill>
            <w14:solidFill>
              <w14:schemeClr w14:val="tx1"/>
            </w14:solidFill>
          </w14:textFill>
        </w:rPr>
        <w:t>（备注：份数：正本1份，副本2份，电子文件U盘3份；装订：采用胶装方式装订，装订应牢固、不易拆散和换页，不得采用活页夹装订。）</w:t>
      </w:r>
    </w:p>
    <w:p w14:paraId="685F8B3F">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十一、签订政府采购合同</w:t>
      </w:r>
      <w:bookmarkEnd w:id="127"/>
      <w:bookmarkEnd w:id="128"/>
      <w:bookmarkEnd w:id="129"/>
      <w:bookmarkEnd w:id="130"/>
      <w:bookmarkEnd w:id="131"/>
      <w:bookmarkEnd w:id="132"/>
    </w:p>
    <w:p w14:paraId="50607EA1">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（一）自中标通知书发出之日起</w:t>
      </w:r>
      <w:r>
        <w:rPr>
          <w:rFonts w:hint="eastAsia" w:ascii="宋体" w:hAnsi="宋体" w:eastAsia="宋体" w:cs="宋体"/>
          <w:color w:val="000000" w:themeColor="text1"/>
          <w:lang w:val="en-US" w:eastAsia="zh-CN"/>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t>个工作日</w:t>
      </w:r>
      <w:r>
        <w:rPr>
          <w:rFonts w:hint="eastAsia" w:ascii="宋体" w:hAnsi="宋体" w:eastAsia="宋体" w:cs="宋体"/>
          <w:color w:val="000000" w:themeColor="text1"/>
          <w:lang w:eastAsia="zh-CN"/>
          <w14:textFill>
            <w14:solidFill>
              <w14:schemeClr w14:val="tx1"/>
            </w14:solidFill>
          </w14:textFill>
        </w:rPr>
        <w:t>内</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kern w:val="0"/>
          <w14:textFill>
            <w14:solidFill>
              <w14:schemeClr w14:val="tx1"/>
            </w14:solidFill>
          </w14:textFill>
        </w:rPr>
        <w:t>采购人与中标人应按招标文件和中标人投标文件的规定，签订书面合同。所签订的政府采购合同不得对招标文件和中标人的投标文件内容作实质性修改。</w:t>
      </w:r>
    </w:p>
    <w:p w14:paraId="5E2335D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采购人不得向中标人提出任何不合理的要求作为签订合同的条件。</w:t>
      </w:r>
    </w:p>
    <w:p w14:paraId="027EDD95">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kern w:val="0"/>
          <w14:textFill>
            <w14:solidFill>
              <w14:schemeClr w14:val="tx1"/>
            </w14:solidFill>
          </w14:textFill>
        </w:rPr>
        <w:t>中标人拒绝与采购人签订合同的，采购人可以按照评标报告推荐的中标候选人名单排序，确定下一候选人为</w:t>
      </w:r>
      <w:r>
        <w:rPr>
          <w:rFonts w:hint="eastAsia" w:ascii="宋体" w:hAnsi="宋体" w:eastAsia="宋体" w:cs="宋体"/>
          <w:color w:val="000000" w:themeColor="text1"/>
          <w:kern w:val="0"/>
          <w:lang w:eastAsia="zh-CN"/>
          <w14:textFill>
            <w14:solidFill>
              <w14:schemeClr w14:val="tx1"/>
            </w14:solidFill>
          </w14:textFill>
        </w:rPr>
        <w:t>中标人</w:t>
      </w:r>
      <w:r>
        <w:rPr>
          <w:rFonts w:hint="eastAsia" w:ascii="宋体" w:hAnsi="宋体" w:eastAsia="宋体" w:cs="宋体"/>
          <w:color w:val="000000" w:themeColor="text1"/>
          <w:kern w:val="0"/>
          <w14:textFill>
            <w14:solidFill>
              <w14:schemeClr w14:val="tx1"/>
            </w14:solidFill>
          </w14:textFill>
        </w:rPr>
        <w:t>，也可以重新开展政府采购活动。</w:t>
      </w:r>
    </w:p>
    <w:p w14:paraId="49E551E0">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（三）招标文件、</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的投标文件、《中标通知书》及其澄清、说明文件、承诺等，均为签订采购合同的依据，作为采购合同的组成部分。</w:t>
      </w:r>
    </w:p>
    <w:p w14:paraId="34137B5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（四）政府采购合同应当包括采购人与</w:t>
      </w:r>
      <w:r>
        <w:rPr>
          <w:rFonts w:hint="eastAsia" w:ascii="宋体" w:hAnsi="宋体" w:eastAsia="宋体" w:cs="宋体"/>
          <w:color w:val="000000" w:themeColor="text1"/>
          <w:kern w:val="0"/>
          <w:lang w:eastAsia="zh-CN"/>
          <w14:textFill>
            <w14:solidFill>
              <w14:schemeClr w14:val="tx1"/>
            </w14:solidFill>
          </w14:textFill>
        </w:rPr>
        <w:t>中标人</w:t>
      </w:r>
      <w:r>
        <w:rPr>
          <w:rFonts w:hint="eastAsia" w:ascii="宋体" w:hAnsi="宋体" w:eastAsia="宋体" w:cs="宋体"/>
          <w:color w:val="000000" w:themeColor="text1"/>
          <w:kern w:val="0"/>
          <w14:textFill>
            <w14:solidFill>
              <w14:schemeClr w14:val="tx1"/>
            </w14:solidFill>
          </w14:textFill>
        </w:rPr>
        <w:t>的名称和住所、标的、数量、质量、价款或者报酬、履行期限及地点和方式、验收要求、违约责任、解决争议的方法等内容。</w:t>
      </w:r>
    </w:p>
    <w:p w14:paraId="1C9EFE7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（五）采购人与</w:t>
      </w:r>
      <w:r>
        <w:rPr>
          <w:rFonts w:hint="eastAsia" w:ascii="宋体" w:hAnsi="宋体" w:eastAsia="宋体" w:cs="宋体"/>
          <w:color w:val="000000" w:themeColor="text1"/>
          <w:kern w:val="0"/>
          <w:lang w:eastAsia="zh-CN"/>
          <w14:textFill>
            <w14:solidFill>
              <w14:schemeClr w14:val="tx1"/>
            </w14:solidFill>
          </w14:textFill>
        </w:rPr>
        <w:t>中标人</w:t>
      </w:r>
      <w:r>
        <w:rPr>
          <w:rFonts w:hint="eastAsia" w:ascii="宋体" w:hAnsi="宋体" w:eastAsia="宋体" w:cs="宋体"/>
          <w:color w:val="000000" w:themeColor="text1"/>
          <w:kern w:val="0"/>
          <w14:textFill>
            <w14:solidFill>
              <w14:schemeClr w14:val="tx1"/>
            </w14:solidFill>
          </w14:textFill>
        </w:rPr>
        <w:t>应当根据合同的约定依法履行合同义务。政府采购合同的履行、违约责任和解决争议的方法等适用《中华人民共和国民法典》。</w:t>
      </w:r>
    </w:p>
    <w:p w14:paraId="0D51711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（六）采购人应及时对采购项目进行验收。采购人可以邀请参加本项目的其他</w:t>
      </w:r>
      <w:r>
        <w:rPr>
          <w:rFonts w:hint="eastAsia" w:ascii="宋体" w:hAnsi="宋体" w:eastAsia="宋体" w:cs="宋体"/>
          <w:color w:val="000000" w:themeColor="text1"/>
          <w:kern w:val="0"/>
          <w:lang w:eastAsia="zh-CN"/>
          <w14:textFill>
            <w14:solidFill>
              <w14:schemeClr w14:val="tx1"/>
            </w14:solidFill>
          </w14:textFill>
        </w:rPr>
        <w:t>投标</w:t>
      </w:r>
      <w:r>
        <w:rPr>
          <w:rFonts w:hint="eastAsia" w:ascii="宋体" w:hAnsi="宋体" w:eastAsia="宋体" w:cs="宋体"/>
          <w:color w:val="000000" w:themeColor="text1"/>
          <w:kern w:val="0"/>
          <w14:textFill>
            <w14:solidFill>
              <w14:schemeClr w14:val="tx1"/>
            </w14:solidFill>
          </w14:textFill>
        </w:rPr>
        <w:t>人或者第三方机构参与验收。参与验收的</w:t>
      </w:r>
      <w:r>
        <w:rPr>
          <w:rFonts w:hint="eastAsia" w:ascii="宋体" w:hAnsi="宋体" w:eastAsia="宋体" w:cs="宋体"/>
          <w:color w:val="000000" w:themeColor="text1"/>
          <w:kern w:val="0"/>
          <w:lang w:eastAsia="zh-CN"/>
          <w14:textFill>
            <w14:solidFill>
              <w14:schemeClr w14:val="tx1"/>
            </w14:solidFill>
          </w14:textFill>
        </w:rPr>
        <w:t>投标</w:t>
      </w:r>
      <w:r>
        <w:rPr>
          <w:rFonts w:hint="eastAsia" w:ascii="宋体" w:hAnsi="宋体" w:eastAsia="宋体" w:cs="宋体"/>
          <w:color w:val="000000" w:themeColor="text1"/>
          <w:kern w:val="0"/>
          <w14:textFill>
            <w14:solidFill>
              <w14:schemeClr w14:val="tx1"/>
            </w14:solidFill>
          </w14:textFill>
        </w:rPr>
        <w:t>人或者第三方机构的意见作为验收书的参考资料一并存档。</w:t>
      </w:r>
    </w:p>
    <w:p w14:paraId="2E9E02C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（七）采购人应当加强对</w:t>
      </w:r>
      <w:r>
        <w:rPr>
          <w:rFonts w:hint="eastAsia" w:ascii="宋体" w:hAnsi="宋体" w:eastAsia="宋体" w:cs="宋体"/>
          <w:color w:val="000000" w:themeColor="text1"/>
          <w:kern w:val="0"/>
          <w:lang w:eastAsia="zh-CN"/>
          <w14:textFill>
            <w14:solidFill>
              <w14:schemeClr w14:val="tx1"/>
            </w14:solidFill>
          </w14:textFill>
        </w:rPr>
        <w:t>中标人</w:t>
      </w:r>
      <w:r>
        <w:rPr>
          <w:rFonts w:hint="eastAsia" w:ascii="宋体" w:hAnsi="宋体" w:eastAsia="宋体" w:cs="宋体"/>
          <w:color w:val="000000" w:themeColor="text1"/>
          <w:kern w:val="0"/>
          <w14:textFill>
            <w14:solidFill>
              <w14:schemeClr w14:val="tx1"/>
            </w14:solidFill>
          </w14:textFill>
        </w:rPr>
        <w:t>的履约管理，并按照采购合同约定，及时向</w:t>
      </w:r>
      <w:r>
        <w:rPr>
          <w:rFonts w:hint="eastAsia" w:ascii="宋体" w:hAnsi="宋体" w:eastAsia="宋体" w:cs="宋体"/>
          <w:color w:val="000000" w:themeColor="text1"/>
          <w:kern w:val="0"/>
          <w:lang w:eastAsia="zh-CN"/>
          <w14:textFill>
            <w14:solidFill>
              <w14:schemeClr w14:val="tx1"/>
            </w14:solidFill>
          </w14:textFill>
        </w:rPr>
        <w:t>中标人</w:t>
      </w:r>
      <w:r>
        <w:rPr>
          <w:rFonts w:hint="eastAsia" w:ascii="宋体" w:hAnsi="宋体" w:eastAsia="宋体" w:cs="宋体"/>
          <w:color w:val="000000" w:themeColor="text1"/>
          <w:kern w:val="0"/>
          <w14:textFill>
            <w14:solidFill>
              <w14:schemeClr w14:val="tx1"/>
            </w14:solidFill>
          </w14:textFill>
        </w:rPr>
        <w:t>支付采购资金。对于</w:t>
      </w:r>
      <w:r>
        <w:rPr>
          <w:rFonts w:hint="eastAsia" w:ascii="宋体" w:hAnsi="宋体" w:eastAsia="宋体" w:cs="宋体"/>
          <w:color w:val="000000" w:themeColor="text1"/>
          <w:kern w:val="0"/>
          <w:lang w:eastAsia="zh-CN"/>
          <w14:textFill>
            <w14:solidFill>
              <w14:schemeClr w14:val="tx1"/>
            </w14:solidFill>
          </w14:textFill>
        </w:rPr>
        <w:t>中标人</w:t>
      </w:r>
      <w:r>
        <w:rPr>
          <w:rFonts w:hint="eastAsia" w:ascii="宋体" w:hAnsi="宋体" w:eastAsia="宋体" w:cs="宋体"/>
          <w:color w:val="000000" w:themeColor="text1"/>
          <w:kern w:val="0"/>
          <w14:textFill>
            <w14:solidFill>
              <w14:schemeClr w14:val="tx1"/>
            </w14:solidFill>
          </w14:textFill>
        </w:rPr>
        <w:t>违反采购合同约定的行为，采购人应当及时处理，依法追究其违约责任。</w:t>
      </w:r>
    </w:p>
    <w:p w14:paraId="3E961A5E">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33" w:name="_Toc48834294"/>
      <w:bookmarkStart w:id="134" w:name="_Toc48834535"/>
      <w:bookmarkStart w:id="135" w:name="_Toc48834456"/>
      <w:bookmarkStart w:id="136" w:name="_Toc48834167"/>
      <w:bookmarkStart w:id="137" w:name="_Toc48834097"/>
      <w:bookmarkStart w:id="138" w:name="_Toc31345"/>
      <w:r>
        <w:rPr>
          <w:rFonts w:hint="eastAsia" w:ascii="宋体" w:hAnsi="宋体" w:eastAsia="宋体" w:cs="宋体"/>
          <w:b/>
          <w:color w:val="000000" w:themeColor="text1"/>
          <w:sz w:val="28"/>
          <w:szCs w:val="28"/>
          <w14:textFill>
            <w14:solidFill>
              <w14:schemeClr w14:val="tx1"/>
            </w14:solidFill>
          </w14:textFill>
        </w:rPr>
        <w:t>十二、</w:t>
      </w:r>
      <w:bookmarkEnd w:id="133"/>
      <w:bookmarkEnd w:id="134"/>
      <w:bookmarkEnd w:id="135"/>
      <w:bookmarkEnd w:id="136"/>
      <w:bookmarkEnd w:id="137"/>
      <w:bookmarkEnd w:id="138"/>
      <w:r>
        <w:rPr>
          <w:rFonts w:hint="eastAsia" w:ascii="宋体" w:hAnsi="宋体" w:eastAsia="宋体" w:cs="宋体"/>
          <w:b/>
          <w:color w:val="000000" w:themeColor="text1"/>
          <w:sz w:val="28"/>
          <w:szCs w:val="28"/>
          <w14:textFill>
            <w14:solidFill>
              <w14:schemeClr w14:val="tx1"/>
            </w14:solidFill>
          </w14:textFill>
        </w:rPr>
        <w:t>废标情形</w:t>
      </w:r>
    </w:p>
    <w:p w14:paraId="255F821D">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（一）评标委员会发现招标文件存在歧义、重大缺陷导致评标工作无法进行，或者招标文件内容违反国家有关强制性规定的，应当停止评标工作，与采购人或者</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沟通并作书面记录。采购人或者</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确认后，应当修改招标文件，重新组织采购活动。</w:t>
      </w:r>
    </w:p>
    <w:p w14:paraId="0B6A6E8F">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（二）根据</w:t>
      </w:r>
      <w:r>
        <w:rPr>
          <w:rFonts w:hint="eastAsia" w:ascii="宋体" w:hAnsi="宋体" w:eastAsia="宋体" w:cs="宋体"/>
          <w:color w:val="000000" w:themeColor="text1"/>
          <w:lang w:eastAsia="zh-CN"/>
          <w14:textFill>
            <w14:solidFill>
              <w14:schemeClr w14:val="tx1"/>
            </w14:solidFill>
          </w14:textFill>
        </w:rPr>
        <w:t>《中华人民共和国政府采购法》</w:t>
      </w:r>
      <w:r>
        <w:rPr>
          <w:rFonts w:hint="eastAsia" w:ascii="宋体" w:hAnsi="宋体" w:eastAsia="宋体" w:cs="宋体"/>
          <w:color w:val="000000" w:themeColor="text1"/>
          <w14:textFill>
            <w14:solidFill>
              <w14:schemeClr w14:val="tx1"/>
            </w14:solidFill>
          </w14:textFill>
        </w:rPr>
        <w:t>第三十六条规定，在招标采购中，出现下列情形之一的，本项目按废标处理：</w:t>
      </w:r>
    </w:p>
    <w:p w14:paraId="6EBDD30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出现影响采购公正的违法、违规行为；</w:t>
      </w:r>
    </w:p>
    <w:p w14:paraId="2021B19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投标人的报价均超过了采购预算，采购人不能支付；</w:t>
      </w:r>
    </w:p>
    <w:p w14:paraId="548506C4">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因重大变故，采购任务取消。</w:t>
      </w:r>
    </w:p>
    <w:p w14:paraId="3A4BEC1C">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废标后，由</w:t>
      </w: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发布废标公告。</w:t>
      </w:r>
      <w:bookmarkStart w:id="139" w:name="_Toc48834538"/>
      <w:bookmarkStart w:id="140" w:name="_Toc48834100"/>
      <w:bookmarkStart w:id="141" w:name="_Toc48834297"/>
      <w:bookmarkStart w:id="142" w:name="_Toc48834459"/>
      <w:bookmarkStart w:id="143" w:name="_Toc48834170"/>
    </w:p>
    <w:p w14:paraId="1379D923">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十三、</w:t>
      </w:r>
      <w:r>
        <w:rPr>
          <w:rFonts w:hint="eastAsia" w:ascii="宋体" w:hAnsi="宋体" w:eastAsia="宋体" w:cs="宋体"/>
          <w:b/>
          <w:color w:val="000000" w:themeColor="text1"/>
          <w:sz w:val="28"/>
          <w:szCs w:val="28"/>
          <w14:textFill>
            <w14:solidFill>
              <w14:schemeClr w14:val="tx1"/>
            </w14:solidFill>
          </w14:textFill>
        </w:rPr>
        <w:t>采购代理服务费</w:t>
      </w:r>
    </w:p>
    <w:p w14:paraId="4AC2D679">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采购代理服务费</w:t>
      </w:r>
      <w:r>
        <w:rPr>
          <w:rFonts w:hint="eastAsia" w:ascii="宋体" w:hAnsi="宋体" w:eastAsia="宋体" w:cs="宋体"/>
          <w:color w:val="000000" w:themeColor="text1"/>
          <w:lang w:val="en-US" w:eastAsia="zh-CN"/>
          <w14:textFill>
            <w14:solidFill>
              <w14:schemeClr w14:val="tx1"/>
            </w14:solidFill>
          </w14:textFill>
        </w:rPr>
        <w:t>由</w:t>
      </w:r>
      <w:r>
        <w:rPr>
          <w:rFonts w:hint="eastAsia" w:ascii="宋体" w:hAnsi="宋体" w:eastAsia="宋体" w:cs="宋体"/>
          <w:b/>
          <w:bCs/>
          <w:color w:val="000000" w:themeColor="text1"/>
          <w:lang w:val="en-US" w:eastAsia="zh-CN"/>
          <w14:textFill>
            <w14:solidFill>
              <w14:schemeClr w14:val="tx1"/>
            </w14:solidFill>
          </w14:textFill>
        </w:rPr>
        <w:t>成交单位</w:t>
      </w:r>
      <w:r>
        <w:rPr>
          <w:rFonts w:hint="eastAsia" w:ascii="宋体" w:hAnsi="宋体" w:eastAsia="宋体" w:cs="宋体"/>
          <w:b/>
          <w:bCs/>
          <w:color w:val="000000" w:themeColor="text1"/>
          <w14:textFill>
            <w14:solidFill>
              <w14:schemeClr w14:val="tx1"/>
            </w14:solidFill>
          </w14:textFill>
        </w:rPr>
        <w:t>支付</w:t>
      </w:r>
      <w:r>
        <w:rPr>
          <w:rFonts w:hint="eastAsia" w:ascii="宋体" w:hAnsi="宋体" w:eastAsia="宋体" w:cs="宋体"/>
          <w:color w:val="000000" w:themeColor="text1"/>
          <w14:textFill>
            <w14:solidFill>
              <w14:schemeClr w14:val="tx1"/>
            </w14:solidFill>
          </w14:textFill>
        </w:rPr>
        <w:t>。</w:t>
      </w:r>
    </w:p>
    <w:p w14:paraId="71EE1C12">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二）采购代理服务费参考《国家计委关于印发〈招标代理服务收费管理暂行办法〉的通知》（计价格〔2002〕1980号）、国家发展和改革委员会发布的《关于降低部分建设项目收费标准规范收费行为等有关问题的通知》（发改价格〔2011〕534号）和《吴堡县人民政府办公室关于印发〈吴堡县政府投资建设项目管理办法〉的通知》规定标准收取。</w:t>
      </w:r>
    </w:p>
    <w:p w14:paraId="0F95AD8A">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lang w:val="en-US" w:eastAsia="zh-CN"/>
          <w14:textFill>
            <w14:solidFill>
              <w14:schemeClr w14:val="tx1"/>
            </w14:solidFill>
          </w14:textFill>
        </w:rPr>
      </w:pPr>
    </w:p>
    <w:p w14:paraId="6B23A449">
      <w:pPr>
        <w:pStyle w:val="15"/>
        <w:keepNext w:val="0"/>
        <w:keepLines w:val="0"/>
        <w:pageBreakBefore w:val="0"/>
        <w:widowControl/>
        <w:kinsoku/>
        <w:overflowPunct/>
        <w:topLinePunct w:val="0"/>
        <w:bidi w:val="0"/>
        <w:spacing w:afterLines="0" w:line="500" w:lineRule="exact"/>
        <w:ind w:left="0" w:leftChars="0" w:right="0" w:firstLine="646" w:firstLineChars="200"/>
        <w:jc w:val="center"/>
        <w:textAlignment w:val="auto"/>
        <w:outlineLvl w:val="1"/>
        <w:rPr>
          <w:rFonts w:hint="eastAsia" w:ascii="宋体" w:hAnsi="宋体" w:eastAsia="宋体" w:cs="宋体"/>
          <w:b/>
          <w:color w:val="000000" w:themeColor="text1"/>
          <w:sz w:val="32"/>
          <w:szCs w:val="32"/>
          <w14:textFill>
            <w14:solidFill>
              <w14:schemeClr w14:val="tx1"/>
            </w14:solidFill>
          </w14:textFill>
        </w:rPr>
      </w:pPr>
    </w:p>
    <w:p w14:paraId="53AA8028">
      <w:pPr>
        <w:pStyle w:val="15"/>
        <w:keepNext w:val="0"/>
        <w:keepLines w:val="0"/>
        <w:pageBreakBefore w:val="0"/>
        <w:widowControl/>
        <w:kinsoku/>
        <w:overflowPunct/>
        <w:topLinePunct w:val="0"/>
        <w:bidi w:val="0"/>
        <w:spacing w:afterLines="0" w:line="500" w:lineRule="exact"/>
        <w:ind w:left="0" w:leftChars="0" w:right="0" w:firstLine="646" w:firstLineChars="200"/>
        <w:jc w:val="center"/>
        <w:textAlignment w:val="auto"/>
        <w:outlineLvl w:val="1"/>
        <w:rPr>
          <w:rFonts w:hint="eastAsia" w:ascii="宋体" w:hAnsi="宋体" w:eastAsia="宋体" w:cs="宋体"/>
          <w:b/>
          <w:color w:val="000000" w:themeColor="text1"/>
          <w:sz w:val="32"/>
          <w:szCs w:val="32"/>
          <w14:textFill>
            <w14:solidFill>
              <w14:schemeClr w14:val="tx1"/>
            </w14:solidFill>
          </w14:textFill>
        </w:rPr>
      </w:pPr>
    </w:p>
    <w:p w14:paraId="22B5DE4B">
      <w:pPr>
        <w:pStyle w:val="15"/>
        <w:keepNext w:val="0"/>
        <w:keepLines w:val="0"/>
        <w:pageBreakBefore w:val="0"/>
        <w:widowControl/>
        <w:kinsoku/>
        <w:overflowPunct/>
        <w:topLinePunct w:val="0"/>
        <w:bidi w:val="0"/>
        <w:spacing w:afterLines="0" w:line="500" w:lineRule="exact"/>
        <w:ind w:left="0" w:leftChars="0" w:right="0" w:firstLine="0" w:firstLineChars="0"/>
        <w:jc w:val="center"/>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第三章  评审办法及标准</w:t>
      </w:r>
      <w:bookmarkEnd w:id="139"/>
      <w:bookmarkEnd w:id="140"/>
      <w:bookmarkEnd w:id="141"/>
      <w:bookmarkEnd w:id="142"/>
      <w:bookmarkEnd w:id="143"/>
    </w:p>
    <w:p w14:paraId="7D3C3D2C">
      <w:pPr>
        <w:pStyle w:val="15"/>
        <w:keepNext w:val="0"/>
        <w:keepLines w:val="0"/>
        <w:pageBreakBefore w:val="0"/>
        <w:widowControl/>
        <w:kinsoku/>
        <w:overflowPunct/>
        <w:topLinePunct w:val="0"/>
        <w:bidi w:val="0"/>
        <w:spacing w:afterLines="0" w:line="500" w:lineRule="exact"/>
        <w:ind w:left="0" w:leftChars="0" w:right="0" w:firstLine="566"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44" w:name="_Toc48834539"/>
      <w:bookmarkStart w:id="145" w:name="_Toc48834298"/>
      <w:bookmarkStart w:id="146" w:name="_Toc48834171"/>
      <w:bookmarkStart w:id="147" w:name="_Toc48834101"/>
      <w:bookmarkStart w:id="148" w:name="_Toc48834460"/>
      <w:r>
        <w:rPr>
          <w:rFonts w:hint="eastAsia" w:ascii="宋体" w:hAnsi="宋体" w:eastAsia="宋体" w:cs="宋体"/>
          <w:b/>
          <w:color w:val="000000" w:themeColor="text1"/>
          <w:sz w:val="28"/>
          <w:szCs w:val="28"/>
          <w14:textFill>
            <w14:solidFill>
              <w14:schemeClr w14:val="tx1"/>
            </w14:solidFill>
          </w14:textFill>
        </w:rPr>
        <w:t>一、符合性审查</w:t>
      </w:r>
      <w:bookmarkEnd w:id="144"/>
      <w:bookmarkEnd w:id="145"/>
      <w:bookmarkEnd w:id="146"/>
      <w:bookmarkEnd w:id="147"/>
      <w:bookmarkEnd w:id="148"/>
    </w:p>
    <w:p w14:paraId="014CF100">
      <w:pPr>
        <w:pStyle w:val="13"/>
        <w:keepNext w:val="0"/>
        <w:keepLines w:val="0"/>
        <w:pageBreakBefore w:val="0"/>
        <w:widowControl/>
        <w:kinsoku/>
        <w:overflowPunct/>
        <w:topLinePunct w:val="0"/>
        <w:bidi w:val="0"/>
        <w:spacing w:line="500" w:lineRule="exact"/>
        <w:ind w:left="0" w:leftChars="0" w:right="0" w:firstLine="566" w:firstLineChars="200"/>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8"/>
          <w14:textFill>
            <w14:solidFill>
              <w14:schemeClr w14:val="tx1"/>
            </w14:solidFill>
          </w14:textFill>
        </w:rPr>
        <w:t>符合性审查表</w:t>
      </w:r>
    </w:p>
    <w:tbl>
      <w:tblPr>
        <w:tblStyle w:val="17"/>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575"/>
        <w:gridCol w:w="6096"/>
      </w:tblGrid>
      <w:tr w14:paraId="275E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5BFB87B4">
            <w:pPr>
              <w:keepNext w:val="0"/>
              <w:keepLines w:val="0"/>
              <w:pageBreakBefore w:val="0"/>
              <w:widowControl/>
              <w:kinsoku/>
              <w:overflowPunct/>
              <w:topLinePunct w:val="0"/>
              <w:bidi w:val="0"/>
              <w:spacing w:line="500" w:lineRule="exact"/>
              <w:ind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360"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15607724">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符合性审查项</w:t>
            </w:r>
          </w:p>
        </w:tc>
        <w:tc>
          <w:tcPr>
            <w:tcW w:w="3220"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2E15500B">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通过条件</w:t>
            </w:r>
          </w:p>
        </w:tc>
      </w:tr>
      <w:tr w14:paraId="298D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257A50B4">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309B7C6D">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投标文件封面、投标函、法定代表人授权委托书三处的项目名称、项目编号、标段</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16011E62">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三处均无遗漏，且与所投项目名称、项目编号、标段一致。</w:t>
            </w:r>
          </w:p>
        </w:tc>
      </w:tr>
      <w:tr w14:paraId="0CC7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45F8C32A">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7ECAA551">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投标文件签署、盖章</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11464034">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均按招标文件要求盖章（评分标准中要求提供的证明材料除外）。</w:t>
            </w:r>
          </w:p>
        </w:tc>
      </w:tr>
      <w:tr w14:paraId="1FBF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43AEBFD5">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5677E450">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投标文件组成</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4D5B02E6">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投标文件应包含以下内容：</w:t>
            </w:r>
          </w:p>
          <w:p w14:paraId="6FE9BFF0">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（1）资格证明文件；</w:t>
            </w:r>
          </w:p>
          <w:p w14:paraId="289ACCAB">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（2）符合性证明文件；</w:t>
            </w:r>
          </w:p>
          <w:p w14:paraId="03F3B99E">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（3）投标方案。</w:t>
            </w:r>
          </w:p>
        </w:tc>
      </w:tr>
      <w:tr w14:paraId="4BF9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02BD26DA">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7121AA25">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投标文件有效期</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322D41A2">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投标文件有效期符合招标文件要求。</w:t>
            </w:r>
          </w:p>
        </w:tc>
      </w:tr>
      <w:tr w14:paraId="279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70602517">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17D78063">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开标一览表</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36E2B07C">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（1）投标报价符合唯一性要求：</w:t>
            </w:r>
          </w:p>
          <w:p w14:paraId="44D8E29A">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（2）开标一览表填写符合要求；</w:t>
            </w:r>
          </w:p>
          <w:p w14:paraId="407F5FF1">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（3）计量单位、报价货币均符合招标文件要求；</w:t>
            </w:r>
          </w:p>
          <w:p w14:paraId="5CF73EA0">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（4）未超出采购预算或招标文件规定的最高限价。</w:t>
            </w:r>
          </w:p>
        </w:tc>
      </w:tr>
      <w:tr w14:paraId="1BFF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40B6D8A9">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4B984AA7">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技术服务要求</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6C5668AA">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完全理解并接受对合格投标人、合格的服务要求，实质性要求没有负偏离。</w:t>
            </w:r>
          </w:p>
        </w:tc>
      </w:tr>
      <w:tr w14:paraId="6874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67A29BE7">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212666C5">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无其他招标文件或法规明确规定响应无效的事项</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4673156E">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没有不符合招标文件规定的被视为无效响应的其他条款。</w:t>
            </w:r>
          </w:p>
        </w:tc>
      </w:tr>
      <w:tr w14:paraId="1FE7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18" w:type="pct"/>
            <w:tcBorders>
              <w:top w:val="single" w:color="auto" w:sz="4" w:space="0"/>
              <w:left w:val="single" w:color="auto" w:sz="4" w:space="0"/>
              <w:bottom w:val="single" w:color="auto" w:sz="4" w:space="0"/>
              <w:right w:val="single" w:color="auto" w:sz="4" w:space="0"/>
            </w:tcBorders>
            <w:noWrap w:val="0"/>
            <w:vAlign w:val="center"/>
          </w:tcPr>
          <w:p w14:paraId="761399AB">
            <w:pPr>
              <w:keepNext w:val="0"/>
              <w:keepLines w:val="0"/>
              <w:pageBreakBefore w:val="0"/>
              <w:widowControl/>
              <w:kinsoku/>
              <w:overflowPunct/>
              <w:topLinePunct w:val="0"/>
              <w:bidi w:val="0"/>
              <w:spacing w:line="500" w:lineRule="exact"/>
              <w:ind w:right="0" w:firstLine="243"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1360" w:type="pct"/>
            <w:tcBorders>
              <w:top w:val="single" w:color="auto" w:sz="4" w:space="0"/>
              <w:left w:val="single" w:color="auto" w:sz="4" w:space="0"/>
              <w:bottom w:val="single" w:color="auto" w:sz="4" w:space="0"/>
              <w:right w:val="single" w:color="auto" w:sz="4" w:space="0"/>
            </w:tcBorders>
            <w:noWrap w:val="0"/>
            <w:vAlign w:val="center"/>
          </w:tcPr>
          <w:p w14:paraId="74A7EE32">
            <w:pPr>
              <w:keepNext w:val="0"/>
              <w:keepLines w:val="0"/>
              <w:pageBreakBefore w:val="0"/>
              <w:widowControl/>
              <w:kinsoku/>
              <w:overflowPunct/>
              <w:topLinePunct w:val="0"/>
              <w:bidi w:val="0"/>
              <w:spacing w:line="500" w:lineRule="exact"/>
              <w:ind w:left="0" w:leftChars="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合同条款响应</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50A3ADDD">
            <w:pPr>
              <w:keepNext w:val="0"/>
              <w:keepLines w:val="0"/>
              <w:pageBreakBefore w:val="0"/>
              <w:widowControl/>
              <w:kinsoku/>
              <w:overflowPunct/>
              <w:topLinePunct w:val="0"/>
              <w:bidi w:val="0"/>
              <w:spacing w:line="500" w:lineRule="exact"/>
              <w:ind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有完全理解并接受招标文件合同基本条款要求的描述。</w:t>
            </w:r>
          </w:p>
        </w:tc>
      </w:tr>
    </w:tbl>
    <w:p w14:paraId="469DE0CD">
      <w:pPr>
        <w:pStyle w:val="15"/>
        <w:keepNext w:val="0"/>
        <w:keepLines w:val="0"/>
        <w:pageBreakBefore w:val="0"/>
        <w:widowControl/>
        <w:kinsoku/>
        <w:overflowPunct/>
        <w:topLinePunct w:val="0"/>
        <w:bidi w:val="0"/>
        <w:spacing w:afterLines="0" w:line="500" w:lineRule="exact"/>
        <w:ind w:left="0" w:leftChars="0" w:right="0" w:firstLine="0" w:firstLineChars="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49" w:name="_Toc48834102"/>
      <w:bookmarkStart w:id="150" w:name="_Toc48834299"/>
      <w:bookmarkStart w:id="151" w:name="_Toc48834172"/>
      <w:bookmarkStart w:id="152" w:name="_Toc48834540"/>
      <w:bookmarkStart w:id="153" w:name="_Toc48834461"/>
      <w:bookmarkStart w:id="154" w:name="_Hlk49247072"/>
      <w:r>
        <w:rPr>
          <w:rFonts w:hint="eastAsia" w:ascii="宋体" w:hAnsi="宋体" w:eastAsia="宋体" w:cs="宋体"/>
          <w:b/>
          <w:color w:val="000000" w:themeColor="text1"/>
          <w:sz w:val="28"/>
          <w:szCs w:val="28"/>
          <w14:textFill>
            <w14:solidFill>
              <w14:schemeClr w14:val="tx1"/>
            </w14:solidFill>
          </w14:textFill>
        </w:rPr>
        <w:t>二、综合比较与评价</w:t>
      </w:r>
      <w:bookmarkEnd w:id="149"/>
      <w:bookmarkEnd w:id="150"/>
      <w:bookmarkEnd w:id="151"/>
      <w:bookmarkEnd w:id="152"/>
      <w:bookmarkEnd w:id="153"/>
    </w:p>
    <w:bookmarkEnd w:id="154"/>
    <w:p w14:paraId="41C1D317">
      <w:pPr>
        <w:pStyle w:val="13"/>
        <w:keepNext w:val="0"/>
        <w:keepLines w:val="0"/>
        <w:pageBreakBefore w:val="0"/>
        <w:widowControl/>
        <w:kinsoku/>
        <w:overflowPunct/>
        <w:topLinePunct w:val="0"/>
        <w:bidi w:val="0"/>
        <w:spacing w:line="500" w:lineRule="exact"/>
        <w:ind w:left="0" w:leftChars="0" w:right="0" w:firstLine="566" w:firstLineChars="200"/>
        <w:jc w:val="center"/>
        <w:textAlignment w:val="auto"/>
        <w:rPr>
          <w:rFonts w:hint="eastAsia" w:ascii="宋体" w:hAnsi="宋体" w:eastAsia="宋体" w:cs="宋体"/>
          <w:b/>
          <w:bCs/>
          <w:color w:val="000000" w:themeColor="text1"/>
          <w:sz w:val="28"/>
          <w14:textFill>
            <w14:solidFill>
              <w14:schemeClr w14:val="tx1"/>
            </w14:solidFill>
          </w14:textFill>
        </w:rPr>
      </w:pPr>
      <w:bookmarkStart w:id="155" w:name="_Toc424636365"/>
      <w:bookmarkStart w:id="156" w:name="_Toc48834541"/>
      <w:bookmarkStart w:id="157" w:name="_Toc445306493"/>
      <w:bookmarkStart w:id="158" w:name="_Toc48834462"/>
      <w:bookmarkStart w:id="159" w:name="_Toc495012771"/>
      <w:bookmarkStart w:id="160" w:name="_Toc48834103"/>
      <w:bookmarkStart w:id="161" w:name="_Toc495014585"/>
      <w:bookmarkStart w:id="162" w:name="_Toc495012821"/>
      <w:bookmarkStart w:id="163" w:name="_Toc2631"/>
      <w:bookmarkStart w:id="164" w:name="_Toc495014649"/>
      <w:bookmarkStart w:id="165" w:name="_Toc495014611"/>
      <w:bookmarkStart w:id="166" w:name="_Toc495014954"/>
      <w:bookmarkStart w:id="167" w:name="_Toc495014920"/>
      <w:bookmarkStart w:id="168" w:name="_Toc48834173"/>
      <w:bookmarkStart w:id="169" w:name="_Toc48834300"/>
      <w:r>
        <w:rPr>
          <w:rFonts w:hint="eastAsia" w:ascii="宋体" w:hAnsi="宋体" w:eastAsia="宋体" w:cs="宋体"/>
          <w:b/>
          <w:bCs/>
          <w:color w:val="000000" w:themeColor="text1"/>
          <w:sz w:val="28"/>
          <w14:textFill>
            <w14:solidFill>
              <w14:schemeClr w14:val="tx1"/>
            </w14:solidFill>
          </w14:textFill>
        </w:rPr>
        <w:t>评审要素及分值一览表</w:t>
      </w:r>
    </w:p>
    <w:p w14:paraId="75306FFB">
      <w:pPr>
        <w:pStyle w:val="13"/>
        <w:keepNext w:val="0"/>
        <w:keepLines w:val="0"/>
        <w:pageBreakBefore w:val="0"/>
        <w:widowControl/>
        <w:kinsoku/>
        <w:overflowPunct/>
        <w:topLinePunct w:val="0"/>
        <w:bidi w:val="0"/>
        <w:spacing w:line="500" w:lineRule="exact"/>
        <w:ind w:right="0"/>
        <w:jc w:val="left"/>
        <w:textAlignment w:val="auto"/>
        <w:rPr>
          <w:rFonts w:hint="eastAsia" w:ascii="宋体" w:hAnsi="宋体" w:eastAsia="宋体" w:cs="宋体"/>
          <w:b/>
          <w:bCs/>
          <w:color w:val="000000" w:themeColor="text1"/>
          <w:sz w:val="28"/>
          <w:lang w:val="en-US" w:eastAsia="zh-CN"/>
          <w14:textFill>
            <w14:solidFill>
              <w14:schemeClr w14:val="tx1"/>
            </w14:solidFill>
          </w14:textFill>
        </w:rPr>
      </w:pPr>
      <w:r>
        <w:rPr>
          <w:rFonts w:hint="eastAsia" w:ascii="宋体" w:hAnsi="宋体" w:eastAsia="宋体" w:cs="宋体"/>
          <w:b/>
          <w:bCs/>
          <w:color w:val="000000" w:themeColor="text1"/>
          <w:sz w:val="28"/>
          <w:lang w:val="en-US" w:eastAsia="zh-CN"/>
          <w14:textFill>
            <w14:solidFill>
              <w14:schemeClr w14:val="tx1"/>
            </w14:solidFill>
          </w14:textFill>
        </w:rPr>
        <w:t>合同包1、包2、包3、包4评审标准</w:t>
      </w:r>
    </w:p>
    <w:tbl>
      <w:tblPr>
        <w:tblStyle w:val="17"/>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814"/>
        <w:gridCol w:w="7415"/>
      </w:tblGrid>
      <w:tr w14:paraId="2CA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00" w:type="dxa"/>
            <w:noWrap w:val="0"/>
            <w:vAlign w:val="center"/>
          </w:tcPr>
          <w:p w14:paraId="56F8CA85">
            <w:pPr>
              <w:keepNext w:val="0"/>
              <w:keepLines w:val="0"/>
              <w:pageBreakBefore w:val="0"/>
              <w:widowControl w:val="0"/>
              <w:kinsoku/>
              <w:wordWrap/>
              <w:overflowPunct/>
              <w:topLinePunct w:val="0"/>
              <w:autoSpaceDE w:val="0"/>
              <w:autoSpaceDN w:val="0"/>
              <w:bidi w:val="0"/>
              <w:adjustRightInd/>
              <w:snapToGrid/>
              <w:spacing w:before="120" w:after="120"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分值构成</w:t>
            </w:r>
          </w:p>
        </w:tc>
        <w:tc>
          <w:tcPr>
            <w:tcW w:w="814" w:type="dxa"/>
            <w:noWrap w:val="0"/>
            <w:vAlign w:val="center"/>
          </w:tcPr>
          <w:p w14:paraId="745872DE">
            <w:pPr>
              <w:keepNext w:val="0"/>
              <w:keepLines w:val="0"/>
              <w:pageBreakBefore w:val="0"/>
              <w:widowControl w:val="0"/>
              <w:kinsoku/>
              <w:wordWrap/>
              <w:overflowPunct/>
              <w:topLinePunct w:val="0"/>
              <w:autoSpaceDE w:val="0"/>
              <w:autoSpaceDN w:val="0"/>
              <w:bidi w:val="0"/>
              <w:adjustRightInd/>
              <w:snapToGrid/>
              <w:spacing w:before="120" w:after="120" w:line="240" w:lineRule="auto"/>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分值</w:t>
            </w:r>
          </w:p>
        </w:tc>
        <w:tc>
          <w:tcPr>
            <w:tcW w:w="7415" w:type="dxa"/>
            <w:noWrap w:val="0"/>
            <w:vAlign w:val="center"/>
          </w:tcPr>
          <w:p w14:paraId="0D88D5D9">
            <w:pPr>
              <w:keepNext w:val="0"/>
              <w:keepLines w:val="0"/>
              <w:pageBreakBefore w:val="0"/>
              <w:widowControl w:val="0"/>
              <w:kinsoku/>
              <w:wordWrap/>
              <w:overflowPunct/>
              <w:topLinePunct w:val="0"/>
              <w:autoSpaceDE w:val="0"/>
              <w:autoSpaceDN w:val="0"/>
              <w:bidi w:val="0"/>
              <w:adjustRightInd/>
              <w:snapToGrid/>
              <w:spacing w:before="120" w:after="120" w:line="240" w:lineRule="auto"/>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评审内容</w:t>
            </w:r>
          </w:p>
        </w:tc>
      </w:tr>
      <w:tr w14:paraId="1623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00" w:type="dxa"/>
            <w:noWrap w:val="0"/>
            <w:vAlign w:val="center"/>
          </w:tcPr>
          <w:p w14:paraId="01D80F27">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投标报价</w:t>
            </w:r>
          </w:p>
          <w:p w14:paraId="500D8063">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pPr>
          </w:p>
        </w:tc>
        <w:tc>
          <w:tcPr>
            <w:tcW w:w="814" w:type="dxa"/>
            <w:noWrap w:val="0"/>
            <w:vAlign w:val="center"/>
          </w:tcPr>
          <w:p w14:paraId="67651E40">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10分</w:t>
            </w:r>
          </w:p>
          <w:p w14:paraId="49DA6DF5">
            <w:pPr>
              <w:pStyle w:val="32"/>
              <w:keepNext w:val="0"/>
              <w:keepLines w:val="0"/>
              <w:pageBreakBefore w:val="0"/>
              <w:widowControl w:val="0"/>
              <w:numPr>
                <w:ilvl w:val="0"/>
                <w:numId w:val="0"/>
              </w:numPr>
              <w:kinsoku/>
              <w:wordWrap/>
              <w:overflowPunct/>
              <w:topLinePunct w:val="0"/>
              <w:bidi w:val="0"/>
              <w:adjustRightInd/>
              <w:snapToGrid/>
              <w:spacing w:before="100" w:after="100" w:line="240" w:lineRule="auto"/>
              <w:ind w:lef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p>
        </w:tc>
        <w:tc>
          <w:tcPr>
            <w:tcW w:w="7415" w:type="dxa"/>
            <w:noWrap w:val="0"/>
            <w:vAlign w:val="top"/>
          </w:tcPr>
          <w:p w14:paraId="37D60A67">
            <w:pPr>
              <w:keepNext w:val="0"/>
              <w:keepLines w:val="0"/>
              <w:pageBreakBefore w:val="0"/>
              <w:widowControl w:val="0"/>
              <w:numPr>
                <w:ilvl w:val="0"/>
                <w:numId w:val="0"/>
              </w:numPr>
              <w:kinsoku/>
              <w:wordWrap/>
              <w:overflowPunct/>
              <w:topLinePunct w:val="0"/>
              <w:bidi w:val="0"/>
              <w:adjustRightInd/>
              <w:snapToGrid/>
              <w:spacing w:line="440" w:lineRule="exact"/>
              <w:ind w:leftChars="0"/>
              <w:jc w:val="both"/>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综合评分法中的价格分统一采用低价优先法计算，即满足投标文件要求且最后报价最低的供应商的价格为投标基准价，其价格分为满分。其他供应商的价格分统一按照下列公式计算： 投标报价得分=（投标基准价/最后投标报价）×10。项目评审过程中，不得去掉最后报价中的最高报价和最低报价。</w:t>
            </w:r>
          </w:p>
        </w:tc>
      </w:tr>
      <w:tr w14:paraId="500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00" w:type="dxa"/>
            <w:noWrap w:val="0"/>
            <w:vAlign w:val="center"/>
          </w:tcPr>
          <w:p w14:paraId="487CA356">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服务方案</w:t>
            </w:r>
          </w:p>
        </w:tc>
        <w:tc>
          <w:tcPr>
            <w:tcW w:w="814" w:type="dxa"/>
            <w:noWrap w:val="0"/>
            <w:vAlign w:val="center"/>
          </w:tcPr>
          <w:p w14:paraId="2CDA32F6">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55分</w:t>
            </w:r>
          </w:p>
        </w:tc>
        <w:tc>
          <w:tcPr>
            <w:tcW w:w="7415" w:type="dxa"/>
            <w:noWrap w:val="0"/>
            <w:vAlign w:val="top"/>
          </w:tcPr>
          <w:p w14:paraId="1A1B2F95">
            <w:pPr>
              <w:keepNext w:val="0"/>
              <w:keepLines w:val="0"/>
              <w:pageBreakBefore w:val="0"/>
              <w:widowControl w:val="0"/>
              <w:numPr>
                <w:ilvl w:val="0"/>
                <w:numId w:val="0"/>
              </w:numPr>
              <w:kinsoku/>
              <w:wordWrap/>
              <w:overflowPunct/>
              <w:topLinePunct w:val="0"/>
              <w:bidi w:val="0"/>
              <w:adjustRightInd/>
              <w:snapToGrid/>
              <w:spacing w:line="440" w:lineRule="exact"/>
              <w:jc w:val="both"/>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由评委对开采方案、运输方案、开采运输能力保证措施等进行审查，评标委员会根据投标人提供的方案的具体性、全面性和合理性进行综合比较评审。分为三个评价等级，第一级7—10分，第二级4—7分，第三级0-4分，未提供的不得分。满分10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投标人自行编制项目开采及运输过程中安全工作方案，评标委员会根据投标人提供的方案的具体性、全面性和合理性进行综合比较评审。分为三个评价等级，第一级7—10分，第二级4—7分，第三级0-4分，未提供的不得分。满分10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投标人自行编制项目环保、生态修复工作方案，评标委员会根据投标人提供的方案的具体性和全面性、合理性进行综合比较评审。分为三个评价等级，第一级4—5分，第二级3—4分，第三级2—3分，未提供的不得分。满分5分。</w:t>
            </w:r>
          </w:p>
          <w:p w14:paraId="2E583176">
            <w:pPr>
              <w:keepNext w:val="0"/>
              <w:keepLines w:val="0"/>
              <w:pageBreakBefore w:val="0"/>
              <w:widowControl w:val="0"/>
              <w:numPr>
                <w:ilvl w:val="0"/>
                <w:numId w:val="0"/>
              </w:numPr>
              <w:kinsoku/>
              <w:wordWrap/>
              <w:overflowPunct/>
              <w:topLinePunct w:val="0"/>
              <w:bidi w:val="0"/>
              <w:adjustRightInd/>
              <w:snapToGrid/>
              <w:spacing w:line="440" w:lineRule="exact"/>
              <w:jc w:val="both"/>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4.针对本项目人员配备方案科学性、合理性以及人员资质能力等，由评标委员会综合比较评分；分为三个评价等级，第一级7—10分，第二级4—7分，第三级0-4分，未提供的不得分。满分10分。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投标人自行分析本项目重难点及关键点并提出相应的方案，评标委员会根据投标人分析及方案的具体性和全面性、合理性进行综合比较评审。分为三个评价等级，第一级4—5分，第二级3—4分，第三级2—3分，未提供的不得分。满分5分。</w:t>
            </w:r>
          </w:p>
          <w:p w14:paraId="4B957C1E">
            <w:pPr>
              <w:pStyle w:val="15"/>
              <w:numPr>
                <w:ilvl w:val="0"/>
                <w:numId w:val="0"/>
              </w:numP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6.投标人提供进度保证措施、工期计划安排，评标委员会根据投标人分析的合理性进行评审，分为三个评价等级，第一级4—5分，第二级3—4分，第三级2—3分，未提供的不得分。满分5分。</w:t>
            </w:r>
          </w:p>
          <w:p w14:paraId="27D85FC7">
            <w:pPr>
              <w:pStyle w:val="32"/>
              <w:keepNext w:val="0"/>
              <w:keepLines w:val="0"/>
              <w:pageBreakBefore w:val="0"/>
              <w:widowControl w:val="0"/>
              <w:numPr>
                <w:ilvl w:val="0"/>
                <w:numId w:val="0"/>
              </w:numPr>
              <w:kinsoku/>
              <w:wordWrap/>
              <w:overflowPunct/>
              <w:topLinePunct w:val="0"/>
              <w:bidi w:val="0"/>
              <w:adjustRightInd/>
              <w:snapToGrid/>
              <w:spacing w:before="100" w:after="100" w:line="440" w:lineRule="exact"/>
              <w:ind w:lef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7.投标人针对本项目提供可能会出现的突发事项，提出应急预案方案，投标人如何保证服务质量不受影响，完成采购人要求的每日工作量。由评标委员会综合比较；分为三个评价等级，第一级7—10分，第二级4—7分，第三级0-4分，未提供的不得分。满分10分。</w:t>
            </w:r>
          </w:p>
        </w:tc>
      </w:tr>
      <w:tr w14:paraId="72D1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00" w:type="dxa"/>
            <w:noWrap w:val="0"/>
            <w:vAlign w:val="center"/>
          </w:tcPr>
          <w:p w14:paraId="0CC86FDF">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设备保障</w:t>
            </w:r>
          </w:p>
        </w:tc>
        <w:tc>
          <w:tcPr>
            <w:tcW w:w="814" w:type="dxa"/>
            <w:noWrap w:val="0"/>
            <w:vAlign w:val="center"/>
          </w:tcPr>
          <w:p w14:paraId="0BA37945">
            <w:pPr>
              <w:keepNext w:val="0"/>
              <w:keepLines w:val="0"/>
              <w:pageBreakBefore w:val="0"/>
              <w:widowControl w:val="0"/>
              <w:kinsoku/>
              <w:wordWrap/>
              <w:overflowPunct/>
              <w:topLinePunct w:val="0"/>
              <w:bidi w:val="0"/>
              <w:adjustRightInd/>
              <w:snapToGrid/>
              <w:spacing w:before="119" w:line="440" w:lineRule="exact"/>
              <w:ind w:firstLine="9"/>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12分</w:t>
            </w:r>
          </w:p>
        </w:tc>
        <w:tc>
          <w:tcPr>
            <w:tcW w:w="7415" w:type="dxa"/>
            <w:noWrap w:val="0"/>
            <w:vAlign w:val="top"/>
          </w:tcPr>
          <w:p w14:paraId="437708A5">
            <w:pPr>
              <w:keepNext w:val="0"/>
              <w:keepLines w:val="0"/>
              <w:pageBreakBefore w:val="0"/>
              <w:widowControl w:val="0"/>
              <w:kinsoku/>
              <w:wordWrap/>
              <w:overflowPunct/>
              <w:topLinePunct w:val="0"/>
              <w:bidi w:val="0"/>
              <w:adjustRightInd/>
              <w:snapToGrid/>
              <w:spacing w:before="119" w:line="440" w:lineRule="exact"/>
              <w:ind w:firstLine="9"/>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提供拟投入设备清单。</w:t>
            </w:r>
          </w:p>
          <w:p w14:paraId="2B32BD5E">
            <w:pPr>
              <w:keepNext w:val="0"/>
              <w:keepLines w:val="0"/>
              <w:pageBreakBefore w:val="0"/>
              <w:widowControl w:val="0"/>
              <w:kinsoku/>
              <w:wordWrap/>
              <w:overflowPunct/>
              <w:topLinePunct w:val="0"/>
              <w:bidi w:val="0"/>
              <w:adjustRightInd/>
              <w:snapToGrid/>
              <w:spacing w:before="119" w:line="440" w:lineRule="exact"/>
              <w:ind w:firstLine="9"/>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机械、设备工具种类齐全、能完全满足采砂需要、能及时补充、更换，得6—12分；</w:t>
            </w:r>
          </w:p>
          <w:p w14:paraId="35EBEF05">
            <w:pPr>
              <w:pStyle w:val="32"/>
              <w:keepNext w:val="0"/>
              <w:keepLines w:val="0"/>
              <w:pageBreakBefore w:val="0"/>
              <w:widowControl w:val="0"/>
              <w:numPr>
                <w:ilvl w:val="0"/>
                <w:numId w:val="0"/>
              </w:numPr>
              <w:kinsoku/>
              <w:wordWrap/>
              <w:overflowPunct/>
              <w:topLinePunct w:val="0"/>
              <w:bidi w:val="0"/>
              <w:adjustRightInd/>
              <w:snapToGrid/>
              <w:spacing w:before="100" w:after="100" w:line="440" w:lineRule="exact"/>
              <w:ind w:lef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机械设备工具基本齐全，得0-6分。</w:t>
            </w:r>
          </w:p>
        </w:tc>
      </w:tr>
      <w:tr w14:paraId="6365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00" w:type="dxa"/>
            <w:noWrap w:val="0"/>
            <w:vAlign w:val="center"/>
          </w:tcPr>
          <w:p w14:paraId="4831FA41">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商务响应</w:t>
            </w:r>
          </w:p>
        </w:tc>
        <w:tc>
          <w:tcPr>
            <w:tcW w:w="814" w:type="dxa"/>
            <w:noWrap w:val="0"/>
            <w:vAlign w:val="center"/>
          </w:tcPr>
          <w:p w14:paraId="35CD6DC3">
            <w:pPr>
              <w:keepNext w:val="0"/>
              <w:keepLines w:val="0"/>
              <w:pageBreakBefore w:val="0"/>
              <w:widowControl w:val="0"/>
              <w:kinsoku/>
              <w:wordWrap/>
              <w:overflowPunct/>
              <w:topLinePunct w:val="0"/>
              <w:bidi w:val="0"/>
              <w:adjustRightInd/>
              <w:snapToGrid/>
              <w:spacing w:before="119" w:line="440" w:lineRule="exact"/>
              <w:ind w:firstLine="9"/>
              <w:jc w:val="center"/>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5分</w:t>
            </w:r>
          </w:p>
        </w:tc>
        <w:tc>
          <w:tcPr>
            <w:tcW w:w="7415" w:type="dxa"/>
            <w:noWrap w:val="0"/>
            <w:vAlign w:val="top"/>
          </w:tcPr>
          <w:p w14:paraId="1756BCC2">
            <w:pPr>
              <w:pStyle w:val="32"/>
              <w:keepNext w:val="0"/>
              <w:keepLines w:val="0"/>
              <w:pageBreakBefore w:val="0"/>
              <w:widowControl w:val="0"/>
              <w:numPr>
                <w:ilvl w:val="0"/>
                <w:numId w:val="0"/>
              </w:numPr>
              <w:kinsoku/>
              <w:wordWrap/>
              <w:overflowPunct/>
              <w:topLinePunct w:val="0"/>
              <w:bidi w:val="0"/>
              <w:adjustRightInd/>
              <w:snapToGrid/>
              <w:spacing w:before="100" w:after="100" w:line="440" w:lineRule="exact"/>
              <w:ind w:leftChars="0"/>
              <w:textAlignment w:val="auto"/>
              <w:rPr>
                <w:rFonts w:hint="eastAsia" w:ascii="宋体" w:hAnsi="宋体" w:eastAsia="宋体" w:cs="宋体"/>
                <w:bCs/>
                <w:color w:val="000000" w:themeColor="text1"/>
                <w:sz w:val="24"/>
                <w:szCs w:val="24"/>
                <w:lang w:val="en-AU"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有效性和符合性审核合格的投标供应商， 商务要求完全响应招标文件要求的得 5分，否则不得分。</w:t>
            </w:r>
          </w:p>
        </w:tc>
      </w:tr>
      <w:tr w14:paraId="147F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00" w:type="dxa"/>
            <w:noWrap w:val="0"/>
            <w:vAlign w:val="center"/>
          </w:tcPr>
          <w:p w14:paraId="1E603B11">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服务</w:t>
            </w:r>
            <w:r>
              <w:rPr>
                <w:rFonts w:hint="eastAsia" w:ascii="宋体" w:hAnsi="宋体" w:eastAsia="宋体" w:cs="宋体"/>
                <w:color w:val="000000" w:themeColor="text1"/>
                <w:sz w:val="24"/>
                <w:szCs w:val="24"/>
                <w:lang w:val="zh-CN" w:eastAsia="zh-CN"/>
                <w14:textFill>
                  <w14:solidFill>
                    <w14:schemeClr w14:val="tx1"/>
                  </w14:solidFill>
                </w14:textFill>
              </w:rPr>
              <w:t>承诺</w:t>
            </w:r>
          </w:p>
        </w:tc>
        <w:tc>
          <w:tcPr>
            <w:tcW w:w="814" w:type="dxa"/>
            <w:noWrap w:val="0"/>
            <w:vAlign w:val="center"/>
          </w:tcPr>
          <w:p w14:paraId="7FEC7A35">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12分</w:t>
            </w:r>
          </w:p>
        </w:tc>
        <w:tc>
          <w:tcPr>
            <w:tcW w:w="7415" w:type="dxa"/>
            <w:noWrap w:val="0"/>
            <w:vAlign w:val="top"/>
          </w:tcPr>
          <w:p w14:paraId="130FC1DF">
            <w:pPr>
              <w:pStyle w:val="32"/>
              <w:keepNext w:val="0"/>
              <w:keepLines w:val="0"/>
              <w:pageBreakBefore w:val="0"/>
              <w:widowControl w:val="0"/>
              <w:numPr>
                <w:ilvl w:val="0"/>
                <w:numId w:val="0"/>
              </w:numPr>
              <w:kinsoku/>
              <w:wordWrap/>
              <w:overflowPunct/>
              <w:topLinePunct w:val="0"/>
              <w:bidi w:val="0"/>
              <w:adjustRightInd/>
              <w:snapToGrid/>
              <w:spacing w:before="100" w:after="100" w:line="440" w:lineRule="exact"/>
              <w:ind w:leftChars="0"/>
              <w:textAlignment w:val="auto"/>
              <w:rPr>
                <w:rFonts w:hint="eastAsia" w:ascii="宋体" w:hAnsi="宋体" w:eastAsia="宋体" w:cs="宋体"/>
                <w:bCs/>
                <w:color w:val="000000" w:themeColor="text1"/>
                <w:sz w:val="24"/>
                <w:szCs w:val="24"/>
                <w:lang w:val="en-AU"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针对项目需求，投标人自行作出服务质量及相关方面的实质性承诺。评标委员会对所有投标人承诺情况横向比较评分，优秀得12分、良好得8分、一般得4分。未提供的不得分。</w:t>
            </w:r>
          </w:p>
        </w:tc>
      </w:tr>
      <w:tr w14:paraId="31F6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00" w:type="dxa"/>
            <w:noWrap w:val="0"/>
            <w:vAlign w:val="center"/>
          </w:tcPr>
          <w:p w14:paraId="73EDE5AE">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业绩</w:t>
            </w:r>
          </w:p>
        </w:tc>
        <w:tc>
          <w:tcPr>
            <w:tcW w:w="814" w:type="dxa"/>
            <w:noWrap w:val="0"/>
            <w:vAlign w:val="center"/>
          </w:tcPr>
          <w:p w14:paraId="5A5FB01F">
            <w:pPr>
              <w:keepNext w:val="0"/>
              <w:keepLines w:val="0"/>
              <w:pageBreakBefore w:val="0"/>
              <w:widowControl w:val="0"/>
              <w:kinsoku/>
              <w:wordWrap/>
              <w:overflowPunct/>
              <w:topLinePunct w:val="0"/>
              <w:autoSpaceDE w:val="0"/>
              <w:autoSpaceDN w:val="0"/>
              <w:bidi w:val="0"/>
              <w:adjustRightInd/>
              <w:snapToGrid/>
              <w:spacing w:before="100" w:after="100" w:line="240" w:lineRule="auto"/>
              <w:jc w:val="center"/>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分</w:t>
            </w:r>
          </w:p>
        </w:tc>
        <w:tc>
          <w:tcPr>
            <w:tcW w:w="7415" w:type="dxa"/>
            <w:noWrap w:val="0"/>
            <w:vAlign w:val="top"/>
          </w:tcPr>
          <w:p w14:paraId="10F52AE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b w:val="0"/>
                <w:bCs w:val="0"/>
                <w:color w:val="000000" w:themeColor="text1"/>
                <w:kern w:val="2"/>
                <w:sz w:val="24"/>
                <w:szCs w:val="24"/>
                <w:highlight w:val="none"/>
                <w:lang w:val="en-AU"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提供20</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21</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4"/>
                <w:szCs w:val="24"/>
                <w:highlight w:val="none"/>
                <w:lang w:val="en-AU" w:eastAsia="zh-CN" w:bidi="ar-SA"/>
                <w14:textFill>
                  <w14:solidFill>
                    <w14:schemeClr w14:val="tx1"/>
                  </w14:solidFill>
                </w14:textFill>
              </w:rPr>
              <w:t>月至今</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（以合同签订时间为准）的</w:t>
            </w:r>
            <w:r>
              <w:rPr>
                <w:rFonts w:hint="eastAsia" w:ascii="宋体" w:hAnsi="宋体" w:eastAsia="宋体" w:cs="宋体"/>
                <w:b w:val="0"/>
                <w:bCs w:val="0"/>
                <w:color w:val="000000" w:themeColor="text1"/>
                <w:kern w:val="2"/>
                <w:sz w:val="24"/>
                <w:szCs w:val="24"/>
                <w:highlight w:val="none"/>
                <w:lang w:val="en-AU" w:eastAsia="zh-CN" w:bidi="ar-SA"/>
                <w14:textFill>
                  <w14:solidFill>
                    <w14:schemeClr w14:val="tx1"/>
                  </w14:solidFill>
                </w14:textFill>
              </w:rPr>
              <w:t>同类项目业绩</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，每提供一个计</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分，满分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分。</w:t>
            </w:r>
          </w:p>
          <w:p w14:paraId="662379E8">
            <w:pPr>
              <w:pStyle w:val="32"/>
              <w:keepNext w:val="0"/>
              <w:keepLines w:val="0"/>
              <w:pageBreakBefore w:val="0"/>
              <w:widowControl w:val="0"/>
              <w:numPr>
                <w:ilvl w:val="0"/>
                <w:numId w:val="0"/>
              </w:numPr>
              <w:kinsoku/>
              <w:wordWrap/>
              <w:overflowPunct/>
              <w:topLinePunct w:val="0"/>
              <w:bidi w:val="0"/>
              <w:adjustRightInd/>
              <w:snapToGrid/>
              <w:spacing w:before="100" w:after="100" w:line="440" w:lineRule="exact"/>
              <w:ind w:leftChars="0"/>
              <w:textAlignment w:val="auto"/>
              <w:rPr>
                <w:rFonts w:hint="eastAsia" w:ascii="宋体" w:hAnsi="宋体" w:eastAsia="宋体" w:cs="宋体"/>
                <w:bCs/>
                <w:color w:val="000000" w:themeColor="text1"/>
                <w:sz w:val="24"/>
                <w:szCs w:val="24"/>
                <w:lang w:val="en-AU"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（投标响应文件中附加盖供应商公章的合同复印件）</w:t>
            </w:r>
          </w:p>
        </w:tc>
      </w:tr>
    </w:tbl>
    <w:p w14:paraId="59DC94AF">
      <w:pPr>
        <w:spacing w:line="500" w:lineRule="exact"/>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注：1、各种计算数字“四舍五入”保留</w:t>
      </w:r>
      <w:r>
        <w:rPr>
          <w:rFonts w:hint="eastAsia" w:ascii="宋体" w:hAnsi="宋体" w:eastAsia="宋体" w:cs="宋体"/>
          <w:color w:val="000000" w:themeColor="text1"/>
          <w:kern w:val="0"/>
          <w:sz w:val="24"/>
          <w:lang w:eastAsia="zh-CN"/>
          <w14:textFill>
            <w14:solidFill>
              <w14:schemeClr w14:val="tx1"/>
            </w14:solidFill>
          </w14:textFill>
        </w:rPr>
        <w:t>两位</w:t>
      </w:r>
      <w:r>
        <w:rPr>
          <w:rFonts w:hint="eastAsia" w:ascii="宋体" w:hAnsi="宋体" w:eastAsia="宋体" w:cs="宋体"/>
          <w:color w:val="000000" w:themeColor="text1"/>
          <w:kern w:val="0"/>
          <w:sz w:val="24"/>
          <w14:textFill>
            <w14:solidFill>
              <w14:schemeClr w14:val="tx1"/>
            </w14:solidFill>
          </w14:textFill>
        </w:rPr>
        <w:t>小数。</w:t>
      </w:r>
    </w:p>
    <w:p w14:paraId="152EE774">
      <w:pPr>
        <w:numPr>
          <w:ilvl w:val="0"/>
          <w:numId w:val="2"/>
        </w:numPr>
        <w:spacing w:line="500" w:lineRule="exact"/>
        <w:ind w:left="731" w:leftChars="0" w:firstLine="0" w:firstLineChars="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评标委员会成员如有打分超过分值界限或未按本表规定打分的，则该成员的打分作废，不计入汇总分</w:t>
      </w:r>
    </w:p>
    <w:p w14:paraId="519E3B9E">
      <w:pPr>
        <w:pStyle w:val="15"/>
        <w:numPr>
          <w:ilvl w:val="0"/>
          <w:numId w:val="0"/>
        </w:numPr>
        <w:ind w:left="731" w:leftChars="0"/>
        <w:rPr>
          <w:rFonts w:hint="eastAsia" w:ascii="宋体" w:hAnsi="宋体" w:eastAsia="宋体" w:cs="宋体"/>
          <w:color w:val="000000" w:themeColor="text1"/>
          <w14:textFill>
            <w14:solidFill>
              <w14:schemeClr w14:val="tx1"/>
            </w14:solidFill>
          </w14:textFill>
        </w:rPr>
      </w:pPr>
    </w:p>
    <w:p w14:paraId="2F1AE462">
      <w:pPr>
        <w:pStyle w:val="16"/>
        <w:rPr>
          <w:rFonts w:hint="eastAsia" w:ascii="宋体" w:hAnsi="宋体" w:eastAsia="宋体" w:cs="宋体"/>
          <w:color w:val="000000" w:themeColor="text1"/>
          <w14:textFill>
            <w14:solidFill>
              <w14:schemeClr w14:val="tx1"/>
            </w14:solidFill>
          </w14:textFill>
        </w:rPr>
      </w:pPr>
    </w:p>
    <w:p w14:paraId="46632210">
      <w:pPr>
        <w:pStyle w:val="16"/>
        <w:rPr>
          <w:rFonts w:hint="eastAsia" w:ascii="宋体" w:hAnsi="宋体" w:eastAsia="宋体" w:cs="宋体"/>
          <w:b/>
          <w:bCs/>
          <w:color w:val="000000" w:themeColor="text1"/>
          <w:lang w:val="en-US" w:eastAsia="zh-CN"/>
          <w14:textFill>
            <w14:solidFill>
              <w14:schemeClr w14:val="tx1"/>
            </w14:solidFill>
          </w14:textFill>
        </w:rPr>
      </w:pPr>
    </w:p>
    <w:p w14:paraId="4FE1E333">
      <w:pPr>
        <w:pStyle w:val="16"/>
        <w:rPr>
          <w:rFonts w:hint="eastAsia" w:ascii="宋体" w:hAnsi="宋体" w:eastAsia="宋体" w:cs="宋体"/>
          <w:b/>
          <w:bCs/>
          <w:color w:val="000000" w:themeColor="text1"/>
          <w:lang w:val="en-US" w:eastAsia="zh-CN"/>
          <w14:textFill>
            <w14:solidFill>
              <w14:schemeClr w14:val="tx1"/>
            </w14:solidFill>
          </w14:textFill>
        </w:rPr>
      </w:pPr>
    </w:p>
    <w:p w14:paraId="4B82DE07">
      <w:pPr>
        <w:pStyle w:val="16"/>
        <w:rPr>
          <w:rFonts w:hint="eastAsia" w:ascii="宋体" w:hAnsi="宋体" w:eastAsia="宋体" w:cs="宋体"/>
          <w:b/>
          <w:bCs/>
          <w:color w:val="000000" w:themeColor="text1"/>
          <w:lang w:val="en-US" w:eastAsia="zh-CN"/>
          <w14:textFill>
            <w14:solidFill>
              <w14:schemeClr w14:val="tx1"/>
            </w14:solidFill>
          </w14:textFill>
        </w:rPr>
      </w:pPr>
    </w:p>
    <w:p w14:paraId="2A80E931">
      <w:pPr>
        <w:pStyle w:val="16"/>
        <w:rPr>
          <w:rFonts w:hint="eastAsia" w:ascii="宋体" w:hAnsi="宋体" w:eastAsia="宋体" w:cs="宋体"/>
          <w:b/>
          <w:bCs/>
          <w:color w:val="000000" w:themeColor="text1"/>
          <w:lang w:val="en-US" w:eastAsia="zh-CN"/>
          <w14:textFill>
            <w14:solidFill>
              <w14:schemeClr w14:val="tx1"/>
            </w14:solidFill>
          </w14:textFill>
        </w:rPr>
      </w:pPr>
    </w:p>
    <w:p w14:paraId="5ECF4E77">
      <w:pPr>
        <w:keepNext w:val="0"/>
        <w:keepLines w:val="0"/>
        <w:pageBreakBefore w:val="0"/>
        <w:widowControl/>
        <w:kinsoku/>
        <w:overflowPunct/>
        <w:topLinePunct w:val="0"/>
        <w:bidi w:val="0"/>
        <w:spacing w:line="500" w:lineRule="exact"/>
        <w:ind w:right="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28EF74A5">
      <w:pPr>
        <w:keepNext w:val="0"/>
        <w:keepLines w:val="0"/>
        <w:pageBreakBefore w:val="0"/>
        <w:widowControl/>
        <w:kinsoku/>
        <w:overflowPunct/>
        <w:topLinePunct w:val="0"/>
        <w:bidi w:val="0"/>
        <w:snapToGrid w:val="0"/>
        <w:spacing w:line="500" w:lineRule="exact"/>
        <w:ind w:right="0"/>
        <w:jc w:val="center"/>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第四章</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招标内容及采购需求</w:t>
      </w:r>
    </w:p>
    <w:p w14:paraId="62DC7EBE">
      <w:pPr>
        <w:pStyle w:val="31"/>
        <w:keepNext w:val="0"/>
        <w:keepLines w:val="0"/>
        <w:pageBreakBefore w:val="0"/>
        <w:kinsoku/>
        <w:wordWrap/>
        <w:overflowPunct/>
        <w:topLinePunct w:val="0"/>
        <w:autoSpaceDE/>
        <w:autoSpaceDN/>
        <w:bidi w:val="0"/>
        <w:adjustRightInd/>
        <w:snapToGrid/>
        <w:spacing w:line="46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本次</w:t>
      </w:r>
      <w:r>
        <w:rPr>
          <w:rFonts w:hint="eastAsia" w:ascii="宋体" w:hAnsi="宋体" w:eastAsia="宋体" w:cs="宋体"/>
          <w:color w:val="000000" w:themeColor="text1"/>
          <w:lang w:val="en-US" w:eastAsia="zh-CN"/>
          <w14:textFill>
            <w14:solidFill>
              <w14:schemeClr w14:val="tx1"/>
            </w14:solidFill>
          </w14:textFill>
        </w:rPr>
        <w:t>吴堡县城市投资经营集团有限公司黄河流域吴堡段2026年度采砂服务项目</w:t>
      </w:r>
      <w:r>
        <w:rPr>
          <w:rFonts w:hint="eastAsia" w:ascii="宋体" w:hAnsi="宋体" w:eastAsia="宋体" w:cs="宋体"/>
          <w:color w:val="000000" w:themeColor="text1"/>
          <w14:textFill>
            <w14:solidFill>
              <w14:schemeClr w14:val="tx1"/>
            </w14:solidFill>
          </w14:textFill>
        </w:rPr>
        <w:t>，根据</w:t>
      </w:r>
      <w:r>
        <w:rPr>
          <w:rFonts w:hint="eastAsia" w:ascii="宋体" w:hAnsi="宋体" w:eastAsia="宋体" w:cs="宋体"/>
          <w:color w:val="000000" w:themeColor="text1"/>
          <w:lang w:val="en-US" w:eastAsia="zh-CN"/>
          <w14:textFill>
            <w14:solidFill>
              <w14:schemeClr w14:val="tx1"/>
            </w14:solidFill>
          </w14:textFill>
        </w:rPr>
        <w:t>县</w:t>
      </w:r>
      <w:r>
        <w:rPr>
          <w:rFonts w:hint="eastAsia" w:ascii="宋体" w:hAnsi="宋体" w:eastAsia="宋体" w:cs="宋体"/>
          <w:color w:val="000000" w:themeColor="text1"/>
          <w14:textFill>
            <w14:solidFill>
              <w14:schemeClr w14:val="tx1"/>
            </w14:solidFill>
          </w14:textFill>
        </w:rPr>
        <w:t>财政局批复，</w:t>
      </w:r>
      <w:r>
        <w:rPr>
          <w:rFonts w:hint="eastAsia" w:ascii="宋体" w:hAnsi="宋体" w:eastAsia="宋体" w:cs="宋体"/>
          <w:color w:val="000000" w:themeColor="text1"/>
          <w:lang w:val="en-US" w:eastAsia="zh-CN"/>
          <w14:textFill>
            <w14:solidFill>
              <w14:schemeClr w14:val="tx1"/>
            </w14:solidFill>
          </w14:textFill>
        </w:rPr>
        <w:t>本项目不专门面向中小企业采购</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投标</w:t>
      </w:r>
      <w:r>
        <w:rPr>
          <w:rFonts w:hint="eastAsia" w:ascii="宋体" w:hAnsi="宋体" w:eastAsia="宋体" w:cs="宋体"/>
          <w:color w:val="000000" w:themeColor="text1"/>
          <w14:textFill>
            <w14:solidFill>
              <w14:schemeClr w14:val="tx1"/>
            </w14:solidFill>
          </w14:textFill>
        </w:rPr>
        <w:t>报价应遵守《中华人民共和国价格法》，供应商不得以低于成本的报价参与本次采购活动。</w:t>
      </w:r>
    </w:p>
    <w:p w14:paraId="1D4645D4">
      <w:pPr>
        <w:pStyle w:val="31"/>
        <w:keepNext w:val="0"/>
        <w:keepLines w:val="0"/>
        <w:pageBreakBefore w:val="0"/>
        <w:kinsoku/>
        <w:wordWrap/>
        <w:overflowPunct/>
        <w:topLinePunct w:val="0"/>
        <w:autoSpaceDE/>
        <w:autoSpaceDN/>
        <w:bidi w:val="0"/>
        <w:adjustRightInd/>
        <w:snapToGrid/>
        <w:spacing w:line="460" w:lineRule="exact"/>
        <w:ind w:left="0" w:leftChars="0" w:right="0" w:rightChars="0" w:firstLine="566"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一、项目内容</w:t>
      </w:r>
    </w:p>
    <w:p w14:paraId="66523518">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招标范围为黄河流域吴堡段下山畔采砂区、槐树港上段采砂区、槐树港下段采砂区、冉湾采砂区采砂服务。由服务作业单位负责采砂作业，采砂作业包括各标段范围内采砂、采砂设备（含采砂船、水砂分离器等）及采砂人员配备（人证合一）、采砂所需能耗（水、电、油等）、运砂道路维护、堆砂场地平整、采砂设备维护等，并承担与此相关的所有费用。</w:t>
      </w:r>
    </w:p>
    <w:p w14:paraId="16862D08">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本次招标项目共划分为4个标段，采购预算1750万元。其中，</w:t>
      </w:r>
    </w:p>
    <w:p w14:paraId="40219C19">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一标段：下山畔采砂区，计划采砂10万吨（含水总量12.5万吨），预算250万元。</w:t>
      </w:r>
    </w:p>
    <w:p w14:paraId="5B6F5D29">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二标段：槐树港上段采砂区，计划采砂25万吨（含水总量31.25万吨），预算625万元。</w:t>
      </w:r>
    </w:p>
    <w:p w14:paraId="406A6EE0">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三标段：槐树港下段采砂区，计划采砂10万吨（含水总量12.5万吨），预算250万元。</w:t>
      </w:r>
    </w:p>
    <w:p w14:paraId="0DFCE85D">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四标段：冉湾采砂区，计划采砂25万吨（含水总量31.25万吨），预算625万元。</w:t>
      </w:r>
    </w:p>
    <w:p w14:paraId="32F04331">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投标最高限价：服务费不高于20元/吨（含水量）。</w:t>
      </w:r>
    </w:p>
    <w:p w14:paraId="64CDAEFA">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二、采购需求：</w:t>
      </w:r>
    </w:p>
    <w:p w14:paraId="727FB61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合同包1：</w:t>
      </w:r>
      <w:r>
        <w:rPr>
          <w:rFonts w:hint="eastAsia" w:ascii="宋体" w:hAnsi="宋体" w:eastAsia="宋体" w:cs="宋体"/>
          <w:b w:val="0"/>
          <w:bCs w:val="0"/>
          <w:color w:val="000000" w:themeColor="text1"/>
          <w:kern w:val="2"/>
          <w:sz w:val="28"/>
          <w:szCs w:val="28"/>
          <w:lang w:eastAsia="zh-CN" w:bidi="ar-SA"/>
          <w14:textFill>
            <w14:solidFill>
              <w14:schemeClr w14:val="tx1"/>
            </w14:solidFill>
          </w14:textFill>
        </w:rPr>
        <w:t>吴堡县城市投资经营集团有限公司下山畔采砂区</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项目参数及要求</w:t>
      </w:r>
    </w:p>
    <w:p w14:paraId="12A3F5CE">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包1：吴堡县城市投资经营集团有限公司下山畔采砂区，计划采砂12.5万吨。</w:t>
      </w:r>
    </w:p>
    <w:p w14:paraId="68D8EBFF">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由服务作业单位负责采砂作业，采砂作业包括各标段范围内采砂、采砂设备（含采砂船、水砂分离器等）及采砂人员配备（人证合一）、采砂所需能耗（水、电、油等）、运砂道路维护、堆砂场地平整、采砂设备维护等，并承担与此相关的所有费用。</w:t>
      </w:r>
    </w:p>
    <w:p w14:paraId="70018AE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（1）开采期和采砂作业时间</w:t>
      </w:r>
    </w:p>
    <w:p w14:paraId="0DF2839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可采期为2026 年4月1日至6月30日， 2026 年10月1日至12月14日。为保证采砂作业的安全，规定在白天进行采砂活动，夜间（22:00～次日 6:00）采砂活动应全面停止。</w:t>
      </w:r>
    </w:p>
    <w:p w14:paraId="5682BE3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每年可采期由吴堡县采砂公司组织采砂作业区采砂作业，禁采期到来前，按时按规定将河道内的所有采砂设备及场内设施、活动房撤离出河道管理范围。修复采砂作业场地，将河道恢复至开采前状态。</w:t>
      </w:r>
    </w:p>
    <w:p w14:paraId="53BF8A7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（2）堆砂场数量及布局</w:t>
      </w:r>
    </w:p>
    <w:p w14:paraId="2C7CFA9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在下山畔采砂作业区、槐树港上段采砂作业区、槐树港下段采砂作业区、冉湾采砂作业区布置临时堆砂点，共 11 处，其中 6 处临时堆砂点配备水砂分离器，其余5处采用传统堆砂脱水方式。传统堆砂的临时堆砂点总方量不大于 3000m³，底面积不大于600㎡，高度不得超过5m；配备水砂分离器的临时堆砂点砂堆底面积不大于 600㎡，高度不得超过2m。</w:t>
      </w:r>
    </w:p>
    <w:p w14:paraId="357C35AB">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临时堆砂点位于河岸滩地，砂石资源满车时及时运至河道管理范围外，及时平整河道。</w:t>
      </w:r>
    </w:p>
    <w:p w14:paraId="0BC395B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采砂公司在采砂作业区内设置临时堆砂区、装卸运输作业区、转运道路，车辆采砂设备仅在采砂装卸、运输作业区活动作业。</w:t>
      </w:r>
    </w:p>
    <w:p w14:paraId="6628C4F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进入禁采期前，河道管理范围内临时堆砂点均无砂堆，平整场地，并通过河道管理部门检查。禁采期采砂机具应按照县采砂办指定位置存放。</w:t>
      </w:r>
    </w:p>
    <w:p w14:paraId="3E670DF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（3）进出场道路</w:t>
      </w:r>
    </w:p>
    <w:p w14:paraId="31FEBC3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采砂作业区转运道路两侧设置边界标识，采砂作业区运输道路应按照规划路线运输，设置相应路标。采砂作业区进、出场道路和采砂作业区转运道路均由采砂公司维护、管理、采砂期间不得有扬尘。</w:t>
      </w:r>
    </w:p>
    <w:p w14:paraId="2955A77B">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禁采期河道内采砂道路封闭。</w:t>
      </w:r>
    </w:p>
    <w:p w14:paraId="3680A7B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（4）车辆管理</w:t>
      </w:r>
    </w:p>
    <w:p w14:paraId="337E0E3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临时堆砂点到储砂场或场外段砂料转运采用车牌号登记报备的车辆运输，以便进出场识别。杜绝超载、滴漏，雨雪天气禁止通行。 所有运输车辆在经过村镇、城区、居民区等地要减速慢行、禁鸣喇叭，对沿途道路造成损坏的，要及时维护、保养，确保不影响生产、生活道路通行。转运车辆需满足县交通局管理要求。</w:t>
      </w:r>
    </w:p>
    <w:p w14:paraId="7CB6E07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（5）采砂临时设备存放处</w:t>
      </w:r>
    </w:p>
    <w:p w14:paraId="4348C6C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为规范砂场采砂作业管理，充分考虑吴堡县砂石采运作业实际需求。可采期在各采砂作业区滩地设置采砂临时设备存放处。采砂临时设备存放处主要存放临时采砂设备（如抽砂管道）、故障船只、闲置船只、铲车等采砂机具。采砂临时设备确保可随时 撤离，禁采期采砂临时设备存放处所有设备均撤出河道管理范围。</w:t>
      </w:r>
    </w:p>
    <w:p w14:paraId="15EA6FD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（6）安全生产</w:t>
      </w:r>
    </w:p>
    <w:p w14:paraId="066F609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有安全负责人、专职安全员：每个采砂作业区要有安全负责人及专职安全员，负责本公司安全生产工作；2）有安全设备设施：采砂船上配备救生衣、救生圈、竹竿及灭火器等；加工点内要有消防砂、消防池和工器具；3）有安全规章制度：采砂企业要制定安全规章制度，并将制度上墙；4）各采砂作业区需按规定设置安全警示 标志，安全警示标志主要设置位置为采砂作业区所占水边线、砂场 周边和进出口醒目位置等；靠近城区、交通便利的采砂作业区以及 危险性较高的区域，应加密安全警示标志设置。</w:t>
      </w:r>
    </w:p>
    <w:p w14:paraId="1DC4A62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（7）砂场监控</w:t>
      </w:r>
    </w:p>
    <w:p w14:paraId="1004AC1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每个采砂作业区临时堆砂点、砂场运输道路口安装摄像头。采砂作业区设置电子围栏。实行进出场计量监控、登记制度。</w:t>
      </w:r>
    </w:p>
    <w:p w14:paraId="427FB78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（8）现场清理及恢复河道</w:t>
      </w:r>
    </w:p>
    <w:p w14:paraId="23460CAB">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1）在每个采砂作业区设置一个垃圾箱，将生活垃圾每天清理至 垃圾箱，并定期将垃圾运输至垃圾处理厂进行处理，防止污染环境。</w:t>
      </w:r>
    </w:p>
    <w:p w14:paraId="743E8ED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2）在可采期结束前，应及时撤离采砂机具设备、临时建筑等设施，复平采坑，恢复河床原貌。</w:t>
      </w:r>
    </w:p>
    <w:p w14:paraId="175DC94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（9）禁采期管理</w:t>
      </w:r>
    </w:p>
    <w:p w14:paraId="22591D0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采砂公司应在禁采期间切实加强日常管理监督，采取 24小时值班制度，科学制定值班流程，合理安排人员，明确值班职责，保证值班工作有序、有效开展。在值班过程中如发现问题或突发事件，应及时上报公司负责人，并根据现场情况采取适当应急措施，确保 采砂区顺利、安全度过禁采期。</w:t>
      </w:r>
    </w:p>
    <w:p w14:paraId="2E34BC7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170" w:name="bookmark55"/>
      <w:bookmarkEnd w:id="170"/>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（10）采砂方式及机具控制 </w:t>
      </w:r>
    </w:p>
    <w:p w14:paraId="4937C672">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采砂方式为水采。本年度吴堡县黄河段采砂作业区采砂船总数量控制为11条，采砂作业区采砂船的功率控制在300kW之内，采砂船舶最大自重吨位不得超过30t，采砂泵尺寸不超过6英寸。</w:t>
      </w:r>
    </w:p>
    <w:p w14:paraId="49DD1DE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其中下山畔采砂区设置 2 条采砂船，对应 2 处临时堆砂点。每条船配备3人，每处临时堆砂点配备1人，装载车司机配备根据装载车数量配备。</w:t>
      </w:r>
    </w:p>
    <w:p w14:paraId="758FE62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下山畔采砂区配备1套水砂分离设备。</w:t>
      </w:r>
    </w:p>
    <w:p w14:paraId="2C33982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（11）采砂机具管理</w:t>
      </w:r>
    </w:p>
    <w:p w14:paraId="126FF51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船舶实行编号管理，开采过程中船身喷涂醒目识别编号。采砂 船舶明确集中停靠点，采砂船舶严禁在禁采区停靠，建立采砂船集中停靠档案。在可采期，作业采砂船非工作时段，靠岸停靠；故障船、临时设备等存放至采砂临时设备存放处。禁采期采砂船只等机 具按照采砂办指定位置存放。</w:t>
      </w:r>
    </w:p>
    <w:p w14:paraId="3159BF6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对作业过程中所需的挖掘机、吊车、装载机等非道路移动机械须到相应管理部门进行编码登记，经登记后方可进行作业。</w:t>
      </w:r>
    </w:p>
    <w:p w14:paraId="3BC3C93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（12）其他要求</w:t>
      </w:r>
    </w:p>
    <w:p w14:paraId="32DC8EC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砂质量必须满足三类以上建筑用砂的</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14:textFill>
            <w14:solidFill>
              <w14:schemeClr w14:val="tx1"/>
            </w14:solidFill>
          </w14:textFill>
        </w:rPr>
        <w:instrText xml:space="preserve"> HYPERLINK "https://baike.so.com/doc/990236-1046831.html" \t "https://baike.so.com/doc/_blank" </w:instrTex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14:textFill>
            <w14:solidFill>
              <w14:schemeClr w14:val="tx1"/>
            </w14:solidFill>
          </w14:textFill>
        </w:rPr>
        <w:t>颗粒级配</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、质量和技术要求，按国家标准《GB_T 14684-2022 建筑用砂》执行。</w:t>
      </w:r>
    </w:p>
    <w:p w14:paraId="2580776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进场后，人员必须备案，必须人证合一，如有特殊情况需要更换人员，需在城投集团变更登记。砂场内现有设备因故损坏照价赔偿，作业期间发生安全责任事故的，限时作出整改，逾期未整改完善的，则进行清场处理，同时配备安全员。</w:t>
      </w:r>
    </w:p>
    <w:p w14:paraId="3E5A18A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需提供船只的正规手续，必须为场内从业人员购买保险，场内采砂人员、安全人员需有相应的资格证书，并与服务作业单位有雇佣或劳动关系。投标人所使用机械、器具原则上必须在服务作业单位名下，如租赁其他单位的，需提供相关租赁合同，合同上需详细明确安全生产相关责任。采砂设备由服务作业单位负责维护维修，确保正常使用。</w:t>
      </w:r>
    </w:p>
    <w:p w14:paraId="320B04B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采砂服务作业单位必须服从监督管理。严格执行黄委会与所有涉及部门的各项要求，因服务作业单位违反规定，受到水利部门、黄委会等处罚的，解除合同，终止合作，责令清场，退出采砂区。</w:t>
      </w:r>
    </w:p>
    <w:p w14:paraId="37FD415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城投公司设置站口，统一管理、统一过磅、统一收费。采砂服务作业单位必须服从管理。</w:t>
      </w:r>
    </w:p>
    <w:p w14:paraId="29CB9ED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严格执行有关河道采砂的法律法规及文件要求，严格服从城投公司及水行政等相关管理部门的监督管理。各服务作业单位必须履行安全生产主体责任，严格按照《中华人民共和国安全生产法》和省市安全生产文件要求，精心组织、周密安排、规范生产流程，做好采砂工作。造成安全事故依法承担责任。</w:t>
      </w:r>
    </w:p>
    <w:p w14:paraId="00369A8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服务费以服务作业单位投标报价为准。服务费由各服务作业单位开具服务发票，城投公司凭票支付。服务作业单位按照税收规定纳税。</w:t>
      </w:r>
    </w:p>
    <w:p w14:paraId="18D831B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服务作业单位必须按照采砂作业计划按时完成产值，采砂完成量如下：</w:t>
      </w:r>
    </w:p>
    <w:p w14:paraId="255C5155">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各采砂区2026年4月1日至2026年12月14日采砂完成量</w:t>
      </w:r>
    </w:p>
    <w:p w14:paraId="6A51B351">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进度表</w:t>
      </w:r>
    </w:p>
    <w:tbl>
      <w:tblPr>
        <w:tblStyle w:val="17"/>
        <w:tblW w:w="5193"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438"/>
        <w:gridCol w:w="641"/>
        <w:gridCol w:w="299"/>
        <w:gridCol w:w="470"/>
        <w:gridCol w:w="470"/>
        <w:gridCol w:w="470"/>
        <w:gridCol w:w="470"/>
        <w:gridCol w:w="470"/>
        <w:gridCol w:w="470"/>
        <w:gridCol w:w="470"/>
        <w:gridCol w:w="470"/>
        <w:gridCol w:w="470"/>
        <w:gridCol w:w="470"/>
        <w:gridCol w:w="490"/>
        <w:gridCol w:w="491"/>
        <w:gridCol w:w="491"/>
        <w:gridCol w:w="491"/>
        <w:gridCol w:w="491"/>
        <w:gridCol w:w="696"/>
      </w:tblGrid>
      <w:tr w14:paraId="0839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16" w:type="pct"/>
            <w:tcBorders>
              <w:top w:val="single" w:color="000000" w:sz="4" w:space="0"/>
              <w:left w:val="single" w:color="000000" w:sz="4" w:space="0"/>
              <w:bottom w:val="single" w:color="000000" w:sz="4" w:space="0"/>
              <w:right w:val="single" w:color="000000" w:sz="4" w:space="0"/>
            </w:tcBorders>
            <w:noWrap/>
            <w:vAlign w:val="center"/>
          </w:tcPr>
          <w:p w14:paraId="335C5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序号</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A1ED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采砂区名称</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37AE3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批复量含水分（万吨）</w:t>
            </w:r>
          </w:p>
        </w:tc>
        <w:tc>
          <w:tcPr>
            <w:tcW w:w="155" w:type="pct"/>
            <w:tcBorders>
              <w:top w:val="single" w:color="000000" w:sz="4" w:space="0"/>
              <w:left w:val="single" w:color="000000" w:sz="4" w:space="0"/>
              <w:bottom w:val="single" w:color="000000" w:sz="4" w:space="0"/>
              <w:right w:val="single" w:color="000000" w:sz="4" w:space="0"/>
            </w:tcBorders>
            <w:noWrap w:val="0"/>
            <w:vAlign w:val="center"/>
          </w:tcPr>
          <w:p w14:paraId="05F5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工期</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F4D2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4.1-4.9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453B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4.10-4.19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7AC5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4.20-4.30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6FCB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5.1-5.9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B554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5.10-5.19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0990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5.20-5.31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A078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6.1-6.9</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B821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6.10-6.19</w:t>
            </w:r>
          </w:p>
        </w:tc>
        <w:tc>
          <w:tcPr>
            <w:tcW w:w="243" w:type="pct"/>
            <w:tcBorders>
              <w:top w:val="single" w:color="000000" w:sz="4" w:space="0"/>
              <w:left w:val="single" w:color="000000" w:sz="4" w:space="0"/>
              <w:right w:val="single" w:color="000000" w:sz="4" w:space="0"/>
            </w:tcBorders>
            <w:noWrap/>
            <w:vAlign w:val="center"/>
          </w:tcPr>
          <w:p w14:paraId="2429D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6.20-6.30</w:t>
            </w:r>
          </w:p>
        </w:tc>
        <w:tc>
          <w:tcPr>
            <w:tcW w:w="243" w:type="pct"/>
            <w:tcBorders>
              <w:top w:val="single" w:color="000000" w:sz="4" w:space="0"/>
              <w:left w:val="single" w:color="000000" w:sz="4" w:space="0"/>
              <w:right w:val="single" w:color="000000" w:sz="4" w:space="0"/>
            </w:tcBorders>
            <w:noWrap/>
            <w:vAlign w:val="center"/>
          </w:tcPr>
          <w:p w14:paraId="4B829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10.1-10.9</w:t>
            </w:r>
          </w:p>
        </w:tc>
        <w:tc>
          <w:tcPr>
            <w:tcW w:w="254" w:type="pct"/>
            <w:tcBorders>
              <w:top w:val="single" w:color="000000" w:sz="4" w:space="0"/>
              <w:left w:val="single" w:color="000000" w:sz="4" w:space="0"/>
              <w:right w:val="single" w:color="000000" w:sz="4" w:space="0"/>
            </w:tcBorders>
            <w:noWrap/>
            <w:vAlign w:val="center"/>
          </w:tcPr>
          <w:p w14:paraId="06A3A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10.10-10.19</w:t>
            </w:r>
          </w:p>
        </w:tc>
        <w:tc>
          <w:tcPr>
            <w:tcW w:w="254" w:type="pct"/>
            <w:tcBorders>
              <w:top w:val="single" w:color="000000" w:sz="4" w:space="0"/>
              <w:left w:val="single" w:color="000000" w:sz="4" w:space="0"/>
              <w:right w:val="single" w:color="000000" w:sz="4" w:space="0"/>
            </w:tcBorders>
            <w:noWrap/>
            <w:vAlign w:val="center"/>
          </w:tcPr>
          <w:p w14:paraId="02E12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10.20-10.31</w:t>
            </w:r>
          </w:p>
        </w:tc>
        <w:tc>
          <w:tcPr>
            <w:tcW w:w="254" w:type="pct"/>
            <w:tcBorders>
              <w:top w:val="single" w:color="000000" w:sz="4" w:space="0"/>
              <w:left w:val="single" w:color="000000" w:sz="4" w:space="0"/>
              <w:right w:val="single" w:color="000000" w:sz="4" w:space="0"/>
            </w:tcBorders>
            <w:noWrap/>
            <w:vAlign w:val="center"/>
          </w:tcPr>
          <w:p w14:paraId="60DF4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11.1-11.15</w:t>
            </w:r>
          </w:p>
        </w:tc>
        <w:tc>
          <w:tcPr>
            <w:tcW w:w="254" w:type="pct"/>
            <w:tcBorders>
              <w:top w:val="single" w:color="000000" w:sz="4" w:space="0"/>
              <w:left w:val="single" w:color="000000" w:sz="4" w:space="0"/>
              <w:right w:val="single" w:color="000000" w:sz="4" w:space="0"/>
            </w:tcBorders>
            <w:noWrap/>
            <w:vAlign w:val="center"/>
          </w:tcPr>
          <w:p w14:paraId="74ECB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11.16-11.29</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77C92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11.30-12.14</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E49E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合计完成量</w:t>
            </w:r>
          </w:p>
        </w:tc>
      </w:tr>
      <w:tr w14:paraId="225C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16" w:type="pct"/>
            <w:tcBorders>
              <w:top w:val="single" w:color="000000" w:sz="4" w:space="0"/>
              <w:left w:val="single" w:color="000000" w:sz="4" w:space="0"/>
              <w:bottom w:val="single" w:color="000000" w:sz="4" w:space="0"/>
              <w:right w:val="single" w:color="000000" w:sz="4" w:space="0"/>
            </w:tcBorders>
            <w:noWrap w:val="0"/>
            <w:vAlign w:val="center"/>
          </w:tcPr>
          <w:p w14:paraId="37D99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w:t>
            </w:r>
          </w:p>
        </w:tc>
        <w:tc>
          <w:tcPr>
            <w:tcW w:w="227" w:type="pct"/>
            <w:tcBorders>
              <w:top w:val="single" w:color="000000" w:sz="4" w:space="0"/>
              <w:left w:val="single" w:color="000000" w:sz="4" w:space="0"/>
              <w:bottom w:val="single" w:color="000000" w:sz="4" w:space="0"/>
              <w:right w:val="single" w:color="000000" w:sz="4" w:space="0"/>
            </w:tcBorders>
            <w:noWrap w:val="0"/>
            <w:vAlign w:val="center"/>
          </w:tcPr>
          <w:p w14:paraId="390E3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下山畔采砂区</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836D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12.5</w:t>
            </w:r>
          </w:p>
        </w:tc>
        <w:tc>
          <w:tcPr>
            <w:tcW w:w="155" w:type="pct"/>
            <w:tcBorders>
              <w:top w:val="single" w:color="000000" w:sz="4" w:space="0"/>
              <w:left w:val="single" w:color="000000" w:sz="4" w:space="0"/>
              <w:bottom w:val="single" w:color="000000" w:sz="4" w:space="0"/>
              <w:right w:val="single" w:color="auto" w:sz="4" w:space="0"/>
            </w:tcBorders>
            <w:noWrap/>
            <w:vAlign w:val="center"/>
          </w:tcPr>
          <w:p w14:paraId="4051C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165</w:t>
            </w:r>
          </w:p>
        </w:tc>
        <w:tc>
          <w:tcPr>
            <w:tcW w:w="243" w:type="pct"/>
            <w:tcBorders>
              <w:top w:val="single" w:color="auto" w:sz="4" w:space="0"/>
              <w:left w:val="single" w:color="auto" w:sz="4" w:space="0"/>
              <w:bottom w:val="single" w:color="auto" w:sz="4" w:space="0"/>
              <w:right w:val="single" w:color="auto" w:sz="4" w:space="0"/>
            </w:tcBorders>
            <w:noWrap/>
            <w:vAlign w:val="center"/>
          </w:tcPr>
          <w:p w14:paraId="71BD46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auto" w:sz="4" w:space="0"/>
              <w:bottom w:val="single" w:color="000000" w:sz="4" w:space="0"/>
              <w:right w:val="single" w:color="000000" w:sz="4" w:space="0"/>
            </w:tcBorders>
            <w:noWrap/>
            <w:vAlign w:val="center"/>
          </w:tcPr>
          <w:p w14:paraId="3911CE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23EEA7E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0FAE4C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DCA183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0AF31AB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29B216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7DC686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6B8C908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2F2E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2CD5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CE71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15FA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A4F8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1F54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3777C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12.5万吨</w:t>
            </w:r>
          </w:p>
        </w:tc>
      </w:tr>
    </w:tbl>
    <w:p w14:paraId="23D35FD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其他未尽事宜严格按照《陕西省榆林市吴堡县黄河河道2026年度采砂实施方案》及政府部门相关规定。</w:t>
      </w:r>
    </w:p>
    <w:p w14:paraId="0430F95C">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合同包2：</w:t>
      </w:r>
      <w:r>
        <w:rPr>
          <w:rFonts w:hint="eastAsia" w:ascii="宋体" w:hAnsi="宋体" w:eastAsia="宋体" w:cs="宋体"/>
          <w:color w:val="000000" w:themeColor="text1"/>
          <w:sz w:val="28"/>
          <w:szCs w:val="28"/>
          <w:lang w:eastAsia="zh-CN"/>
          <w14:textFill>
            <w14:solidFill>
              <w14:schemeClr w14:val="tx1"/>
            </w14:solidFill>
          </w14:textFill>
        </w:rPr>
        <w:t>吴堡县城市投资经营集团有限公司</w:t>
      </w:r>
      <w:r>
        <w:rPr>
          <w:rFonts w:hint="eastAsia" w:ascii="宋体" w:hAnsi="宋体" w:eastAsia="宋体" w:cs="宋体"/>
          <w:color w:val="000000" w:themeColor="text1"/>
          <w:sz w:val="28"/>
          <w:szCs w:val="28"/>
          <w:lang w:val="en-US" w:eastAsia="zh-CN"/>
          <w14:textFill>
            <w14:solidFill>
              <w14:schemeClr w14:val="tx1"/>
            </w14:solidFill>
          </w14:textFill>
        </w:rPr>
        <w:t>槐树港上段采砂区项目参数及要求</w:t>
      </w:r>
    </w:p>
    <w:p w14:paraId="34EC4C5F">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包2：吴堡县城市投资经营集团有限公司槐树港上段采砂区，计划采砂31.25万吨。</w:t>
      </w:r>
    </w:p>
    <w:p w14:paraId="0BCC3A71">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由服务作业单位负责采砂作业，采砂作业包括各标段范围内采砂、采砂设备（含采砂船、水砂分离器等）及采砂人员配备（人证合一）、采砂所需能耗（水、电、油等）、运砂道路维护、堆砂场地平整、采砂设备维护等，并承担与此相关的所有费用。</w:t>
      </w:r>
    </w:p>
    <w:p w14:paraId="157AF5E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（1）开采期和采砂作业时间</w:t>
      </w:r>
    </w:p>
    <w:p w14:paraId="707B3CD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可采期为2026 年4月1日至6月30日， 2026 年10月1日至12月14日。为保证采砂作业的安全，规定在白天进行采砂活动，夜间（22:00～次日 6:00）采砂活动应全面停止。</w:t>
      </w:r>
    </w:p>
    <w:p w14:paraId="075C3EFB">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每年可采期由吴堡县采砂公司组织采砂作业区采砂作业，禁采期到来前，按时按规定将河道内的所有采砂设备及场内设施、活动房撤离出河道管理范围。修复采砂作业场地，将河道恢复至开采前状态。</w:t>
      </w:r>
    </w:p>
    <w:p w14:paraId="6A64370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（2）堆砂场数量及布局</w:t>
      </w:r>
    </w:p>
    <w:p w14:paraId="4354176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在下山畔采砂作业区、槐树港上段采砂作业区、槐树港下段采砂作业区、冉湾采砂作业区布置临时堆砂点，共 11 处，其中 6 处临时堆砂点配备水砂分离器，其余5处采用传统堆砂脱水方式。传统堆砂的临时堆砂点总方量不大于 3000m³，底面积不大于600㎡，高度不得超过5m；配备水砂分离器的临时堆砂点砂堆底面积不大于 600㎡，高度不得超过2m。</w:t>
      </w:r>
    </w:p>
    <w:p w14:paraId="3FB10BF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临时堆砂点位于河岸滩地，砂石资源满车时及时运至河道管理范围外，及时平整河道。</w:t>
      </w:r>
    </w:p>
    <w:p w14:paraId="4774FF6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采砂公司在采砂作业区内设置临时堆砂区、装卸运输作业区、转运道路，车辆采砂设备仅在采砂装卸、运输作业区活动作业。</w:t>
      </w:r>
    </w:p>
    <w:p w14:paraId="67384AB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进入禁采期前，河道管理范围内临时堆砂点均无砂堆，平整场地，并通过河道管理部门检查。禁采期采砂机具应按照县采砂办指定位置存放。</w:t>
      </w:r>
    </w:p>
    <w:p w14:paraId="04A8362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（3）进出场道路</w:t>
      </w:r>
    </w:p>
    <w:p w14:paraId="586C16C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采砂作业区转运道路两侧设置边界标识，采砂作业区运输道路应按照规划路线运输，设置相应路标。采砂作业区进、出场道路和采砂作业区转运道路均由采砂公司维护、管理、采砂期间不得有扬尘。</w:t>
      </w:r>
    </w:p>
    <w:p w14:paraId="631650C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禁采期河道内采砂道路封闭。</w:t>
      </w:r>
    </w:p>
    <w:p w14:paraId="4D22EA1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（4）车辆管理</w:t>
      </w:r>
    </w:p>
    <w:p w14:paraId="27CD778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临时堆砂点到储砂场或场外段砂料转运采用车牌号登记报备的车辆运输，以便进出场识别。杜绝超载、滴漏，雨雪天气禁止通行。 所有运输车辆在经过村镇、城区、居民区等地要减速慢行、禁鸣喇叭，对沿途道路造成损坏的，要及时维护、保养，确保不影响生产、生活道路通行。转运车辆需满足县交通局管理要求。</w:t>
      </w:r>
    </w:p>
    <w:p w14:paraId="5EA3DAD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（5）采砂临时设备存放处</w:t>
      </w:r>
    </w:p>
    <w:p w14:paraId="749F171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为规范砂场采砂作业管理，充分考虑吴堡县砂石采运作业实际需求。可采期在各采砂作业区滩地设置采砂临时设备存放处。采砂临时设备存放处主要存放临时采砂设备（如抽砂管道）、故障船只、闲置船只、铲车等采砂机具。采砂临时设备确保可随时 撤离，禁采期采砂临时设备存放处所有设备均撤出河道管理范围。</w:t>
      </w:r>
    </w:p>
    <w:p w14:paraId="09C4850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（6）安全生产</w:t>
      </w:r>
    </w:p>
    <w:p w14:paraId="0DC60F4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有安全负责人、专职安全员：每个采砂作业区要有安全负责人及专职安全员，负责本公司安全生产工作；2）有安全设备设施：采砂船上配备救生衣、救生圈、竹竿及灭火器等；加工点内要有消防砂、消防池和工器具；3）有安全规章制度：采砂企业要制定安全规章制度，并将制度上墙；4）各采砂作业区需按规定设置安全警示 标志，安全警示标志主要设置位置为采砂作业区所占水边线、砂场 周边和进出口醒目位置等；靠近城区、交通便利的采砂作业区以及 危险性较高的区域，应加密安全警示标志设置。</w:t>
      </w:r>
    </w:p>
    <w:p w14:paraId="5697186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（7）砂场监控</w:t>
      </w:r>
    </w:p>
    <w:p w14:paraId="36A18CB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每个采砂作业区临时堆砂点、砂场运输道路口安装摄像头。采砂作业区设置电子围栏。实行进出场计量监控、登记制度。</w:t>
      </w:r>
    </w:p>
    <w:p w14:paraId="4DF8A54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（8）现场清理及恢复河道</w:t>
      </w:r>
    </w:p>
    <w:p w14:paraId="71044FA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1）在每个采砂作业区设置一个垃圾箱，将生活垃圾每天清理至 垃圾箱，并定期将垃圾运输至垃圾处理厂进行处理，防止污染环境。</w:t>
      </w:r>
    </w:p>
    <w:p w14:paraId="23F952F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2）在可采期结束前，应及时撤离采砂机具设备、临时建筑等设施，复平采坑，恢复河床原貌。</w:t>
      </w:r>
    </w:p>
    <w:p w14:paraId="6F2233B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（9）禁采期管理</w:t>
      </w:r>
    </w:p>
    <w:p w14:paraId="2071C08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采砂公司应在禁采期间切实加强日常管理监督，采取 24小时值班制度，科学制定值班流程，合理安排人员，明确值班职责，保证值班工作有序、有效开展。在值班过程中如发现问题或突发事件，应及时上报公司负责人，并根据现场情况采取适当应急措施，确保 采砂区顺利、安全度过禁采期。</w:t>
      </w:r>
    </w:p>
    <w:p w14:paraId="0583DC7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（10）采砂方式及机具控制 </w:t>
      </w:r>
    </w:p>
    <w:p w14:paraId="3D15E0F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采砂方式为水采。本年度吴堡县黄河段采砂作业区采砂船总数量控制为11条，采砂作业区采砂船的功率控制在300kW之内，采砂船舶最大自重吨位不得超过30t，采砂泵尺寸不超过6英寸。</w:t>
      </w:r>
    </w:p>
    <w:p w14:paraId="08F7126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其中槐树港上段采砂区设置 4 条采砂船，对应 4 处临时堆砂点。每条船配备3人，每处临时堆砂点配备1人，装载车司机配备根据装载车数量配备。</w:t>
      </w:r>
    </w:p>
    <w:p w14:paraId="6545836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槐树港上段采砂区配备1套水砂分离设备。</w:t>
      </w:r>
    </w:p>
    <w:p w14:paraId="0F65D27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（11）采砂机具管理</w:t>
      </w:r>
    </w:p>
    <w:p w14:paraId="561CF94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船舶实行编号管理，开采过程中船身喷涂醒目识别编号。采砂 船舶明确集中停靠点，采砂船舶严禁在禁采区停靠，建立采砂船集中停靠档案。在可采期，作业采砂船非工作时段，靠岸停靠；故障船、临时设备等存放至采砂临时设备存放处。禁采期采砂船只等机 具按照采砂办指定位置存放。</w:t>
      </w:r>
    </w:p>
    <w:p w14:paraId="2E64379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对作业过程中所需的挖掘机、吊车、装载机等非道路移动机械须到相应管理部门进行编码登记，经登记后方可进行作业。</w:t>
      </w:r>
    </w:p>
    <w:p w14:paraId="65C527E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（12）其他要求</w:t>
      </w:r>
    </w:p>
    <w:p w14:paraId="14D78B8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砂质量必须满足三类以上建筑用砂的</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14:textFill>
            <w14:solidFill>
              <w14:schemeClr w14:val="tx1"/>
            </w14:solidFill>
          </w14:textFill>
        </w:rPr>
        <w:instrText xml:space="preserve"> HYPERLINK "https://baike.so.com/doc/990236-1046831.html" \t "https://baike.so.com/doc/_blank" </w:instrTex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14:textFill>
            <w14:solidFill>
              <w14:schemeClr w14:val="tx1"/>
            </w14:solidFill>
          </w14:textFill>
        </w:rPr>
        <w:t>颗粒级配</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、质量和技术要求，按国家标准《GB_T 14684-2022 建筑用砂》执行。</w:t>
      </w:r>
    </w:p>
    <w:p w14:paraId="160ABC3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进场后，人员必须备案，必须人证合一，如有特殊情况需要更换人员，需在城投集团变更登记。砂场内现有设备因故损坏照价赔偿，作业期间发生安全责任事故的，限时作出整改，逾期未整改完善的，则进行清场处理，同时配备安全员。</w:t>
      </w:r>
    </w:p>
    <w:p w14:paraId="227033C2">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需提供船只的正规手续，必须为场内从业人员购买保险，场内采砂人员、安全人员需有相应的资格证书，并与服务作业单位有雇佣或劳动关系。投标人所使用机械、器具原则上必须在服务作业单位名下，如租赁其他单位的，需提供相关租赁合同，合同上需详细明确安全生产相关责任。采砂设备由服务作业单位负责维护维修，确保正常使用。</w:t>
      </w:r>
    </w:p>
    <w:p w14:paraId="4539124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采砂服务作业单位必须服从监督管理。严格执行黄委会与所有涉及部门的各项要求，因服务作业单位违反规定，受到水利部门、黄委会等处罚的，解除合同，终止合作，责令清场，退出采砂区。</w:t>
      </w:r>
    </w:p>
    <w:p w14:paraId="3CCF115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城投公司设置站口，统一管理、统一过磅、统一收费。采砂服务作业单位必须服从管理。</w:t>
      </w:r>
    </w:p>
    <w:p w14:paraId="4DECDB3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严格执行有关河道采砂的法律法规及文件要求，严格服从城投公司及水行政等相关管理部门的监督管理。各服务作业单位必须履行安全生产主体责任，严格按照《中华人民共和国安全生产法》和省市安全生产文件要求，精心组织、周密安排、规范生产流程，做好采砂工作。造成安全事故依法承担责任。</w:t>
      </w:r>
    </w:p>
    <w:p w14:paraId="2149BD2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服务费以服务作业单位投标报价为准。服务费由各服务作业单位开具服务发票，城投公司凭票支付。服务作业单位按照税收规定纳税。</w:t>
      </w:r>
    </w:p>
    <w:p w14:paraId="7B7866F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服务作业单位必须按照采砂作业计划按时完成产值，采砂完成量如下：</w:t>
      </w:r>
    </w:p>
    <w:p w14:paraId="1D81BB7D">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各采砂区2026年4月1日至2026年12月14日采砂完成量</w:t>
      </w:r>
    </w:p>
    <w:p w14:paraId="42CE678F">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进度表</w:t>
      </w:r>
    </w:p>
    <w:tbl>
      <w:tblPr>
        <w:tblStyle w:val="17"/>
        <w:tblW w:w="5193"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438"/>
        <w:gridCol w:w="641"/>
        <w:gridCol w:w="299"/>
        <w:gridCol w:w="470"/>
        <w:gridCol w:w="470"/>
        <w:gridCol w:w="470"/>
        <w:gridCol w:w="470"/>
        <w:gridCol w:w="470"/>
        <w:gridCol w:w="470"/>
        <w:gridCol w:w="470"/>
        <w:gridCol w:w="470"/>
        <w:gridCol w:w="470"/>
        <w:gridCol w:w="470"/>
        <w:gridCol w:w="490"/>
        <w:gridCol w:w="491"/>
        <w:gridCol w:w="491"/>
        <w:gridCol w:w="491"/>
        <w:gridCol w:w="491"/>
        <w:gridCol w:w="696"/>
      </w:tblGrid>
      <w:tr w14:paraId="3ACF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16" w:type="pct"/>
            <w:tcBorders>
              <w:top w:val="single" w:color="000000" w:sz="4" w:space="0"/>
              <w:left w:val="single" w:color="000000" w:sz="4" w:space="0"/>
              <w:bottom w:val="single" w:color="000000" w:sz="4" w:space="0"/>
              <w:right w:val="single" w:color="000000" w:sz="4" w:space="0"/>
            </w:tcBorders>
            <w:noWrap/>
            <w:vAlign w:val="center"/>
          </w:tcPr>
          <w:p w14:paraId="328ED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序号</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39F27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采砂区名称</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61FCB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批复量含水分（万吨）</w:t>
            </w:r>
          </w:p>
        </w:tc>
        <w:tc>
          <w:tcPr>
            <w:tcW w:w="155" w:type="pct"/>
            <w:tcBorders>
              <w:top w:val="single" w:color="000000" w:sz="4" w:space="0"/>
              <w:left w:val="single" w:color="000000" w:sz="4" w:space="0"/>
              <w:bottom w:val="single" w:color="000000" w:sz="4" w:space="0"/>
              <w:right w:val="single" w:color="000000" w:sz="4" w:space="0"/>
            </w:tcBorders>
            <w:noWrap w:val="0"/>
            <w:vAlign w:val="center"/>
          </w:tcPr>
          <w:p w14:paraId="7512F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工期</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7941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4.1-4.9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309E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4.10-4.19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4B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4.20-4.30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F088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5.1-5.9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DD3A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5.10-5.19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207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5.20-5.31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5FD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6.1-6.9</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06957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6.10-6.19</w:t>
            </w:r>
          </w:p>
        </w:tc>
        <w:tc>
          <w:tcPr>
            <w:tcW w:w="243" w:type="pct"/>
            <w:tcBorders>
              <w:top w:val="single" w:color="000000" w:sz="4" w:space="0"/>
              <w:left w:val="single" w:color="000000" w:sz="4" w:space="0"/>
              <w:right w:val="single" w:color="000000" w:sz="4" w:space="0"/>
            </w:tcBorders>
            <w:noWrap/>
            <w:vAlign w:val="center"/>
          </w:tcPr>
          <w:p w14:paraId="7F302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6.20-6.30</w:t>
            </w:r>
          </w:p>
        </w:tc>
        <w:tc>
          <w:tcPr>
            <w:tcW w:w="243" w:type="pct"/>
            <w:tcBorders>
              <w:top w:val="single" w:color="000000" w:sz="4" w:space="0"/>
              <w:left w:val="single" w:color="000000" w:sz="4" w:space="0"/>
              <w:right w:val="single" w:color="000000" w:sz="4" w:space="0"/>
            </w:tcBorders>
            <w:noWrap/>
            <w:vAlign w:val="center"/>
          </w:tcPr>
          <w:p w14:paraId="4E5F0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10.1-10.9</w:t>
            </w:r>
          </w:p>
        </w:tc>
        <w:tc>
          <w:tcPr>
            <w:tcW w:w="254" w:type="pct"/>
            <w:tcBorders>
              <w:top w:val="single" w:color="000000" w:sz="4" w:space="0"/>
              <w:left w:val="single" w:color="000000" w:sz="4" w:space="0"/>
              <w:right w:val="single" w:color="000000" w:sz="4" w:space="0"/>
            </w:tcBorders>
            <w:noWrap/>
            <w:vAlign w:val="center"/>
          </w:tcPr>
          <w:p w14:paraId="736FF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10.10-10.19</w:t>
            </w:r>
          </w:p>
        </w:tc>
        <w:tc>
          <w:tcPr>
            <w:tcW w:w="254" w:type="pct"/>
            <w:tcBorders>
              <w:top w:val="single" w:color="000000" w:sz="4" w:space="0"/>
              <w:left w:val="single" w:color="000000" w:sz="4" w:space="0"/>
              <w:right w:val="single" w:color="000000" w:sz="4" w:space="0"/>
            </w:tcBorders>
            <w:noWrap/>
            <w:vAlign w:val="center"/>
          </w:tcPr>
          <w:p w14:paraId="3340D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10.20-10.31</w:t>
            </w:r>
          </w:p>
        </w:tc>
        <w:tc>
          <w:tcPr>
            <w:tcW w:w="254" w:type="pct"/>
            <w:tcBorders>
              <w:top w:val="single" w:color="000000" w:sz="4" w:space="0"/>
              <w:left w:val="single" w:color="000000" w:sz="4" w:space="0"/>
              <w:right w:val="single" w:color="000000" w:sz="4" w:space="0"/>
            </w:tcBorders>
            <w:noWrap/>
            <w:vAlign w:val="center"/>
          </w:tcPr>
          <w:p w14:paraId="17965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11.1-11.15</w:t>
            </w:r>
          </w:p>
        </w:tc>
        <w:tc>
          <w:tcPr>
            <w:tcW w:w="254" w:type="pct"/>
            <w:tcBorders>
              <w:top w:val="single" w:color="000000" w:sz="4" w:space="0"/>
              <w:left w:val="single" w:color="000000" w:sz="4" w:space="0"/>
              <w:right w:val="single" w:color="000000" w:sz="4" w:space="0"/>
            </w:tcBorders>
            <w:noWrap/>
            <w:vAlign w:val="center"/>
          </w:tcPr>
          <w:p w14:paraId="5147B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11.16-11.29</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C9E1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11.30-12.14</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1CC0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合计完成量</w:t>
            </w:r>
          </w:p>
        </w:tc>
      </w:tr>
      <w:tr w14:paraId="3428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216" w:type="pct"/>
            <w:tcBorders>
              <w:top w:val="single" w:color="000000" w:sz="4" w:space="0"/>
              <w:left w:val="single" w:color="000000" w:sz="4" w:space="0"/>
              <w:bottom w:val="single" w:color="000000" w:sz="4" w:space="0"/>
              <w:right w:val="single" w:color="000000" w:sz="4" w:space="0"/>
            </w:tcBorders>
            <w:noWrap w:val="0"/>
            <w:vAlign w:val="center"/>
          </w:tcPr>
          <w:p w14:paraId="22929A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sz w:val="20"/>
                <w:szCs w:val="20"/>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w:t>
            </w:r>
          </w:p>
        </w:tc>
        <w:tc>
          <w:tcPr>
            <w:tcW w:w="227" w:type="pct"/>
            <w:tcBorders>
              <w:top w:val="single" w:color="000000" w:sz="4" w:space="0"/>
              <w:left w:val="single" w:color="000000" w:sz="4" w:space="0"/>
              <w:bottom w:val="single" w:color="000000" w:sz="4" w:space="0"/>
              <w:right w:val="single" w:color="000000" w:sz="4" w:space="0"/>
            </w:tcBorders>
            <w:noWrap w:val="0"/>
            <w:vAlign w:val="center"/>
          </w:tcPr>
          <w:p w14:paraId="2678B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槐树港上段采砂区</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4B153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31.25</w:t>
            </w:r>
          </w:p>
        </w:tc>
        <w:tc>
          <w:tcPr>
            <w:tcW w:w="155" w:type="pct"/>
            <w:tcBorders>
              <w:top w:val="single" w:color="000000" w:sz="4" w:space="0"/>
              <w:left w:val="single" w:color="000000" w:sz="4" w:space="0"/>
              <w:bottom w:val="single" w:color="000000" w:sz="4" w:space="0"/>
              <w:right w:val="single" w:color="auto" w:sz="4" w:space="0"/>
            </w:tcBorders>
            <w:noWrap/>
            <w:vAlign w:val="center"/>
          </w:tcPr>
          <w:p w14:paraId="398A4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165</w:t>
            </w:r>
          </w:p>
        </w:tc>
        <w:tc>
          <w:tcPr>
            <w:tcW w:w="243" w:type="pct"/>
            <w:tcBorders>
              <w:top w:val="single" w:color="auto" w:sz="4" w:space="0"/>
              <w:left w:val="single" w:color="auto" w:sz="4" w:space="0"/>
              <w:bottom w:val="single" w:color="auto" w:sz="4" w:space="0"/>
              <w:right w:val="single" w:color="auto" w:sz="4" w:space="0"/>
            </w:tcBorders>
            <w:noWrap/>
            <w:vAlign w:val="center"/>
          </w:tcPr>
          <w:p w14:paraId="0980A92F">
            <w:pPr>
              <w:jc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auto" w:sz="4" w:space="0"/>
              <w:bottom w:val="single" w:color="000000" w:sz="4" w:space="0"/>
              <w:right w:val="single" w:color="000000" w:sz="4" w:space="0"/>
            </w:tcBorders>
            <w:noWrap/>
            <w:vAlign w:val="center"/>
          </w:tcPr>
          <w:p w14:paraId="306C2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0FA87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DE65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D671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3647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0DE6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65A85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64E1D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CA6B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9170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5B8C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9756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0673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1DFE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4DAD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31.25万吨</w:t>
            </w:r>
          </w:p>
        </w:tc>
      </w:tr>
    </w:tbl>
    <w:p w14:paraId="57CA27F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其他未尽事宜严格按照《陕西省榆林市吴堡县黄河河道2026年度采砂实施方案》及政府部门相关规定。</w:t>
      </w:r>
    </w:p>
    <w:p w14:paraId="45D3F4DF">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合同包3：</w:t>
      </w:r>
      <w:r>
        <w:rPr>
          <w:rFonts w:hint="eastAsia" w:ascii="宋体" w:hAnsi="宋体" w:eastAsia="宋体" w:cs="宋体"/>
          <w:color w:val="000000" w:themeColor="text1"/>
          <w:sz w:val="28"/>
          <w:szCs w:val="28"/>
          <w:lang w:eastAsia="zh-CN"/>
          <w14:textFill>
            <w14:solidFill>
              <w14:schemeClr w14:val="tx1"/>
            </w14:solidFill>
          </w14:textFill>
        </w:rPr>
        <w:t>吴堡县城市投资经营集团有限公司</w:t>
      </w:r>
      <w:r>
        <w:rPr>
          <w:rFonts w:hint="eastAsia" w:ascii="宋体" w:hAnsi="宋体" w:eastAsia="宋体" w:cs="宋体"/>
          <w:color w:val="000000" w:themeColor="text1"/>
          <w:sz w:val="28"/>
          <w:szCs w:val="28"/>
          <w:lang w:val="en-US" w:eastAsia="zh-CN"/>
          <w14:textFill>
            <w14:solidFill>
              <w14:schemeClr w14:val="tx1"/>
            </w14:solidFill>
          </w14:textFill>
        </w:rPr>
        <w:t>槐树港下段采砂区项目参数及要求</w:t>
      </w:r>
    </w:p>
    <w:p w14:paraId="0F7FDC7A">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包3：吴堡县城市投资经营集团有限公司槐树港下段采砂区，计划采砂12.5万吨。</w:t>
      </w:r>
    </w:p>
    <w:p w14:paraId="53D7CA68">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由服务作业单位负责采砂作业，采砂作业包括各标段范围内采砂、采砂设备（含采砂船、水砂分离器等）及采砂人员配备（人证合一）、采砂所需能耗（水、电、油等）、运砂道路维护、堆砂场地平整、采砂设备维护等，并承担与此相关的所有费用。</w:t>
      </w:r>
    </w:p>
    <w:p w14:paraId="50E7A26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（1）开采期和采砂作业时间</w:t>
      </w:r>
    </w:p>
    <w:p w14:paraId="73F99E2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可采期为2026 年4月1日至6月30日， 2026 年10月1日至12月14日。为保证采砂作业的安全，规定在白天进行采砂活动，夜间（22:00～次日 6:00）采砂活动应全面停止。</w:t>
      </w:r>
    </w:p>
    <w:p w14:paraId="37CE069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每年可采期由吴堡县采砂公司组织采砂作业区采砂作业，禁采期到来前，按时按规定将河道内的所有采砂设备及场内设施、活动房撤离出河道管理范围。修复采砂作业场地，将河道恢复至开采前状态。</w:t>
      </w:r>
    </w:p>
    <w:p w14:paraId="49630E5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（2）堆砂场数量及布局</w:t>
      </w:r>
    </w:p>
    <w:p w14:paraId="07228E6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在下山畔采砂作业区、槐树港上段采砂作业区、槐树港下段采砂作业区、冉湾采砂作业区布置临时堆砂点，共 11 处，其中 6 处临时堆砂点配备水砂分离器，其余5处采用传统堆砂脱水方式。传统堆砂的临时堆砂点总方量不大于 3000m³，底面积不大于600㎡，高度不得超过5m；配备水砂分离器的临时堆砂点砂堆底面积不大于 600㎡，高度不得超过2m。</w:t>
      </w:r>
    </w:p>
    <w:p w14:paraId="0304BA3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临时堆砂点位于河岸滩地，砂石资源满车时及时运至河道管理范围外，及时平整河道。</w:t>
      </w:r>
    </w:p>
    <w:p w14:paraId="0F0BBFA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采砂公司在采砂作业区内设置临时堆砂区、装卸运输作业区、转运道路，车辆采砂设备仅在采砂装卸、运输作业区活动作业。</w:t>
      </w:r>
    </w:p>
    <w:p w14:paraId="68FB852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进入禁采期前，河道管理范围内临时堆砂点均无砂堆，平整场地，并通过河道管理部门检查。禁采期采砂机具应按照县采砂办指定位置存放。</w:t>
      </w:r>
    </w:p>
    <w:p w14:paraId="639C599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（3）进出场道路</w:t>
      </w:r>
    </w:p>
    <w:p w14:paraId="07EC3FE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采砂作业区转运道路两侧设置边界标识，采砂作业区运输道路应按照规划路线运输，设置相应路标。采砂作业区进、出场道路和采砂作业区转运道路均由采砂公司维护、管理、采砂期间不得有扬尘。</w:t>
      </w:r>
    </w:p>
    <w:p w14:paraId="25BA276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禁采期河道内采砂道路封闭。</w:t>
      </w:r>
    </w:p>
    <w:p w14:paraId="65A6B6C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（4）车辆管理</w:t>
      </w:r>
    </w:p>
    <w:p w14:paraId="5BDB882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临时堆砂点到储砂场或场外段砂料转运采用车牌号登记报备的车辆运输，以便进出场识别。杜绝超载、滴漏，雨雪天气禁止通行。 所有运输车辆在经过村镇、城区、居民区等地要减速慢行、禁鸣喇叭，对沿途道路造成损坏的，要及时维护、保养，确保不影响生产、生活道路通行。转运车辆需满足县交通局管理要求。</w:t>
      </w:r>
    </w:p>
    <w:p w14:paraId="58D312B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（5）采砂临时设备存放处</w:t>
      </w:r>
    </w:p>
    <w:p w14:paraId="48FC8CF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为规范砂场采砂作业管理，充分考虑吴堡县砂石采运作业实际需求。可采期在各采砂作业区滩地设置采砂临时设备存放处。采砂临时设备存放处主要存放临时采砂设备（如抽砂管道）、故障船只、闲置船只、铲车等采砂机具。采砂临时设备确保可随时 撤离，禁采期采砂临时设备存放处所有设备均撤出河道管理范围。</w:t>
      </w:r>
    </w:p>
    <w:p w14:paraId="5A96C0A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（6）安全生产</w:t>
      </w:r>
    </w:p>
    <w:p w14:paraId="4CF928D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有安全负责人、专职安全员：每个采砂作业区要有安全负责人及专职安全员，负责本公司安全生产工作；2）有安全设备设施：采砂船上配备救生衣、救生圈、竹竿及灭火器等；加工点内要有消防砂、消防池和工器具；3）有安全规章制度：采砂企业要制定安全规章制度，并将制度上墙；4）各采砂作业区需按规定设置安全警示 标志，安全警示标志主要设置位置为采砂作业区所占水边线、砂场 周边和进出口醒目位置等；靠近城区、交通便利的采砂作业区以及 危险性较高的区域，应加密安全警示标志设置。</w:t>
      </w:r>
    </w:p>
    <w:p w14:paraId="3EACC7C2">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（7）砂场监控</w:t>
      </w:r>
    </w:p>
    <w:p w14:paraId="4560A09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每个采砂作业区临时堆砂点、砂场运输道路口安装摄像头。采砂作业区设置电子围栏。实行进出场计量监控、登记制度。</w:t>
      </w:r>
    </w:p>
    <w:p w14:paraId="49542DF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（8）现场清理及恢复河道</w:t>
      </w:r>
    </w:p>
    <w:p w14:paraId="5F75F80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1）在每个采砂作业区设置一个垃圾箱，将生活垃圾每天清理至 垃圾箱，并定期将垃圾运输至垃圾处理厂进行处理，防止污染环境。</w:t>
      </w:r>
    </w:p>
    <w:p w14:paraId="16DBAD0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2）在可采期结束前，应及时撤离采砂机具设备、临时建筑等设施，复平采坑，恢复河床原貌。</w:t>
      </w:r>
    </w:p>
    <w:p w14:paraId="676FFED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（9）禁采期管理</w:t>
      </w:r>
    </w:p>
    <w:p w14:paraId="48CEAA5B">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采砂公司应在禁采期间切实加强日常管理监督，采取 24小时值班制度，科学制定值班流程，合理安排人员，明确值班职责，保证值班工作有序、有效开展。在值班过程中如发现问题或突发事件，应及时上报公司负责人，并根据现场情况采取适当应急措施，确保 采砂区顺利、安全度过禁采期。</w:t>
      </w:r>
    </w:p>
    <w:p w14:paraId="6AF27336">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（10）采砂方式及机具控制 </w:t>
      </w:r>
    </w:p>
    <w:p w14:paraId="6483F23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采砂方式为水采。本年度吴堡县黄河段采砂作业区采砂船总数量控制为11条，采砂作业区采砂船的功率控制在300kW之内，采砂船舶最大自重吨位不得超过30t，采砂泵尺寸不超过6英寸。</w:t>
      </w:r>
    </w:p>
    <w:p w14:paraId="2565345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其中槐树港下段采砂区设置 2 条采砂船，对应 2 处临时堆砂点。每条船配备3人，每处临时堆砂点配备1人，装载车司机配备根据装载车数量配备。</w:t>
      </w:r>
    </w:p>
    <w:p w14:paraId="7C8985A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槐树港下段采砂区配备1套水砂分离设备。</w:t>
      </w:r>
    </w:p>
    <w:p w14:paraId="286A612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（11）采砂机具管理</w:t>
      </w:r>
    </w:p>
    <w:p w14:paraId="4D071CD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船舶实行编号管理，开采过程中船身喷涂醒目识别编号。采砂 船舶明确集中停靠点，采砂船舶严禁在禁采区停靠，建立采砂船集中停靠档案。在可采期，作业采砂船非工作时段，靠岸停靠；故障船、临时设备等存放至采砂临时设备存放处。禁采期采砂船只等机 具按照采砂办指定位置存放。</w:t>
      </w:r>
    </w:p>
    <w:p w14:paraId="275716E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对作业过程中所需的挖掘机、吊车、装载机等非道路移动机械须到相应管理部门进行编码登记，经登记后方可进行作业。</w:t>
      </w:r>
    </w:p>
    <w:p w14:paraId="05F967F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（12）其他要求</w:t>
      </w:r>
    </w:p>
    <w:p w14:paraId="28B80ED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砂质量必须满足三类以上建筑用砂的</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14:textFill>
            <w14:solidFill>
              <w14:schemeClr w14:val="tx1"/>
            </w14:solidFill>
          </w14:textFill>
        </w:rPr>
        <w:instrText xml:space="preserve"> HYPERLINK "https://baike.so.com/doc/990236-1046831.html" \t "https://baike.so.com/doc/_blank" </w:instrTex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14:textFill>
            <w14:solidFill>
              <w14:schemeClr w14:val="tx1"/>
            </w14:solidFill>
          </w14:textFill>
        </w:rPr>
        <w:t>颗粒级配</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、质量和技术要求，按国家标准《GB_T 14684-2022 建筑用砂》执行。</w:t>
      </w:r>
    </w:p>
    <w:p w14:paraId="1005EDE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进场后，人员必须备案，必须人证合一，如有特殊情况需要更换人员，需在城投集团变更登记。砂场内现有设备因故损坏照价赔偿，作业期间发生安全责任事故的，限时作出整改，逾期未整改完善的，则进行清场处理，同时配备安全员。</w:t>
      </w:r>
    </w:p>
    <w:p w14:paraId="53D34E6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需提供船只的正规手续，必须为场内从业人员购买保险，场内采砂人员、安全人员需有相应的资格证书，并与服务作业单位有雇佣或劳动关系。投标人所使用机械、器具原则上必须在服务作业单位名下，如租赁其他单位的，需提供相关租赁合同，合同上需详细明确安全生产相关责任。采砂设备由服务作业单位负责维护维修，确保正常使用。</w:t>
      </w:r>
    </w:p>
    <w:p w14:paraId="257BD77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采砂服务作业单位必须服从监督管理。严格执行黄委会与所有涉及部门的各项要求，因服务作业单位违反规定，受到水利部门、黄委会等处罚的，解除合同，终止合作，责令清场，退出采砂区。</w:t>
      </w:r>
    </w:p>
    <w:p w14:paraId="3456472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城投公司设置站口，统一管理、统一过磅、统一收费。采砂服务作业单位必须服从管理。</w:t>
      </w:r>
    </w:p>
    <w:p w14:paraId="6A9D448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严格执行有关河道采砂的法律法规及文件要求，严格服从城投公司及水行政等相关管理部门的监督管理。各服务作业单位必须履行安全生产主体责任，严格按照《中华人民共和国安全生产法》和省市安全生产文件要求，精心组织、周密安排、规范生产流程，做好采砂工作。造成安全事故依法承担责任。</w:t>
      </w:r>
    </w:p>
    <w:p w14:paraId="58DC3E8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服务费以服务作业单位投标报价为准。服务费由各服务作业单位开具服务发票，城投公司凭票支付。服务作业单位按照税收规定纳税。</w:t>
      </w:r>
    </w:p>
    <w:p w14:paraId="3C17E71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服务作业单位必须按照采砂作业计划按时完成产值，采砂完成量如下：</w:t>
      </w:r>
    </w:p>
    <w:p w14:paraId="6BD6FA9D">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各采砂区2026年4月1日至2026年12月14日采砂完成量</w:t>
      </w:r>
    </w:p>
    <w:p w14:paraId="713A625F">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进度表</w:t>
      </w:r>
    </w:p>
    <w:tbl>
      <w:tblPr>
        <w:tblStyle w:val="17"/>
        <w:tblW w:w="5193"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438"/>
        <w:gridCol w:w="641"/>
        <w:gridCol w:w="299"/>
        <w:gridCol w:w="470"/>
        <w:gridCol w:w="470"/>
        <w:gridCol w:w="470"/>
        <w:gridCol w:w="470"/>
        <w:gridCol w:w="470"/>
        <w:gridCol w:w="470"/>
        <w:gridCol w:w="470"/>
        <w:gridCol w:w="470"/>
        <w:gridCol w:w="470"/>
        <w:gridCol w:w="470"/>
        <w:gridCol w:w="490"/>
        <w:gridCol w:w="491"/>
        <w:gridCol w:w="491"/>
        <w:gridCol w:w="491"/>
        <w:gridCol w:w="491"/>
        <w:gridCol w:w="696"/>
      </w:tblGrid>
      <w:tr w14:paraId="69A8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16" w:type="pct"/>
            <w:tcBorders>
              <w:top w:val="single" w:color="000000" w:sz="4" w:space="0"/>
              <w:left w:val="single" w:color="000000" w:sz="4" w:space="0"/>
              <w:bottom w:val="single" w:color="000000" w:sz="4" w:space="0"/>
              <w:right w:val="single" w:color="000000" w:sz="4" w:space="0"/>
            </w:tcBorders>
            <w:noWrap/>
            <w:vAlign w:val="center"/>
          </w:tcPr>
          <w:p w14:paraId="7EFE3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序号</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04E3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采砂区名称</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41E1C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批复量含水分（万吨）</w:t>
            </w:r>
          </w:p>
        </w:tc>
        <w:tc>
          <w:tcPr>
            <w:tcW w:w="155" w:type="pct"/>
            <w:tcBorders>
              <w:top w:val="single" w:color="000000" w:sz="4" w:space="0"/>
              <w:left w:val="single" w:color="000000" w:sz="4" w:space="0"/>
              <w:bottom w:val="single" w:color="000000" w:sz="4" w:space="0"/>
              <w:right w:val="single" w:color="000000" w:sz="4" w:space="0"/>
            </w:tcBorders>
            <w:noWrap w:val="0"/>
            <w:vAlign w:val="center"/>
          </w:tcPr>
          <w:p w14:paraId="58865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工期</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5C96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4.1-4.9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6A79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4.10-4.19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AA29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4.20-4.30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0551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5.1-5.9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1560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5.10-5.19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293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5.20-5.31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261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6.1-6.9</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CFDF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6.10-6.19</w:t>
            </w:r>
          </w:p>
        </w:tc>
        <w:tc>
          <w:tcPr>
            <w:tcW w:w="243" w:type="pct"/>
            <w:tcBorders>
              <w:top w:val="single" w:color="000000" w:sz="4" w:space="0"/>
              <w:left w:val="single" w:color="000000" w:sz="4" w:space="0"/>
              <w:right w:val="single" w:color="000000" w:sz="4" w:space="0"/>
            </w:tcBorders>
            <w:noWrap/>
            <w:vAlign w:val="center"/>
          </w:tcPr>
          <w:p w14:paraId="39522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6.20-6.30</w:t>
            </w:r>
          </w:p>
        </w:tc>
        <w:tc>
          <w:tcPr>
            <w:tcW w:w="243" w:type="pct"/>
            <w:tcBorders>
              <w:top w:val="single" w:color="000000" w:sz="4" w:space="0"/>
              <w:left w:val="single" w:color="000000" w:sz="4" w:space="0"/>
              <w:right w:val="single" w:color="000000" w:sz="4" w:space="0"/>
            </w:tcBorders>
            <w:noWrap/>
            <w:vAlign w:val="center"/>
          </w:tcPr>
          <w:p w14:paraId="6EF8F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10.1-10.9</w:t>
            </w:r>
          </w:p>
        </w:tc>
        <w:tc>
          <w:tcPr>
            <w:tcW w:w="254" w:type="pct"/>
            <w:tcBorders>
              <w:top w:val="single" w:color="000000" w:sz="4" w:space="0"/>
              <w:left w:val="single" w:color="000000" w:sz="4" w:space="0"/>
              <w:right w:val="single" w:color="000000" w:sz="4" w:space="0"/>
            </w:tcBorders>
            <w:noWrap/>
            <w:vAlign w:val="center"/>
          </w:tcPr>
          <w:p w14:paraId="1186C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10.10-10.19</w:t>
            </w:r>
          </w:p>
        </w:tc>
        <w:tc>
          <w:tcPr>
            <w:tcW w:w="254" w:type="pct"/>
            <w:tcBorders>
              <w:top w:val="single" w:color="000000" w:sz="4" w:space="0"/>
              <w:left w:val="single" w:color="000000" w:sz="4" w:space="0"/>
              <w:right w:val="single" w:color="000000" w:sz="4" w:space="0"/>
            </w:tcBorders>
            <w:noWrap/>
            <w:vAlign w:val="center"/>
          </w:tcPr>
          <w:p w14:paraId="6A3A8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10.20-10.31</w:t>
            </w:r>
          </w:p>
        </w:tc>
        <w:tc>
          <w:tcPr>
            <w:tcW w:w="254" w:type="pct"/>
            <w:tcBorders>
              <w:top w:val="single" w:color="000000" w:sz="4" w:space="0"/>
              <w:left w:val="single" w:color="000000" w:sz="4" w:space="0"/>
              <w:right w:val="single" w:color="000000" w:sz="4" w:space="0"/>
            </w:tcBorders>
            <w:noWrap/>
            <w:vAlign w:val="center"/>
          </w:tcPr>
          <w:p w14:paraId="7ADC4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11.1-11.15</w:t>
            </w:r>
          </w:p>
        </w:tc>
        <w:tc>
          <w:tcPr>
            <w:tcW w:w="254" w:type="pct"/>
            <w:tcBorders>
              <w:top w:val="single" w:color="000000" w:sz="4" w:space="0"/>
              <w:left w:val="single" w:color="000000" w:sz="4" w:space="0"/>
              <w:right w:val="single" w:color="000000" w:sz="4" w:space="0"/>
            </w:tcBorders>
            <w:noWrap/>
            <w:vAlign w:val="center"/>
          </w:tcPr>
          <w:p w14:paraId="5E022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11.16-11.29</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9541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11.30-12.14</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524DA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合计完成量</w:t>
            </w:r>
          </w:p>
        </w:tc>
      </w:tr>
      <w:tr w14:paraId="2744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216" w:type="pct"/>
            <w:tcBorders>
              <w:top w:val="single" w:color="000000" w:sz="4" w:space="0"/>
              <w:left w:val="single" w:color="000000" w:sz="4" w:space="0"/>
              <w:bottom w:val="single" w:color="000000" w:sz="4" w:space="0"/>
              <w:right w:val="single" w:color="000000" w:sz="4" w:space="0"/>
            </w:tcBorders>
            <w:noWrap w:val="0"/>
            <w:vAlign w:val="center"/>
          </w:tcPr>
          <w:p w14:paraId="4F057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w:t>
            </w:r>
          </w:p>
        </w:tc>
        <w:tc>
          <w:tcPr>
            <w:tcW w:w="227" w:type="pct"/>
            <w:tcBorders>
              <w:top w:val="single" w:color="000000" w:sz="4" w:space="0"/>
              <w:left w:val="single" w:color="000000" w:sz="4" w:space="0"/>
              <w:bottom w:val="single" w:color="000000" w:sz="4" w:space="0"/>
              <w:right w:val="single" w:color="000000" w:sz="4" w:space="0"/>
            </w:tcBorders>
            <w:noWrap w:val="0"/>
            <w:vAlign w:val="center"/>
          </w:tcPr>
          <w:p w14:paraId="51198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槐树港下段采砂区</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74EF2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12.5</w:t>
            </w:r>
          </w:p>
        </w:tc>
        <w:tc>
          <w:tcPr>
            <w:tcW w:w="155" w:type="pct"/>
            <w:tcBorders>
              <w:top w:val="single" w:color="000000" w:sz="4" w:space="0"/>
              <w:left w:val="single" w:color="000000" w:sz="4" w:space="0"/>
              <w:bottom w:val="single" w:color="000000" w:sz="4" w:space="0"/>
              <w:right w:val="single" w:color="auto" w:sz="4" w:space="0"/>
            </w:tcBorders>
            <w:noWrap/>
            <w:vAlign w:val="center"/>
          </w:tcPr>
          <w:p w14:paraId="2CCB6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165</w:t>
            </w:r>
          </w:p>
        </w:tc>
        <w:tc>
          <w:tcPr>
            <w:tcW w:w="243" w:type="pct"/>
            <w:tcBorders>
              <w:top w:val="single" w:color="auto" w:sz="4" w:space="0"/>
              <w:left w:val="single" w:color="auto" w:sz="4" w:space="0"/>
              <w:bottom w:val="single" w:color="auto" w:sz="4" w:space="0"/>
              <w:right w:val="single" w:color="auto" w:sz="4" w:space="0"/>
            </w:tcBorders>
            <w:noWrap/>
            <w:vAlign w:val="center"/>
          </w:tcPr>
          <w:p w14:paraId="02516D8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auto" w:sz="4" w:space="0"/>
              <w:bottom w:val="single" w:color="000000" w:sz="4" w:space="0"/>
              <w:right w:val="single" w:color="000000" w:sz="4" w:space="0"/>
            </w:tcBorders>
            <w:noWrap/>
            <w:vAlign w:val="center"/>
          </w:tcPr>
          <w:p w14:paraId="5D18C4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484FB2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24B155B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709D0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639A6A7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ECEB18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AD237B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7E250F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37E97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完成0.8万吨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155F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6E673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9859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950C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8625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完成0.9万吨</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0D3BD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12.5万吨</w:t>
            </w:r>
          </w:p>
        </w:tc>
      </w:tr>
    </w:tbl>
    <w:p w14:paraId="401B406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其他未尽事宜严格按照《陕西省榆林市吴堡县黄河河道2026年度采砂实施方案》及政府部门相关规定。</w:t>
      </w:r>
    </w:p>
    <w:p w14:paraId="2D2EAC4C">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合同包4：</w:t>
      </w:r>
      <w:r>
        <w:rPr>
          <w:rFonts w:hint="eastAsia" w:ascii="宋体" w:hAnsi="宋体" w:eastAsia="宋体" w:cs="宋体"/>
          <w:color w:val="000000" w:themeColor="text1"/>
          <w:sz w:val="28"/>
          <w:szCs w:val="28"/>
          <w:lang w:eastAsia="zh-CN"/>
          <w14:textFill>
            <w14:solidFill>
              <w14:schemeClr w14:val="tx1"/>
            </w14:solidFill>
          </w14:textFill>
        </w:rPr>
        <w:t>吴堡县城市投资经营集团有限公司</w:t>
      </w:r>
      <w:r>
        <w:rPr>
          <w:rFonts w:hint="eastAsia" w:ascii="宋体" w:hAnsi="宋体" w:eastAsia="宋体" w:cs="宋体"/>
          <w:color w:val="000000" w:themeColor="text1"/>
          <w:sz w:val="28"/>
          <w:szCs w:val="28"/>
          <w:lang w:val="en-US" w:eastAsia="zh-CN"/>
          <w14:textFill>
            <w14:solidFill>
              <w14:schemeClr w14:val="tx1"/>
            </w14:solidFill>
          </w14:textFill>
        </w:rPr>
        <w:t>冉湾采砂区项目参数及要求</w:t>
      </w:r>
    </w:p>
    <w:p w14:paraId="5448C871">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包4：吴堡县城市投资经营集团有限公司冉湾采砂区，计划采砂31.25万吨。</w:t>
      </w:r>
    </w:p>
    <w:p w14:paraId="006E6E5B">
      <w:pPr>
        <w:keepNext w:val="0"/>
        <w:keepLines w:val="0"/>
        <w:pageBreakBefore w:val="0"/>
        <w:widowControl w:val="0"/>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由服务作业单位负责采砂作业，采砂作业包括各标段范围内采砂、采砂设备（含采砂船、水砂分离器等）及采砂人员配备（人证合一）、采砂所需能耗（水、电、油等）、运砂道路维护、堆砂场地平整、采砂设备维护等，并承担与此相关的所有费用。</w:t>
      </w:r>
    </w:p>
    <w:p w14:paraId="64BEB12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（1）开采期和采砂作业时间</w:t>
      </w:r>
    </w:p>
    <w:p w14:paraId="360C973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可采期为2026 年4月1日至6月30日， 2026 年10月1日至12月14日。为保证采砂作业的安全，规定在白天进行采砂活动，夜间（22:00～次日 6:00）采砂活动应全面停止。</w:t>
      </w:r>
    </w:p>
    <w:p w14:paraId="524694A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每年可采期由吴堡县采砂公司组织采砂作业区采砂作业，禁采期到来前，按时按规定将河道内的所有采砂设备及场内设施、活动房撤离出河道管理范围。修复采砂作业场地，将河道恢复至开采前状态。</w:t>
      </w:r>
    </w:p>
    <w:p w14:paraId="6AFB5D8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（2）堆砂场数量及布局</w:t>
      </w:r>
    </w:p>
    <w:p w14:paraId="10FF6EF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在下山畔采砂作业区、槐树港上段采砂作业区、槐树港下段采砂作业区、冉湾采砂作业区布置临时堆砂点，共 11 处，其中 6 处临时堆砂点配备水砂分离器，其余5处采用传统堆砂脱水方式。传统堆砂的临时堆砂点总方量不大于 3000m³，底面积不大于600㎡，高度不得超过5m；配备水砂分离器的临时堆砂点砂堆底面积不大于 600㎡，高度不得超过2m。</w:t>
      </w:r>
    </w:p>
    <w:p w14:paraId="6D5886F2">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临时堆砂点位于河岸滩地，砂石资源满车时及时运至河道管理范围外，及时平整河道。</w:t>
      </w:r>
    </w:p>
    <w:p w14:paraId="4D9CA2F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采砂公司在采砂作业区内设置临时堆砂区、装卸运输作业区、转运道路，车辆采砂设备仅在采砂装卸、运输作业区活动作业。</w:t>
      </w:r>
    </w:p>
    <w:p w14:paraId="3EADF7E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进入禁采期前，河道管理范围内临时堆砂点均无砂堆，平整场地，并通过河道管理部门检查。禁采期采砂机具应按照县采砂办指定位置存放。</w:t>
      </w:r>
    </w:p>
    <w:p w14:paraId="26B44E4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（3）进出场道路</w:t>
      </w:r>
    </w:p>
    <w:p w14:paraId="5C505D6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采砂作业区转运道路两侧设置边界标识，采砂作业区运输道路应按照规划路线运输，设置相应路标。采砂作业区进、出场道路和采砂作业区转运道路均由采砂公司维护、管理、采砂期间不得有扬尘。</w:t>
      </w:r>
    </w:p>
    <w:p w14:paraId="5284B32C">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禁采期河道内采砂道路封闭。</w:t>
      </w:r>
    </w:p>
    <w:p w14:paraId="1B33CDB8">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（4）车辆管理</w:t>
      </w:r>
    </w:p>
    <w:p w14:paraId="2DB45E1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临时堆砂点到储砂场或场外段砂料转运采用车牌号登记报备的车辆运输，以便进出场识别。杜绝超载、滴漏，雨雪天气禁止通行。 所有运输车辆在经过村镇、城区、居民区等地要减速慢行、禁鸣喇叭，对沿途道路造成损坏的，要及时维护、保养，确保不影响生产、生活道路通行。转运车辆需满足县交通局管理要求。</w:t>
      </w:r>
    </w:p>
    <w:p w14:paraId="6C3DB45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（5）采砂临时设备存放处</w:t>
      </w:r>
    </w:p>
    <w:p w14:paraId="1DD4AB4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为规范砂场采砂作业管理，充分考虑吴堡县砂石采运作业实际需求。可采期在各采砂作业区滩地设置采砂临时设备存放处。采砂临时设备存放处主要存放临时采砂设备（如抽砂管道）、故障船只、闲置船只、铲车等采砂机具。采砂临时设备确保可随时 撤离，禁采期采砂临时设备存放处所有设备均撤出河道管理范围。</w:t>
      </w:r>
    </w:p>
    <w:p w14:paraId="0725840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（6）安全生产</w:t>
      </w:r>
    </w:p>
    <w:p w14:paraId="1CB40BA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有安全负责人、专职安全员：每个采砂作业区要有安全负责人及专职安全员，负责本公司安全生产工作；2）有安全设备设施：采砂船上配备救生衣、救生圈、竹竿及灭火器等；加工点内要有消防砂、消防池和工器具；3）有安全规章制度：采砂企业要制定安全规章制度，并将制度上墙；4）各采砂作业区需按规定设置安全警示 标志，安全警示标志主要设置位置为采砂作业区所占水边线、砂场 周边和进出口醒目位置等；靠近城区、交通便利的采砂作业区以及 危险性较高的区域，应加密安全警示标志设置。</w:t>
      </w:r>
    </w:p>
    <w:p w14:paraId="3C1CE7BB">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（7）砂场监控</w:t>
      </w:r>
    </w:p>
    <w:p w14:paraId="2E7B5FD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每个采砂作业区临时堆砂点、砂场运输道路口安装摄像头。采砂作业区设置电子围栏。实行进出场计量监控、登记制度。</w:t>
      </w:r>
    </w:p>
    <w:p w14:paraId="0B07A15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（8）现场清理及恢复河道</w:t>
      </w:r>
    </w:p>
    <w:p w14:paraId="55256BB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1）在每个采砂作业区设置一个垃圾箱，将生活垃圾每天清理至 垃圾箱，并定期将垃圾运输至垃圾处理厂进行处理，防止污染环境。</w:t>
      </w:r>
    </w:p>
    <w:p w14:paraId="1DF5E71E">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2）在可采期结束前，应及时撤离采砂机具设备、临时建筑等设施，复平采坑，恢复河床原貌。</w:t>
      </w:r>
    </w:p>
    <w:p w14:paraId="04E8502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（9）禁采期管理</w:t>
      </w:r>
    </w:p>
    <w:p w14:paraId="026C7DD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采砂公司应在禁采期间切实加强日常管理监督，采取 24小时值班制度，科学制定值班流程，合理安排人员，明确值班职责，保证值班工作有序、有效开展。在值班过程中如发现问题或突发事件，应及时上报公司负责人，并根据现场情况采取适当应急措施，确保 采砂区顺利、安全度过禁采期。</w:t>
      </w:r>
    </w:p>
    <w:p w14:paraId="37013612">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（10）采砂方式及机具控制 </w:t>
      </w:r>
    </w:p>
    <w:p w14:paraId="685B064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采砂方式为水采。本年度吴堡县黄河段采砂作业区采砂船总数量控制为11条，采砂作业区采砂船的功率控制在300kW之内，采砂船舶最大自重吨位不得超过30t，采砂泵尺寸不超过6英寸。</w:t>
      </w:r>
    </w:p>
    <w:p w14:paraId="19B77CD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其中冉湾采砂区设置 3 条采砂船，对应 3 处临时堆砂点。每条船配备3人，每处临时堆砂点配备1人，装载车司机配备根据装载车数量配备。</w:t>
      </w:r>
    </w:p>
    <w:p w14:paraId="3DFDBB8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冉湾采砂区配备3套水砂分离设备。</w:t>
      </w:r>
    </w:p>
    <w:p w14:paraId="07E42A9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（11）采砂机具管理</w:t>
      </w:r>
    </w:p>
    <w:p w14:paraId="5369FFB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船舶实行编号管理，开采过程中船身喷涂醒目识别编号。采砂 船舶明确集中停靠点，采砂船舶严禁在禁采区停靠，建立采砂船集中停靠档案。在可采期，作业采砂船非工作时段，靠岸停靠；故障船、临时设备等存放至采砂临时设备存放处。禁采期采砂船只等机 具按照采砂办指定位置存放。</w:t>
      </w:r>
    </w:p>
    <w:p w14:paraId="68B2AB3D">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对作业过程中所需的挖掘机、吊车、装载机等非道路移动机械须到相应管理部门进行编码登记，经登记后方可进行作业。</w:t>
      </w:r>
    </w:p>
    <w:p w14:paraId="0E2622D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（12）其他要求</w:t>
      </w:r>
    </w:p>
    <w:p w14:paraId="225B1765">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砂质量必须满足三类以上建筑用砂的</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14:textFill>
            <w14:solidFill>
              <w14:schemeClr w14:val="tx1"/>
            </w14:solidFill>
          </w14:textFill>
        </w:rPr>
        <w:instrText xml:space="preserve"> HYPERLINK "https://baike.so.com/doc/990236-1046831.html" \t "https://baike.so.com/doc/_blank" </w:instrTex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14:textFill>
            <w14:solidFill>
              <w14:schemeClr w14:val="tx1"/>
            </w14:solidFill>
          </w14:textFill>
        </w:rPr>
        <w:t>颗粒级配</w:t>
      </w:r>
      <w:r>
        <w:rPr>
          <w:rFonts w:hint="eastAsia" w:ascii="宋体" w:hAnsi="宋体" w:eastAsia="宋体" w:cs="宋体"/>
          <w:color w:val="000000" w:themeColor="text1"/>
          <w:sz w:val="28"/>
          <w:szCs w:val="28"/>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、质量和技术要求，按国家标准《GB_T 14684-2022 建筑用砂》执行。</w:t>
      </w:r>
    </w:p>
    <w:p w14:paraId="6C05205A">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进场后，人员必须备案，必须人证合一，如有特殊情况需要更换人员，需在城投集团变更登记。砂场内现有设备因故损坏照价赔偿，作业期间发生安全责任事故的，限时作出整改，逾期未整改完善的，则进行清场处理，同时配备安全员。</w:t>
      </w:r>
    </w:p>
    <w:p w14:paraId="0369E3E4">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需提供船只的正规手续，必须为场内从业人员购买保险，场内采砂人员、安全人员需有相应的资格证书，并与服务作业单位有雇佣或劳动关系。投标人所使用机械、器具原则上必须在服务作业单位名下，如租赁其他单位的，需提供相关租赁合同，合同上需详细明确安全生产相关责任。采砂设备由服务作业单位负责维护维修，确保正常使用。</w:t>
      </w:r>
    </w:p>
    <w:p w14:paraId="59460E33">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采砂服务作业单位必须服从监督管理。严格执行黄委会与所有涉及部门的各项要求，因服务作业单位违反规定，受到水利部门、黄委会等处罚的，解除合同，终止合作，责令清场，退出采砂区。</w:t>
      </w:r>
    </w:p>
    <w:p w14:paraId="627B86A9">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城投公司设置站口，统一管理、统一过磅、统一收费。采砂服务作业单位必须服从管理。</w:t>
      </w:r>
    </w:p>
    <w:p w14:paraId="3A285BDF">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严格执行有关河道采砂的法律法规及文件要求，严格服从城投公司及水行政等相关管理部门的监督管理。各服务作业单位必须履行安全生产主体责任，严格按照《中华人民共和国安全生产法》和省市安全生产文件要求，精心组织、周密安排、规范生产流程，做好采砂工作。造成安全事故依法承担责任。</w:t>
      </w:r>
    </w:p>
    <w:p w14:paraId="366118B7">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服务费以服务作业单位投标报价为准。服务费由各服务作业单位开具服务发票，城投公司凭票支付。服务作业单位按照税收规定纳税。</w:t>
      </w:r>
    </w:p>
    <w:p w14:paraId="2FFA0891">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服务作业单位必须按照采砂作业计划按时完成产值，采砂完成量如下：</w:t>
      </w:r>
    </w:p>
    <w:p w14:paraId="12A47E71">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各采砂区2026年4月1日至2026年12月14日采砂完成量</w:t>
      </w:r>
    </w:p>
    <w:p w14:paraId="37CDD3D1">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566" w:firstLineChars="20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8"/>
          <w:szCs w:val="28"/>
          <w:u w:val="none"/>
          <w:lang w:val="en-US" w:eastAsia="zh-CN" w:bidi="ar"/>
          <w14:textFill>
            <w14:solidFill>
              <w14:schemeClr w14:val="tx1"/>
            </w14:solidFill>
          </w14:textFill>
        </w:rPr>
        <w:t>进度表</w:t>
      </w:r>
    </w:p>
    <w:tbl>
      <w:tblPr>
        <w:tblStyle w:val="17"/>
        <w:tblW w:w="5237"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42"/>
        <w:gridCol w:w="647"/>
        <w:gridCol w:w="301"/>
        <w:gridCol w:w="474"/>
        <w:gridCol w:w="474"/>
        <w:gridCol w:w="474"/>
        <w:gridCol w:w="474"/>
        <w:gridCol w:w="474"/>
        <w:gridCol w:w="474"/>
        <w:gridCol w:w="474"/>
        <w:gridCol w:w="474"/>
        <w:gridCol w:w="474"/>
        <w:gridCol w:w="474"/>
        <w:gridCol w:w="494"/>
        <w:gridCol w:w="495"/>
        <w:gridCol w:w="495"/>
        <w:gridCol w:w="495"/>
        <w:gridCol w:w="495"/>
        <w:gridCol w:w="703"/>
      </w:tblGrid>
      <w:tr w14:paraId="3917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215" w:type="pct"/>
            <w:tcBorders>
              <w:top w:val="single" w:color="000000" w:sz="4" w:space="0"/>
              <w:left w:val="single" w:color="000000" w:sz="4" w:space="0"/>
              <w:bottom w:val="single" w:color="000000" w:sz="4" w:space="0"/>
              <w:right w:val="single" w:color="000000" w:sz="4" w:space="0"/>
            </w:tcBorders>
            <w:noWrap/>
            <w:vAlign w:val="center"/>
          </w:tcPr>
          <w:p w14:paraId="1719A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序号</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6CF17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采砂区名称</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1B009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批复量含水分（万吨）</w:t>
            </w:r>
          </w:p>
        </w:tc>
        <w:tc>
          <w:tcPr>
            <w:tcW w:w="154" w:type="pct"/>
            <w:tcBorders>
              <w:top w:val="single" w:color="000000" w:sz="4" w:space="0"/>
              <w:left w:val="single" w:color="000000" w:sz="4" w:space="0"/>
              <w:bottom w:val="single" w:color="000000" w:sz="4" w:space="0"/>
              <w:right w:val="single" w:color="000000" w:sz="4" w:space="0"/>
            </w:tcBorders>
            <w:noWrap w:val="0"/>
            <w:vAlign w:val="center"/>
          </w:tcPr>
          <w:p w14:paraId="34A01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工期</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23739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4.1-4.9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DB08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4.10-4.19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2B2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4.20-4.30</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2D37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5.1-5.9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0B7BC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5.10-5.19</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1D6E7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5.20-5.31</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4DAD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6.1-6.9</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2C761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6.10-6.19</w:t>
            </w:r>
          </w:p>
        </w:tc>
        <w:tc>
          <w:tcPr>
            <w:tcW w:w="243" w:type="pct"/>
            <w:tcBorders>
              <w:top w:val="single" w:color="000000" w:sz="4" w:space="0"/>
              <w:left w:val="single" w:color="000000" w:sz="4" w:space="0"/>
              <w:right w:val="single" w:color="000000" w:sz="4" w:space="0"/>
            </w:tcBorders>
            <w:noWrap/>
            <w:vAlign w:val="center"/>
          </w:tcPr>
          <w:p w14:paraId="40A5A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6.20-6.30</w:t>
            </w:r>
          </w:p>
        </w:tc>
        <w:tc>
          <w:tcPr>
            <w:tcW w:w="243" w:type="pct"/>
            <w:tcBorders>
              <w:top w:val="single" w:color="000000" w:sz="4" w:space="0"/>
              <w:left w:val="single" w:color="000000" w:sz="4" w:space="0"/>
              <w:right w:val="single" w:color="000000" w:sz="4" w:space="0"/>
            </w:tcBorders>
            <w:noWrap/>
            <w:vAlign w:val="center"/>
          </w:tcPr>
          <w:p w14:paraId="4CC5E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10.1-10.9</w:t>
            </w:r>
          </w:p>
        </w:tc>
        <w:tc>
          <w:tcPr>
            <w:tcW w:w="253" w:type="pct"/>
            <w:tcBorders>
              <w:top w:val="single" w:color="000000" w:sz="4" w:space="0"/>
              <w:left w:val="single" w:color="000000" w:sz="4" w:space="0"/>
              <w:right w:val="single" w:color="000000" w:sz="4" w:space="0"/>
            </w:tcBorders>
            <w:noWrap/>
            <w:vAlign w:val="center"/>
          </w:tcPr>
          <w:p w14:paraId="7A710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10.10-10.19</w:t>
            </w:r>
          </w:p>
        </w:tc>
        <w:tc>
          <w:tcPr>
            <w:tcW w:w="254" w:type="pct"/>
            <w:tcBorders>
              <w:top w:val="single" w:color="000000" w:sz="4" w:space="0"/>
              <w:left w:val="single" w:color="000000" w:sz="4" w:space="0"/>
              <w:right w:val="single" w:color="000000" w:sz="4" w:space="0"/>
            </w:tcBorders>
            <w:noWrap/>
            <w:vAlign w:val="center"/>
          </w:tcPr>
          <w:p w14:paraId="4A30C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10.20-10.31</w:t>
            </w:r>
          </w:p>
        </w:tc>
        <w:tc>
          <w:tcPr>
            <w:tcW w:w="254" w:type="pct"/>
            <w:tcBorders>
              <w:top w:val="single" w:color="000000" w:sz="4" w:space="0"/>
              <w:left w:val="single" w:color="000000" w:sz="4" w:space="0"/>
              <w:right w:val="single" w:color="000000" w:sz="4" w:space="0"/>
            </w:tcBorders>
            <w:noWrap/>
            <w:vAlign w:val="center"/>
          </w:tcPr>
          <w:p w14:paraId="4DD7E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11.1-11.15</w:t>
            </w:r>
          </w:p>
        </w:tc>
        <w:tc>
          <w:tcPr>
            <w:tcW w:w="254" w:type="pct"/>
            <w:tcBorders>
              <w:top w:val="single" w:color="000000" w:sz="4" w:space="0"/>
              <w:left w:val="single" w:color="000000" w:sz="4" w:space="0"/>
              <w:right w:val="single" w:color="000000" w:sz="4" w:space="0"/>
            </w:tcBorders>
            <w:noWrap/>
            <w:vAlign w:val="center"/>
          </w:tcPr>
          <w:p w14:paraId="36BA6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11.16-11.29</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5CD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11.30-12.14</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3BEF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合计完成量</w:t>
            </w:r>
          </w:p>
        </w:tc>
      </w:tr>
      <w:tr w14:paraId="1518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tcBorders>
              <w:top w:val="single" w:color="auto" w:sz="4" w:space="0"/>
              <w:left w:val="single" w:color="auto" w:sz="4" w:space="0"/>
              <w:bottom w:val="single" w:color="auto" w:sz="4" w:space="0"/>
              <w:right w:val="single" w:color="auto" w:sz="4" w:space="0"/>
            </w:tcBorders>
            <w:noWrap w:val="0"/>
            <w:vAlign w:val="center"/>
          </w:tcPr>
          <w:p w14:paraId="021F5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73481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冉湾采砂区</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4E112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31.25</w:t>
            </w:r>
          </w:p>
        </w:tc>
        <w:tc>
          <w:tcPr>
            <w:tcW w:w="154" w:type="pct"/>
            <w:tcBorders>
              <w:top w:val="single" w:color="auto" w:sz="4" w:space="0"/>
              <w:left w:val="single" w:color="auto" w:sz="4" w:space="0"/>
              <w:bottom w:val="single" w:color="auto" w:sz="4" w:space="0"/>
              <w:right w:val="single" w:color="auto" w:sz="4" w:space="0"/>
            </w:tcBorders>
            <w:noWrap/>
            <w:vAlign w:val="center"/>
          </w:tcPr>
          <w:p w14:paraId="4252E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165</w:t>
            </w:r>
          </w:p>
        </w:tc>
        <w:tc>
          <w:tcPr>
            <w:tcW w:w="243" w:type="pct"/>
            <w:tcBorders>
              <w:top w:val="single" w:color="auto" w:sz="4" w:space="0"/>
              <w:left w:val="single" w:color="auto" w:sz="4" w:space="0"/>
              <w:bottom w:val="single" w:color="auto" w:sz="4" w:space="0"/>
              <w:right w:val="single" w:color="auto" w:sz="4" w:space="0"/>
            </w:tcBorders>
            <w:noWrap/>
            <w:vAlign w:val="center"/>
          </w:tcPr>
          <w:p w14:paraId="131FCC95">
            <w:pPr>
              <w:jc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77413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2B9A9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5D4E8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024A0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0BF14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14DD8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43DF4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0"/>
                <w:szCs w:val="20"/>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3ACCA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43" w:type="pct"/>
            <w:tcBorders>
              <w:top w:val="single" w:color="auto" w:sz="4" w:space="0"/>
              <w:left w:val="single" w:color="auto" w:sz="4" w:space="0"/>
              <w:bottom w:val="single" w:color="auto" w:sz="4" w:space="0"/>
              <w:right w:val="single" w:color="auto" w:sz="4" w:space="0"/>
            </w:tcBorders>
            <w:noWrap/>
            <w:vAlign w:val="center"/>
          </w:tcPr>
          <w:p w14:paraId="5E27F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完成1.8万吨</w:t>
            </w:r>
          </w:p>
        </w:tc>
        <w:tc>
          <w:tcPr>
            <w:tcW w:w="253" w:type="pct"/>
            <w:tcBorders>
              <w:top w:val="single" w:color="auto" w:sz="4" w:space="0"/>
              <w:left w:val="single" w:color="auto" w:sz="4" w:space="0"/>
              <w:bottom w:val="single" w:color="auto" w:sz="4" w:space="0"/>
              <w:right w:val="single" w:color="auto" w:sz="4" w:space="0"/>
            </w:tcBorders>
            <w:noWrap/>
            <w:vAlign w:val="center"/>
          </w:tcPr>
          <w:p w14:paraId="34D42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auto" w:sz="4" w:space="0"/>
              <w:left w:val="single" w:color="auto" w:sz="4" w:space="0"/>
              <w:bottom w:val="single" w:color="auto" w:sz="4" w:space="0"/>
              <w:right w:val="single" w:color="auto" w:sz="4" w:space="0"/>
            </w:tcBorders>
            <w:noWrap/>
            <w:vAlign w:val="center"/>
          </w:tcPr>
          <w:p w14:paraId="55218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auto" w:sz="4" w:space="0"/>
              <w:left w:val="single" w:color="auto" w:sz="4" w:space="0"/>
              <w:bottom w:val="single" w:color="auto" w:sz="4" w:space="0"/>
              <w:right w:val="single" w:color="auto" w:sz="4" w:space="0"/>
            </w:tcBorders>
            <w:noWrap/>
            <w:vAlign w:val="center"/>
          </w:tcPr>
          <w:p w14:paraId="532B8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auto" w:sz="4" w:space="0"/>
              <w:left w:val="single" w:color="auto" w:sz="4" w:space="0"/>
              <w:bottom w:val="single" w:color="auto" w:sz="4" w:space="0"/>
              <w:right w:val="single" w:color="auto" w:sz="4" w:space="0"/>
            </w:tcBorders>
            <w:noWrap/>
            <w:vAlign w:val="center"/>
          </w:tcPr>
          <w:p w14:paraId="1688D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254" w:type="pct"/>
            <w:tcBorders>
              <w:top w:val="single" w:color="auto" w:sz="4" w:space="0"/>
              <w:left w:val="single" w:color="auto" w:sz="4" w:space="0"/>
              <w:bottom w:val="single" w:color="auto" w:sz="4" w:space="0"/>
              <w:right w:val="single" w:color="auto" w:sz="4" w:space="0"/>
            </w:tcBorders>
            <w:noWrap/>
            <w:vAlign w:val="center"/>
          </w:tcPr>
          <w:p w14:paraId="2EF01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z w:val="20"/>
                <w:szCs w:val="20"/>
                <w:u w:val="none"/>
                <w:lang w:val="en-US" w:eastAsia="zh-CN"/>
                <w14:textFill>
                  <w14:solidFill>
                    <w14:schemeClr w14:val="tx1"/>
                  </w14:solidFill>
                </w14:textFill>
              </w:rPr>
              <w:t>完成2.65万吨</w:t>
            </w:r>
          </w:p>
        </w:tc>
        <w:tc>
          <w:tcPr>
            <w:tcW w:w="361" w:type="pct"/>
            <w:tcBorders>
              <w:top w:val="single" w:color="auto" w:sz="4" w:space="0"/>
              <w:left w:val="single" w:color="auto" w:sz="4" w:space="0"/>
              <w:bottom w:val="single" w:color="auto" w:sz="4" w:space="0"/>
              <w:right w:val="single" w:color="auto" w:sz="4" w:space="0"/>
            </w:tcBorders>
            <w:noWrap/>
            <w:vAlign w:val="center"/>
          </w:tcPr>
          <w:p w14:paraId="01C3A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31.25万吨</w:t>
            </w:r>
          </w:p>
        </w:tc>
      </w:tr>
    </w:tbl>
    <w:p w14:paraId="15DEEE10">
      <w:pPr>
        <w:keepNext w:val="0"/>
        <w:keepLines w:val="0"/>
        <w:pageBreakBefore w:val="0"/>
        <w:widowControl w:val="0"/>
        <w:tabs>
          <w:tab w:val="left" w:pos="556"/>
        </w:tabs>
        <w:kinsoku/>
        <w:wordWrap/>
        <w:overflowPunct/>
        <w:topLinePunct w:val="0"/>
        <w:autoSpaceDE/>
        <w:autoSpaceDN/>
        <w:bidi w:val="0"/>
        <w:adjustRightInd/>
        <w:snapToGrid/>
        <w:spacing w:line="460" w:lineRule="exact"/>
        <w:ind w:firstLine="566" w:firstLineChars="200"/>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其他未尽事宜严格按照《陕西省榆林市吴堡县黄河河道2026年度采砂实施方案》及政府部门相关规定。</w:t>
      </w:r>
    </w:p>
    <w:p w14:paraId="11441060">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6A9BB243">
      <w:pPr>
        <w:wordWrap/>
        <w:spacing w:before="0" w:line="520" w:lineRule="exact"/>
        <w:ind w:left="0" w:leftChars="0" w:right="0"/>
        <w:jc w:val="center"/>
        <w:textAlignment w:val="auto"/>
        <w:outlineLvl w:val="9"/>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w:t>
      </w:r>
      <w:r>
        <w:rPr>
          <w:rFonts w:hint="eastAsia" w:ascii="宋体" w:hAnsi="宋体" w:eastAsia="宋体" w:cs="宋体"/>
          <w:b/>
          <w:color w:val="000000" w:themeColor="text1"/>
          <w:sz w:val="32"/>
          <w:szCs w:val="32"/>
          <w:lang w:val="en-US" w:eastAsia="zh-CN"/>
          <w14:textFill>
            <w14:solidFill>
              <w14:schemeClr w14:val="tx1"/>
            </w14:solidFill>
          </w14:textFill>
        </w:rPr>
        <w:t>五</w:t>
      </w:r>
      <w:r>
        <w:rPr>
          <w:rFonts w:hint="eastAsia" w:ascii="宋体" w:hAnsi="宋体" w:eastAsia="宋体" w:cs="宋体"/>
          <w:b/>
          <w:color w:val="000000" w:themeColor="text1"/>
          <w:sz w:val="32"/>
          <w:szCs w:val="32"/>
          <w14:textFill>
            <w14:solidFill>
              <w14:schemeClr w14:val="tx1"/>
            </w14:solidFill>
          </w14:textFill>
        </w:rPr>
        <w:t>章  合同基本条款</w:t>
      </w:r>
    </w:p>
    <w:p w14:paraId="32244BA2">
      <w:pPr>
        <w:pStyle w:val="15"/>
        <w:spacing w:line="500" w:lineRule="exact"/>
        <w:ind w:firstLine="566" w:firstLineChars="200"/>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eastAsia="宋体" w:cs="宋体"/>
          <w:b/>
          <w:color w:val="000000" w:themeColor="text1"/>
          <w:sz w:val="28"/>
          <w:szCs w:val="28"/>
          <w:lang w:val="en-US" w:eastAsia="zh-CN"/>
          <w14:textFill>
            <w14:solidFill>
              <w14:schemeClr w14:val="tx1"/>
            </w14:solidFill>
          </w14:textFill>
        </w:rPr>
        <w:t>服务</w:t>
      </w:r>
      <w:r>
        <w:rPr>
          <w:rFonts w:hint="eastAsia" w:ascii="宋体" w:hAnsi="宋体" w:eastAsia="宋体" w:cs="宋体"/>
          <w:b/>
          <w:color w:val="000000" w:themeColor="text1"/>
          <w:sz w:val="28"/>
          <w:szCs w:val="28"/>
          <w14:textFill>
            <w14:solidFill>
              <w14:schemeClr w14:val="tx1"/>
            </w14:solidFill>
          </w14:textFill>
        </w:rPr>
        <w:t>条件</w:t>
      </w:r>
    </w:p>
    <w:p w14:paraId="0FFD21B2">
      <w:pPr>
        <w:spacing w:line="500" w:lineRule="exact"/>
        <w:ind w:firstLine="566"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w:t>
      </w:r>
      <w:r>
        <w:rPr>
          <w:rFonts w:hint="eastAsia" w:ascii="宋体" w:hAnsi="宋体" w:eastAsia="宋体" w:cs="宋体"/>
          <w:color w:val="000000" w:themeColor="text1"/>
          <w:lang w:val="en-US"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w:t>
      </w:r>
      <w:r>
        <w:rPr>
          <w:rFonts w:hint="eastAsia" w:ascii="宋体" w:hAnsi="宋体" w:eastAsia="宋体" w:cs="宋体"/>
          <w:color w:val="000000" w:themeColor="text1"/>
          <w:lang w:eastAsia="zh-CN"/>
          <w14:textFill>
            <w14:solidFill>
              <w14:schemeClr w14:val="tx1"/>
            </w14:solidFill>
          </w14:textFill>
        </w:rPr>
        <w:t>黄河流域吴堡段</w:t>
      </w:r>
      <w:r>
        <w:rPr>
          <w:rFonts w:hint="eastAsia" w:ascii="宋体" w:hAnsi="宋体" w:eastAsia="宋体" w:cs="宋体"/>
          <w:color w:val="000000" w:themeColor="text1"/>
          <w:lang w:val="en-US" w:eastAsia="zh-CN"/>
          <w14:textFill>
            <w14:solidFill>
              <w14:schemeClr w14:val="tx1"/>
            </w14:solidFill>
          </w14:textFill>
        </w:rPr>
        <w:t>下山畔采砂区、槐树港上段采砂区、槐树港下段采砂区、冉湾采砂区采砂服务。</w:t>
      </w:r>
    </w:p>
    <w:p w14:paraId="4150B6A7">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lang w:val="en-US"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期：</w:t>
      </w:r>
      <w:r>
        <w:rPr>
          <w:rFonts w:hint="eastAsia" w:ascii="宋体" w:hAnsi="宋体" w:eastAsia="宋体" w:cs="宋体"/>
          <w:color w:val="000000" w:themeColor="text1"/>
          <w:sz w:val="28"/>
          <w:szCs w:val="28"/>
          <w:lang w:val="en-US" w:eastAsia="zh-CN"/>
          <w14:textFill>
            <w14:solidFill>
              <w14:schemeClr w14:val="tx1"/>
            </w14:solidFill>
          </w14:textFill>
        </w:rPr>
        <w:t>165日历天（4月1日至12月14日）。</w:t>
      </w:r>
    </w:p>
    <w:p w14:paraId="5DA4FF5E">
      <w:pPr>
        <w:pStyle w:val="15"/>
        <w:spacing w:line="500" w:lineRule="exact"/>
        <w:ind w:left="0" w:leftChars="0" w:firstLine="566"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71" w:name="_Toc48834109"/>
      <w:bookmarkStart w:id="172" w:name="_Toc48834547"/>
      <w:bookmarkStart w:id="173" w:name="_Toc14082140"/>
      <w:bookmarkStart w:id="174" w:name="_Toc12082"/>
      <w:bookmarkStart w:id="175" w:name="_Toc48834179"/>
      <w:bookmarkStart w:id="176" w:name="_Toc48834306"/>
      <w:bookmarkStart w:id="177" w:name="_Toc48834468"/>
      <w:r>
        <w:rPr>
          <w:rFonts w:hint="eastAsia" w:ascii="宋体" w:hAnsi="宋体" w:eastAsia="宋体" w:cs="宋体"/>
          <w:b/>
          <w:color w:val="000000" w:themeColor="text1"/>
          <w:sz w:val="28"/>
          <w:szCs w:val="28"/>
          <w14:textFill>
            <w14:solidFill>
              <w14:schemeClr w14:val="tx1"/>
            </w14:solidFill>
          </w14:textFill>
        </w:rPr>
        <w:t>二、合同价款</w:t>
      </w:r>
      <w:bookmarkEnd w:id="171"/>
      <w:bookmarkEnd w:id="172"/>
      <w:bookmarkEnd w:id="173"/>
      <w:bookmarkEnd w:id="174"/>
      <w:bookmarkEnd w:id="175"/>
      <w:bookmarkEnd w:id="176"/>
      <w:bookmarkEnd w:id="177"/>
    </w:p>
    <w:p w14:paraId="027E94DA">
      <w:pPr>
        <w:spacing w:line="500" w:lineRule="exact"/>
        <w:ind w:firstLine="566" w:firstLineChars="200"/>
        <w:rPr>
          <w:rFonts w:hint="eastAsia" w:ascii="宋体" w:hAnsi="宋体" w:eastAsia="宋体" w:cs="宋体"/>
          <w:color w:val="000000" w:themeColor="text1"/>
          <w14:textFill>
            <w14:solidFill>
              <w14:schemeClr w14:val="tx1"/>
            </w14:solidFill>
          </w14:textFill>
        </w:rPr>
      </w:pPr>
      <w:bookmarkStart w:id="178" w:name="_Toc14082141"/>
      <w:r>
        <w:rPr>
          <w:rFonts w:hint="eastAsia" w:ascii="宋体" w:hAnsi="宋体" w:eastAsia="宋体" w:cs="宋体"/>
          <w:color w:val="000000" w:themeColor="text1"/>
          <w:lang w:val="en-US" w:eastAsia="zh-CN"/>
          <w14:textFill>
            <w14:solidFill>
              <w14:schemeClr w14:val="tx1"/>
            </w14:solidFill>
          </w14:textFill>
        </w:rPr>
        <w:t>投标</w:t>
      </w:r>
      <w:r>
        <w:rPr>
          <w:rFonts w:hint="eastAsia" w:ascii="宋体" w:hAnsi="宋体" w:eastAsia="宋体" w:cs="宋体"/>
          <w:color w:val="000000" w:themeColor="text1"/>
          <w14:textFill>
            <w14:solidFill>
              <w14:schemeClr w14:val="tx1"/>
            </w14:solidFill>
          </w14:textFill>
        </w:rPr>
        <w:t>总价</w:t>
      </w:r>
      <w:r>
        <w:rPr>
          <w:rFonts w:hint="eastAsia" w:ascii="宋体" w:hAnsi="宋体" w:eastAsia="宋体" w:cs="宋体"/>
          <w:color w:val="000000" w:themeColor="text1"/>
          <w:lang w:val="en-US" w:eastAsia="zh-CN"/>
          <w14:textFill>
            <w14:solidFill>
              <w14:schemeClr w14:val="tx1"/>
            </w14:solidFill>
          </w14:textFill>
        </w:rPr>
        <w:t>为暂定价，按照投标单价及实际采砂数量实结算</w:t>
      </w:r>
      <w:r>
        <w:rPr>
          <w:rFonts w:hint="eastAsia" w:ascii="宋体" w:hAnsi="宋体" w:eastAsia="宋体" w:cs="宋体"/>
          <w:color w:val="000000" w:themeColor="text1"/>
          <w14:textFill>
            <w14:solidFill>
              <w14:schemeClr w14:val="tx1"/>
            </w14:solidFill>
          </w14:textFill>
        </w:rPr>
        <w:t>。</w:t>
      </w:r>
    </w:p>
    <w:p w14:paraId="4CD45899">
      <w:pPr>
        <w:pStyle w:val="15"/>
        <w:spacing w:line="500" w:lineRule="exact"/>
        <w:ind w:firstLine="566"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79" w:name="_Toc48834548"/>
      <w:bookmarkStart w:id="180" w:name="_Toc48834180"/>
      <w:bookmarkStart w:id="181" w:name="_Toc7025"/>
      <w:bookmarkStart w:id="182" w:name="_Toc48834469"/>
      <w:bookmarkStart w:id="183" w:name="_Toc48834110"/>
      <w:bookmarkStart w:id="184" w:name="_Toc48834307"/>
      <w:r>
        <w:rPr>
          <w:rFonts w:hint="eastAsia" w:ascii="宋体" w:hAnsi="宋体" w:eastAsia="宋体" w:cs="宋体"/>
          <w:b/>
          <w:color w:val="000000" w:themeColor="text1"/>
          <w:sz w:val="28"/>
          <w:szCs w:val="28"/>
          <w14:textFill>
            <w14:solidFill>
              <w14:schemeClr w14:val="tx1"/>
            </w14:solidFill>
          </w14:textFill>
        </w:rPr>
        <w:t>三、款项结算</w:t>
      </w:r>
      <w:bookmarkEnd w:id="178"/>
      <w:bookmarkEnd w:id="179"/>
      <w:bookmarkEnd w:id="180"/>
      <w:bookmarkEnd w:id="181"/>
      <w:bookmarkEnd w:id="182"/>
      <w:bookmarkEnd w:id="183"/>
      <w:bookmarkEnd w:id="184"/>
    </w:p>
    <w:p w14:paraId="5A03BA06">
      <w:pPr>
        <w:pStyle w:val="31"/>
        <w:spacing w:line="500" w:lineRule="exact"/>
        <w:ind w:firstLine="56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（一）支付方式：银行转账</w:t>
      </w:r>
    </w:p>
    <w:p w14:paraId="1E2704AC">
      <w:pPr>
        <w:pStyle w:val="31"/>
        <w:spacing w:line="500" w:lineRule="exact"/>
        <w:ind w:firstLine="56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（二）货币单位：人民币</w:t>
      </w:r>
    </w:p>
    <w:p w14:paraId="5775DC14">
      <w:pPr>
        <w:spacing w:line="360" w:lineRule="auto"/>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（三）结算方式：</w:t>
      </w:r>
      <w:bookmarkStart w:id="185" w:name="_Toc48834181"/>
      <w:bookmarkStart w:id="186" w:name="_Toc48834549"/>
      <w:bookmarkStart w:id="187" w:name="_Toc48834470"/>
      <w:bookmarkStart w:id="188" w:name="_Toc48834111"/>
      <w:bookmarkStart w:id="189" w:name="_Toc48834308"/>
      <w:bookmarkStart w:id="190" w:name="_Toc14082147"/>
      <w:bookmarkStart w:id="191" w:name="_Toc28437"/>
      <w:bookmarkStart w:id="192" w:name="_Toc14082144"/>
      <w:bookmarkStart w:id="193" w:name="_Toc41402087"/>
      <w:r>
        <w:rPr>
          <w:rFonts w:hint="eastAsia" w:ascii="宋体" w:hAnsi="宋体" w:eastAsia="宋体" w:cs="宋体"/>
          <w:color w:val="000000" w:themeColor="text1"/>
          <w14:textFill>
            <w14:solidFill>
              <w14:schemeClr w14:val="tx1"/>
            </w14:solidFill>
          </w14:textFill>
        </w:rPr>
        <w:t>甲乙双方签订合同后，甲方根据乙方管理任务完成情况，考核合格后按月支付，次月支付上一月服务费，乙方提供正规税务发票。</w:t>
      </w:r>
    </w:p>
    <w:p w14:paraId="61E4CB90">
      <w:pPr>
        <w:spacing w:line="500" w:lineRule="exact"/>
        <w:ind w:firstLine="566"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四、质量保证</w:t>
      </w:r>
      <w:bookmarkEnd w:id="185"/>
      <w:bookmarkEnd w:id="186"/>
      <w:bookmarkEnd w:id="187"/>
      <w:bookmarkEnd w:id="188"/>
      <w:bookmarkEnd w:id="189"/>
    </w:p>
    <w:p w14:paraId="4E3BFB7D">
      <w:pPr>
        <w:pStyle w:val="31"/>
        <w:spacing w:line="500" w:lineRule="exact"/>
        <w:ind w:firstLine="56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提供的</w:t>
      </w:r>
      <w:r>
        <w:rPr>
          <w:rFonts w:hint="eastAsia" w:ascii="宋体" w:hAnsi="宋体" w:eastAsia="宋体" w:cs="宋体"/>
          <w:color w:val="000000" w:themeColor="text1"/>
          <w:lang w:val="en-US" w:eastAsia="zh-CN"/>
          <w14:textFill>
            <w14:solidFill>
              <w14:schemeClr w14:val="tx1"/>
            </w14:solidFill>
          </w14:textFill>
        </w:rPr>
        <w:t>服务满足</w:t>
      </w:r>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要求</w:t>
      </w:r>
      <w:r>
        <w:rPr>
          <w:rFonts w:hint="eastAsia" w:ascii="宋体" w:hAnsi="宋体" w:eastAsia="宋体" w:cs="宋体"/>
          <w:color w:val="000000" w:themeColor="text1"/>
          <w:lang w:val="en-US" w:eastAsia="zh-CN"/>
          <w14:textFill>
            <w14:solidFill>
              <w14:schemeClr w14:val="tx1"/>
            </w14:solidFill>
          </w14:textFill>
        </w:rPr>
        <w:t>及相关规定</w:t>
      </w:r>
      <w:r>
        <w:rPr>
          <w:rFonts w:hint="eastAsia" w:ascii="宋体" w:hAnsi="宋体" w:eastAsia="宋体" w:cs="宋体"/>
          <w:color w:val="000000" w:themeColor="text1"/>
          <w14:textFill>
            <w14:solidFill>
              <w14:schemeClr w14:val="tx1"/>
            </w14:solidFill>
          </w14:textFill>
        </w:rPr>
        <w:t>。</w:t>
      </w:r>
    </w:p>
    <w:p w14:paraId="652AD8FE">
      <w:pPr>
        <w:pStyle w:val="15"/>
        <w:spacing w:line="500" w:lineRule="exact"/>
        <w:ind w:firstLine="566"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94" w:name="_Toc48834550"/>
      <w:bookmarkStart w:id="195" w:name="_Toc48834182"/>
      <w:bookmarkStart w:id="196" w:name="_Toc48834471"/>
      <w:bookmarkStart w:id="197" w:name="_Toc48834309"/>
      <w:bookmarkStart w:id="198" w:name="_Toc48834112"/>
      <w:r>
        <w:rPr>
          <w:rFonts w:hint="eastAsia" w:ascii="宋体" w:hAnsi="宋体" w:eastAsia="宋体" w:cs="宋体"/>
          <w:b/>
          <w:color w:val="000000" w:themeColor="text1"/>
          <w:sz w:val="28"/>
          <w:szCs w:val="28"/>
          <w14:textFill>
            <w14:solidFill>
              <w14:schemeClr w14:val="tx1"/>
            </w14:solidFill>
          </w14:textFill>
        </w:rPr>
        <w:t>五、服务承诺</w:t>
      </w:r>
      <w:bookmarkEnd w:id="194"/>
      <w:bookmarkEnd w:id="195"/>
      <w:bookmarkEnd w:id="196"/>
      <w:bookmarkEnd w:id="197"/>
      <w:bookmarkEnd w:id="198"/>
    </w:p>
    <w:p w14:paraId="60C2FC94">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以响应文件、澄清表（函）、合同等相关文件为准。</w:t>
      </w:r>
    </w:p>
    <w:p w14:paraId="1FB00144">
      <w:pPr>
        <w:pStyle w:val="15"/>
        <w:spacing w:line="500" w:lineRule="exact"/>
        <w:ind w:firstLine="566"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99" w:name="_Toc48834113"/>
      <w:bookmarkStart w:id="200" w:name="_Toc48834183"/>
      <w:bookmarkStart w:id="201" w:name="_Toc48834472"/>
      <w:bookmarkStart w:id="202" w:name="_Toc48834310"/>
      <w:bookmarkStart w:id="203" w:name="_Toc48834551"/>
      <w:r>
        <w:rPr>
          <w:rFonts w:hint="eastAsia" w:ascii="宋体" w:hAnsi="宋体" w:eastAsia="宋体" w:cs="宋体"/>
          <w:b/>
          <w:color w:val="000000" w:themeColor="text1"/>
          <w:sz w:val="28"/>
          <w:szCs w:val="28"/>
          <w14:textFill>
            <w14:solidFill>
              <w14:schemeClr w14:val="tx1"/>
            </w14:solidFill>
          </w14:textFill>
        </w:rPr>
        <w:t>六、违约责任</w:t>
      </w:r>
      <w:bookmarkEnd w:id="199"/>
      <w:bookmarkEnd w:id="200"/>
      <w:bookmarkEnd w:id="201"/>
      <w:bookmarkEnd w:id="202"/>
      <w:bookmarkEnd w:id="203"/>
    </w:p>
    <w:p w14:paraId="22D2292A">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（一）按《中华人民共和国民法典》中的相关条款执行。</w:t>
      </w:r>
    </w:p>
    <w:p w14:paraId="15053794">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（二）未按合同要求提供产品或产品质量不能满足合同要求，采购人有权依据《中华人民共和国民法典》</w:t>
      </w:r>
      <w:r>
        <w:rPr>
          <w:rFonts w:hint="eastAsia" w:ascii="宋体" w:hAnsi="宋体" w:eastAsia="宋体" w:cs="宋体"/>
          <w:color w:val="000000" w:themeColor="text1"/>
          <w:lang w:eastAsia="zh-CN"/>
          <w14:textFill>
            <w14:solidFill>
              <w14:schemeClr w14:val="tx1"/>
            </w14:solidFill>
          </w14:textFill>
        </w:rPr>
        <w:t>等</w:t>
      </w:r>
      <w:r>
        <w:rPr>
          <w:rFonts w:hint="eastAsia" w:ascii="宋体" w:hAnsi="宋体" w:eastAsia="宋体" w:cs="宋体"/>
          <w:color w:val="000000" w:themeColor="text1"/>
          <w14:textFill>
            <w14:solidFill>
              <w14:schemeClr w14:val="tx1"/>
            </w14:solidFill>
          </w14:textFill>
        </w:rPr>
        <w:t>有关条款及合同约定终止合同，并要求成交供应商承担违约责任。</w:t>
      </w:r>
    </w:p>
    <w:p w14:paraId="445E2F21">
      <w:pPr>
        <w:pStyle w:val="15"/>
        <w:spacing w:line="500" w:lineRule="exact"/>
        <w:ind w:firstLine="566"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204" w:name="_Toc48834184"/>
      <w:bookmarkStart w:id="205" w:name="_Toc48834473"/>
      <w:bookmarkStart w:id="206" w:name="_Toc48834311"/>
      <w:bookmarkStart w:id="207" w:name="_Toc48834114"/>
      <w:bookmarkStart w:id="208" w:name="_Toc48834552"/>
      <w:r>
        <w:rPr>
          <w:rFonts w:hint="eastAsia" w:ascii="宋体" w:hAnsi="宋体" w:eastAsia="宋体" w:cs="宋体"/>
          <w:b/>
          <w:color w:val="000000" w:themeColor="text1"/>
          <w:sz w:val="28"/>
          <w:szCs w:val="28"/>
          <w14:textFill>
            <w14:solidFill>
              <w14:schemeClr w14:val="tx1"/>
            </w14:solidFill>
          </w14:textFill>
        </w:rPr>
        <w:t>七、争议解决</w:t>
      </w:r>
      <w:bookmarkEnd w:id="204"/>
      <w:bookmarkEnd w:id="205"/>
      <w:bookmarkEnd w:id="206"/>
      <w:bookmarkEnd w:id="207"/>
      <w:bookmarkEnd w:id="208"/>
    </w:p>
    <w:p w14:paraId="62BB5E6A">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若本合同执行过程中产生纠纷，由采购人与成交供应商双方协商解决；若协商不成，向采购人所在地的人民法院提起诉讼。</w:t>
      </w:r>
    </w:p>
    <w:p w14:paraId="6E26933D">
      <w:pPr>
        <w:pStyle w:val="15"/>
        <w:spacing w:line="500" w:lineRule="exact"/>
        <w:ind w:firstLine="566"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209" w:name="_Toc48834115"/>
      <w:bookmarkStart w:id="210" w:name="_Toc48834185"/>
      <w:bookmarkStart w:id="211" w:name="_Toc48834474"/>
      <w:bookmarkStart w:id="212" w:name="_Toc48834312"/>
      <w:bookmarkStart w:id="213" w:name="_Toc48834553"/>
      <w:r>
        <w:rPr>
          <w:rFonts w:hint="eastAsia" w:ascii="宋体" w:hAnsi="宋体" w:eastAsia="宋体" w:cs="宋体"/>
          <w:b/>
          <w:color w:val="000000" w:themeColor="text1"/>
          <w:sz w:val="28"/>
          <w:szCs w:val="28"/>
          <w14:textFill>
            <w14:solidFill>
              <w14:schemeClr w14:val="tx1"/>
            </w14:solidFill>
          </w14:textFill>
        </w:rPr>
        <w:t>八、合同生效及其他</w:t>
      </w:r>
      <w:bookmarkEnd w:id="209"/>
      <w:bookmarkEnd w:id="210"/>
      <w:bookmarkEnd w:id="211"/>
      <w:bookmarkEnd w:id="212"/>
      <w:bookmarkEnd w:id="213"/>
    </w:p>
    <w:p w14:paraId="464AB7BE">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本合同自签订之日起生效。</w:t>
      </w:r>
    </w:p>
    <w:p w14:paraId="21A924FA">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合同一式</w:t>
      </w:r>
      <w:r>
        <w:rPr>
          <w:rFonts w:hint="eastAsia" w:ascii="宋体" w:hAnsi="宋体" w:eastAsia="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份，采购人</w:t>
      </w:r>
      <w:r>
        <w:rPr>
          <w:rFonts w:hint="eastAsia" w:ascii="宋体" w:hAnsi="宋体" w:eastAsia="宋体" w:cs="宋体"/>
          <w:color w:val="000000" w:themeColor="text1"/>
          <w:lang w:eastAsia="zh-CN"/>
          <w14:textFill>
            <w14:solidFill>
              <w14:schemeClr w14:val="tx1"/>
            </w14:solidFill>
          </w14:textFill>
        </w:rPr>
        <w:t>两份</w:t>
      </w:r>
      <w:r>
        <w:rPr>
          <w:rFonts w:hint="eastAsia" w:ascii="宋体" w:hAnsi="宋体" w:eastAsia="宋体" w:cs="宋体"/>
          <w:color w:val="000000" w:themeColor="text1"/>
          <w14:textFill>
            <w14:solidFill>
              <w14:schemeClr w14:val="tx1"/>
            </w14:solidFill>
          </w14:textFill>
        </w:rPr>
        <w:t>，成交供应商一份；政府采购监管机构备案一份，成交供应商办理结算</w:t>
      </w:r>
      <w:r>
        <w:rPr>
          <w:rFonts w:hint="eastAsia" w:ascii="宋体" w:hAnsi="宋体" w:eastAsia="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14:textFill>
            <w14:solidFill>
              <w14:schemeClr w14:val="tx1"/>
            </w14:solidFill>
          </w14:textFill>
        </w:rPr>
        <w:t>份。</w:t>
      </w:r>
    </w:p>
    <w:p w14:paraId="136CFB3A">
      <w:pPr>
        <w:spacing w:line="500" w:lineRule="exact"/>
        <w:ind w:firstLine="566" w:firstLineChars="200"/>
        <w:rPr>
          <w:rFonts w:hint="eastAsia" w:ascii="宋体" w:hAnsi="宋体" w:eastAsia="宋体" w:cs="宋体"/>
          <w:color w:val="000000" w:themeColor="text1"/>
          <w14:textFill>
            <w14:solidFill>
              <w14:schemeClr w14:val="tx1"/>
            </w14:solidFill>
          </w14:textFill>
        </w:rPr>
        <w:sectPr>
          <w:footerReference r:id="rId9" w:type="default"/>
          <w:pgSz w:w="11906" w:h="16838"/>
          <w:pgMar w:top="1417" w:right="1418" w:bottom="1417" w:left="1418" w:header="851" w:footer="794" w:gutter="0"/>
          <w:pgNumType w:fmt="decimal" w:start="1"/>
          <w:cols w:space="720" w:num="1"/>
          <w:docGrid w:type="linesAndChars" w:linePitch="381" w:charSpace="704"/>
        </w:sect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未尽事宜由双方在签订合同时具体明确。</w:t>
      </w:r>
      <w:bookmarkEnd w:id="190"/>
      <w:bookmarkEnd w:id="191"/>
      <w:bookmarkEnd w:id="192"/>
      <w:bookmarkEnd w:id="193"/>
      <w:bookmarkStart w:id="214" w:name="_Toc495012773"/>
      <w:bookmarkStart w:id="215" w:name="_Toc48834475"/>
      <w:bookmarkStart w:id="216" w:name="_Toc495014956"/>
      <w:bookmarkStart w:id="217" w:name="_Toc495012823"/>
      <w:bookmarkStart w:id="218" w:name="_Toc495014922"/>
      <w:bookmarkStart w:id="219" w:name="_Toc48834116"/>
      <w:bookmarkStart w:id="220" w:name="_Toc9680"/>
      <w:bookmarkStart w:id="221" w:name="_Toc495014651"/>
      <w:bookmarkStart w:id="222" w:name="_Toc445306495"/>
      <w:bookmarkStart w:id="223" w:name="_Toc48834313"/>
      <w:bookmarkStart w:id="224" w:name="_Toc495014587"/>
      <w:bookmarkStart w:id="225" w:name="_Toc48834554"/>
      <w:bookmarkStart w:id="226" w:name="_Toc4769"/>
      <w:bookmarkStart w:id="227" w:name="_Toc13809"/>
      <w:bookmarkStart w:id="228" w:name="_Toc495014613"/>
      <w:bookmarkStart w:id="229" w:name="_Toc48834186"/>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14:paraId="35697691">
      <w:pPr>
        <w:keepNext w:val="0"/>
        <w:keepLines w:val="0"/>
        <w:pageBreakBefore w:val="0"/>
        <w:widowControl/>
        <w:kinsoku/>
        <w:overflowPunct/>
        <w:topLinePunct w:val="0"/>
        <w:bidi w:val="0"/>
        <w:spacing w:line="500" w:lineRule="exact"/>
        <w:ind w:left="0" w:leftChars="0" w:right="0" w:firstLine="646" w:firstLineChars="200"/>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44"/>
          <w:sz w:val="32"/>
          <w:szCs w:val="32"/>
          <w14:textFill>
            <w14:solidFill>
              <w14:schemeClr w14:val="tx1"/>
            </w14:solidFill>
          </w14:textFill>
        </w:rPr>
        <w:t>第六章</w:t>
      </w:r>
      <w:r>
        <w:rPr>
          <w:rFonts w:hint="eastAsia" w:ascii="宋体" w:hAnsi="宋体" w:eastAsia="宋体" w:cs="宋体"/>
          <w:color w:val="000000" w:themeColor="text1"/>
          <w:kern w:val="44"/>
          <w:sz w:val="32"/>
          <w:szCs w:val="32"/>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投标文件构成及格式</w:t>
      </w:r>
    </w:p>
    <w:p w14:paraId="52A5C64B">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p>
    <w:p w14:paraId="6666290E">
      <w:pPr>
        <w:keepNext w:val="0"/>
        <w:keepLines w:val="0"/>
        <w:pageBreakBefore w:val="0"/>
        <w:widowControl/>
        <w:kinsoku/>
        <w:overflowPunct/>
        <w:topLinePunct w:val="0"/>
        <w:bidi w:val="0"/>
        <w:spacing w:line="500" w:lineRule="exact"/>
        <w:ind w:left="0" w:leftChars="0" w:right="0" w:firstLine="566" w:firstLineChars="200"/>
        <w:textAlignment w:val="auto"/>
        <w:rPr>
          <w:rFonts w:hint="eastAsia" w:ascii="宋体" w:hAnsi="宋体" w:eastAsia="宋体" w:cs="宋体"/>
          <w:color w:val="000000" w:themeColor="text1"/>
          <w14:textFill>
            <w14:solidFill>
              <w14:schemeClr w14:val="tx1"/>
            </w14:solidFill>
          </w14:textFill>
        </w:rPr>
      </w:pPr>
    </w:p>
    <w:p w14:paraId="08B974EF">
      <w:pPr>
        <w:pStyle w:val="13"/>
        <w:keepNext w:val="0"/>
        <w:keepLines w:val="0"/>
        <w:pageBreakBefore w:val="0"/>
        <w:widowControl/>
        <w:kinsoku/>
        <w:overflowPunct/>
        <w:topLinePunct w:val="0"/>
        <w:bidi w:val="0"/>
        <w:spacing w:line="500" w:lineRule="exact"/>
        <w:ind w:left="0" w:leftChars="0" w:right="0" w:firstLine="486" w:firstLineChars="200"/>
        <w:textAlignment w:val="auto"/>
        <w:rPr>
          <w:rFonts w:hint="eastAsia" w:ascii="宋体" w:hAnsi="宋体" w:eastAsia="宋体" w:cs="宋体"/>
          <w:color w:val="000000" w:themeColor="text1"/>
          <w14:textFill>
            <w14:solidFill>
              <w14:schemeClr w14:val="tx1"/>
            </w14:solidFill>
          </w14:textFill>
        </w:rPr>
      </w:pPr>
    </w:p>
    <w:tbl>
      <w:tblPr>
        <w:tblStyle w:val="17"/>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0846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1797D2BE">
            <w:pPr>
              <w:keepNext w:val="0"/>
              <w:keepLines w:val="0"/>
              <w:pageBreakBefore w:val="0"/>
              <w:widowControl/>
              <w:kinsoku/>
              <w:overflowPunct/>
              <w:topLinePunct w:val="0"/>
              <w:bidi w:val="0"/>
              <w:spacing w:line="500" w:lineRule="exact"/>
              <w:ind w:left="0" w:leftChars="0" w:right="0"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注释： </w:t>
            </w:r>
          </w:p>
          <w:p w14:paraId="5962B619">
            <w:pPr>
              <w:keepNext w:val="0"/>
              <w:keepLines w:val="0"/>
              <w:pageBreakBefore w:val="0"/>
              <w:widowControl/>
              <w:kinsoku/>
              <w:overflowPunct/>
              <w:topLinePunct w:val="0"/>
              <w:bidi w:val="0"/>
              <w:spacing w:line="500" w:lineRule="exact"/>
              <w:ind w:left="0" w:leftChars="0" w:right="0"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本章分为三部分，是为方便投标人制作投标文件设计。第一、二部分应按要求或给定格式填报。</w:t>
            </w:r>
          </w:p>
          <w:p w14:paraId="6A72D4BD">
            <w:pPr>
              <w:keepNext w:val="0"/>
              <w:keepLines w:val="0"/>
              <w:pageBreakBefore w:val="0"/>
              <w:widowControl/>
              <w:kinsoku/>
              <w:overflowPunct/>
              <w:topLinePunct w:val="0"/>
              <w:bidi w:val="0"/>
              <w:spacing w:line="500" w:lineRule="exact"/>
              <w:ind w:left="0" w:leftChars="0" w:right="0"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第三部分投标方案格式仅供参考，投标人应根据项目特点，结合本次招标要求，对有关表格进行补充或修改，但不得对实质性文件的相关条款做出变动。</w:t>
            </w:r>
          </w:p>
        </w:tc>
      </w:tr>
    </w:tbl>
    <w:p w14:paraId="50311774">
      <w:pP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br w:type="page"/>
      </w:r>
    </w:p>
    <w:p w14:paraId="5779BF1D">
      <w:pPr>
        <w:pStyle w:val="31"/>
        <w:spacing w:line="240" w:lineRule="auto"/>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封面格式</w:t>
      </w:r>
    </w:p>
    <w:p w14:paraId="3C38FAC1">
      <w:pPr>
        <w:pStyle w:val="31"/>
        <w:spacing w:line="240" w:lineRule="auto"/>
        <w:ind w:firstLine="253" w:firstLineChars="70"/>
        <w:rPr>
          <w:rFonts w:hint="eastAsia" w:ascii="宋体" w:hAnsi="宋体" w:eastAsia="宋体" w:cs="宋体"/>
          <w:color w:val="000000" w:themeColor="text1"/>
          <w:sz w:val="36"/>
          <w:szCs w:val="36"/>
          <w14:textFill>
            <w14:solidFill>
              <w14:schemeClr w14:val="tx1"/>
            </w14:solidFill>
          </w14:textFill>
        </w:rPr>
      </w:pPr>
    </w:p>
    <w:p w14:paraId="431E9C9B">
      <w:pPr>
        <w:spacing w:line="240" w:lineRule="auto"/>
        <w:jc w:val="center"/>
        <w:rPr>
          <w:rFonts w:hint="eastAsia" w:ascii="宋体" w:hAnsi="宋体" w:eastAsia="宋体" w:cs="宋体"/>
          <w:color w:val="000000" w:themeColor="text1"/>
          <w:sz w:val="48"/>
          <w:szCs w:val="48"/>
          <w:lang w:eastAsia="zh-CN"/>
          <w14:textFill>
            <w14:solidFill>
              <w14:schemeClr w14:val="tx1"/>
            </w14:solidFill>
          </w14:textFill>
        </w:rPr>
      </w:pPr>
      <w:r>
        <w:rPr>
          <w:rFonts w:hint="eastAsia" w:ascii="宋体" w:hAnsi="宋体" w:eastAsia="宋体" w:cs="宋体"/>
          <w:color w:val="000000" w:themeColor="text1"/>
          <w:sz w:val="48"/>
          <w:szCs w:val="48"/>
          <w:lang w:eastAsia="zh-CN"/>
          <w14:textFill>
            <w14:solidFill>
              <w14:schemeClr w14:val="tx1"/>
            </w14:solidFill>
          </w14:textFill>
        </w:rPr>
        <w:t>吴堡县城市投资经营集团有限公司黄河</w:t>
      </w:r>
    </w:p>
    <w:p w14:paraId="04EACF0E">
      <w:pPr>
        <w:spacing w:line="240" w:lineRule="auto"/>
        <w:jc w:val="center"/>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48"/>
          <w:szCs w:val="48"/>
          <w:lang w:eastAsia="zh-CN"/>
          <w14:textFill>
            <w14:solidFill>
              <w14:schemeClr w14:val="tx1"/>
            </w14:solidFill>
          </w14:textFill>
        </w:rPr>
        <w:t>流域吴堡段202</w:t>
      </w:r>
      <w:r>
        <w:rPr>
          <w:rFonts w:hint="eastAsia" w:ascii="宋体" w:hAnsi="宋体" w:eastAsia="宋体" w:cs="宋体"/>
          <w:color w:val="000000" w:themeColor="text1"/>
          <w:sz w:val="48"/>
          <w:szCs w:val="48"/>
          <w:lang w:val="en-US" w:eastAsia="zh-CN"/>
          <w14:textFill>
            <w14:solidFill>
              <w14:schemeClr w14:val="tx1"/>
            </w14:solidFill>
          </w14:textFill>
        </w:rPr>
        <w:t>6</w:t>
      </w:r>
      <w:r>
        <w:rPr>
          <w:rFonts w:hint="eastAsia" w:ascii="宋体" w:hAnsi="宋体" w:eastAsia="宋体" w:cs="宋体"/>
          <w:color w:val="000000" w:themeColor="text1"/>
          <w:sz w:val="48"/>
          <w:szCs w:val="48"/>
          <w:lang w:eastAsia="zh-CN"/>
          <w14:textFill>
            <w14:solidFill>
              <w14:schemeClr w14:val="tx1"/>
            </w14:solidFill>
          </w14:textFill>
        </w:rPr>
        <w:t>年度采砂服务项目</w:t>
      </w:r>
    </w:p>
    <w:p w14:paraId="7A2536AC">
      <w:pPr>
        <w:spacing w:line="500" w:lineRule="exact"/>
        <w:ind w:right="11"/>
        <w:rPr>
          <w:rFonts w:hint="eastAsia" w:ascii="宋体" w:hAnsi="宋体" w:eastAsia="宋体" w:cs="宋体"/>
          <w:color w:val="000000" w:themeColor="text1"/>
          <w:u w:val="single"/>
          <w14:textFill>
            <w14:solidFill>
              <w14:schemeClr w14:val="tx1"/>
            </w14:solidFill>
          </w14:textFill>
        </w:rPr>
      </w:pPr>
    </w:p>
    <w:p w14:paraId="19755EAA">
      <w:pPr>
        <w:pStyle w:val="31"/>
        <w:spacing w:line="240" w:lineRule="auto"/>
        <w:ind w:firstLine="0" w:firstLineChars="0"/>
        <w:jc w:val="center"/>
        <w:rPr>
          <w:rFonts w:hint="eastAsia" w:ascii="宋体" w:hAnsi="宋体" w:eastAsia="宋体" w:cs="宋体"/>
          <w:color w:val="000000" w:themeColor="text1"/>
          <w:sz w:val="96"/>
          <w:szCs w:val="96"/>
          <w14:textFill>
            <w14:solidFill>
              <w14:schemeClr w14:val="tx1"/>
            </w14:solidFill>
          </w14:textFill>
        </w:rPr>
      </w:pPr>
      <w:r>
        <w:rPr>
          <w:rFonts w:hint="eastAsia" w:ascii="宋体" w:hAnsi="宋体" w:eastAsia="宋体" w:cs="宋体"/>
          <w:color w:val="000000" w:themeColor="text1"/>
          <w:spacing w:val="323"/>
          <w:kern w:val="0"/>
          <w:sz w:val="96"/>
          <w:szCs w:val="96"/>
          <w14:textFill>
            <w14:solidFill>
              <w14:schemeClr w14:val="tx1"/>
            </w14:solidFill>
          </w14:textFill>
        </w:rPr>
        <w:t>投标文</w:t>
      </w:r>
      <w:r>
        <w:rPr>
          <w:rFonts w:hint="eastAsia" w:ascii="宋体" w:hAnsi="宋体" w:eastAsia="宋体" w:cs="宋体"/>
          <w:color w:val="000000" w:themeColor="text1"/>
          <w:kern w:val="0"/>
          <w:sz w:val="96"/>
          <w:szCs w:val="96"/>
          <w14:textFill>
            <w14:solidFill>
              <w14:schemeClr w14:val="tx1"/>
            </w14:solidFill>
          </w14:textFill>
        </w:rPr>
        <w:t>件</w:t>
      </w:r>
    </w:p>
    <w:p w14:paraId="551CA15F">
      <w:pPr>
        <w:pStyle w:val="31"/>
        <w:spacing w:line="240" w:lineRule="auto"/>
        <w:ind w:firstLine="0" w:firstLineChars="0"/>
        <w:rPr>
          <w:rFonts w:hint="eastAsia" w:ascii="宋体" w:hAnsi="宋体" w:eastAsia="宋体" w:cs="宋体"/>
          <w:color w:val="000000" w:themeColor="text1"/>
          <w:sz w:val="36"/>
          <w14:textFill>
            <w14:solidFill>
              <w14:schemeClr w14:val="tx1"/>
            </w14:solidFill>
          </w14:textFill>
        </w:rPr>
      </w:pPr>
    </w:p>
    <w:p w14:paraId="26035614">
      <w:pPr>
        <w:pStyle w:val="31"/>
        <w:spacing w:line="240" w:lineRule="auto"/>
        <w:ind w:firstLine="0" w:firstLineChars="0"/>
        <w:rPr>
          <w:rFonts w:hint="eastAsia" w:ascii="宋体" w:hAnsi="宋体" w:eastAsia="宋体" w:cs="宋体"/>
          <w:color w:val="000000" w:themeColor="text1"/>
          <w:sz w:val="36"/>
          <w14:textFill>
            <w14:solidFill>
              <w14:schemeClr w14:val="tx1"/>
            </w14:solidFill>
          </w14:textFill>
        </w:rPr>
      </w:pPr>
    </w:p>
    <w:p w14:paraId="24DEE3E4">
      <w:pPr>
        <w:pStyle w:val="31"/>
        <w:spacing w:line="240" w:lineRule="auto"/>
        <w:ind w:firstLine="0" w:firstLineChars="0"/>
        <w:rPr>
          <w:rFonts w:hint="eastAsia" w:ascii="宋体" w:hAnsi="宋体" w:eastAsia="宋体" w:cs="宋体"/>
          <w:color w:val="000000" w:themeColor="text1"/>
          <w:sz w:val="36"/>
          <w14:textFill>
            <w14:solidFill>
              <w14:schemeClr w14:val="tx1"/>
            </w14:solidFill>
          </w14:textFill>
        </w:rPr>
      </w:pPr>
    </w:p>
    <w:p w14:paraId="573AC109">
      <w:pPr>
        <w:pStyle w:val="31"/>
        <w:spacing w:line="240" w:lineRule="auto"/>
        <w:ind w:firstLine="0" w:firstLineChars="0"/>
        <w:rPr>
          <w:rFonts w:hint="eastAsia" w:ascii="宋体" w:hAnsi="宋体" w:eastAsia="宋体" w:cs="宋体"/>
          <w:color w:val="000000" w:themeColor="text1"/>
          <w:sz w:val="36"/>
          <w14:textFill>
            <w14:solidFill>
              <w14:schemeClr w14:val="tx1"/>
            </w14:solidFill>
          </w14:textFill>
        </w:rPr>
      </w:pPr>
    </w:p>
    <w:p w14:paraId="3479FA4D">
      <w:pPr>
        <w:pStyle w:val="31"/>
        <w:spacing w:line="240" w:lineRule="auto"/>
        <w:ind w:firstLine="0" w:firstLineChars="0"/>
        <w:rPr>
          <w:rFonts w:hint="eastAsia" w:ascii="宋体" w:hAnsi="宋体" w:eastAsia="宋体" w:cs="宋体"/>
          <w:color w:val="000000" w:themeColor="text1"/>
          <w:sz w:val="36"/>
          <w14:textFill>
            <w14:solidFill>
              <w14:schemeClr w14:val="tx1"/>
            </w14:solidFill>
          </w14:textFill>
        </w:rPr>
      </w:pPr>
    </w:p>
    <w:p w14:paraId="50275D1D">
      <w:pPr>
        <w:pStyle w:val="31"/>
        <w:spacing w:line="240" w:lineRule="auto"/>
        <w:ind w:firstLine="1452" w:firstLineChars="400"/>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项目编号：</w:t>
      </w:r>
    </w:p>
    <w:p w14:paraId="6AC3878E">
      <w:pPr>
        <w:pStyle w:val="31"/>
        <w:spacing w:line="240" w:lineRule="auto"/>
        <w:ind w:firstLine="1452" w:firstLineChars="400"/>
        <w:rPr>
          <w:rFonts w:hint="default" w:ascii="宋体" w:hAnsi="宋体" w:eastAsia="宋体" w:cs="宋体"/>
          <w:color w:val="000000" w:themeColor="text1"/>
          <w:sz w:val="36"/>
          <w:szCs w:val="36"/>
          <w:u w:val="single"/>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标段名称：</w:t>
      </w:r>
      <w:r>
        <w:rPr>
          <w:rFonts w:hint="eastAsia" w:ascii="宋体" w:hAnsi="宋体" w:eastAsia="宋体" w:cs="宋体"/>
          <w:color w:val="000000" w:themeColor="text1"/>
          <w:sz w:val="36"/>
          <w:szCs w:val="36"/>
          <w:lang w:eastAsia="zh-CN"/>
          <w14:textFill>
            <w14:solidFill>
              <w14:schemeClr w14:val="tx1"/>
            </w14:solidFill>
          </w14:textFill>
        </w:rPr>
        <w:t>吴堡县城市投资经营集团有限公司黄河流域吴堡段2026年度采砂服务项目</w:t>
      </w:r>
      <w:r>
        <w:rPr>
          <w:rFonts w:hint="eastAsia" w:ascii="宋体" w:hAnsi="宋体" w:eastAsia="宋体" w:cs="宋体"/>
          <w:color w:val="000000" w:themeColor="text1"/>
          <w:sz w:val="36"/>
          <w:szCs w:val="36"/>
          <w:u w:val="single"/>
          <w:lang w:val="en-US" w:eastAsia="zh-CN"/>
          <w14:textFill>
            <w14:solidFill>
              <w14:schemeClr w14:val="tx1"/>
            </w14:solidFill>
          </w14:textFill>
        </w:rPr>
        <w:t xml:space="preserve">    </w:t>
      </w:r>
      <w:r>
        <w:rPr>
          <w:rFonts w:hint="eastAsia" w:ascii="宋体" w:hAnsi="宋体" w:eastAsia="宋体" w:cs="宋体"/>
          <w:color w:val="000000" w:themeColor="text1"/>
          <w:sz w:val="36"/>
          <w:szCs w:val="36"/>
          <w:u w:val="none"/>
          <w:lang w:val="en-US" w:eastAsia="zh-CN"/>
          <w14:textFill>
            <w14:solidFill>
              <w14:schemeClr w14:val="tx1"/>
            </w14:solidFill>
          </w14:textFill>
        </w:rPr>
        <w:t>标包</w:t>
      </w:r>
    </w:p>
    <w:p w14:paraId="365344F3">
      <w:pPr>
        <w:pStyle w:val="31"/>
        <w:spacing w:line="240" w:lineRule="auto"/>
        <w:ind w:firstLine="1452" w:firstLineChars="400"/>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供 应 商：（盖章）</w:t>
      </w:r>
    </w:p>
    <w:p w14:paraId="76FEE1A7">
      <w:pPr>
        <w:pStyle w:val="31"/>
        <w:spacing w:line="500" w:lineRule="exact"/>
        <w:ind w:firstLine="1452" w:firstLineChars="400"/>
        <w:jc w:val="both"/>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时  　间：</w:t>
      </w:r>
      <w:r>
        <w:rPr>
          <w:rFonts w:hint="eastAsia" w:ascii="宋体" w:hAnsi="宋体" w:eastAsia="宋体" w:cs="宋体"/>
          <w:color w:val="000000" w:themeColor="text1"/>
          <w:sz w:val="36"/>
          <w14:textFill>
            <w14:solidFill>
              <w14:schemeClr w14:val="tx1"/>
            </w14:solidFill>
          </w14:textFill>
        </w:rPr>
        <w:br w:type="page"/>
      </w:r>
      <w:r>
        <w:rPr>
          <w:rFonts w:hint="eastAsia" w:ascii="宋体" w:hAnsi="宋体" w:eastAsia="宋体" w:cs="宋体"/>
          <w:bCs/>
          <w:color w:val="000000" w:themeColor="text1"/>
          <w:sz w:val="40"/>
          <w:szCs w:val="40"/>
          <w14:textFill>
            <w14:solidFill>
              <w14:schemeClr w14:val="tx1"/>
            </w14:solidFill>
          </w14:textFill>
        </w:rPr>
        <w:t>目 录</w:t>
      </w:r>
    </w:p>
    <w:p w14:paraId="66BDBE2E">
      <w:pPr>
        <w:tabs>
          <w:tab w:val="right" w:leader="hyphen" w:pos="8504"/>
        </w:tabs>
        <w:spacing w:line="500" w:lineRule="exact"/>
        <w:ind w:left="1981" w:leftChars="200" w:right="849" w:rightChars="300" w:hanging="1415" w:hanging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第一部分  资格证明文件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A3CF173">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一、营业执照等主体资格证明文件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6389F677">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二、社保缴纳证明</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0DCCACC1">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三、税收缴纳证明</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755E3C21">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财务状况报告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08708699">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2547" w:leftChars="500" w:right="0" w:rightChars="0" w:hanging="1132" w:hangingChars="4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五、提供具有履行合同所必需的服务和专业技术能力的承诺</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308780A0">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、法定代表人授权委托书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5F010BF7">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、信用记录</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6D8E7F5">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1981" w:leftChars="500" w:right="0" w:rightChars="0" w:hanging="566" w:hanging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榆林市政府采购工程类</w:t>
      </w:r>
      <w:r>
        <w:rPr>
          <w:rFonts w:hint="eastAsia" w:ascii="宋体" w:hAnsi="宋体" w:eastAsia="宋体" w:cs="宋体"/>
          <w:color w:val="000000" w:themeColor="text1"/>
          <w14:textFill>
            <w14:solidFill>
              <w14:schemeClr w14:val="tx1"/>
            </w14:solidFill>
          </w14:textFill>
        </w:rPr>
        <w:t>/货物类/服务类项目供应商</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信用承诺书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65E85F50">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1698" w:leftChars="500" w:right="0" w:rightChars="0" w:hanging="283" w:hangingChars="1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供应商拟投入本项目的开采作业船舶应具有有效船舶检验证书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3CB968C3">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、信用承诺书（保证金）</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842EB4E">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1415" w:firstLineChars="5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十一</w:t>
      </w:r>
      <w:r>
        <w:rPr>
          <w:rFonts w:hint="eastAsia" w:ascii="宋体" w:hAnsi="宋体" w:eastAsia="宋体" w:cs="宋体"/>
          <w:color w:val="000000" w:themeColor="text1"/>
          <w14:textFill>
            <w14:solidFill>
              <w14:schemeClr w14:val="tx1"/>
            </w14:solidFill>
          </w14:textFill>
        </w:rPr>
        <w:t>、参加政府采购活动前三年内，在经营活动中没有重大违法记录的书面声明</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2CA2BF32">
      <w:pPr>
        <w:tabs>
          <w:tab w:val="right" w:leader="hyphen" w:pos="8504"/>
        </w:tabs>
        <w:spacing w:line="500" w:lineRule="exact"/>
        <w:ind w:left="2276" w:leftChars="500" w:right="849" w:rightChars="300" w:hanging="861" w:hanging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十二、本项目不接受联合体投标，须提供非联合体投标声明函</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78B758F4">
      <w:pPr>
        <w:tabs>
          <w:tab w:val="right" w:leader="hyphen" w:pos="8504"/>
        </w:tabs>
        <w:spacing w:line="500" w:lineRule="exact"/>
        <w:ind w:right="849" w:rightChars="300"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第二部分  符合性证明文件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08E18A1D">
      <w:pPr>
        <w:tabs>
          <w:tab w:val="right" w:leader="hyphen" w:pos="8504"/>
        </w:tabs>
        <w:spacing w:line="500" w:lineRule="exact"/>
        <w:ind w:right="849" w:rightChars="300" w:firstLine="1415"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一、投标函格式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3ABA175B">
      <w:pPr>
        <w:tabs>
          <w:tab w:val="right" w:leader="hyphen" w:pos="8504"/>
        </w:tabs>
        <w:spacing w:line="500" w:lineRule="exact"/>
        <w:ind w:left="1981" w:leftChars="200" w:right="849" w:rightChars="300" w:hanging="1415" w:hanging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二、开标一览表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32ABD565">
      <w:pPr>
        <w:tabs>
          <w:tab w:val="right" w:leader="hyphen" w:pos="8504"/>
        </w:tabs>
        <w:spacing w:line="500" w:lineRule="exact"/>
        <w:ind w:left="1981" w:leftChars="200" w:right="849" w:rightChars="300" w:hanging="1415" w:hanging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分项报价表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62708B2E">
      <w:pPr>
        <w:tabs>
          <w:tab w:val="right" w:leader="hyphen" w:pos="8504"/>
        </w:tabs>
        <w:spacing w:line="500" w:lineRule="exact"/>
        <w:ind w:right="849" w:rightChars="300" w:firstLine="1415"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三、投标人参加政府采购活动承诺书</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2D0C343A">
      <w:pPr>
        <w:tabs>
          <w:tab w:val="right" w:leader="hyphen" w:pos="8504"/>
        </w:tabs>
        <w:spacing w:line="500" w:lineRule="exact"/>
        <w:ind w:right="849" w:rightChars="300" w:firstLine="1415"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四、技术服务偏差表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1A5ACB14">
      <w:pPr>
        <w:tabs>
          <w:tab w:val="right" w:leader="hyphen" w:pos="8504"/>
        </w:tabs>
        <w:spacing w:line="500" w:lineRule="exact"/>
        <w:ind w:left="1981" w:leftChars="200" w:right="849" w:rightChars="300" w:hanging="1415" w:hanging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五、合同条款响应</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502138CC">
      <w:pPr>
        <w:tabs>
          <w:tab w:val="right" w:leader="hyphen" w:pos="8504"/>
        </w:tabs>
        <w:spacing w:line="500" w:lineRule="exact"/>
        <w:ind w:right="849" w:right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第三部分  投标方案</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94CBC73">
      <w:pPr>
        <w:tabs>
          <w:tab w:val="right" w:leader="hyphen" w:pos="8504"/>
        </w:tabs>
        <w:spacing w:line="500" w:lineRule="exact"/>
        <w:ind w:right="849" w:rightChars="300" w:firstLine="1415"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一、投标人性质及其概况</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6D3910A8">
      <w:pPr>
        <w:tabs>
          <w:tab w:val="right" w:leader="hyphen" w:pos="8504"/>
        </w:tabs>
        <w:spacing w:line="500" w:lineRule="exact"/>
        <w:ind w:right="849" w:rightChars="300" w:firstLine="1995" w:firstLineChars="7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投标人基本信息</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7E54366F">
      <w:pPr>
        <w:tabs>
          <w:tab w:val="right" w:leader="hyphen" w:pos="8504"/>
        </w:tabs>
        <w:spacing w:line="500" w:lineRule="exact"/>
        <w:ind w:right="849" w:rightChars="300" w:firstLine="1995" w:firstLineChars="7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投标人性质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8BCB5BF">
      <w:pPr>
        <w:tabs>
          <w:tab w:val="right" w:leader="hyphen" w:pos="8504"/>
        </w:tabs>
        <w:spacing w:line="500" w:lineRule="exact"/>
        <w:ind w:right="849" w:rightChars="300" w:firstLine="1995" w:firstLineChars="70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5F2AB34">
      <w:pPr>
        <w:numPr>
          <w:ilvl w:val="0"/>
          <w:numId w:val="3"/>
        </w:numPr>
        <w:tabs>
          <w:tab w:val="right" w:leader="hyphen" w:pos="8504"/>
        </w:tabs>
        <w:spacing w:line="500" w:lineRule="exact"/>
        <w:ind w:right="849" w:rightChars="300" w:firstLine="1415"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投标方案</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06E9655">
      <w:pPr>
        <w:numPr>
          <w:ilvl w:val="0"/>
          <w:numId w:val="3"/>
        </w:numPr>
        <w:tabs>
          <w:tab w:val="right" w:leader="hyphen" w:pos="8504"/>
        </w:tabs>
        <w:spacing w:line="500" w:lineRule="exact"/>
        <w:ind w:right="849" w:rightChars="300" w:firstLine="1415"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参考样表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6DA17B80">
      <w:pPr>
        <w:tabs>
          <w:tab w:val="right" w:leader="hyphen" w:pos="8504"/>
        </w:tabs>
        <w:spacing w:line="500" w:lineRule="exact"/>
        <w:ind w:right="849" w:rightChars="300" w:firstLine="1415" w:firstLineChars="5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四、投标人认为有利于中标的其他情况说明</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X</w:t>
      </w:r>
    </w:p>
    <w:p w14:paraId="4E6E72E2">
      <w:pPr>
        <w:pStyle w:val="34"/>
        <w:pageBreakBefore w:val="0"/>
        <w:kinsoku/>
        <w:wordWrap/>
        <w:bidi w:val="0"/>
        <w:spacing w:line="500" w:lineRule="exact"/>
        <w:ind w:left="0" w:right="0" w:firstLine="566" w:firstLineChars="20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230" w:name="_Toc48834117"/>
      <w:bookmarkStart w:id="231" w:name="_Toc1615"/>
      <w:bookmarkStart w:id="232" w:name="_Toc13465"/>
      <w:bookmarkStart w:id="233" w:name="_Toc48834314"/>
      <w:bookmarkStart w:id="234" w:name="_Toc48834476"/>
      <w:bookmarkStart w:id="235" w:name="_Toc48834555"/>
      <w:bookmarkStart w:id="236" w:name="_Toc48834187"/>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第一部分  资格证明文件</w:t>
      </w:r>
      <w:bookmarkEnd w:id="230"/>
      <w:bookmarkEnd w:id="231"/>
      <w:bookmarkEnd w:id="232"/>
      <w:bookmarkEnd w:id="233"/>
      <w:bookmarkEnd w:id="234"/>
      <w:bookmarkEnd w:id="235"/>
      <w:bookmarkEnd w:id="236"/>
    </w:p>
    <w:p w14:paraId="74D92258">
      <w:pPr>
        <w:pageBreakBefore w:val="0"/>
        <w:kinsoku/>
        <w:bidi w:val="0"/>
        <w:spacing w:line="500" w:lineRule="exact"/>
        <w:ind w:left="0" w:leftChars="0" w:right="0" w:rightChars="0" w:firstLine="566" w:firstLineChars="200"/>
        <w:jc w:val="both"/>
        <w:textAlignment w:val="auto"/>
        <w:rPr>
          <w:rFonts w:hint="eastAsia" w:ascii="宋体" w:hAnsi="宋体" w:eastAsia="宋体" w:cs="宋体"/>
          <w:b/>
          <w:color w:val="000000" w:themeColor="text1"/>
          <w14:textFill>
            <w14:solidFill>
              <w14:schemeClr w14:val="tx1"/>
            </w14:solidFill>
          </w14:textFill>
        </w:rPr>
      </w:pPr>
      <w:bookmarkStart w:id="237" w:name="_Toc9321"/>
      <w:bookmarkStart w:id="238" w:name="_Toc18571"/>
      <w:bookmarkStart w:id="239" w:name="_Toc16287"/>
      <w:bookmarkStart w:id="240" w:name="_Toc18338"/>
      <w:bookmarkStart w:id="241" w:name="_Toc16358"/>
      <w:bookmarkStart w:id="242" w:name="_Toc528596085"/>
      <w:r>
        <w:rPr>
          <w:rFonts w:hint="eastAsia" w:ascii="宋体" w:hAnsi="宋体" w:eastAsia="宋体" w:cs="宋体"/>
          <w:color w:val="000000" w:themeColor="text1"/>
          <w14:textFill>
            <w14:solidFill>
              <w14:schemeClr w14:val="tx1"/>
            </w14:solidFill>
          </w14:textFill>
        </w:rPr>
        <w:t>供应商按以下要求逐一提供全部资料，缺少其中任何一项，其响应文件将被视为</w:t>
      </w:r>
      <w:r>
        <w:rPr>
          <w:rFonts w:hint="eastAsia" w:ascii="宋体" w:hAnsi="宋体" w:eastAsia="宋体" w:cs="宋体"/>
          <w:b/>
          <w:color w:val="000000" w:themeColor="text1"/>
          <w14:textFill>
            <w14:solidFill>
              <w14:schemeClr w14:val="tx1"/>
            </w14:solidFill>
          </w14:textFill>
        </w:rPr>
        <w:t>无效文件</w:t>
      </w:r>
      <w:r>
        <w:rPr>
          <w:rFonts w:hint="eastAsia" w:ascii="宋体" w:hAnsi="宋体" w:eastAsia="宋体" w:cs="宋体"/>
          <w:color w:val="000000" w:themeColor="text1"/>
          <w14:textFill>
            <w14:solidFill>
              <w14:schemeClr w14:val="tx1"/>
            </w14:solidFill>
          </w14:textFill>
        </w:rPr>
        <w:t>。其中，《法定代表人授权委托书</w:t>
      </w:r>
      <w:r>
        <w:rPr>
          <w:rFonts w:hint="eastAsia" w:ascii="宋体" w:hAnsi="宋体" w:eastAsia="宋体" w:cs="宋体"/>
          <w:color w:val="000000" w:themeColor="text1"/>
          <w:lang w:eastAsia="zh-CN"/>
          <w14:textFill>
            <w14:solidFill>
              <w14:schemeClr w14:val="tx1"/>
            </w14:solidFill>
          </w14:textFill>
        </w:rPr>
        <w:t>》《榆林市政府采购工程类</w:t>
      </w:r>
      <w:r>
        <w:rPr>
          <w:rFonts w:hint="eastAsia" w:ascii="宋体" w:hAnsi="宋体" w:eastAsia="宋体" w:cs="宋体"/>
          <w:color w:val="000000" w:themeColor="text1"/>
          <w14:textFill>
            <w14:solidFill>
              <w14:schemeClr w14:val="tx1"/>
            </w14:solidFill>
          </w14:textFill>
        </w:rPr>
        <w:t>/货物类/服务类项目供应商信用承诺书</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信用承诺书》（保证金）、《供应商书面声明函</w:t>
      </w:r>
      <w:r>
        <w:rPr>
          <w:rFonts w:hint="eastAsia" w:ascii="宋体" w:hAnsi="宋体" w:eastAsia="宋体" w:cs="宋体"/>
          <w:color w:val="000000" w:themeColor="text1"/>
          <w:lang w:eastAsia="zh-CN"/>
          <w14:textFill>
            <w14:solidFill>
              <w14:schemeClr w14:val="tx1"/>
            </w14:solidFill>
          </w14:textFill>
        </w:rPr>
        <w:t>》《中小企业声明函》</w:t>
      </w:r>
      <w:r>
        <w:rPr>
          <w:rFonts w:hint="eastAsia" w:ascii="宋体" w:hAnsi="宋体" w:eastAsia="宋体" w:cs="宋体"/>
          <w:color w:val="000000" w:themeColor="text1"/>
          <w14:textFill>
            <w14:solidFill>
              <w14:schemeClr w14:val="tx1"/>
            </w14:solidFill>
          </w14:textFill>
        </w:rPr>
        <w:t>应按下文给定格式填写，否则按</w:t>
      </w:r>
      <w:r>
        <w:rPr>
          <w:rFonts w:hint="eastAsia" w:ascii="宋体" w:hAnsi="宋体" w:eastAsia="宋体" w:cs="宋体"/>
          <w:b/>
          <w:color w:val="000000" w:themeColor="text1"/>
          <w14:textFill>
            <w14:solidFill>
              <w14:schemeClr w14:val="tx1"/>
            </w14:solidFill>
          </w14:textFill>
        </w:rPr>
        <w:t>无效处理</w:t>
      </w:r>
      <w:r>
        <w:rPr>
          <w:rFonts w:hint="eastAsia" w:ascii="宋体" w:hAnsi="宋体" w:eastAsia="宋体" w:cs="宋体"/>
          <w:color w:val="000000" w:themeColor="text1"/>
          <w14:textFill>
            <w14:solidFill>
              <w14:schemeClr w14:val="tx1"/>
            </w14:solidFill>
          </w14:textFill>
        </w:rPr>
        <w:t>。特别说明，法定代表人亲自参加的，可不提供法定代表人授权委托书，但须提供其本人身份证（正反面）复印件。</w:t>
      </w:r>
    </w:p>
    <w:p w14:paraId="64BA9F84">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一、营业执照等主体资格证明文件</w:t>
      </w:r>
      <w:r>
        <w:rPr>
          <w:rFonts w:hint="eastAsia" w:ascii="宋体" w:hAnsi="宋体" w:eastAsia="宋体" w:cs="宋体"/>
          <w:color w:val="000000" w:themeColor="text1"/>
          <w14:textFill>
            <w14:solidFill>
              <w14:schemeClr w14:val="tx1"/>
            </w14:solidFill>
          </w14:textFill>
        </w:rPr>
        <w:tab/>
      </w:r>
    </w:p>
    <w:p w14:paraId="1C848067">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二、社保缴纳证明</w:t>
      </w:r>
      <w:r>
        <w:rPr>
          <w:rFonts w:hint="eastAsia" w:ascii="宋体" w:hAnsi="宋体" w:eastAsia="宋体" w:cs="宋体"/>
          <w:color w:val="000000" w:themeColor="text1"/>
          <w14:textFill>
            <w14:solidFill>
              <w14:schemeClr w14:val="tx1"/>
            </w14:solidFill>
          </w14:textFill>
        </w:rPr>
        <w:tab/>
      </w:r>
    </w:p>
    <w:p w14:paraId="54E509AF">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三、税收缴纳证明</w:t>
      </w:r>
    </w:p>
    <w:p w14:paraId="5C7373E4">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四、财务状况报告</w:t>
      </w:r>
    </w:p>
    <w:p w14:paraId="49E8BC85">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五、提供具有履行合同所必需的设备和专业技术能力的承诺函；</w:t>
      </w:r>
      <w:r>
        <w:rPr>
          <w:rFonts w:hint="eastAsia" w:ascii="宋体" w:hAnsi="宋体" w:eastAsia="宋体" w:cs="宋体"/>
          <w:color w:val="000000" w:themeColor="text1"/>
          <w14:textFill>
            <w14:solidFill>
              <w14:schemeClr w14:val="tx1"/>
            </w14:solidFill>
          </w14:textFill>
        </w:rPr>
        <w:tab/>
      </w:r>
    </w:p>
    <w:p w14:paraId="2A524140">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、法定代表人授权委托书</w:t>
      </w:r>
      <w:r>
        <w:rPr>
          <w:rFonts w:hint="eastAsia" w:ascii="宋体" w:hAnsi="宋体" w:eastAsia="宋体" w:cs="宋体"/>
          <w:color w:val="000000" w:themeColor="text1"/>
          <w14:textFill>
            <w14:solidFill>
              <w14:schemeClr w14:val="tx1"/>
            </w14:solidFill>
          </w14:textFill>
        </w:rPr>
        <w:tab/>
      </w:r>
    </w:p>
    <w:p w14:paraId="43DEDB86">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、信用记录</w:t>
      </w:r>
    </w:p>
    <w:p w14:paraId="499B27BA">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八</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榆林市政府采购工程类</w:t>
      </w:r>
      <w:r>
        <w:rPr>
          <w:rFonts w:hint="eastAsia" w:ascii="宋体" w:hAnsi="宋体" w:eastAsia="宋体" w:cs="宋体"/>
          <w:color w:val="000000" w:themeColor="text1"/>
          <w:sz w:val="28"/>
          <w:szCs w:val="28"/>
          <w14:textFill>
            <w14:solidFill>
              <w14:schemeClr w14:val="tx1"/>
            </w14:solidFill>
          </w14:textFill>
        </w:rPr>
        <w:t>/货物类/服务类项目供应商信用承诺书</w:t>
      </w:r>
    </w:p>
    <w:p w14:paraId="52006356">
      <w:pPr>
        <w:pageBreakBefore w:val="0"/>
        <w:numPr>
          <w:ilvl w:val="0"/>
          <w:numId w:val="0"/>
        </w:numPr>
        <w:kinsoku/>
        <w:bidi w:val="0"/>
        <w:spacing w:line="500" w:lineRule="exact"/>
        <w:ind w:right="0" w:rightChars="0" w:firstLine="574" w:firstLineChars="200"/>
        <w:jc w:val="both"/>
        <w:textAlignment w:val="auto"/>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pPr>
      <w:r>
        <w:rPr>
          <w:rFonts w:hint="eastAsia" w:ascii="宋体" w:hAnsi="宋体" w:eastAsia="宋体" w:cs="宋体"/>
          <w:color w:val="000000" w:themeColor="text1"/>
          <w:spacing w:val="2"/>
          <w:kern w:val="0"/>
          <w:sz w:val="28"/>
          <w:szCs w:val="28"/>
          <w:lang w:val="en-US" w:eastAsia="zh-CN" w:bidi="ar-SA"/>
          <w14:textFill>
            <w14:solidFill>
              <w14:schemeClr w14:val="tx1"/>
            </w14:solidFill>
          </w14:textFill>
        </w:rPr>
        <w:t>九、供应商拟投入本项目的开采作业船舶应具有有效船舶检验证书</w:t>
      </w:r>
    </w:p>
    <w:p w14:paraId="05B8D15D">
      <w:pPr>
        <w:pageBreakBefore w:val="0"/>
        <w:numPr>
          <w:ilvl w:val="0"/>
          <w:numId w:val="0"/>
        </w:numPr>
        <w:kinsoku/>
        <w:bidi w:val="0"/>
        <w:spacing w:line="500" w:lineRule="exact"/>
        <w:ind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信用承诺书（保证金）</w:t>
      </w:r>
    </w:p>
    <w:p w14:paraId="5A52DDE8">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十一</w:t>
      </w:r>
      <w:r>
        <w:rPr>
          <w:rFonts w:hint="eastAsia" w:ascii="宋体" w:hAnsi="宋体" w:eastAsia="宋体" w:cs="宋体"/>
          <w:color w:val="000000" w:themeColor="text1"/>
          <w14:textFill>
            <w14:solidFill>
              <w14:schemeClr w14:val="tx1"/>
            </w14:solidFill>
          </w14:textFill>
        </w:rPr>
        <w:t>、参加政府采购活动前三年内，在经营活动中没有重大违法记录的书面声明。</w:t>
      </w:r>
    </w:p>
    <w:p w14:paraId="60FE9419">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十二、本项目不接受联合体投标，须提供非联合体投标声明函（单位负责人为同一人或者存在直接控股、管理关系的不同投标人，不得参加同一合同项下的政府采购活动，不允许分包、转包）</w:t>
      </w:r>
      <w:r>
        <w:rPr>
          <w:rFonts w:hint="eastAsia" w:ascii="宋体" w:hAnsi="宋体" w:eastAsia="宋体" w:cs="宋体"/>
          <w:color w:val="000000" w:themeColor="text1"/>
          <w:lang w:val="en-US" w:eastAsia="zh-CN"/>
          <w14:textFill>
            <w14:solidFill>
              <w14:schemeClr w14:val="tx1"/>
            </w14:solidFill>
          </w14:textFill>
        </w:rPr>
        <w:br w:type="textWrapping"/>
      </w:r>
    </w:p>
    <w:p w14:paraId="090C4BFC">
      <w:pPr>
        <w:pageBreakBefore w:val="0"/>
        <w:kinsoku/>
        <w:wordWrap/>
        <w:bidi w:val="0"/>
        <w:spacing w:line="500" w:lineRule="exact"/>
        <w:ind w:left="0" w:right="0" w:firstLine="566" w:firstLineChars="200"/>
        <w:jc w:val="center"/>
        <w:textAlignment w:val="auto"/>
        <w:rPr>
          <w:rFonts w:hint="eastAsia" w:ascii="宋体" w:hAnsi="宋体" w:eastAsia="宋体" w:cs="宋体"/>
          <w:b/>
          <w:color w:val="000000" w:themeColor="text1"/>
          <w:sz w:val="28"/>
          <w:szCs w:val="28"/>
          <w14:textFill>
            <w14:solidFill>
              <w14:schemeClr w14:val="tx1"/>
            </w14:solidFill>
          </w14:textFill>
        </w:rPr>
      </w:pPr>
    </w:p>
    <w:p w14:paraId="4777C1E8">
      <w:pPr>
        <w:pageBreakBefore w:val="0"/>
        <w:kinsoku/>
        <w:wordWrap/>
        <w:bidi w:val="0"/>
        <w:spacing w:line="500" w:lineRule="exact"/>
        <w:ind w:left="0" w:right="0" w:firstLine="566" w:firstLineChars="200"/>
        <w:jc w:val="center"/>
        <w:textAlignment w:val="auto"/>
        <w:rPr>
          <w:rFonts w:hint="eastAsia" w:ascii="宋体" w:hAnsi="宋体" w:eastAsia="宋体" w:cs="宋体"/>
          <w:b/>
          <w:color w:val="000000" w:themeColor="text1"/>
          <w:sz w:val="28"/>
          <w:szCs w:val="28"/>
          <w14:textFill>
            <w14:solidFill>
              <w14:schemeClr w14:val="tx1"/>
            </w14:solidFill>
          </w14:textFill>
        </w:rPr>
      </w:pPr>
    </w:p>
    <w:p w14:paraId="4372D192">
      <w:pPr>
        <w:pageBreakBefore w:val="0"/>
        <w:kinsoku/>
        <w:wordWrap/>
        <w:bidi w:val="0"/>
        <w:spacing w:line="500" w:lineRule="exact"/>
        <w:ind w:right="0"/>
        <w:jc w:val="center"/>
        <w:textAlignment w:val="auto"/>
        <w:rPr>
          <w:rFonts w:hint="eastAsia" w:ascii="宋体" w:hAnsi="宋体" w:eastAsia="宋体" w:cs="宋体"/>
          <w:b/>
          <w:color w:val="000000" w:themeColor="text1"/>
          <w:sz w:val="28"/>
          <w:szCs w:val="28"/>
          <w14:textFill>
            <w14:solidFill>
              <w14:schemeClr w14:val="tx1"/>
            </w14:solidFill>
          </w14:textFill>
        </w:rPr>
      </w:pPr>
    </w:p>
    <w:p w14:paraId="5B0D41F4">
      <w:pPr>
        <w:pageBreakBefore w:val="0"/>
        <w:kinsoku/>
        <w:wordWrap/>
        <w:bidi w:val="0"/>
        <w:spacing w:line="500" w:lineRule="exact"/>
        <w:ind w:right="0"/>
        <w:jc w:val="center"/>
        <w:textAlignment w:val="auto"/>
        <w:rPr>
          <w:rFonts w:hint="eastAsia" w:ascii="宋体" w:hAnsi="宋体" w:eastAsia="宋体" w:cs="宋体"/>
          <w:b/>
          <w:color w:val="000000" w:themeColor="text1"/>
          <w:sz w:val="28"/>
          <w:szCs w:val="28"/>
          <w14:textFill>
            <w14:solidFill>
              <w14:schemeClr w14:val="tx1"/>
            </w14:solidFill>
          </w14:textFill>
        </w:rPr>
      </w:pPr>
    </w:p>
    <w:p w14:paraId="1EE8FD59">
      <w:pPr>
        <w:pageBreakBefore w:val="0"/>
        <w:kinsoku/>
        <w:wordWrap/>
        <w:bidi w:val="0"/>
        <w:spacing w:line="500" w:lineRule="exact"/>
        <w:ind w:right="0"/>
        <w:jc w:val="center"/>
        <w:textAlignment w:val="auto"/>
        <w:rPr>
          <w:rFonts w:hint="eastAsia" w:ascii="宋体" w:hAnsi="宋体" w:eastAsia="宋体" w:cs="宋体"/>
          <w:b/>
          <w:color w:val="000000" w:themeColor="text1"/>
          <w:sz w:val="28"/>
          <w:szCs w:val="28"/>
          <w14:textFill>
            <w14:solidFill>
              <w14:schemeClr w14:val="tx1"/>
            </w14:solidFill>
          </w14:textFill>
        </w:rPr>
      </w:pPr>
    </w:p>
    <w:p w14:paraId="0266BF8C">
      <w:pPr>
        <w:pageBreakBefore w:val="0"/>
        <w:kinsoku/>
        <w:wordWrap/>
        <w:bidi w:val="0"/>
        <w:spacing w:line="500" w:lineRule="exact"/>
        <w:ind w:right="0"/>
        <w:jc w:val="center"/>
        <w:textAlignment w:val="auto"/>
        <w:rPr>
          <w:rFonts w:hint="eastAsia" w:ascii="宋体" w:hAnsi="宋体" w:eastAsia="宋体" w:cs="宋体"/>
          <w:b/>
          <w:color w:val="000000" w:themeColor="text1"/>
          <w:sz w:val="28"/>
          <w:szCs w:val="28"/>
          <w14:textFill>
            <w14:solidFill>
              <w14:schemeClr w14:val="tx1"/>
            </w14:solidFill>
          </w14:textFill>
        </w:rPr>
      </w:pPr>
    </w:p>
    <w:p w14:paraId="734466A4">
      <w:pPr>
        <w:pageBreakBefore w:val="0"/>
        <w:kinsoku/>
        <w:wordWrap/>
        <w:bidi w:val="0"/>
        <w:spacing w:line="500" w:lineRule="exact"/>
        <w:ind w:right="0"/>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法定代表人授权委托书</w:t>
      </w:r>
      <w:bookmarkEnd w:id="237"/>
      <w:bookmarkEnd w:id="238"/>
      <w:bookmarkEnd w:id="239"/>
      <w:bookmarkEnd w:id="240"/>
      <w:bookmarkEnd w:id="241"/>
      <w:bookmarkEnd w:id="242"/>
    </w:p>
    <w:p w14:paraId="0118FB2C">
      <w:pPr>
        <w:pageBreakBefore w:val="0"/>
        <w:kinsoku/>
        <w:wordWrap/>
        <w:bidi w:val="0"/>
        <w:snapToGrid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14:textFill>
            <w14:solidFill>
              <w14:schemeClr w14:val="tx1"/>
            </w14:solidFill>
          </w14:textFill>
        </w:rPr>
        <w:t>：</w:t>
      </w:r>
    </w:p>
    <w:p w14:paraId="2325BC9D">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现委派</w:t>
      </w:r>
      <w:r>
        <w:rPr>
          <w:rFonts w:hint="eastAsia" w:ascii="宋体" w:hAnsi="宋体" w:eastAsia="宋体" w:cs="宋体"/>
          <w:color w:val="000000" w:themeColor="text1"/>
          <w:u w:val="single"/>
          <w14:textFill>
            <w14:solidFill>
              <w14:schemeClr w14:val="tx1"/>
            </w14:solidFill>
          </w14:textFill>
        </w:rPr>
        <w:t>（授权代表姓名）</w:t>
      </w:r>
      <w:r>
        <w:rPr>
          <w:rFonts w:hint="eastAsia" w:ascii="宋体" w:hAnsi="宋体" w:eastAsia="宋体" w:cs="宋体"/>
          <w:color w:val="000000" w:themeColor="text1"/>
          <w14:textFill>
            <w14:solidFill>
              <w14:schemeClr w14:val="tx1"/>
            </w14:solidFill>
          </w14:textFill>
        </w:rPr>
        <w:t>为本公司的授权代表，参加贵中心组织的</w:t>
      </w:r>
      <w:bookmarkStart w:id="243" w:name="_top"/>
      <w:bookmarkEnd w:id="243"/>
      <w:r>
        <w:rPr>
          <w:rFonts w:hint="eastAsia" w:ascii="宋体" w:hAnsi="宋体" w:eastAsia="宋体" w:cs="宋体"/>
          <w:color w:val="000000" w:themeColor="text1"/>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4B490195">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14:paraId="4B490195">
                      <w:pPr>
                        <w:pStyle w:val="11"/>
                      </w:pPr>
                    </w:p>
                  </w:txbxContent>
                </v:textbox>
              </v:shape>
            </w:pict>
          </mc:Fallback>
        </mc:AlternateConten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》（项目编号：）第____标段政府采购活动，就该项目的投标及合同的执行和完成，以本公司的名义处理一切与之有关的事宜。</w:t>
      </w:r>
    </w:p>
    <w:p w14:paraId="2DC9FEF5">
      <w:pPr>
        <w:pageBreakBefore w:val="0"/>
        <w:tabs>
          <w:tab w:val="left" w:pos="5245"/>
        </w:tabs>
        <w:kinsoku/>
        <w:wordWrap/>
        <w:bidi w:val="0"/>
        <w:snapToGrid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授权代表姓名：________________   性别：_______________</w:t>
      </w:r>
    </w:p>
    <w:p w14:paraId="7B1DC711">
      <w:pPr>
        <w:pageBreakBefore w:val="0"/>
        <w:tabs>
          <w:tab w:val="left" w:pos="5245"/>
        </w:tabs>
        <w:kinsoku/>
        <w:wordWrap/>
        <w:bidi w:val="0"/>
        <w:snapToGrid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职务：________________           电话：_______________</w:t>
      </w:r>
    </w:p>
    <w:p w14:paraId="5301F25F">
      <w:pPr>
        <w:pageBreakBefore w:val="0"/>
        <w:kinsoku/>
        <w:wordWrap/>
        <w:bidi w:val="0"/>
        <w:snapToGrid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通讯地址：___________________    邮政编码：___________</w:t>
      </w:r>
    </w:p>
    <w:tbl>
      <w:tblPr>
        <w:tblStyle w:val="17"/>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4415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14:paraId="5E559E58">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法定代表人身份证复印件</w:t>
            </w:r>
          </w:p>
          <w:p w14:paraId="7FC0FE0E">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（一面）</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388546E1">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授权代表</w:t>
            </w:r>
          </w:p>
          <w:p w14:paraId="3F703B1B">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身份证复印件</w:t>
            </w:r>
          </w:p>
          <w:p w14:paraId="5626AB8F">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（一面）</w:t>
            </w:r>
          </w:p>
        </w:tc>
      </w:tr>
      <w:tr w14:paraId="4840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4072" w:type="dxa"/>
            <w:noWrap w:val="0"/>
            <w:vAlign w:val="center"/>
          </w:tcPr>
          <w:p w14:paraId="5C7D1FC7">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法定代表人身份证复印件</w:t>
            </w:r>
          </w:p>
          <w:p w14:paraId="1F610C6B">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（另一面）</w:t>
            </w:r>
          </w:p>
        </w:tc>
        <w:tc>
          <w:tcPr>
            <w:tcW w:w="4098" w:type="dxa"/>
            <w:noWrap w:val="0"/>
            <w:vAlign w:val="center"/>
          </w:tcPr>
          <w:p w14:paraId="0799D9B2">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授权代表</w:t>
            </w:r>
          </w:p>
          <w:p w14:paraId="582C05DD">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身份证复印件</w:t>
            </w:r>
          </w:p>
          <w:p w14:paraId="7F384E7C">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（另一面）</w:t>
            </w:r>
          </w:p>
        </w:tc>
      </w:tr>
    </w:tbl>
    <w:p w14:paraId="6213A181">
      <w:pPr>
        <w:pageBreakBefore w:val="0"/>
        <w:tabs>
          <w:tab w:val="right" w:pos="8931"/>
        </w:tabs>
        <w:kinsoku/>
        <w:wordWrap/>
        <w:bidi w:val="0"/>
        <w:spacing w:line="500" w:lineRule="exact"/>
        <w:ind w:left="0" w:right="0" w:firstLine="52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0"/>
          <w:u w:val="single"/>
          <w14:textFill>
            <w14:solidFill>
              <w14:schemeClr w14:val="tx1"/>
            </w14:solidFill>
          </w14:textFill>
        </w:rPr>
        <w:t>投标人名称</w:t>
      </w:r>
      <w:r>
        <w:rPr>
          <w:rFonts w:hint="eastAsia" w:ascii="宋体" w:hAnsi="宋体" w:eastAsia="宋体" w:cs="宋体"/>
          <w:color w:val="000000" w:themeColor="text1"/>
          <w14:textFill>
            <w14:solidFill>
              <w14:schemeClr w14:val="tx1"/>
            </w14:solidFill>
          </w14:textFill>
        </w:rPr>
        <w:t>（盖章）       法定代表人：（签字或盖章）</w:t>
      </w:r>
    </w:p>
    <w:p w14:paraId="41458391">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3ADCE24D">
      <w:pPr>
        <w:pageBreakBefore w:val="0"/>
        <w:kinsoku/>
        <w:wordWrap/>
        <w:bidi w:val="0"/>
        <w:spacing w:line="500" w:lineRule="exact"/>
        <w:ind w:left="0" w:right="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p>
    <w:p w14:paraId="6201A8C5">
      <w:pPr>
        <w:pStyle w:val="31"/>
        <w:pageBreakBefore w:val="0"/>
        <w:kinsoku/>
        <w:wordWrap/>
        <w:bidi w:val="0"/>
        <w:spacing w:line="500" w:lineRule="exact"/>
        <w:ind w:left="0" w:right="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备注：1、项目不分标段的，第___标段空白处填写</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1B4536AD">
      <w:pPr>
        <w:pStyle w:val="31"/>
        <w:pageBreakBefore w:val="0"/>
        <w:kinsoku/>
        <w:wordWrap/>
        <w:bidi w:val="0"/>
        <w:spacing w:line="500" w:lineRule="exact"/>
        <w:ind w:left="0" w:right="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法定代表人亲自参加投标的，无需提供该委托授权书，但须提供法定代表人本人身份证（正反面）复印件。</w:t>
      </w:r>
    </w:p>
    <w:p w14:paraId="7CE8A558">
      <w:pPr>
        <w:pStyle w:val="31"/>
        <w:pageBreakBefore w:val="0"/>
        <w:kinsoku/>
        <w:wordWrap/>
        <w:bidi w:val="0"/>
        <w:spacing w:line="500" w:lineRule="exact"/>
        <w:ind w:left="0" w:right="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法定代表人签字或盖章可采用纸质签字或盖章后，上传至电子投标文件，也可使用法定代表人CA锁在电子投标文件制作软件中签章。</w:t>
      </w:r>
    </w:p>
    <w:p w14:paraId="65A15C74">
      <w:pPr>
        <w:pageBreakBefore w:val="0"/>
        <w:kinsoku/>
        <w:wordWrap/>
        <w:bidi w:val="0"/>
        <w:spacing w:line="500" w:lineRule="exact"/>
        <w:ind w:left="0" w:right="0" w:firstLine="566" w:firstLineChars="200"/>
        <w:jc w:val="center"/>
        <w:textAlignment w:val="auto"/>
        <w:rPr>
          <w:rFonts w:hint="eastAsia" w:ascii="宋体" w:hAnsi="宋体" w:eastAsia="宋体" w:cs="宋体"/>
          <w:b/>
          <w:color w:val="000000" w:themeColor="text1"/>
          <w:lang w:eastAsia="zh-CN"/>
          <w14:textFill>
            <w14:solidFill>
              <w14:schemeClr w14:val="tx1"/>
            </w14:solidFill>
          </w14:textFill>
        </w:rPr>
      </w:pPr>
      <w:bookmarkStart w:id="244" w:name="_Toc48834118"/>
      <w:bookmarkStart w:id="245" w:name="_Toc2848"/>
      <w:bookmarkStart w:id="246" w:name="_Toc48834315"/>
      <w:bookmarkStart w:id="247" w:name="_Toc23615"/>
      <w:bookmarkStart w:id="248" w:name="_Toc48834188"/>
      <w:bookmarkStart w:id="249" w:name="_Toc48834477"/>
      <w:bookmarkStart w:id="250" w:name="_Toc28431"/>
      <w:bookmarkStart w:id="251" w:name="_Toc18135"/>
      <w:bookmarkStart w:id="252" w:name="_Toc16759"/>
      <w:bookmarkStart w:id="253" w:name="_Toc48834556"/>
      <w:bookmarkStart w:id="254" w:name="_Toc528596088"/>
      <w:bookmarkStart w:id="255" w:name="_Toc19672"/>
      <w:bookmarkStart w:id="256" w:name="_Toc21850"/>
      <w:bookmarkStart w:id="257" w:name="_Toc26489"/>
      <w:bookmarkStart w:id="258" w:name="_Toc20547"/>
      <w:bookmarkStart w:id="259" w:name="_Toc23313"/>
      <w:bookmarkStart w:id="260" w:name="_Toc19363"/>
      <w:bookmarkStart w:id="261" w:name="_Toc5467"/>
    </w:p>
    <w:p w14:paraId="5BF40CEA">
      <w:pPr>
        <w:pageBreakBefore w:val="0"/>
        <w:kinsoku/>
        <w:wordWrap/>
        <w:bidi w:val="0"/>
        <w:spacing w:line="500" w:lineRule="exact"/>
        <w:ind w:left="0" w:right="0" w:firstLine="566" w:firstLineChars="200"/>
        <w:jc w:val="center"/>
        <w:textAlignment w:val="auto"/>
        <w:rPr>
          <w:rFonts w:hint="eastAsia" w:ascii="宋体" w:hAnsi="宋体" w:eastAsia="宋体" w:cs="宋体"/>
          <w:b/>
          <w:color w:val="000000" w:themeColor="text1"/>
          <w:lang w:eastAsia="zh-CN"/>
          <w14:textFill>
            <w14:solidFill>
              <w14:schemeClr w14:val="tx1"/>
            </w14:solidFill>
          </w14:textFill>
        </w:rPr>
      </w:pPr>
    </w:p>
    <w:p w14:paraId="7E9CF4EE">
      <w:pPr>
        <w:pageBreakBefore w:val="0"/>
        <w:kinsoku/>
        <w:wordWrap/>
        <w:bidi w:val="0"/>
        <w:spacing w:line="500" w:lineRule="exact"/>
        <w:ind w:left="0" w:right="0" w:firstLine="566" w:firstLineChars="200"/>
        <w:jc w:val="center"/>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榆林市</w:t>
      </w:r>
      <w:r>
        <w:rPr>
          <w:rFonts w:hint="eastAsia" w:ascii="宋体" w:hAnsi="宋体" w:eastAsia="宋体" w:cs="宋体"/>
          <w:b/>
          <w:color w:val="000000" w:themeColor="text1"/>
          <w14:textFill>
            <w14:solidFill>
              <w14:schemeClr w14:val="tx1"/>
            </w14:solidFill>
          </w14:textFill>
        </w:rPr>
        <w:t>政府采购工程类/货物类/服务类项目供应商信用承诺书</w:t>
      </w:r>
    </w:p>
    <w:p w14:paraId="4DB67F74">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市</w:t>
      </w:r>
      <w:r>
        <w:rPr>
          <w:rFonts w:hint="eastAsia" w:ascii="宋体" w:hAnsi="宋体" w:eastAsia="宋体" w:cs="宋体"/>
          <w:color w:val="000000" w:themeColor="text1"/>
          <w14:textFill>
            <w14:solidFill>
              <w14:schemeClr w14:val="tx1"/>
            </w14:solidFill>
          </w14:textFill>
        </w:rPr>
        <w:t>场主体名称：</w:t>
      </w:r>
    </w:p>
    <w:p w14:paraId="40505DD9">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证件类型：统一社会信用代码</w:t>
      </w:r>
    </w:p>
    <w:p w14:paraId="2F550D01">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证件号码：</w:t>
      </w:r>
    </w:p>
    <w:p w14:paraId="338A2570">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法人代表：</w:t>
      </w:r>
    </w:p>
    <w:p w14:paraId="1DF359BA">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承诺有效期限：    年    月    日—      年     月    日</w:t>
      </w:r>
    </w:p>
    <w:p w14:paraId="16A107E3">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承诺内容：</w:t>
      </w:r>
    </w:p>
    <w:p w14:paraId="4CD3B227">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为维护公开、公平、公正的政府采购</w:t>
      </w:r>
      <w:r>
        <w:rPr>
          <w:rFonts w:hint="eastAsia" w:ascii="宋体" w:hAnsi="宋体" w:eastAsia="宋体" w:cs="宋体"/>
          <w:color w:val="000000" w:themeColor="text1"/>
          <w:lang w:eastAsia="zh-CN"/>
          <w14:textFill>
            <w14:solidFill>
              <w14:schemeClr w14:val="tx1"/>
            </w14:solidFill>
          </w14:textFill>
        </w:rPr>
        <w:t>现场</w:t>
      </w:r>
      <w:r>
        <w:rPr>
          <w:rFonts w:hint="eastAsia" w:ascii="宋体" w:hAnsi="宋体" w:eastAsia="宋体" w:cs="宋体"/>
          <w:color w:val="000000" w:themeColor="text1"/>
          <w14:textFill>
            <w14:solidFill>
              <w14:schemeClr w14:val="tx1"/>
            </w14:solidFill>
          </w14:textFill>
        </w:rPr>
        <w:t>秩序，树立诚实守信的政府采购投标人形象，本单位自愿</w:t>
      </w:r>
      <w:r>
        <w:rPr>
          <w:rFonts w:hint="eastAsia" w:ascii="宋体" w:hAnsi="宋体" w:eastAsia="宋体" w:cs="宋体"/>
          <w:color w:val="000000" w:themeColor="text1"/>
          <w:lang w:eastAsia="zh-CN"/>
          <w14:textFill>
            <w14:solidFill>
              <w14:schemeClr w14:val="tx1"/>
            </w14:solidFill>
          </w14:textFill>
        </w:rPr>
        <w:t>作出</w:t>
      </w:r>
      <w:r>
        <w:rPr>
          <w:rFonts w:hint="eastAsia" w:ascii="宋体" w:hAnsi="宋体" w:eastAsia="宋体" w:cs="宋体"/>
          <w:color w:val="000000" w:themeColor="text1"/>
          <w14:textFill>
            <w14:solidFill>
              <w14:schemeClr w14:val="tx1"/>
            </w14:solidFill>
          </w14:textFill>
        </w:rPr>
        <w:t>以下承诺：</w:t>
      </w:r>
    </w:p>
    <w:p w14:paraId="63ACBA7D">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一、承诺本单位严格遵守国家</w:t>
      </w:r>
      <w:r>
        <w:rPr>
          <w:rFonts w:hint="eastAsia" w:ascii="宋体" w:hAnsi="宋体" w:eastAsia="宋体" w:cs="宋体"/>
          <w:color w:val="000000" w:themeColor="text1"/>
          <w:lang w:eastAsia="zh-CN"/>
          <w14:textFill>
            <w14:solidFill>
              <w14:schemeClr w14:val="tx1"/>
            </w14:solidFill>
          </w14:textFill>
        </w:rPr>
        <w:t>法律法规</w:t>
      </w:r>
      <w:r>
        <w:rPr>
          <w:rFonts w:hint="eastAsia" w:ascii="宋体" w:hAnsi="宋体" w:eastAsia="宋体" w:cs="宋体"/>
          <w:color w:val="000000" w:themeColor="text1"/>
          <w14:textFill>
            <w14:solidFill>
              <w14:schemeClr w14:val="tx1"/>
            </w14:solidFill>
          </w14:textFill>
        </w:rPr>
        <w:t>和规章，全面履行应尽的责任和义务，全面做到履约守信，具备</w:t>
      </w:r>
      <w:r>
        <w:rPr>
          <w:rFonts w:hint="eastAsia" w:ascii="宋体" w:hAnsi="宋体" w:eastAsia="宋体" w:cs="宋体"/>
          <w:color w:val="000000" w:themeColor="text1"/>
          <w:lang w:eastAsia="zh-CN"/>
          <w14:textFill>
            <w14:solidFill>
              <w14:schemeClr w14:val="tx1"/>
            </w14:solidFill>
          </w14:textFill>
        </w:rPr>
        <w:t>《中华人民共和国政府采购法》</w:t>
      </w:r>
      <w:r>
        <w:rPr>
          <w:rFonts w:hint="eastAsia" w:ascii="宋体" w:hAnsi="宋体" w:eastAsia="宋体" w:cs="宋体"/>
          <w:color w:val="000000" w:themeColor="text1"/>
          <w14:textFill>
            <w14:solidFill>
              <w14:schemeClr w14:val="tx1"/>
            </w14:solidFill>
          </w14:textFill>
        </w:rPr>
        <w:t>第二十二条第一款规定的条件</w:t>
      </w:r>
      <w:r>
        <w:rPr>
          <w:rFonts w:hint="eastAsia" w:ascii="宋体" w:hAnsi="宋体" w:eastAsia="宋体" w:cs="宋体"/>
          <w:color w:val="000000" w:themeColor="text1"/>
          <w:lang w:eastAsia="zh-CN"/>
          <w14:textFill>
            <w14:solidFill>
              <w14:schemeClr w14:val="tx1"/>
            </w14:solidFill>
          </w14:textFill>
        </w:rPr>
        <w:t>；</w:t>
      </w:r>
    </w:p>
    <w:p w14:paraId="675B796A">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二、承诺本单位提供给注册登记部门、行业管理部门、司法部门、行业组织以及在政府采购活动中提交的所有资料均合法、真实、有效，无任何伪造、修改、</w:t>
      </w:r>
      <w:r>
        <w:rPr>
          <w:rFonts w:hint="eastAsia" w:ascii="宋体" w:hAnsi="宋体" w:eastAsia="宋体" w:cs="宋体"/>
          <w:color w:val="000000" w:themeColor="text1"/>
          <w:lang w:eastAsia="zh-CN"/>
          <w14:textFill>
            <w14:solidFill>
              <w14:schemeClr w14:val="tx1"/>
            </w14:solidFill>
          </w14:textFill>
        </w:rPr>
        <w:t>虚假成分</w:t>
      </w:r>
      <w:r>
        <w:rPr>
          <w:rFonts w:hint="eastAsia" w:ascii="宋体" w:hAnsi="宋体" w:eastAsia="宋体" w:cs="宋体"/>
          <w:color w:val="000000" w:themeColor="text1"/>
          <w14:textFill>
            <w14:solidFill>
              <w14:schemeClr w14:val="tx1"/>
            </w14:solidFill>
          </w14:textFill>
        </w:rPr>
        <w:t>，并对所提供资料的真实性负责；</w:t>
      </w:r>
    </w:p>
    <w:p w14:paraId="7B4BE954">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三、承诺本单位严格依法开展生产经营活动，主动接受行业监管，自愿接受依法开展的日常检查；违法失信经营后将自愿接受约束和惩戒，并依法承担相应责任；</w:t>
      </w:r>
    </w:p>
    <w:p w14:paraId="44AED6A8">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四、承诺本单位自觉接受行政管理部门、行业组织、社会公众、新闻舆论的监督；</w:t>
      </w:r>
    </w:p>
    <w:p w14:paraId="24EFA821">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五、承诺本单位自我约束、自我管理，重合同、守信用，不制假售假、商标侵权、虚假宣传、违约毁约、恶意逃债、偷税漏税、价格欺诈、垄断和不正当竞争，维护经营者、消费者的合法权益；</w:t>
      </w:r>
    </w:p>
    <w:p w14:paraId="7040E163">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六、承诺本单位提出政府采购质疑和投诉坚持依法依规、诚实信用原则，在全国范围12个月内没有三次以上查无实据的政府采购投诉；</w:t>
      </w:r>
    </w:p>
    <w:p w14:paraId="64B020B5">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七、根据政府采购相关法律法规的规定需要作出的其他承诺：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w:t>
      </w:r>
    </w:p>
    <w:p w14:paraId="4A045357">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2F3797D2">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23A72153">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承诺单位（盖章）：</w:t>
      </w:r>
    </w:p>
    <w:p w14:paraId="44BA2226">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法定代表人（负责人）：</w:t>
      </w:r>
    </w:p>
    <w:p w14:paraId="056F3389">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法定代表人（负责人）身份证号：</w:t>
      </w:r>
    </w:p>
    <w:p w14:paraId="792A1FFC">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承诺日期：</w:t>
      </w:r>
    </w:p>
    <w:p w14:paraId="47596F32">
      <w:pPr>
        <w:pStyle w:val="15"/>
        <w:pageBreakBefore w:val="0"/>
        <w:kinsoku/>
        <w:wordWrap/>
        <w:bidi w:val="0"/>
        <w:spacing w:afterLines="0" w:line="500" w:lineRule="exact"/>
        <w:ind w:left="0" w:right="0" w:firstLine="3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备注：法定代表人或负责人、主体名称发生变更的应当重新</w:t>
      </w:r>
      <w:r>
        <w:rPr>
          <w:rFonts w:hint="eastAsia" w:ascii="宋体" w:hAnsi="宋体" w:eastAsia="宋体" w:cs="宋体"/>
          <w:color w:val="000000" w:themeColor="text1"/>
          <w:lang w:eastAsia="zh-CN"/>
          <w14:textFill>
            <w14:solidFill>
              <w14:schemeClr w14:val="tx1"/>
            </w14:solidFill>
          </w14:textFill>
        </w:rPr>
        <w:t>作出</w:t>
      </w:r>
      <w:r>
        <w:rPr>
          <w:rFonts w:hint="eastAsia" w:ascii="宋体" w:hAnsi="宋体" w:eastAsia="宋体" w:cs="宋体"/>
          <w:color w:val="000000" w:themeColor="text1"/>
          <w14:textFill>
            <w14:solidFill>
              <w14:schemeClr w14:val="tx1"/>
            </w14:solidFill>
          </w14:textFill>
        </w:rPr>
        <w:t>承诺；</w:t>
      </w:r>
    </w:p>
    <w:p w14:paraId="6793677C">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7E846373">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057BFFDB">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0E375E92">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2A4A2941">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17A481E6">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4024268D">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0AF0A67B">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2299BF06">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361CD686">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4ED3C04B">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1FFC53C0">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60028E3F">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2DC6DC5F">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1D71AE25">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4B269E6E">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0606DA94">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1C136E77">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5F1E763E">
      <w:pPr>
        <w:pageBreakBefore w:val="0"/>
        <w:kinsoku/>
        <w:wordWrap/>
        <w:bidi w:val="0"/>
        <w:spacing w:line="500" w:lineRule="exact"/>
        <w:ind w:left="0" w:right="0" w:firstLine="566" w:firstLineChars="20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投标信用承诺书（保证金）</w:t>
      </w:r>
    </w:p>
    <w:p w14:paraId="63741424">
      <w:pPr>
        <w:pageBreakBefore w:val="0"/>
        <w:kinsoku/>
        <w:wordWrap/>
        <w:bidi w:val="0"/>
        <w:spacing w:line="500" w:lineRule="exact"/>
        <w:ind w:left="0" w:right="0" w:firstLine="486" w:firstLineChars="200"/>
        <w:jc w:val="both"/>
        <w:textAlignment w:val="auto"/>
        <w:rPr>
          <w:rFonts w:hint="eastAsia" w:ascii="宋体" w:hAnsi="宋体" w:eastAsia="宋体" w:cs="宋体"/>
          <w:color w:val="000000" w:themeColor="text1"/>
          <w:kern w:val="0"/>
          <w:sz w:val="24"/>
          <w14:textFill>
            <w14:solidFill>
              <w14:schemeClr w14:val="tx1"/>
            </w14:solidFill>
          </w14:textFill>
        </w:rPr>
      </w:pPr>
    </w:p>
    <w:p w14:paraId="2D867D6F">
      <w:pPr>
        <w:pageBreakBefore w:val="0"/>
        <w:kinsoku/>
        <w:wordWrap/>
        <w:bidi w:val="0"/>
        <w:spacing w:line="500" w:lineRule="exact"/>
        <w:ind w:right="0"/>
        <w:jc w:val="both"/>
        <w:textAlignment w:val="auto"/>
        <w:rPr>
          <w:rFonts w:hint="eastAsia" w:ascii="宋体" w:hAnsi="宋体" w:eastAsia="宋体" w:cs="宋体"/>
          <w:color w:val="000000" w:themeColor="text1"/>
          <w:kern w:val="0"/>
          <w:u w:val="single"/>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项目名称：</w:t>
      </w:r>
      <w:r>
        <w:rPr>
          <w:rFonts w:hint="eastAsia" w:ascii="宋体" w:hAnsi="宋体" w:eastAsia="宋体" w:cs="宋体"/>
          <w:color w:val="000000" w:themeColor="text1"/>
          <w:kern w:val="0"/>
          <w:u w:val="single"/>
          <w14:textFill>
            <w14:solidFill>
              <w14:schemeClr w14:val="tx1"/>
            </w14:solidFill>
          </w14:textFill>
        </w:rPr>
        <w:t xml:space="preserve">                                                                  </w:t>
      </w:r>
    </w:p>
    <w:p w14:paraId="1E694454">
      <w:pPr>
        <w:pageBreakBefore w:val="0"/>
        <w:kinsoku/>
        <w:wordWrap/>
        <w:bidi w:val="0"/>
        <w:spacing w:line="500" w:lineRule="exact"/>
        <w:ind w:right="0"/>
        <w:jc w:val="both"/>
        <w:textAlignment w:val="auto"/>
        <w:rPr>
          <w:rFonts w:hint="eastAsia" w:ascii="宋体" w:hAnsi="宋体" w:eastAsia="宋体" w:cs="宋体"/>
          <w:color w:val="000000" w:themeColor="text1"/>
          <w:kern w:val="0"/>
          <w:u w:val="single"/>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投标人：</w:t>
      </w:r>
      <w:r>
        <w:rPr>
          <w:rFonts w:hint="eastAsia" w:ascii="宋体" w:hAnsi="宋体" w:eastAsia="宋体" w:cs="宋体"/>
          <w:color w:val="000000" w:themeColor="text1"/>
          <w:kern w:val="0"/>
          <w:u w:val="single"/>
          <w14:textFill>
            <w14:solidFill>
              <w14:schemeClr w14:val="tx1"/>
            </w14:solidFill>
          </w14:textFill>
        </w:rPr>
        <w:t xml:space="preserve">                                                                    </w:t>
      </w:r>
    </w:p>
    <w:p w14:paraId="73DE7E37">
      <w:pPr>
        <w:pageBreakBefore w:val="0"/>
        <w:kinsoku/>
        <w:wordWrap/>
        <w:bidi w:val="0"/>
        <w:spacing w:line="500" w:lineRule="exact"/>
        <w:ind w:right="0"/>
        <w:jc w:val="both"/>
        <w:textAlignment w:val="auto"/>
        <w:rPr>
          <w:rFonts w:hint="eastAsia" w:ascii="宋体" w:hAnsi="宋体" w:eastAsia="宋体" w:cs="宋体"/>
          <w:color w:val="000000" w:themeColor="text1"/>
          <w:kern w:val="0"/>
          <w:u w:val="single"/>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统一社会信用代码：</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法人代表：</w:t>
      </w:r>
      <w:r>
        <w:rPr>
          <w:rFonts w:hint="eastAsia" w:ascii="宋体" w:hAnsi="宋体" w:eastAsia="宋体" w:cs="宋体"/>
          <w:color w:val="000000" w:themeColor="text1"/>
          <w:kern w:val="0"/>
          <w:u w:val="single"/>
          <w14:textFill>
            <w14:solidFill>
              <w14:schemeClr w14:val="tx1"/>
            </w14:solidFill>
          </w14:textFill>
        </w:rPr>
        <w:t xml:space="preserve">                 </w:t>
      </w:r>
    </w:p>
    <w:p w14:paraId="50277463">
      <w:pPr>
        <w:pageBreakBefore w:val="0"/>
        <w:kinsoku/>
        <w:wordWrap/>
        <w:bidi w:val="0"/>
        <w:adjustRightInd w:val="0"/>
        <w:snapToGrid w:val="0"/>
        <w:spacing w:line="500" w:lineRule="exact"/>
        <w:ind w:right="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在本项目招投标活动中，我公司（单位）自愿作出以下投标信用承诺：</w:t>
      </w:r>
    </w:p>
    <w:p w14:paraId="2F30701A">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（一）能严格遵守法律法规、职业道德和行业规范。</w:t>
      </w:r>
    </w:p>
    <w:p w14:paraId="35BAEB23">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二）不得有以下违法违规行为：1.围标串标；以他人名义或者其他方式弄虚作假投标；出让出租资格、资质证书供他人投标；恶意竞标；以暴力、威胁、利诱等手段阻止或者控制其他潜在投标人参与招投标活动。2.向监督部门、交易中心、采购人、招标代理机构、评审委员会及其成员等当事主体赠送财物。3.投标截止后至中标人确定前，修改或者撤销投标文件。4.在被确定为中标人后无正当理由：不按照招标文件和投标文件与采购人签订合同；在签订合同时向采购人提出附加条件</w:t>
      </w:r>
      <w:r>
        <w:rPr>
          <w:rFonts w:hint="eastAsia" w:ascii="宋体" w:hAnsi="宋体" w:eastAsia="宋体" w:cs="宋体"/>
          <w:color w:val="000000" w:themeColor="text1"/>
          <w:kern w:val="0"/>
          <w:lang w:eastAsia="zh-CN"/>
          <w14:textFill>
            <w14:solidFill>
              <w14:schemeClr w14:val="tx1"/>
            </w14:solidFill>
          </w14:textFill>
        </w:rPr>
        <w:t>，或者</w:t>
      </w:r>
      <w:r>
        <w:rPr>
          <w:rFonts w:hint="eastAsia" w:ascii="宋体" w:hAnsi="宋体" w:eastAsia="宋体" w:cs="宋体"/>
          <w:color w:val="000000" w:themeColor="text1"/>
          <w:kern w:val="0"/>
          <w14:textFill>
            <w14:solidFill>
              <w14:schemeClr w14:val="tx1"/>
            </w14:solidFill>
          </w14:textFill>
        </w:rPr>
        <w:t>改变投标文件的实质性内容；收到中标通知书后，30日内未将合同原件送至招标代理机构备案；放弃中标；不按照招标文件的规定提交履约保证金。5.招投标法规定的</w:t>
      </w:r>
      <w:r>
        <w:rPr>
          <w:rFonts w:hint="eastAsia" w:ascii="宋体" w:hAnsi="宋体" w:eastAsia="宋体" w:cs="宋体"/>
          <w:color w:val="000000" w:themeColor="text1"/>
          <w:kern w:val="0"/>
          <w:lang w:eastAsia="zh-CN"/>
          <w14:textFill>
            <w14:solidFill>
              <w14:schemeClr w14:val="tx1"/>
            </w14:solidFill>
          </w14:textFill>
        </w:rPr>
        <w:t>其他</w:t>
      </w:r>
      <w:r>
        <w:rPr>
          <w:rFonts w:hint="eastAsia" w:ascii="宋体" w:hAnsi="宋体" w:eastAsia="宋体" w:cs="宋体"/>
          <w:color w:val="000000" w:themeColor="text1"/>
          <w:kern w:val="0"/>
          <w14:textFill>
            <w14:solidFill>
              <w14:schemeClr w14:val="tx1"/>
            </w14:solidFill>
          </w14:textFill>
        </w:rPr>
        <w:t>违法违规行为。</w:t>
      </w:r>
    </w:p>
    <w:p w14:paraId="3471F27D">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5AD40395">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p>
    <w:p w14:paraId="0E6AAD40">
      <w:pPr>
        <w:pageBreakBefore w:val="0"/>
        <w:tabs>
          <w:tab w:val="left" w:pos="4395"/>
        </w:tabs>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法定代表人（签字或盖章）：             投标人（盖章）：</w:t>
      </w:r>
    </w:p>
    <w:p w14:paraId="3720832A">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b/>
          <w:color w:val="000000" w:themeColor="text1"/>
          <w:kern w:val="0"/>
          <w14:textFill>
            <w14:solidFill>
              <w14:schemeClr w14:val="tx1"/>
            </w14:solidFill>
          </w14:textFill>
        </w:rPr>
      </w:pPr>
    </w:p>
    <w:p w14:paraId="5C9A73F7">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承诺时间：</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年</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月</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日</w:t>
      </w:r>
    </w:p>
    <w:p w14:paraId="00615656">
      <w:pPr>
        <w:pageBreakBefore w:val="0"/>
        <w:kinsoku/>
        <w:wordWrap/>
        <w:bidi w:val="0"/>
        <w:spacing w:line="500" w:lineRule="exact"/>
        <w:ind w:left="0" w:right="0" w:firstLine="486" w:firstLineChars="200"/>
        <w:jc w:val="both"/>
        <w:textAlignment w:val="auto"/>
        <w:rPr>
          <w:rFonts w:hint="eastAsia" w:ascii="宋体" w:hAnsi="宋体" w:eastAsia="宋体" w:cs="宋体"/>
          <w:b/>
          <w:color w:val="000000" w:themeColor="text1"/>
          <w:kern w:val="0"/>
          <w:sz w:val="24"/>
          <w14:textFill>
            <w14:solidFill>
              <w14:schemeClr w14:val="tx1"/>
            </w14:solidFill>
          </w14:textFill>
        </w:rPr>
      </w:pPr>
    </w:p>
    <w:p w14:paraId="5854ED8D">
      <w:pPr>
        <w:pStyle w:val="31"/>
        <w:pageBreakBefore w:val="0"/>
        <w:kinsoku/>
        <w:wordWrap/>
        <w:bidi w:val="0"/>
        <w:spacing w:line="500" w:lineRule="exact"/>
        <w:ind w:left="0" w:right="0" w:firstLine="426"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说明：本承诺书效力和作用等同投标保证金，其有效期与投标有效期一致。   </w:t>
      </w:r>
    </w:p>
    <w:p w14:paraId="48448409">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4B344406">
      <w:pPr>
        <w:pageBreakBefore w:val="0"/>
        <w:kinsoku/>
        <w:wordWrap/>
        <w:bidi w:val="0"/>
        <w:spacing w:line="500" w:lineRule="exact"/>
        <w:ind w:left="0" w:right="0" w:firstLine="606" w:firstLineChars="200"/>
        <w:jc w:val="center"/>
        <w:textAlignment w:val="auto"/>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投标人书面声明函</w:t>
      </w:r>
    </w:p>
    <w:p w14:paraId="5F0CDE1B">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华鼎工程咨询集团有限公司</w:t>
      </w:r>
      <w:r>
        <w:rPr>
          <w:rFonts w:hint="eastAsia" w:ascii="宋体" w:hAnsi="宋体" w:eastAsia="宋体" w:cs="宋体"/>
          <w:color w:val="000000" w:themeColor="text1"/>
          <w:kern w:val="0"/>
          <w14:textFill>
            <w14:solidFill>
              <w14:schemeClr w14:val="tx1"/>
            </w14:solidFill>
          </w14:textFill>
        </w:rPr>
        <w:t>：</w:t>
      </w:r>
    </w:p>
    <w:p w14:paraId="771A8C38">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我方作为项目名称（项目编号：____）第___标段的投标投标人，在此郑重声明：</w:t>
      </w:r>
    </w:p>
    <w:p w14:paraId="675CCB2F">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1.</w:t>
      </w:r>
      <w:r>
        <w:rPr>
          <w:rFonts w:hint="eastAsia" w:ascii="宋体" w:hAnsi="宋体" w:eastAsia="宋体" w:cs="宋体"/>
          <w:color w:val="000000" w:themeColor="text1"/>
          <w:kern w:val="0"/>
          <w14:textFill>
            <w14:solidFill>
              <w14:schemeClr w14:val="tx1"/>
            </w14:solidFill>
          </w14:textFill>
        </w:rPr>
        <w:t>在参加本次政府采购活动前3年内的经营活动中____（填“没有”或“有”）重大违法记录。投标人在参加政府采购活动前3年内因违法经营被禁止在一定期限内参加政府采购活动，期限届满的，可以参加政府采购活动，但应提供期限届满的证明材料。</w:t>
      </w:r>
    </w:p>
    <w:p w14:paraId="78EC60E3">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2.</w:t>
      </w:r>
      <w:r>
        <w:rPr>
          <w:rFonts w:hint="eastAsia" w:ascii="宋体" w:hAnsi="宋体" w:eastAsia="宋体" w:cs="宋体"/>
          <w:color w:val="000000" w:themeColor="text1"/>
          <w:kern w:val="0"/>
          <w14:textFill>
            <w14:solidFill>
              <w14:schemeClr w14:val="tx1"/>
            </w14:solidFill>
          </w14:textFill>
        </w:rPr>
        <w:t>我方______（填“未被列入”或“被列入”）失信被执行人名单。</w:t>
      </w:r>
    </w:p>
    <w:p w14:paraId="56D5DC12">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3.</w:t>
      </w:r>
      <w:r>
        <w:rPr>
          <w:rFonts w:hint="eastAsia" w:ascii="宋体" w:hAnsi="宋体" w:eastAsia="宋体" w:cs="宋体"/>
          <w:color w:val="000000" w:themeColor="text1"/>
          <w:kern w:val="0"/>
          <w14:textFill>
            <w14:solidFill>
              <w14:schemeClr w14:val="tx1"/>
            </w14:solidFill>
          </w14:textFill>
        </w:rPr>
        <w:t>我方______（填“未被列入”或“被列入”）重大税收违法案件当事人名单。</w:t>
      </w:r>
    </w:p>
    <w:p w14:paraId="5738191B">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4.</w:t>
      </w:r>
      <w:r>
        <w:rPr>
          <w:rFonts w:hint="eastAsia" w:ascii="宋体" w:hAnsi="宋体" w:eastAsia="宋体" w:cs="宋体"/>
          <w:color w:val="000000" w:themeColor="text1"/>
          <w:kern w:val="0"/>
          <w14:textFill>
            <w14:solidFill>
              <w14:schemeClr w14:val="tx1"/>
            </w14:solidFill>
          </w14:textFill>
        </w:rPr>
        <w:t>我方______（填“未被列入”或“被列入”）政府采购严重违法失信行为记录名单。</w:t>
      </w:r>
    </w:p>
    <w:p w14:paraId="5BB2D76B">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如有不实，我方将无条件地退出本项目的采购活动，并遵照</w:t>
      </w:r>
      <w:r>
        <w:rPr>
          <w:rFonts w:hint="eastAsia" w:ascii="宋体" w:hAnsi="宋体" w:eastAsia="宋体" w:cs="宋体"/>
          <w:color w:val="000000" w:themeColor="text1"/>
          <w:kern w:val="0"/>
          <w:lang w:eastAsia="zh-CN"/>
          <w14:textFill>
            <w14:solidFill>
              <w14:schemeClr w14:val="tx1"/>
            </w14:solidFill>
          </w14:textFill>
        </w:rPr>
        <w:t>《中华人民共和国政府采购法》</w:t>
      </w:r>
      <w:r>
        <w:rPr>
          <w:rFonts w:hint="eastAsia" w:ascii="宋体" w:hAnsi="宋体" w:eastAsia="宋体" w:cs="宋体"/>
          <w:color w:val="000000" w:themeColor="text1"/>
          <w:kern w:val="0"/>
          <w14:textFill>
            <w14:solidFill>
              <w14:schemeClr w14:val="tx1"/>
            </w14:solidFill>
          </w14:textFill>
        </w:rPr>
        <w:t>有关“提供虚假材料的规定”接受处罚。</w:t>
      </w:r>
    </w:p>
    <w:p w14:paraId="0C765F95">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特此声明。</w:t>
      </w:r>
    </w:p>
    <w:p w14:paraId="641BE03C">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投标人：名称（盖章）</w:t>
      </w:r>
    </w:p>
    <w:p w14:paraId="4C17E210">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法定代表人或授权代表：（签字或盖章）</w:t>
      </w:r>
    </w:p>
    <w:p w14:paraId="5B6AC056">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日期：　　年　月　日</w:t>
      </w:r>
    </w:p>
    <w:p w14:paraId="37643F25">
      <w:pPr>
        <w:pageBreakBefore w:val="0"/>
        <w:kinsoku/>
        <w:wordWrap/>
        <w:bidi w:val="0"/>
        <w:adjustRightInd w:val="0"/>
        <w:snapToGrid w:val="0"/>
        <w:spacing w:line="500" w:lineRule="exact"/>
        <w:ind w:left="0" w:right="0" w:firstLine="566" w:firstLineChars="200"/>
        <w:jc w:val="both"/>
        <w:textAlignment w:val="auto"/>
        <w:rPr>
          <w:rFonts w:hint="eastAsia" w:ascii="宋体" w:hAnsi="宋体" w:eastAsia="宋体" w:cs="宋体"/>
          <w:color w:val="000000" w:themeColor="text1"/>
          <w:kern w:val="0"/>
          <w14:textFill>
            <w14:solidFill>
              <w14:schemeClr w14:val="tx1"/>
            </w14:solidFill>
          </w14:textFill>
        </w:rPr>
      </w:pPr>
    </w:p>
    <w:p w14:paraId="6C146015">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备注：项目不分标段的，第___标段空白处填写</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w:t>
      </w:r>
    </w:p>
    <w:p w14:paraId="18CCF35A">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p w14:paraId="209A89E9">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p w14:paraId="1FF27669">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p w14:paraId="30B40202">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p w14:paraId="3562594A">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p w14:paraId="7C3141A0">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p w14:paraId="5C009354">
      <w:pPr>
        <w:pStyle w:val="15"/>
        <w:pageBreakBefore w:val="0"/>
        <w:kinsoku/>
        <w:wordWrap/>
        <w:bidi w:val="0"/>
        <w:spacing w:afterLines="0" w:line="500" w:lineRule="exact"/>
        <w:ind w:left="0" w:right="0" w:firstLine="366" w:firstLineChars="200"/>
        <w:jc w:val="both"/>
        <w:textAlignment w:val="auto"/>
        <w:rPr>
          <w:rFonts w:hint="eastAsia" w:ascii="宋体" w:hAnsi="宋体" w:eastAsia="宋体" w:cs="宋体"/>
          <w:color w:val="000000" w:themeColor="text1"/>
          <w14:textFill>
            <w14:solidFill>
              <w14:schemeClr w14:val="tx1"/>
            </w14:solidFill>
          </w14:textFill>
        </w:rPr>
      </w:pPr>
    </w:p>
    <w:p w14:paraId="309CF632">
      <w:pPr>
        <w:pageBreakBefore w:val="0"/>
        <w:kinsoku/>
        <w:wordWrap/>
        <w:bidi w:val="0"/>
        <w:spacing w:line="500" w:lineRule="exact"/>
        <w:ind w:left="0" w:right="0" w:firstLine="646" w:firstLineChars="200"/>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第二部分  符合性证明文件</w:t>
      </w:r>
    </w:p>
    <w:p w14:paraId="29CBAA5E">
      <w:pPr>
        <w:pStyle w:val="15"/>
        <w:pageBreakBefore w:val="0"/>
        <w:kinsoku/>
        <w:wordWrap/>
        <w:bidi w:val="0"/>
        <w:spacing w:afterLines="0" w:line="500" w:lineRule="exact"/>
        <w:ind w:left="0" w:right="0" w:firstLine="566"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一、投标函格式</w:t>
      </w:r>
    </w:p>
    <w:p w14:paraId="5EC08B1A">
      <w:pPr>
        <w:pageBreakBefore w:val="0"/>
        <w:kinsoku/>
        <w:wordWrap/>
        <w:bidi w:val="0"/>
        <w:spacing w:line="500" w:lineRule="exact"/>
        <w:ind w:left="0" w:right="0" w:firstLine="566"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投标函</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Start w:id="262" w:name="_Toc20063"/>
      <w:bookmarkStart w:id="263" w:name="_Toc48834119"/>
      <w:bookmarkStart w:id="264" w:name="_Toc4834"/>
      <w:bookmarkStart w:id="265" w:name="_Toc4366"/>
      <w:bookmarkStart w:id="266" w:name="_Toc17687"/>
      <w:bookmarkStart w:id="267" w:name="_Toc48834189"/>
      <w:bookmarkStart w:id="268" w:name="_Toc1167"/>
      <w:bookmarkStart w:id="269" w:name="_Toc23035"/>
      <w:bookmarkStart w:id="270" w:name="_Toc48834316"/>
    </w:p>
    <w:bookmarkEnd w:id="262"/>
    <w:bookmarkEnd w:id="263"/>
    <w:bookmarkEnd w:id="264"/>
    <w:bookmarkEnd w:id="265"/>
    <w:bookmarkEnd w:id="266"/>
    <w:bookmarkEnd w:id="267"/>
    <w:bookmarkEnd w:id="268"/>
    <w:bookmarkEnd w:id="269"/>
    <w:bookmarkEnd w:id="270"/>
    <w:p w14:paraId="15591B68">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华鼎工程咨询集团有限公司</w:t>
      </w:r>
      <w:r>
        <w:rPr>
          <w:rFonts w:hint="eastAsia" w:ascii="宋体" w:hAnsi="宋体" w:eastAsia="宋体" w:cs="宋体"/>
          <w:color w:val="000000" w:themeColor="text1"/>
          <w:lang w:val="zh-CN"/>
          <w14:textFill>
            <w14:solidFill>
              <w14:schemeClr w14:val="tx1"/>
            </w14:solidFill>
          </w14:textFill>
        </w:rPr>
        <w:t>：</w:t>
      </w:r>
    </w:p>
    <w:p w14:paraId="7EE508A1">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我方收到贵中心发布的《</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》（项目编号：）第</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标段招标文件，经详细研究，我方决定参加该项目第标段招标活动。为此，我方郑重声明以下诸点，并负法律责任。</w:t>
      </w:r>
    </w:p>
    <w:p w14:paraId="4D62F594">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一、我方已详细阅读了招标文件，完全理解并同意招标文件的所有事项及内容。</w:t>
      </w:r>
    </w:p>
    <w:p w14:paraId="4B4A15D7">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二、我方已</w:t>
      </w:r>
      <w:r>
        <w:rPr>
          <w:rFonts w:hint="eastAsia" w:ascii="宋体" w:hAnsi="宋体" w:eastAsia="宋体" w:cs="宋体"/>
          <w:color w:val="000000" w:themeColor="text1"/>
          <w:lang w:eastAsia="zh-CN"/>
          <w14:textFill>
            <w14:solidFill>
              <w14:schemeClr w14:val="tx1"/>
            </w14:solidFill>
          </w14:textFill>
        </w:rPr>
        <w:t>知悉</w:t>
      </w:r>
      <w:r>
        <w:rPr>
          <w:rFonts w:hint="eastAsia" w:ascii="宋体" w:hAnsi="宋体" w:eastAsia="宋体" w:cs="宋体"/>
          <w:color w:val="000000" w:themeColor="text1"/>
          <w14:textFill>
            <w14:solidFill>
              <w14:schemeClr w14:val="tx1"/>
            </w14:solidFill>
          </w14:textFill>
        </w:rPr>
        <w:t>并关注了贵方在政府采购信息发布媒体（详见招标文件第二章第三条中的“招标文件的修改、澄清”）上发布的关于本项目的有关变更公告（包括但不限于对招标文件</w:t>
      </w:r>
      <w:r>
        <w:rPr>
          <w:rFonts w:hint="eastAsia" w:ascii="宋体" w:hAnsi="宋体" w:eastAsia="宋体" w:cs="宋体"/>
          <w:color w:val="000000" w:themeColor="text1"/>
          <w:lang w:eastAsia="zh-CN"/>
          <w14:textFill>
            <w14:solidFill>
              <w14:schemeClr w14:val="tx1"/>
            </w14:solidFill>
          </w14:textFill>
        </w:rPr>
        <w:t>作出</w:t>
      </w:r>
      <w:r>
        <w:rPr>
          <w:rFonts w:hint="eastAsia" w:ascii="宋体" w:hAnsi="宋体" w:eastAsia="宋体" w:cs="宋体"/>
          <w:color w:val="000000" w:themeColor="text1"/>
          <w14:textFill>
            <w14:solidFill>
              <w14:schemeClr w14:val="tx1"/>
            </w14:solidFill>
          </w14:textFill>
        </w:rPr>
        <w:t>的修改或澄清、答疑纪要，以及项目暂停、重启、延期、终止等）。</w:t>
      </w:r>
    </w:p>
    <w:p w14:paraId="609B4D02">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三、我方同意向贵方提供与本投标有关的任何证明材料，保证所提交的证明材料真实、合法、有效。我方理解</w:t>
      </w:r>
      <w:r>
        <w:rPr>
          <w:rFonts w:hint="eastAsia" w:ascii="宋体" w:hAnsi="宋体" w:eastAsia="宋体" w:cs="宋体"/>
          <w:b/>
          <w:bCs/>
          <w:color w:val="000000" w:themeColor="text1"/>
          <w14:textFill>
            <w14:solidFill>
              <w14:schemeClr w14:val="tx1"/>
            </w14:solidFill>
          </w14:textFill>
        </w:rPr>
        <w:t>最低价</w:t>
      </w:r>
      <w:r>
        <w:rPr>
          <w:rFonts w:hint="eastAsia" w:ascii="宋体" w:hAnsi="宋体" w:eastAsia="宋体" w:cs="宋体"/>
          <w:color w:val="000000" w:themeColor="text1"/>
          <w14:textFill>
            <w14:solidFill>
              <w14:schemeClr w14:val="tx1"/>
            </w14:solidFill>
          </w14:textFill>
        </w:rPr>
        <w:t>不是中标的唯一条件，并尊重评标委员会的评审结果。</w:t>
      </w:r>
    </w:p>
    <w:p w14:paraId="5C076F0F">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四、我方愿意按照招标文件中的一切要求，完成本项目合同责任和义务。</w:t>
      </w:r>
    </w:p>
    <w:p w14:paraId="651B2B87">
      <w:pPr>
        <w:pStyle w:val="14"/>
        <w:pageBreakBefore w:val="0"/>
        <w:kinsoku/>
        <w:wordWrap/>
        <w:bidi w:val="0"/>
        <w:spacing w:beforeAutospacing="0" w:afterAutospacing="0" w:line="500" w:lineRule="exact"/>
        <w:ind w:left="0" w:right="0" w:firstLine="566" w:firstLineChars="200"/>
        <w:jc w:val="both"/>
        <w:textAlignment w:val="auto"/>
        <w:rPr>
          <w:rFonts w:hint="eastAsia" w:ascii="宋体" w:hAnsi="宋体" w:eastAsia="宋体" w:cs="宋体"/>
          <w:color w:val="000000" w:themeColor="text1"/>
          <w:kern w:val="2"/>
          <w:sz w:val="28"/>
          <w14:textFill>
            <w14:solidFill>
              <w14:schemeClr w14:val="tx1"/>
            </w14:solidFill>
          </w14:textFill>
        </w:rPr>
      </w:pPr>
      <w:r>
        <w:rPr>
          <w:rFonts w:hint="eastAsia" w:ascii="宋体" w:hAnsi="宋体" w:eastAsia="宋体" w:cs="宋体"/>
          <w:color w:val="000000" w:themeColor="text1"/>
          <w:kern w:val="2"/>
          <w:sz w:val="28"/>
          <w14:textFill>
            <w14:solidFill>
              <w14:schemeClr w14:val="tx1"/>
            </w14:solidFill>
          </w14:textFill>
        </w:rPr>
        <w:t>五、我方提交</w:t>
      </w:r>
      <w:r>
        <w:rPr>
          <w:rFonts w:hint="eastAsia" w:ascii="宋体" w:hAnsi="宋体" w:eastAsia="宋体" w:cs="宋体"/>
          <w:b/>
          <w:bCs/>
          <w:color w:val="000000" w:themeColor="text1"/>
          <w:kern w:val="2"/>
          <w:sz w:val="28"/>
          <w14:textFill>
            <w14:solidFill>
              <w14:schemeClr w14:val="tx1"/>
            </w14:solidFill>
          </w14:textFill>
        </w:rPr>
        <w:t>电子投标文件一份</w:t>
      </w:r>
      <w:r>
        <w:rPr>
          <w:rFonts w:hint="eastAsia" w:ascii="宋体" w:hAnsi="宋体" w:eastAsia="宋体" w:cs="宋体"/>
          <w:color w:val="000000" w:themeColor="text1"/>
          <w:kern w:val="2"/>
          <w:sz w:val="28"/>
          <w14:textFill>
            <w14:solidFill>
              <w14:schemeClr w14:val="tx1"/>
            </w14:solidFill>
          </w14:textFill>
        </w:rPr>
        <w:t>。</w:t>
      </w:r>
    </w:p>
    <w:p w14:paraId="35868FC0">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w:t>
      </w:r>
      <w:r>
        <w:rPr>
          <w:rFonts w:hint="eastAsia" w:ascii="宋体" w:hAnsi="宋体" w:eastAsia="宋体" w:cs="宋体"/>
          <w:color w:val="000000" w:themeColor="text1"/>
          <w:lang w:val="zh-CN"/>
          <w14:textFill>
            <w14:solidFill>
              <w14:schemeClr w14:val="tx1"/>
            </w14:solidFill>
          </w14:textFill>
        </w:rPr>
        <w:t>开标后在规定的投标有效期内撤回投标，我们愿接受政府采购的有关处罚决定。</w:t>
      </w:r>
    </w:p>
    <w:p w14:paraId="732ABE57">
      <w:pPr>
        <w:pageBreakBefore w:val="0"/>
        <w:kinsoku/>
        <w:wordWrap/>
        <w:autoSpaceDE w:val="0"/>
        <w:autoSpaceDN w:val="0"/>
        <w:bidi w:val="0"/>
        <w:adjustRightInd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七、我方的投标文件在开标之日起</w:t>
      </w:r>
      <w:r>
        <w:rPr>
          <w:rFonts w:hint="eastAsia" w:ascii="宋体" w:hAnsi="宋体" w:eastAsia="宋体" w:cs="宋体"/>
          <w:color w:val="000000" w:themeColor="text1"/>
          <w:u w:val="single"/>
          <w14:textFill>
            <w14:solidFill>
              <w14:schemeClr w14:val="tx1"/>
            </w14:solidFill>
          </w14:textFill>
        </w:rPr>
        <w:t>90</w:t>
      </w:r>
      <w:r>
        <w:rPr>
          <w:rFonts w:hint="eastAsia" w:ascii="宋体" w:hAnsi="宋体" w:eastAsia="宋体" w:cs="宋体"/>
          <w:color w:val="000000" w:themeColor="text1"/>
          <w14:textFill>
            <w14:solidFill>
              <w14:schemeClr w14:val="tx1"/>
            </w14:solidFill>
          </w14:textFill>
        </w:rPr>
        <w:t>个日历日内有效，如中标，延长至合同执行完毕时止。</w:t>
      </w:r>
    </w:p>
    <w:p w14:paraId="5D811CDD">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八、所有关于此次招标活动的函电，请按下列地址联系：</w:t>
      </w:r>
    </w:p>
    <w:p w14:paraId="55EA1E1E">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名称</w:t>
      </w:r>
      <w:r>
        <w:rPr>
          <w:rFonts w:hint="eastAsia" w:ascii="宋体" w:hAnsi="宋体" w:eastAsia="宋体" w:cs="宋体"/>
          <w:color w:val="000000" w:themeColor="text1"/>
          <w14:textFill>
            <w14:solidFill>
              <w14:schemeClr w14:val="tx1"/>
            </w14:solidFill>
          </w14:textFill>
        </w:rPr>
        <w:t>（盖章）</w:t>
      </w:r>
    </w:p>
    <w:p w14:paraId="55E9298A">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14:paraId="4C653696">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w:t>
      </w:r>
    </w:p>
    <w:p w14:paraId="7F81BBF9">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w:t>
      </w:r>
    </w:p>
    <w:p w14:paraId="05EDBADB">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14:paraId="2CA307C9">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14:paraId="2E20EF3F">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邮编：</w:t>
      </w:r>
    </w:p>
    <w:p w14:paraId="683B1080">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电子邮箱：          </w:t>
      </w:r>
      <w:r>
        <w:rPr>
          <w:rFonts w:hint="eastAsia" w:ascii="宋体" w:hAnsi="宋体" w:eastAsia="宋体" w:cs="宋体"/>
          <w:b/>
          <w:bCs/>
          <w:color w:val="000000" w:themeColor="text1"/>
          <w14:textFill>
            <w14:solidFill>
              <w14:schemeClr w14:val="tx1"/>
            </w14:solidFill>
          </w14:textFill>
        </w:rPr>
        <w:t>（专用邮箱）</w:t>
      </w:r>
    </w:p>
    <w:p w14:paraId="22A5620F">
      <w:pPr>
        <w:pStyle w:val="31"/>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6167923E">
      <w:pPr>
        <w:pStyle w:val="31"/>
        <w:pageBreakBefore w:val="0"/>
        <w:kinsoku/>
        <w:wordWrap/>
        <w:bidi w:val="0"/>
        <w:spacing w:line="500" w:lineRule="exact"/>
        <w:ind w:left="0" w:right="0" w:firstLine="726" w:firstLineChars="200"/>
        <w:jc w:val="both"/>
        <w:textAlignment w:val="auto"/>
        <w:rPr>
          <w:rFonts w:hint="eastAsia" w:ascii="宋体" w:hAnsi="宋体" w:eastAsia="宋体" w:cs="宋体"/>
          <w:color w:val="000000" w:themeColor="text1"/>
          <w:sz w:val="36"/>
          <w14:textFill>
            <w14:solidFill>
              <w14:schemeClr w14:val="tx1"/>
            </w14:solidFill>
          </w14:textFill>
        </w:rPr>
      </w:pPr>
    </w:p>
    <w:p w14:paraId="64406230">
      <w:pPr>
        <w:pStyle w:val="31"/>
        <w:pageBreakBefore w:val="0"/>
        <w:kinsoku/>
        <w:wordWrap/>
        <w:bidi w:val="0"/>
        <w:spacing w:line="500" w:lineRule="exact"/>
        <w:ind w:left="0" w:right="0" w:firstLine="726" w:firstLineChars="200"/>
        <w:jc w:val="both"/>
        <w:textAlignment w:val="auto"/>
        <w:rPr>
          <w:rFonts w:hint="eastAsia" w:ascii="宋体" w:hAnsi="宋体" w:eastAsia="宋体" w:cs="宋体"/>
          <w:color w:val="000000" w:themeColor="text1"/>
          <w:sz w:val="36"/>
          <w14:textFill>
            <w14:solidFill>
              <w14:schemeClr w14:val="tx1"/>
            </w14:solidFill>
          </w14:textFill>
        </w:rPr>
      </w:pPr>
    </w:p>
    <w:p w14:paraId="0D9CAA7B">
      <w:pPr>
        <w:pStyle w:val="31"/>
        <w:pageBreakBefore w:val="0"/>
        <w:kinsoku/>
        <w:wordWrap/>
        <w:bidi w:val="0"/>
        <w:spacing w:line="500" w:lineRule="exact"/>
        <w:ind w:left="0" w:right="0" w:firstLine="726" w:firstLineChars="200"/>
        <w:jc w:val="both"/>
        <w:textAlignment w:val="auto"/>
        <w:rPr>
          <w:rFonts w:hint="eastAsia" w:ascii="宋体" w:hAnsi="宋体" w:eastAsia="宋体" w:cs="宋体"/>
          <w:color w:val="000000" w:themeColor="text1"/>
          <w:sz w:val="36"/>
          <w14:textFill>
            <w14:solidFill>
              <w14:schemeClr w14:val="tx1"/>
            </w14:solidFill>
          </w14:textFill>
        </w:rPr>
      </w:pPr>
    </w:p>
    <w:p w14:paraId="335C4A15">
      <w:pPr>
        <w:pStyle w:val="31"/>
        <w:pageBreakBefore w:val="0"/>
        <w:kinsoku/>
        <w:wordWrap/>
        <w:bidi w:val="0"/>
        <w:spacing w:line="500" w:lineRule="exact"/>
        <w:ind w:left="0" w:right="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备注：1、项目不分标段的，第___标段空白处填写</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0E8E3A2F">
      <w:pPr>
        <w:pStyle w:val="31"/>
        <w:pageBreakBefore w:val="0"/>
        <w:numPr>
          <w:ilvl w:val="0"/>
          <w:numId w:val="4"/>
        </w:numPr>
        <w:kinsoku/>
        <w:wordWrap/>
        <w:bidi w:val="0"/>
        <w:spacing w:line="500" w:lineRule="exact"/>
        <w:ind w:left="0" w:right="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除可填报项目外，对本响应函的任何实质性内容修改将被视为非实质性响应，在评审时将其视为无效响应。</w:t>
      </w:r>
    </w:p>
    <w:p w14:paraId="2D166BD6">
      <w:pPr>
        <w:pStyle w:val="31"/>
        <w:pageBreakBefore w:val="0"/>
        <w:kinsoku/>
        <w:wordWrap/>
        <w:bidi w:val="0"/>
        <w:spacing w:line="500" w:lineRule="exact"/>
        <w:ind w:left="0" w:right="0" w:firstLine="426" w:firstLineChars="200"/>
        <w:jc w:val="both"/>
        <w:textAlignment w:val="auto"/>
        <w:rPr>
          <w:rFonts w:hint="eastAsia" w:ascii="宋体" w:hAnsi="宋体" w:eastAsia="宋体" w:cs="宋体"/>
          <w:b/>
          <w:bCs/>
          <w:color w:val="000000" w:themeColor="text1"/>
          <w:sz w:val="21"/>
          <w:szCs w:val="21"/>
          <w14:textFill>
            <w14:solidFill>
              <w14:schemeClr w14:val="tx1"/>
            </w14:solidFill>
          </w14:textFill>
        </w:rPr>
      </w:pPr>
    </w:p>
    <w:p w14:paraId="5EA561E4">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786CA6E0">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3E1D9290">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27104CFA">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758E5673">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796A99DF">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3327C8CE">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4C203858">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031C6A63">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7361F451">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18CE4282">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4B19AE16">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322451C8">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7499E17B">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64247C0A">
      <w:pPr>
        <w:pStyle w:val="31"/>
        <w:pageBreakBefore w:val="0"/>
        <w:kinsoku/>
        <w:wordWrap/>
        <w:bidi w:val="0"/>
        <w:spacing w:line="500" w:lineRule="exact"/>
        <w:ind w:left="0" w:right="0" w:firstLine="646" w:firstLineChars="200"/>
        <w:jc w:val="both"/>
        <w:textAlignment w:val="auto"/>
        <w:rPr>
          <w:rFonts w:hint="eastAsia" w:ascii="宋体" w:hAnsi="宋体" w:eastAsia="宋体" w:cs="宋体"/>
          <w:bCs/>
          <w:color w:val="000000" w:themeColor="text1"/>
          <w:sz w:val="32"/>
          <w:szCs w:val="32"/>
          <w14:textFill>
            <w14:solidFill>
              <w14:schemeClr w14:val="tx1"/>
            </w14:solidFill>
          </w14:textFill>
        </w:rPr>
      </w:pPr>
    </w:p>
    <w:p w14:paraId="30030359">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24BA08E9">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二、开标一览表</w:t>
      </w:r>
    </w:p>
    <w:p w14:paraId="6A39EDCD">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p>
    <w:p w14:paraId="26109877">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p>
    <w:p w14:paraId="6554FBEF">
      <w:pPr>
        <w:pageBreakBefore w:val="0"/>
        <w:kinsoku/>
        <w:wordWrap/>
        <w:bidi w:val="0"/>
        <w:spacing w:line="500" w:lineRule="exact"/>
        <w:ind w:left="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1"/>
        <w:gridCol w:w="3677"/>
        <w:gridCol w:w="3676"/>
      </w:tblGrid>
      <w:tr w14:paraId="6FF3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997" w:type="pct"/>
            <w:noWrap w:val="0"/>
            <w:vAlign w:val="center"/>
          </w:tcPr>
          <w:p w14:paraId="0770D609">
            <w:pPr>
              <w:pStyle w:val="8"/>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szCs w:val="24"/>
                <w14:textFill>
                  <w14:solidFill>
                    <w14:schemeClr w14:val="tx1"/>
                  </w14:solidFill>
                </w14:textFill>
              </w:rPr>
            </w:pPr>
          </w:p>
        </w:tc>
        <w:tc>
          <w:tcPr>
            <w:tcW w:w="2002" w:type="pct"/>
            <w:noWrap w:val="0"/>
            <w:vAlign w:val="center"/>
          </w:tcPr>
          <w:p w14:paraId="24ED098B">
            <w:pPr>
              <w:pageBreakBefore w:val="0"/>
              <w:kinsoku/>
              <w:wordWrap/>
              <w:autoSpaceDE w:val="0"/>
              <w:autoSpaceDN w:val="0"/>
              <w:bidi w:val="0"/>
              <w:spacing w:line="500" w:lineRule="exact"/>
              <w:ind w:left="0" w:right="0" w:firstLine="566" w:firstLineChars="200"/>
              <w:jc w:val="both"/>
              <w:textAlignment w:val="auto"/>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          内容</w:t>
            </w:r>
          </w:p>
        </w:tc>
        <w:tc>
          <w:tcPr>
            <w:tcW w:w="2002" w:type="pct"/>
            <w:noWrap w:val="0"/>
            <w:vAlign w:val="top"/>
          </w:tcPr>
          <w:p w14:paraId="160B7FE6">
            <w:pPr>
              <w:pageBreakBefore w:val="0"/>
              <w:kinsoku/>
              <w:wordWrap/>
              <w:autoSpaceDE w:val="0"/>
              <w:autoSpaceDN w:val="0"/>
              <w:bidi w:val="0"/>
              <w:spacing w:line="500" w:lineRule="exact"/>
              <w:ind w:left="0" w:right="0" w:firstLine="566" w:firstLineChars="200"/>
              <w:jc w:val="both"/>
              <w:textAlignment w:val="auto"/>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         </w:t>
            </w:r>
            <w:r>
              <w:rPr>
                <w:rFonts w:hint="eastAsia" w:ascii="宋体" w:hAnsi="宋体" w:eastAsia="宋体" w:cs="宋体"/>
                <w:color w:val="000000" w:themeColor="text1"/>
                <w:kern w:val="0"/>
                <w:lang w:val="en-US" w:eastAsia="zh-CN"/>
                <w14:textFill>
                  <w14:solidFill>
                    <w14:schemeClr w14:val="tx1"/>
                  </w14:solidFill>
                </w14:textFill>
              </w:rPr>
              <w:t>服务</w:t>
            </w:r>
            <w:r>
              <w:rPr>
                <w:rFonts w:hint="eastAsia" w:ascii="宋体" w:hAnsi="宋体" w:eastAsia="宋体" w:cs="宋体"/>
                <w:color w:val="000000" w:themeColor="text1"/>
                <w:kern w:val="0"/>
                <w:lang w:val="zh-CN"/>
                <w14:textFill>
                  <w14:solidFill>
                    <w14:schemeClr w14:val="tx1"/>
                  </w14:solidFill>
                </w14:textFill>
              </w:rPr>
              <w:t>期</w:t>
            </w:r>
          </w:p>
        </w:tc>
      </w:tr>
      <w:tr w14:paraId="2EBB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noWrap w:val="0"/>
            <w:vAlign w:val="center"/>
          </w:tcPr>
          <w:p w14:paraId="4EEFD52D">
            <w:pPr>
              <w:pStyle w:val="8"/>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投标报价</w:t>
            </w:r>
          </w:p>
        </w:tc>
        <w:tc>
          <w:tcPr>
            <w:tcW w:w="2002" w:type="pct"/>
            <w:noWrap w:val="0"/>
            <w:vAlign w:val="center"/>
          </w:tcPr>
          <w:p w14:paraId="4B6BC3DF">
            <w:pPr>
              <w:pageBreakBefore w:val="0"/>
              <w:kinsoku/>
              <w:wordWrap/>
              <w:autoSpaceDE w:val="0"/>
              <w:autoSpaceDN w:val="0"/>
              <w:bidi w:val="0"/>
              <w:spacing w:line="500" w:lineRule="exact"/>
              <w:ind w:left="0" w:right="0" w:firstLine="566" w:firstLineChars="200"/>
              <w:jc w:val="both"/>
              <w:textAlignment w:val="auto"/>
              <w:rPr>
                <w:rFonts w:hint="eastAsia" w:ascii="宋体" w:hAnsi="宋体" w:eastAsia="宋体" w:cs="宋体"/>
                <w:color w:val="000000" w:themeColor="text1"/>
                <w:kern w:val="0"/>
                <w:szCs w:val="24"/>
                <w:lang w:val="zh-CN"/>
                <w14:textFill>
                  <w14:solidFill>
                    <w14:schemeClr w14:val="tx1"/>
                  </w14:solidFill>
                </w14:textFill>
              </w:rPr>
            </w:pPr>
            <w:r>
              <w:rPr>
                <w:rFonts w:hint="eastAsia" w:ascii="宋体" w:hAnsi="宋体" w:eastAsia="宋体" w:cs="宋体"/>
                <w:color w:val="000000" w:themeColor="text1"/>
                <w:kern w:val="0"/>
                <w:szCs w:val="24"/>
                <w:lang w:val="zh-CN"/>
                <w14:textFill>
                  <w14:solidFill>
                    <w14:schemeClr w14:val="tx1"/>
                  </w14:solidFill>
                </w14:textFill>
              </w:rPr>
              <w:t>小写：</w:t>
            </w:r>
          </w:p>
          <w:p w14:paraId="4B6A8239">
            <w:pPr>
              <w:pageBreakBefore w:val="0"/>
              <w:kinsoku/>
              <w:wordWrap/>
              <w:autoSpaceDE w:val="0"/>
              <w:autoSpaceDN w:val="0"/>
              <w:bidi w:val="0"/>
              <w:spacing w:line="500" w:lineRule="exact"/>
              <w:ind w:left="0" w:right="0" w:firstLine="566" w:firstLineChars="200"/>
              <w:jc w:val="both"/>
              <w:textAlignment w:val="auto"/>
              <w:rPr>
                <w:rFonts w:hint="eastAsia" w:ascii="宋体" w:hAnsi="宋体" w:eastAsia="宋体" w:cs="宋体"/>
                <w:color w:val="000000" w:themeColor="text1"/>
                <w:kern w:val="0"/>
                <w:szCs w:val="24"/>
                <w:lang w:val="zh-CN"/>
                <w14:textFill>
                  <w14:solidFill>
                    <w14:schemeClr w14:val="tx1"/>
                  </w14:solidFill>
                </w14:textFill>
              </w:rPr>
            </w:pPr>
            <w:r>
              <w:rPr>
                <w:rFonts w:hint="eastAsia" w:ascii="宋体" w:hAnsi="宋体" w:eastAsia="宋体" w:cs="宋体"/>
                <w:color w:val="000000" w:themeColor="text1"/>
                <w:kern w:val="0"/>
                <w:szCs w:val="24"/>
                <w:lang w:val="zh-CN"/>
                <w14:textFill>
                  <w14:solidFill>
                    <w14:schemeClr w14:val="tx1"/>
                  </w14:solidFill>
                </w14:textFill>
              </w:rPr>
              <w:t>大写：</w:t>
            </w:r>
          </w:p>
          <w:p w14:paraId="5050E4A8">
            <w:pPr>
              <w:pageBreakBefore w:val="0"/>
              <w:kinsoku/>
              <w:wordWrap/>
              <w:autoSpaceDE w:val="0"/>
              <w:autoSpaceDN w:val="0"/>
              <w:bidi w:val="0"/>
              <w:spacing w:line="500" w:lineRule="exact"/>
              <w:ind w:left="0" w:right="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单位：元</w:t>
            </w:r>
          </w:p>
        </w:tc>
        <w:tc>
          <w:tcPr>
            <w:tcW w:w="2002" w:type="pct"/>
            <w:noWrap w:val="0"/>
            <w:vAlign w:val="top"/>
          </w:tcPr>
          <w:p w14:paraId="4BBD0E56">
            <w:pPr>
              <w:pageBreakBefore w:val="0"/>
              <w:kinsoku/>
              <w:wordWrap/>
              <w:autoSpaceDE w:val="0"/>
              <w:autoSpaceDN w:val="0"/>
              <w:bidi w:val="0"/>
              <w:spacing w:line="500" w:lineRule="exact"/>
              <w:ind w:left="0" w:right="0" w:firstLine="566" w:firstLineChars="200"/>
              <w:jc w:val="both"/>
              <w:textAlignment w:val="auto"/>
              <w:rPr>
                <w:rFonts w:hint="eastAsia" w:ascii="宋体" w:hAnsi="宋体" w:eastAsia="宋体" w:cs="宋体"/>
                <w:color w:val="000000" w:themeColor="text1"/>
                <w:kern w:val="0"/>
                <w:lang w:val="zh-CN"/>
                <w14:textFill>
                  <w14:solidFill>
                    <w14:schemeClr w14:val="tx1"/>
                  </w14:solidFill>
                </w14:textFill>
              </w:rPr>
            </w:pPr>
          </w:p>
        </w:tc>
      </w:tr>
    </w:tbl>
    <w:p w14:paraId="1D4CCA17">
      <w:pPr>
        <w:pageBreakBefore w:val="0"/>
        <w:kinsoku/>
        <w:wordWrap/>
        <w:autoSpaceDE w:val="0"/>
        <w:autoSpaceDN w:val="0"/>
        <w:bidi w:val="0"/>
        <w:spacing w:line="500" w:lineRule="exact"/>
        <w:ind w:left="0" w:right="0" w:firstLine="52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 xml:space="preserve">     </w:t>
      </w:r>
      <w:r>
        <w:rPr>
          <w:rFonts w:hint="eastAsia" w:ascii="宋体" w:hAnsi="宋体" w:eastAsia="宋体" w:cs="宋体"/>
          <w:color w:val="000000" w:themeColor="text1"/>
          <w:spacing w:val="-10"/>
          <w:u w:val="single"/>
          <w14:textFill>
            <w14:solidFill>
              <w14:schemeClr w14:val="tx1"/>
            </w14:solidFill>
          </w14:textFill>
        </w:rPr>
        <w:t>投标人名称</w:t>
      </w:r>
      <w:r>
        <w:rPr>
          <w:rFonts w:hint="eastAsia" w:ascii="宋体" w:hAnsi="宋体" w:eastAsia="宋体" w:cs="宋体"/>
          <w:color w:val="000000" w:themeColor="text1"/>
          <w14:textFill>
            <w14:solidFill>
              <w14:schemeClr w14:val="tx1"/>
            </w14:solidFill>
          </w14:textFill>
        </w:rPr>
        <w:t>（盖章）</w:t>
      </w:r>
    </w:p>
    <w:p w14:paraId="350BECD3">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年　月　日</w:t>
      </w:r>
    </w:p>
    <w:p w14:paraId="1DB04817">
      <w:pPr>
        <w:pageBreakBefore w:val="0"/>
        <w:kinsoku/>
        <w:wordWrap/>
        <w:autoSpaceDE w:val="0"/>
        <w:autoSpaceDN w:val="0"/>
        <w:bidi w:val="0"/>
        <w:spacing w:line="500" w:lineRule="exact"/>
        <w:ind w:left="0" w:right="0" w:firstLine="426" w:firstLineChars="200"/>
        <w:jc w:val="both"/>
        <w:textAlignment w:val="auto"/>
        <w:rPr>
          <w:rFonts w:hint="eastAsia" w:ascii="宋体" w:hAnsi="宋体" w:eastAsia="宋体" w:cs="宋体"/>
          <w:b/>
          <w:bCs/>
          <w:color w:val="000000" w:themeColor="text1"/>
          <w:kern w:val="0"/>
          <w:sz w:val="21"/>
          <w:szCs w:val="21"/>
          <w14:textFill>
            <w14:solidFill>
              <w14:schemeClr w14:val="tx1"/>
            </w14:solidFill>
          </w14:textFill>
        </w:rPr>
      </w:pPr>
    </w:p>
    <w:p w14:paraId="6F1AA7EA">
      <w:pPr>
        <w:pageBreakBefore w:val="0"/>
        <w:kinsoku/>
        <w:wordWrap/>
        <w:autoSpaceDE w:val="0"/>
        <w:autoSpaceDN w:val="0"/>
        <w:bidi w:val="0"/>
        <w:spacing w:line="500" w:lineRule="exact"/>
        <w:ind w:left="0" w:right="0" w:firstLine="426" w:firstLineChars="200"/>
        <w:jc w:val="both"/>
        <w:textAlignment w:val="auto"/>
        <w:rPr>
          <w:rFonts w:hint="eastAsia" w:ascii="宋体" w:hAnsi="宋体" w:eastAsia="宋体" w:cs="宋体"/>
          <w:b/>
          <w:bCs/>
          <w:color w:val="000000" w:themeColor="text1"/>
          <w:kern w:val="0"/>
          <w:sz w:val="21"/>
          <w:szCs w:val="21"/>
          <w14:textFill>
            <w14:solidFill>
              <w14:schemeClr w14:val="tx1"/>
            </w14:solidFill>
          </w14:textFill>
        </w:rPr>
      </w:pPr>
    </w:p>
    <w:p w14:paraId="77B93294">
      <w:pPr>
        <w:pageBreakBefore w:val="0"/>
        <w:kinsoku/>
        <w:wordWrap/>
        <w:autoSpaceDE w:val="0"/>
        <w:autoSpaceDN w:val="0"/>
        <w:bidi w:val="0"/>
        <w:spacing w:line="500" w:lineRule="exact"/>
        <w:ind w:left="0" w:right="0" w:firstLine="426" w:firstLineChars="200"/>
        <w:jc w:val="both"/>
        <w:textAlignment w:val="auto"/>
        <w:rPr>
          <w:rFonts w:hint="eastAsia"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备注</w:t>
      </w:r>
      <w:r>
        <w:rPr>
          <w:rFonts w:hint="eastAsia" w:ascii="宋体" w:hAnsi="宋体" w:eastAsia="宋体" w:cs="宋体"/>
          <w:b/>
          <w:bCs/>
          <w:color w:val="000000" w:themeColor="text1"/>
          <w:kern w:val="0"/>
          <w:sz w:val="21"/>
          <w:szCs w:val="21"/>
          <w:lang w:val="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kern w:val="0"/>
          <w:sz w:val="21"/>
          <w:szCs w:val="21"/>
          <w:lang w:val="zh-CN"/>
          <w14:textFill>
            <w14:solidFill>
              <w14:schemeClr w14:val="tx1"/>
            </w14:solidFill>
          </w14:textFill>
        </w:rPr>
        <w:t>“投标报价”为投标总价。投标报价必须包括：</w:t>
      </w:r>
      <w:bookmarkStart w:id="271" w:name="_Hlk48720282"/>
      <w:bookmarkStart w:id="272" w:name="_Toc5592"/>
      <w:bookmarkStart w:id="273" w:name="_Toc25597_WPSOffice_Level2"/>
      <w:bookmarkStart w:id="274" w:name="_Toc29232"/>
      <w:bookmarkStart w:id="275" w:name="_Toc8006"/>
      <w:bookmarkStart w:id="276" w:name="_Toc31114"/>
      <w:bookmarkStart w:id="277" w:name="_Toc24699_WPSOffice_Level2"/>
      <w:bookmarkStart w:id="278" w:name="_Toc26334"/>
      <w:bookmarkStart w:id="279" w:name="_Toc29740_WPSOffice_Level2"/>
      <w:r>
        <w:rPr>
          <w:rFonts w:hint="eastAsia" w:ascii="宋体" w:hAnsi="宋体" w:eastAsia="宋体" w:cs="宋体"/>
          <w:color w:val="000000" w:themeColor="text1"/>
          <w:kern w:val="0"/>
          <w:sz w:val="21"/>
          <w:szCs w:val="21"/>
          <w14:textFill>
            <w14:solidFill>
              <w14:schemeClr w14:val="tx1"/>
            </w14:solidFill>
          </w14:textFill>
        </w:rPr>
        <w:t>完成采购内容所需的直接费、间接费、利润、税金及其它相关的一切费用</w:t>
      </w:r>
      <w:r>
        <w:rPr>
          <w:rFonts w:hint="eastAsia" w:ascii="宋体" w:hAnsi="宋体" w:eastAsia="宋体" w:cs="宋体"/>
          <w:color w:val="000000" w:themeColor="text1"/>
          <w:kern w:val="0"/>
          <w:sz w:val="21"/>
          <w:szCs w:val="21"/>
          <w:lang w:val="zh-CN"/>
          <w14:textFill>
            <w14:solidFill>
              <w14:schemeClr w14:val="tx1"/>
            </w14:solidFill>
          </w14:textFill>
        </w:rPr>
        <w:t>，以及合同实施过程中的应预见及不可预见费用等完成合同规定责任和义务、达到合同目的的一切费用</w:t>
      </w:r>
      <w:bookmarkEnd w:id="271"/>
      <w:r>
        <w:rPr>
          <w:rFonts w:hint="eastAsia" w:ascii="宋体" w:hAnsi="宋体" w:eastAsia="宋体" w:cs="宋体"/>
          <w:color w:val="000000" w:themeColor="text1"/>
          <w:kern w:val="0"/>
          <w:sz w:val="21"/>
          <w:szCs w:val="21"/>
          <w:lang w:val="zh-CN"/>
          <w14:textFill>
            <w14:solidFill>
              <w14:schemeClr w14:val="tx1"/>
            </w14:solidFill>
          </w14:textFill>
        </w:rPr>
        <w:t>。</w:t>
      </w:r>
    </w:p>
    <w:p w14:paraId="6F117486">
      <w:pPr>
        <w:pageBreakBefore w:val="0"/>
        <w:kinsoku/>
        <w:wordWrap/>
        <w:autoSpaceDE w:val="0"/>
        <w:autoSpaceDN w:val="0"/>
        <w:bidi w:val="0"/>
        <w:spacing w:line="500" w:lineRule="exact"/>
        <w:ind w:left="0" w:right="0" w:firstLine="426" w:firstLineChars="200"/>
        <w:jc w:val="both"/>
        <w:textAlignment w:val="auto"/>
        <w:rPr>
          <w:rFonts w:hint="eastAsia" w:ascii="宋体" w:hAnsi="宋体" w:eastAsia="宋体" w:cs="宋体"/>
          <w:color w:val="000000" w:themeColor="text1"/>
          <w:kern w:val="0"/>
          <w:sz w:val="21"/>
          <w:szCs w:val="21"/>
          <w14:textFill>
            <w14:solidFill>
              <w14:schemeClr w14:val="tx1"/>
            </w14:solidFill>
          </w14:textFill>
        </w:rPr>
        <w:sectPr>
          <w:headerReference r:id="rId10" w:type="default"/>
          <w:footerReference r:id="rId11" w:type="default"/>
          <w:pgSz w:w="11906" w:h="16838"/>
          <w:pgMar w:top="1417" w:right="1418" w:bottom="1417" w:left="1418" w:header="851" w:footer="794" w:gutter="0"/>
          <w:pgNumType w:fmt="decimal"/>
          <w:cols w:space="720" w:num="1"/>
          <w:docGrid w:type="linesAndChars" w:linePitch="381" w:charSpace="704"/>
        </w:sectPr>
      </w:pPr>
      <w:r>
        <w:rPr>
          <w:rFonts w:hint="eastAsia" w:ascii="宋体" w:hAnsi="宋体" w:eastAsia="宋体" w:cs="宋体"/>
          <w:color w:val="000000" w:themeColor="text1"/>
          <w:kern w:val="0"/>
          <w:sz w:val="21"/>
          <w:szCs w:val="21"/>
          <w:lang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以上费用均为含税价格</w:t>
      </w:r>
      <w:r>
        <w:rPr>
          <w:rFonts w:hint="eastAsia" w:ascii="宋体" w:hAnsi="宋体" w:eastAsia="宋体" w:cs="宋体"/>
          <w:color w:val="000000" w:themeColor="text1"/>
          <w:kern w:val="0"/>
          <w:sz w:val="21"/>
          <w:szCs w:val="21"/>
          <w:lang w:eastAsia="zh-CN"/>
          <w14:textFill>
            <w14:solidFill>
              <w14:schemeClr w14:val="tx1"/>
            </w14:solidFill>
          </w14:textFill>
        </w:rPr>
        <w:t>。</w:t>
      </w:r>
    </w:p>
    <w:bookmarkEnd w:id="272"/>
    <w:bookmarkEnd w:id="273"/>
    <w:bookmarkEnd w:id="274"/>
    <w:bookmarkEnd w:id="275"/>
    <w:bookmarkEnd w:id="276"/>
    <w:bookmarkEnd w:id="277"/>
    <w:bookmarkEnd w:id="278"/>
    <w:bookmarkEnd w:id="279"/>
    <w:p w14:paraId="43BDD8E5">
      <w:pPr>
        <w:pStyle w:val="34"/>
        <w:pageBreakBefore w:val="0"/>
        <w:kinsoku/>
        <w:bidi w:val="0"/>
        <w:spacing w:line="500" w:lineRule="exact"/>
        <w:ind w:right="0" w:rightChars="0" w:firstLine="283" w:firstLineChars="100"/>
        <w:jc w:val="both"/>
        <w:textAlignment w:val="auto"/>
        <w:outlineLvl w:val="9"/>
        <w:rPr>
          <w:rFonts w:hint="eastAsia" w:ascii="宋体" w:hAnsi="宋体" w:eastAsia="宋体" w:cs="宋体"/>
          <w:bCs w:val="0"/>
          <w:color w:val="000000" w:themeColor="text1"/>
          <w:sz w:val="28"/>
          <w:szCs w:val="28"/>
          <w14:textFill>
            <w14:solidFill>
              <w14:schemeClr w14:val="tx1"/>
            </w14:solidFill>
          </w14:textFill>
        </w:rPr>
      </w:pPr>
      <w:bookmarkStart w:id="280" w:name="_Toc48834318"/>
      <w:bookmarkStart w:id="281" w:name="_Toc48834132"/>
      <w:bookmarkStart w:id="282" w:name="_Toc48834330"/>
      <w:bookmarkStart w:id="283" w:name="_Toc48834202"/>
      <w:bookmarkStart w:id="284" w:name="_Toc15439"/>
      <w:bookmarkStart w:id="285" w:name="_Toc10991"/>
      <w:bookmarkStart w:id="286" w:name="_Toc30708"/>
      <w:r>
        <w:rPr>
          <w:rFonts w:hint="eastAsia" w:ascii="宋体" w:hAnsi="宋体" w:eastAsia="宋体" w:cs="宋体"/>
          <w:bCs w:val="0"/>
          <w:color w:val="000000" w:themeColor="text1"/>
          <w:sz w:val="28"/>
          <w:szCs w:val="28"/>
          <w14:textFill>
            <w14:solidFill>
              <w14:schemeClr w14:val="tx1"/>
            </w14:solidFill>
          </w14:textFill>
        </w:rPr>
        <w:t>二、分项报价表（样表）</w:t>
      </w:r>
      <w:bookmarkEnd w:id="280"/>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633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14:paraId="0D291257">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287" w:name="_Toc18433"/>
            <w:bookmarkStart w:id="288" w:name="_Toc48834121"/>
            <w:bookmarkStart w:id="289" w:name="_Toc22436"/>
            <w:bookmarkStart w:id="290" w:name="_Toc48834319"/>
            <w:bookmarkStart w:id="291" w:name="_Toc16723"/>
            <w:bookmarkStart w:id="292" w:name="_Toc48834478"/>
            <w:bookmarkStart w:id="293" w:name="_Toc13948"/>
            <w:bookmarkStart w:id="294" w:name="_Toc28408"/>
            <w:bookmarkStart w:id="295" w:name="_Toc22090"/>
            <w:bookmarkStart w:id="296" w:name="_Toc11855"/>
            <w:bookmarkStart w:id="297" w:name="_Toc32361"/>
            <w:bookmarkStart w:id="298" w:name="_Toc26257"/>
            <w:bookmarkStart w:id="299" w:name="_Toc48834191"/>
            <w:bookmarkStart w:id="300" w:name="_Toc1934"/>
            <w:r>
              <w:rPr>
                <w:rFonts w:hint="eastAsia" w:ascii="宋体" w:hAnsi="宋体" w:eastAsia="宋体" w:cs="宋体"/>
                <w:bCs w:val="0"/>
                <w:color w:val="000000" w:themeColor="text1"/>
                <w:sz w:val="24"/>
                <w:szCs w:val="24"/>
                <w14:textFill>
                  <w14:solidFill>
                    <w14:schemeClr w14:val="tx1"/>
                  </w14:solidFill>
                </w14:textFill>
              </w:rPr>
              <w:t>序号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c>
        <w:tc>
          <w:tcPr>
            <w:tcW w:w="678" w:type="pct"/>
            <w:noWrap w:val="0"/>
            <w:vAlign w:val="center"/>
          </w:tcPr>
          <w:p w14:paraId="44112CF9">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01" w:name="_Toc18237"/>
            <w:bookmarkStart w:id="302" w:name="_Toc305"/>
            <w:bookmarkStart w:id="303" w:name="_Toc25988"/>
            <w:bookmarkStart w:id="304" w:name="_Toc48834122"/>
            <w:bookmarkStart w:id="305" w:name="_Toc48834320"/>
            <w:bookmarkStart w:id="306" w:name="_Toc30628"/>
            <w:bookmarkStart w:id="307" w:name="_Toc2200"/>
            <w:bookmarkStart w:id="308" w:name="_Toc48834479"/>
            <w:bookmarkStart w:id="309" w:name="_Toc22136"/>
            <w:bookmarkStart w:id="310" w:name="_Toc26803"/>
            <w:bookmarkStart w:id="311" w:name="_Toc48834192"/>
            <w:bookmarkStart w:id="312" w:name="_Toc10554"/>
            <w:bookmarkStart w:id="313" w:name="_Toc25508"/>
            <w:bookmarkStart w:id="314" w:name="_Toc27672"/>
            <w:r>
              <w:rPr>
                <w:rFonts w:hint="eastAsia" w:ascii="宋体" w:hAnsi="宋体" w:eastAsia="宋体" w:cs="宋体"/>
                <w:bCs w:val="0"/>
                <w:color w:val="000000" w:themeColor="text1"/>
                <w:sz w:val="24"/>
                <w:szCs w:val="24"/>
                <w:lang w:val="en-US" w:eastAsia="zh-CN"/>
                <w14:textFill>
                  <w14:solidFill>
                    <w14:schemeClr w14:val="tx1"/>
                  </w14:solidFill>
                </w14:textFill>
              </w:rPr>
              <w:t>服务</w:t>
            </w:r>
            <w:r>
              <w:rPr>
                <w:rFonts w:hint="eastAsia" w:ascii="宋体" w:hAnsi="宋体" w:eastAsia="宋体" w:cs="宋体"/>
                <w:bCs w:val="0"/>
                <w:color w:val="000000" w:themeColor="text1"/>
                <w:sz w:val="24"/>
                <w:szCs w:val="24"/>
                <w14:textFill>
                  <w14:solidFill>
                    <w14:schemeClr w14:val="tx1"/>
                  </w14:solidFill>
                </w14:textFill>
              </w:rPr>
              <w:t>名称</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tc>
        <w:tc>
          <w:tcPr>
            <w:tcW w:w="822" w:type="pct"/>
            <w:noWrap w:val="0"/>
            <w:vAlign w:val="center"/>
          </w:tcPr>
          <w:p w14:paraId="331CF9D7">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15" w:name="_Toc31649"/>
            <w:bookmarkStart w:id="316" w:name="_Toc48834193"/>
            <w:bookmarkStart w:id="317" w:name="_Toc48834123"/>
            <w:bookmarkStart w:id="318" w:name="_Toc19168"/>
            <w:bookmarkStart w:id="319" w:name="_Toc24812"/>
            <w:bookmarkStart w:id="320" w:name="_Toc27856"/>
            <w:bookmarkStart w:id="321" w:name="_Toc1510"/>
            <w:bookmarkStart w:id="322" w:name="_Toc31990"/>
            <w:bookmarkStart w:id="323" w:name="_Toc48834480"/>
            <w:bookmarkStart w:id="324" w:name="_Toc17303"/>
            <w:bookmarkStart w:id="325" w:name="_Toc20493"/>
            <w:bookmarkStart w:id="326" w:name="_Toc48834321"/>
            <w:bookmarkStart w:id="327" w:name="_Toc2261"/>
            <w:bookmarkStart w:id="328" w:name="_Toc4954"/>
            <w:r>
              <w:rPr>
                <w:rFonts w:hint="eastAsia" w:ascii="宋体" w:hAnsi="宋体" w:eastAsia="宋体" w:cs="宋体"/>
                <w:bCs w:val="0"/>
                <w:color w:val="000000" w:themeColor="text1"/>
                <w:sz w:val="24"/>
                <w:szCs w:val="24"/>
                <w14:textFill>
                  <w14:solidFill>
                    <w14:schemeClr w14:val="tx1"/>
                  </w14:solidFill>
                </w14:textFill>
              </w:rPr>
              <w:t>计量单位</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tc>
        <w:tc>
          <w:tcPr>
            <w:tcW w:w="1159" w:type="pct"/>
            <w:noWrap w:val="0"/>
            <w:vAlign w:val="center"/>
          </w:tcPr>
          <w:p w14:paraId="3725F189">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29" w:name="_Toc26426"/>
            <w:bookmarkStart w:id="330" w:name="_Toc28843"/>
            <w:bookmarkStart w:id="331" w:name="_Toc20600"/>
            <w:bookmarkStart w:id="332" w:name="_Toc24925"/>
            <w:bookmarkStart w:id="333" w:name="_Toc27981"/>
            <w:bookmarkStart w:id="334" w:name="_Toc10304"/>
            <w:bookmarkStart w:id="335" w:name="_Toc13762"/>
            <w:bookmarkStart w:id="336" w:name="_Toc17587"/>
            <w:bookmarkStart w:id="337" w:name="_Toc7958"/>
            <w:bookmarkStart w:id="338" w:name="_Toc8643"/>
            <w:bookmarkStart w:id="339" w:name="_Toc48834194"/>
            <w:bookmarkStart w:id="340" w:name="_Toc48834322"/>
            <w:bookmarkStart w:id="341" w:name="_Toc48834124"/>
            <w:bookmarkStart w:id="342" w:name="_Toc48834481"/>
            <w:r>
              <w:rPr>
                <w:rFonts w:hint="eastAsia" w:ascii="宋体" w:hAnsi="宋体" w:eastAsia="宋体" w:cs="宋体"/>
                <w:bCs w:val="0"/>
                <w:color w:val="000000" w:themeColor="text1"/>
                <w:sz w:val="24"/>
                <w:szCs w:val="24"/>
                <w14:textFill>
                  <w14:solidFill>
                    <w14:schemeClr w14:val="tx1"/>
                  </w14:solidFill>
                </w14:textFill>
              </w:rPr>
              <w:t>具体</w:t>
            </w:r>
            <w:bookmarkEnd w:id="329"/>
            <w:bookmarkEnd w:id="330"/>
            <w:bookmarkEnd w:id="331"/>
            <w:bookmarkEnd w:id="332"/>
            <w:bookmarkEnd w:id="333"/>
            <w:bookmarkEnd w:id="334"/>
            <w:bookmarkEnd w:id="335"/>
            <w:bookmarkEnd w:id="336"/>
            <w:bookmarkEnd w:id="337"/>
            <w:bookmarkEnd w:id="338"/>
            <w:r>
              <w:rPr>
                <w:rFonts w:hint="eastAsia" w:ascii="宋体" w:hAnsi="宋体" w:eastAsia="宋体" w:cs="宋体"/>
                <w:bCs w:val="0"/>
                <w:color w:val="000000" w:themeColor="text1"/>
                <w:sz w:val="24"/>
                <w:szCs w:val="24"/>
                <w:lang w:val="en-US" w:eastAsia="zh-CN"/>
                <w14:textFill>
                  <w14:solidFill>
                    <w14:schemeClr w14:val="tx1"/>
                  </w14:solidFill>
                </w14:textFill>
              </w:rPr>
              <w:t>服务</w:t>
            </w:r>
            <w:r>
              <w:rPr>
                <w:rFonts w:hint="eastAsia" w:ascii="宋体" w:hAnsi="宋体" w:eastAsia="宋体" w:cs="宋体"/>
                <w:bCs w:val="0"/>
                <w:color w:val="000000" w:themeColor="text1"/>
                <w:sz w:val="24"/>
                <w:szCs w:val="24"/>
                <w14:textFill>
                  <w14:solidFill>
                    <w14:schemeClr w14:val="tx1"/>
                  </w14:solidFill>
                </w14:textFill>
              </w:rPr>
              <w:t>内容</w:t>
            </w:r>
            <w:bookmarkEnd w:id="339"/>
            <w:bookmarkEnd w:id="340"/>
            <w:bookmarkEnd w:id="341"/>
            <w:bookmarkEnd w:id="342"/>
          </w:p>
        </w:tc>
        <w:tc>
          <w:tcPr>
            <w:tcW w:w="485" w:type="pct"/>
            <w:noWrap w:val="0"/>
            <w:vAlign w:val="center"/>
          </w:tcPr>
          <w:p w14:paraId="311F5CA5">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43" w:name="_Toc48834323"/>
            <w:bookmarkStart w:id="344" w:name="_Toc22239"/>
            <w:bookmarkStart w:id="345" w:name="_Toc48834482"/>
            <w:bookmarkStart w:id="346" w:name="_Toc20516"/>
            <w:bookmarkStart w:id="347" w:name="_Toc28269"/>
            <w:bookmarkStart w:id="348" w:name="_Toc48834195"/>
            <w:bookmarkStart w:id="349" w:name="_Toc20275"/>
            <w:bookmarkStart w:id="350" w:name="_Toc1305"/>
            <w:bookmarkStart w:id="351" w:name="_Toc48834125"/>
            <w:bookmarkStart w:id="352" w:name="_Toc4902"/>
            <w:bookmarkStart w:id="353" w:name="_Toc405"/>
            <w:bookmarkStart w:id="354" w:name="_Toc2815"/>
            <w:bookmarkStart w:id="355" w:name="_Toc18350"/>
            <w:bookmarkStart w:id="356" w:name="_Toc31126"/>
            <w:r>
              <w:rPr>
                <w:rFonts w:hint="eastAsia" w:ascii="宋体" w:hAnsi="宋体" w:eastAsia="宋体" w:cs="宋体"/>
                <w:bCs w:val="0"/>
                <w:color w:val="000000" w:themeColor="text1"/>
                <w:sz w:val="24"/>
                <w:szCs w:val="24"/>
                <w14:textFill>
                  <w14:solidFill>
                    <w14:schemeClr w14:val="tx1"/>
                  </w14:solidFill>
                </w14:textFill>
              </w:rPr>
              <w:t>单价</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tc>
        <w:tc>
          <w:tcPr>
            <w:tcW w:w="485" w:type="pct"/>
            <w:noWrap w:val="0"/>
            <w:vAlign w:val="center"/>
          </w:tcPr>
          <w:p w14:paraId="3F6F79C6">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57" w:name="_Toc31777"/>
            <w:bookmarkStart w:id="358" w:name="_Toc48834324"/>
            <w:bookmarkStart w:id="359" w:name="_Toc28802"/>
            <w:bookmarkStart w:id="360" w:name="_Toc48834126"/>
            <w:bookmarkStart w:id="361" w:name="_Toc24619"/>
            <w:bookmarkStart w:id="362" w:name="_Toc14107"/>
            <w:bookmarkStart w:id="363" w:name="_Toc13000"/>
            <w:bookmarkStart w:id="364" w:name="_Toc48834196"/>
            <w:bookmarkStart w:id="365" w:name="_Toc21248"/>
            <w:bookmarkStart w:id="366" w:name="_Toc6325"/>
            <w:bookmarkStart w:id="367" w:name="_Toc48834483"/>
            <w:bookmarkStart w:id="368" w:name="_Toc5160"/>
            <w:bookmarkStart w:id="369" w:name="_Toc10807"/>
            <w:bookmarkStart w:id="370" w:name="_Toc13619"/>
            <w:r>
              <w:rPr>
                <w:rFonts w:hint="eastAsia" w:ascii="宋体" w:hAnsi="宋体" w:eastAsia="宋体" w:cs="宋体"/>
                <w:bCs w:val="0"/>
                <w:color w:val="000000" w:themeColor="text1"/>
                <w:sz w:val="24"/>
                <w:szCs w:val="24"/>
                <w14:textFill>
                  <w14:solidFill>
                    <w14:schemeClr w14:val="tx1"/>
                  </w14:solidFill>
                </w14:textFill>
              </w:rPr>
              <w:t>数量</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tc>
        <w:tc>
          <w:tcPr>
            <w:tcW w:w="485" w:type="pct"/>
            <w:noWrap w:val="0"/>
            <w:vAlign w:val="center"/>
          </w:tcPr>
          <w:p w14:paraId="047B994C">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71" w:name="_Toc28052"/>
            <w:bookmarkStart w:id="372" w:name="_Toc28095"/>
            <w:bookmarkStart w:id="373" w:name="_Toc48834197"/>
            <w:bookmarkStart w:id="374" w:name="_Toc25187"/>
            <w:bookmarkStart w:id="375" w:name="_Toc31567"/>
            <w:bookmarkStart w:id="376" w:name="_Toc48834484"/>
            <w:bookmarkStart w:id="377" w:name="_Toc48834325"/>
            <w:bookmarkStart w:id="378" w:name="_Toc48834127"/>
            <w:bookmarkStart w:id="379" w:name="_Toc17975"/>
            <w:bookmarkStart w:id="380" w:name="_Toc20517"/>
            <w:bookmarkStart w:id="381" w:name="_Toc5673"/>
            <w:bookmarkStart w:id="382" w:name="_Toc24719"/>
            <w:bookmarkStart w:id="383" w:name="_Toc12016"/>
            <w:bookmarkStart w:id="384" w:name="_Toc5319"/>
            <w:r>
              <w:rPr>
                <w:rFonts w:hint="eastAsia" w:ascii="宋体" w:hAnsi="宋体" w:eastAsia="宋体" w:cs="宋体"/>
                <w:bCs w:val="0"/>
                <w:color w:val="000000" w:themeColor="text1"/>
                <w:sz w:val="24"/>
                <w:szCs w:val="24"/>
                <w14:textFill>
                  <w14:solidFill>
                    <w14:schemeClr w14:val="tx1"/>
                  </w14:solidFill>
                </w14:textFill>
              </w:rPr>
              <w:t>合计</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tc>
        <w:tc>
          <w:tcPr>
            <w:tcW w:w="485" w:type="pct"/>
            <w:noWrap w:val="0"/>
            <w:vAlign w:val="center"/>
          </w:tcPr>
          <w:p w14:paraId="21885ADC">
            <w:pPr>
              <w:pStyle w:val="34"/>
              <w:pageBreakBefore w:val="0"/>
              <w:widowControl w:val="0"/>
              <w:kinsoku/>
              <w:bidi w:val="0"/>
              <w:spacing w:line="500" w:lineRule="exact"/>
              <w:ind w:right="0" w:rightChars="0"/>
              <w:jc w:val="both"/>
              <w:textAlignment w:val="auto"/>
              <w:rPr>
                <w:rFonts w:hint="eastAsia" w:ascii="宋体" w:hAnsi="宋体" w:eastAsia="宋体" w:cs="宋体"/>
                <w:bCs w:val="0"/>
                <w:color w:val="000000" w:themeColor="text1"/>
                <w:sz w:val="24"/>
                <w:szCs w:val="24"/>
                <w14:textFill>
                  <w14:solidFill>
                    <w14:schemeClr w14:val="tx1"/>
                  </w14:solidFill>
                </w14:textFill>
              </w:rPr>
            </w:pPr>
            <w:bookmarkStart w:id="385" w:name="_Toc3646"/>
            <w:bookmarkStart w:id="386" w:name="_Toc3675"/>
            <w:bookmarkStart w:id="387" w:name="_Toc48834326"/>
            <w:bookmarkStart w:id="388" w:name="_Toc16650"/>
            <w:bookmarkStart w:id="389" w:name="_Toc13096"/>
            <w:bookmarkStart w:id="390" w:name="_Toc27866"/>
            <w:bookmarkStart w:id="391" w:name="_Toc48834485"/>
            <w:bookmarkStart w:id="392" w:name="_Toc48834128"/>
            <w:bookmarkStart w:id="393" w:name="_Toc10182"/>
            <w:bookmarkStart w:id="394" w:name="_Toc30744"/>
            <w:bookmarkStart w:id="395" w:name="_Toc48834198"/>
            <w:bookmarkStart w:id="396" w:name="_Toc25536"/>
            <w:bookmarkStart w:id="397" w:name="_Toc31556"/>
            <w:r>
              <w:rPr>
                <w:rFonts w:hint="eastAsia" w:ascii="宋体" w:hAnsi="宋体" w:eastAsia="宋体" w:cs="宋体"/>
                <w:bCs w:val="0"/>
                <w:color w:val="000000" w:themeColor="text1"/>
                <w:sz w:val="24"/>
                <w:szCs w:val="24"/>
                <w14:textFill>
                  <w14:solidFill>
                    <w14:schemeClr w14:val="tx1"/>
                  </w14:solidFill>
                </w14:textFill>
              </w:rPr>
              <w:t>备注</w:t>
            </w:r>
            <w:bookmarkEnd w:id="385"/>
            <w:bookmarkEnd w:id="386"/>
            <w:bookmarkEnd w:id="387"/>
            <w:bookmarkEnd w:id="388"/>
            <w:bookmarkEnd w:id="389"/>
            <w:bookmarkEnd w:id="390"/>
            <w:bookmarkEnd w:id="391"/>
            <w:bookmarkEnd w:id="392"/>
            <w:bookmarkEnd w:id="393"/>
            <w:bookmarkEnd w:id="394"/>
            <w:bookmarkEnd w:id="395"/>
            <w:bookmarkEnd w:id="396"/>
            <w:bookmarkEnd w:id="397"/>
          </w:p>
        </w:tc>
      </w:tr>
      <w:tr w14:paraId="434E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54086A63">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678" w:type="pct"/>
            <w:noWrap w:val="0"/>
            <w:vAlign w:val="top"/>
          </w:tcPr>
          <w:p w14:paraId="45A2236B">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822" w:type="pct"/>
            <w:noWrap w:val="0"/>
            <w:vAlign w:val="top"/>
          </w:tcPr>
          <w:p w14:paraId="23BD9D73">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1159" w:type="pct"/>
            <w:noWrap w:val="0"/>
            <w:vAlign w:val="top"/>
          </w:tcPr>
          <w:p w14:paraId="4516A417">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2182002F">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524D9E21">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2409FD47">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028CAF8C">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r>
      <w:tr w14:paraId="4780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17B8EBA0">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678" w:type="pct"/>
            <w:noWrap w:val="0"/>
            <w:vAlign w:val="top"/>
          </w:tcPr>
          <w:p w14:paraId="366F2304">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822" w:type="pct"/>
            <w:noWrap w:val="0"/>
            <w:vAlign w:val="top"/>
          </w:tcPr>
          <w:p w14:paraId="5A4B3E75">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1159" w:type="pct"/>
            <w:noWrap w:val="0"/>
            <w:vAlign w:val="top"/>
          </w:tcPr>
          <w:p w14:paraId="14C17840">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55DB20E6">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1AF694D8">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326597C9">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5E72D3EF">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r>
      <w:tr w14:paraId="3196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748419F2">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678" w:type="pct"/>
            <w:noWrap w:val="0"/>
            <w:vAlign w:val="top"/>
          </w:tcPr>
          <w:p w14:paraId="17CE283B">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822" w:type="pct"/>
            <w:noWrap w:val="0"/>
            <w:vAlign w:val="top"/>
          </w:tcPr>
          <w:p w14:paraId="055F0DB2">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1159" w:type="pct"/>
            <w:noWrap w:val="0"/>
            <w:vAlign w:val="top"/>
          </w:tcPr>
          <w:p w14:paraId="058C7360">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0D94D6E6">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422425A5">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7FB61385">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702C1A98">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r>
      <w:tr w14:paraId="4CC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38E365B6">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678" w:type="pct"/>
            <w:noWrap w:val="0"/>
            <w:vAlign w:val="top"/>
          </w:tcPr>
          <w:p w14:paraId="2542B6E4">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822" w:type="pct"/>
            <w:noWrap w:val="0"/>
            <w:vAlign w:val="top"/>
          </w:tcPr>
          <w:p w14:paraId="102DE1EF">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1159" w:type="pct"/>
            <w:noWrap w:val="0"/>
            <w:vAlign w:val="top"/>
          </w:tcPr>
          <w:p w14:paraId="2530E3B1">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3BEE9E39">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3AEA252B">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24C18F5E">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6DDF1817">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r>
      <w:tr w14:paraId="0F2C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7A566B62">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678" w:type="pct"/>
            <w:noWrap w:val="0"/>
            <w:vAlign w:val="top"/>
          </w:tcPr>
          <w:p w14:paraId="5870233D">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822" w:type="pct"/>
            <w:noWrap w:val="0"/>
            <w:vAlign w:val="top"/>
          </w:tcPr>
          <w:p w14:paraId="1406F57E">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1159" w:type="pct"/>
            <w:noWrap w:val="0"/>
            <w:vAlign w:val="top"/>
          </w:tcPr>
          <w:p w14:paraId="42BF17B7">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443AE15F">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7A75DC33">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37160E32">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c>
          <w:tcPr>
            <w:tcW w:w="485" w:type="pct"/>
            <w:noWrap w:val="0"/>
            <w:vAlign w:val="top"/>
          </w:tcPr>
          <w:p w14:paraId="678FF74F">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Cs w:val="0"/>
                <w:color w:val="000000" w:themeColor="text1"/>
                <w:sz w:val="24"/>
                <w:szCs w:val="24"/>
                <w14:textFill>
                  <w14:solidFill>
                    <w14:schemeClr w14:val="tx1"/>
                  </w14:solidFill>
                </w14:textFill>
              </w:rPr>
            </w:pPr>
          </w:p>
        </w:tc>
      </w:tr>
      <w:tr w14:paraId="50A6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14:paraId="76D39105">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报价</w:t>
            </w:r>
          </w:p>
        </w:tc>
        <w:tc>
          <w:tcPr>
            <w:tcW w:w="3922" w:type="pct"/>
            <w:gridSpan w:val="6"/>
            <w:noWrap w:val="0"/>
            <w:vAlign w:val="top"/>
          </w:tcPr>
          <w:p w14:paraId="3B3C0845">
            <w:pPr>
              <w:pageBreakBefore w:val="0"/>
              <w:widowControl w:val="0"/>
              <w:kinsoku/>
              <w:autoSpaceDE w:val="0"/>
              <w:autoSpaceDN w:val="0"/>
              <w:bidi w:val="0"/>
              <w:spacing w:line="500" w:lineRule="exact"/>
              <w:ind w:left="0" w:leftChars="0" w:right="0" w:rightChars="0" w:firstLine="486" w:firstLineChars="200"/>
              <w:jc w:val="both"/>
              <w:textAlignment w:val="auto"/>
              <w:rPr>
                <w:rFonts w:hint="eastAsia" w:ascii="宋体" w:hAnsi="宋体" w:eastAsia="宋体" w:cs="宋体"/>
                <w:color w:val="000000" w:themeColor="text1"/>
                <w:sz w:val="24"/>
                <w:szCs w:val="24"/>
                <w:lang w:val="zh-CN"/>
                <w14:textFill>
                  <w14:solidFill>
                    <w14:schemeClr w14:val="tx1"/>
                  </w14:solidFill>
                </w14:textFill>
              </w:rPr>
            </w:pPr>
          </w:p>
          <w:p w14:paraId="7195BD83">
            <w:pPr>
              <w:pStyle w:val="15"/>
              <w:pageBreakBefore w:val="0"/>
              <w:kinsoku/>
              <w:bidi w:val="0"/>
              <w:spacing w:afterLines="0" w:line="500" w:lineRule="exact"/>
              <w:ind w:left="0" w:leftChars="0" w:right="0" w:rightChars="0" w:firstLine="486" w:firstLineChars="200"/>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小写：</w:t>
            </w:r>
          </w:p>
          <w:p w14:paraId="2A226D3E">
            <w:pPr>
              <w:pStyle w:val="15"/>
              <w:pageBreakBefore w:val="0"/>
              <w:kinsoku/>
              <w:bidi w:val="0"/>
              <w:spacing w:afterLines="0" w:line="500" w:lineRule="exact"/>
              <w:ind w:left="0" w:leftChars="0" w:right="0" w:rightChars="0" w:firstLine="486" w:firstLineChars="200"/>
              <w:jc w:val="both"/>
              <w:textAlignment w:val="auto"/>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大写：</w:t>
            </w:r>
          </w:p>
          <w:p w14:paraId="630DB576">
            <w:pPr>
              <w:pStyle w:val="34"/>
              <w:pageBreakBefore w:val="0"/>
              <w:widowControl w:val="0"/>
              <w:kinsoku/>
              <w:bidi w:val="0"/>
              <w:spacing w:line="500" w:lineRule="exact"/>
              <w:ind w:left="0" w:leftChars="0" w:right="0" w:rightChars="0" w:firstLine="486" w:firstLineChars="200"/>
              <w:jc w:val="both"/>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398" w:name="_Toc48834200"/>
            <w:bookmarkStart w:id="399" w:name="_Toc28010"/>
            <w:bookmarkStart w:id="400" w:name="_Toc17991"/>
            <w:bookmarkStart w:id="401" w:name="_Toc48834130"/>
            <w:bookmarkStart w:id="402" w:name="_Toc48834487"/>
            <w:bookmarkStart w:id="403" w:name="_Toc48834328"/>
            <w:bookmarkStart w:id="404" w:name="_Toc2537"/>
            <w:bookmarkStart w:id="405" w:name="_Toc8004"/>
            <w:bookmarkStart w:id="406" w:name="_Toc7253"/>
            <w:bookmarkStart w:id="407" w:name="_Toc22162"/>
            <w:bookmarkStart w:id="408" w:name="_Toc31429"/>
            <w:bookmarkStart w:id="409" w:name="_Toc31077"/>
            <w:r>
              <w:rPr>
                <w:rFonts w:hint="eastAsia" w:ascii="宋体" w:hAnsi="宋体" w:eastAsia="宋体" w:cs="宋体"/>
                <w:b w:val="0"/>
                <w:bCs w:val="0"/>
                <w:color w:val="000000" w:themeColor="text1"/>
                <w:sz w:val="24"/>
                <w:szCs w:val="24"/>
                <w14:textFill>
                  <w14:solidFill>
                    <w14:schemeClr w14:val="tx1"/>
                  </w14:solidFill>
                </w14:textFill>
              </w:rPr>
              <w:t xml:space="preserve">                             单位：元</w:t>
            </w:r>
            <w:bookmarkEnd w:id="398"/>
            <w:bookmarkEnd w:id="399"/>
            <w:bookmarkEnd w:id="400"/>
            <w:bookmarkEnd w:id="401"/>
            <w:bookmarkEnd w:id="402"/>
            <w:bookmarkEnd w:id="403"/>
            <w:bookmarkEnd w:id="404"/>
            <w:bookmarkEnd w:id="405"/>
            <w:bookmarkEnd w:id="406"/>
            <w:bookmarkEnd w:id="407"/>
            <w:bookmarkEnd w:id="408"/>
            <w:bookmarkEnd w:id="409"/>
          </w:p>
        </w:tc>
      </w:tr>
    </w:tbl>
    <w:p w14:paraId="16112164">
      <w:pPr>
        <w:pageBreakBefore w:val="0"/>
        <w:tabs>
          <w:tab w:val="right" w:pos="9072"/>
        </w:tabs>
        <w:kinsoku/>
        <w:bidi w:val="0"/>
        <w:spacing w:line="500" w:lineRule="exact"/>
        <w:ind w:left="0" w:leftChars="0" w:right="0" w:rightChars="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3D546538">
      <w:pPr>
        <w:pageBreakBefore w:val="0"/>
        <w:tabs>
          <w:tab w:val="right" w:pos="9072"/>
        </w:tabs>
        <w:kinsoku/>
        <w:bidi w:val="0"/>
        <w:spacing w:line="500" w:lineRule="exact"/>
        <w:ind w:left="0" w:leftChars="0" w:right="0" w:rightChars="0"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备注：1、本表“</w:t>
      </w:r>
      <w:r>
        <w:rPr>
          <w:rFonts w:hint="eastAsia" w:ascii="宋体" w:hAnsi="宋体" w:eastAsia="宋体" w:cs="宋体"/>
          <w:color w:val="000000" w:themeColor="text1"/>
          <w:sz w:val="21"/>
          <w:szCs w:val="21"/>
          <w:lang w:val="en-US"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报价”金额应与“开标一览表”中的“</w:t>
      </w:r>
      <w:r>
        <w:rPr>
          <w:rFonts w:hint="eastAsia" w:ascii="宋体" w:hAnsi="宋体" w:eastAsia="宋体" w:cs="宋体"/>
          <w:color w:val="000000" w:themeColor="text1"/>
          <w:sz w:val="21"/>
          <w:szCs w:val="21"/>
          <w:lang w:val="en-US"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报价”一致；</w:t>
      </w:r>
    </w:p>
    <w:p w14:paraId="506AA3B8">
      <w:pPr>
        <w:pageBreakBefore w:val="0"/>
        <w:numPr>
          <w:ilvl w:val="0"/>
          <w:numId w:val="0"/>
        </w:numPr>
        <w:tabs>
          <w:tab w:val="right" w:pos="9072"/>
        </w:tabs>
        <w:kinsoku/>
        <w:bidi w:val="0"/>
        <w:spacing w:line="500" w:lineRule="exact"/>
        <w:ind w:leftChars="200" w:right="0" w:rightChars="0"/>
        <w:jc w:val="both"/>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本表为样表，仅供参考，</w:t>
      </w:r>
      <w:r>
        <w:rPr>
          <w:rFonts w:hint="eastAsia" w:ascii="宋体" w:hAnsi="宋体" w:eastAsia="宋体" w:cs="宋体"/>
          <w:b/>
          <w:color w:val="000000" w:themeColor="text1"/>
          <w:sz w:val="21"/>
          <w:szCs w:val="21"/>
          <w14:textFill>
            <w14:solidFill>
              <w14:schemeClr w14:val="tx1"/>
            </w14:solidFill>
          </w14:textFill>
        </w:rPr>
        <w:t>供应商根据项目实际需求进行填写</w:t>
      </w:r>
      <w:r>
        <w:rPr>
          <w:rFonts w:hint="eastAsia" w:ascii="宋体" w:hAnsi="宋体" w:eastAsia="宋体" w:cs="宋体"/>
          <w:b/>
          <w:color w:val="000000" w:themeColor="text1"/>
          <w:sz w:val="21"/>
          <w:szCs w:val="21"/>
          <w:lang w:eastAsia="zh-CN"/>
          <w14:textFill>
            <w14:solidFill>
              <w14:schemeClr w14:val="tx1"/>
            </w14:solidFill>
          </w14:textFill>
        </w:rPr>
        <w:t>；</w:t>
      </w:r>
    </w:p>
    <w:p w14:paraId="4B3A5B85">
      <w:pPr>
        <w:pageBreakBefore w:val="0"/>
        <w:numPr>
          <w:ilvl w:val="0"/>
          <w:numId w:val="0"/>
        </w:numPr>
        <w:tabs>
          <w:tab w:val="right" w:pos="9072"/>
        </w:tabs>
        <w:kinsoku/>
        <w:bidi w:val="0"/>
        <w:spacing w:line="500" w:lineRule="exact"/>
        <w:ind w:leftChars="200"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3.数量按照含水总量填报</w:t>
      </w:r>
      <w:r>
        <w:rPr>
          <w:rFonts w:hint="eastAsia" w:ascii="宋体" w:hAnsi="宋体" w:eastAsia="宋体" w:cs="宋体"/>
          <w:color w:val="000000" w:themeColor="text1"/>
          <w:sz w:val="21"/>
          <w:szCs w:val="21"/>
          <w14:textFill>
            <w14:solidFill>
              <w14:schemeClr w14:val="tx1"/>
            </w14:solidFill>
          </w14:textFill>
        </w:rPr>
        <w:t>。</w:t>
      </w:r>
    </w:p>
    <w:p w14:paraId="64651644">
      <w:pPr>
        <w:pageBreakBefore w:val="0"/>
        <w:tabs>
          <w:tab w:val="right" w:pos="9072"/>
        </w:tabs>
        <w:kinsoku/>
        <w:bidi w:val="0"/>
        <w:spacing w:line="500" w:lineRule="exact"/>
        <w:ind w:left="0" w:leftChars="0" w:right="0" w:rightChars="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3884C501">
      <w:pPr>
        <w:pageBreakBefore w:val="0"/>
        <w:tabs>
          <w:tab w:val="right" w:pos="9072"/>
        </w:tabs>
        <w:kinsoku/>
        <w:bidi w:val="0"/>
        <w:spacing w:line="500" w:lineRule="exact"/>
        <w:ind w:left="0" w:leftChars="0" w:right="0" w:rightChars="0" w:firstLine="486"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0"/>
          <w:u w:val="single"/>
          <w14:textFill>
            <w14:solidFill>
              <w14:schemeClr w14:val="tx1"/>
            </w14:solidFill>
          </w14:textFill>
        </w:rPr>
        <w:t>供应商名称</w:t>
      </w:r>
      <w:r>
        <w:rPr>
          <w:rFonts w:hint="eastAsia" w:ascii="宋体" w:hAnsi="宋体" w:eastAsia="宋体" w:cs="宋体"/>
          <w:color w:val="000000" w:themeColor="text1"/>
          <w14:textFill>
            <w14:solidFill>
              <w14:schemeClr w14:val="tx1"/>
            </w14:solidFill>
          </w14:textFill>
        </w:rPr>
        <w:t>（盖章）</w:t>
      </w:r>
    </w:p>
    <w:p w14:paraId="58AC4401">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年　月　日</w:t>
      </w:r>
    </w:p>
    <w:p w14:paraId="6C9E3D5F">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4A36E785">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496A7FE4">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4F4F9C6D">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1E71776F">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6BFE9C17">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03A6120B">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32111E37">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050972D1">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69FE2BAC">
      <w:pPr>
        <w:pStyle w:val="31"/>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60176D4A">
      <w:pPr>
        <w:pStyle w:val="34"/>
        <w:pageBreakBefore w:val="0"/>
        <w:kinsoku/>
        <w:wordWrap/>
        <w:bidi w:val="0"/>
        <w:spacing w:line="240" w:lineRule="auto"/>
        <w:ind w:right="0"/>
        <w:jc w:val="both"/>
        <w:textAlignment w:val="auto"/>
        <w:outlineLvl w:val="9"/>
        <w:rPr>
          <w:rFonts w:hint="eastAsia"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Cs w:val="0"/>
          <w:color w:val="000000" w:themeColor="text1"/>
          <w:sz w:val="28"/>
          <w:szCs w:val="28"/>
          <w14:textFill>
            <w14:solidFill>
              <w14:schemeClr w14:val="tx1"/>
            </w14:solidFill>
          </w14:textFill>
        </w:rPr>
        <w:t>三、投标人参加政府采购活动承诺书</w:t>
      </w:r>
      <w:bookmarkEnd w:id="281"/>
      <w:bookmarkEnd w:id="282"/>
      <w:bookmarkEnd w:id="283"/>
      <w:bookmarkEnd w:id="284"/>
      <w:bookmarkEnd w:id="285"/>
      <w:bookmarkEnd w:id="286"/>
    </w:p>
    <w:p w14:paraId="39ED5BE4">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未签署下列承诺书的，其责任由投标人自行承担。</w:t>
      </w:r>
    </w:p>
    <w:p w14:paraId="472FC3BB">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（一）质量安全责任承诺书</w:t>
      </w:r>
    </w:p>
    <w:p w14:paraId="3809F877">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为保证本采购项目顺利进行，作为投标人，现郑重承诺：</w:t>
      </w:r>
    </w:p>
    <w:p w14:paraId="10BBC26D">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我方投标产品的生产（包括设计、制造、安装、改造、维修等）、投入使用的材料等均完全符合国家现行质量、安全、环保标准和要求。</w:t>
      </w:r>
    </w:p>
    <w:p w14:paraId="0B4C1B16">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我方将严格按照国家现行相关储存、运输、安装调试技术标准及规范、服务标准及规范、施工标准及规范，在规定的时限内，保质、保量完成项目全部内容，并向采购人交付合格产品。</w:t>
      </w:r>
    </w:p>
    <w:p w14:paraId="47C16A17">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对于因产品生产质量以及储存、运输、安装调试、服务、施工等过程中产生的任何安全事故，我方承担全部责任。</w:t>
      </w:r>
    </w:p>
    <w:p w14:paraId="4D60FDB6">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我方提供的服务符合现行的国家、行业、地区、企业标准及要求，标准不一致的，以更为严格的为准，我方对提供的服务的质量、安全、环保等承担全部责任。</w:t>
      </w:r>
    </w:p>
    <w:p w14:paraId="575B91E5">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766826A1">
      <w:pPr>
        <w:pageBreakBefore w:val="0"/>
        <w:kinsoku/>
        <w:wordWrap/>
        <w:bidi w:val="0"/>
        <w:spacing w:line="500" w:lineRule="exact"/>
        <w:ind w:left="0" w:right="0" w:firstLine="52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 xml:space="preserve">     </w:t>
      </w:r>
      <w:r>
        <w:rPr>
          <w:rFonts w:hint="eastAsia" w:ascii="宋体" w:hAnsi="宋体" w:eastAsia="宋体" w:cs="宋体"/>
          <w:color w:val="000000" w:themeColor="text1"/>
          <w:spacing w:val="-10"/>
          <w:lang w:val="en-US" w:eastAsia="zh-CN"/>
          <w14:textFill>
            <w14:solidFill>
              <w14:schemeClr w14:val="tx1"/>
            </w14:solidFill>
          </w14:textFill>
        </w:rPr>
        <w:t xml:space="preserve">                                      </w:t>
      </w:r>
      <w:r>
        <w:rPr>
          <w:rFonts w:hint="eastAsia" w:ascii="宋体" w:hAnsi="宋体" w:eastAsia="宋体" w:cs="宋体"/>
          <w:color w:val="000000" w:themeColor="text1"/>
          <w:spacing w:val="-10"/>
          <w14:textFill>
            <w14:solidFill>
              <w14:schemeClr w14:val="tx1"/>
            </w14:solidFill>
          </w14:textFill>
        </w:rPr>
        <w:t xml:space="preserve"> </w:t>
      </w:r>
      <w:r>
        <w:rPr>
          <w:rFonts w:hint="eastAsia" w:ascii="宋体" w:hAnsi="宋体" w:eastAsia="宋体" w:cs="宋体"/>
          <w:color w:val="000000" w:themeColor="text1"/>
          <w:spacing w:val="-10"/>
          <w:u w:val="single"/>
          <w14:textFill>
            <w14:solidFill>
              <w14:schemeClr w14:val="tx1"/>
            </w14:solidFill>
          </w14:textFill>
        </w:rPr>
        <w:t>投标人名称</w:t>
      </w:r>
      <w:r>
        <w:rPr>
          <w:rFonts w:hint="eastAsia" w:ascii="宋体" w:hAnsi="宋体" w:eastAsia="宋体" w:cs="宋体"/>
          <w:color w:val="000000" w:themeColor="text1"/>
          <w14:textFill>
            <w14:solidFill>
              <w14:schemeClr w14:val="tx1"/>
            </w14:solidFill>
          </w14:textFill>
        </w:rPr>
        <w:t>（盖章）</w:t>
      </w:r>
    </w:p>
    <w:p w14:paraId="0E6437D8">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　月　日</w:t>
      </w:r>
    </w:p>
    <w:p w14:paraId="6D28952B">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57E33741">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40478D54">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2482620F">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251DF77F">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7DF30266">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5EDA259A">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49146A36">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44A9DB8F">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5397EFD1">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55BDCCB3">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p>
    <w:p w14:paraId="08258F10">
      <w:pPr>
        <w:pageBreakBefore w:val="0"/>
        <w:kinsoku/>
        <w:wordWrap/>
        <w:bidi w:val="0"/>
        <w:spacing w:line="500" w:lineRule="exact"/>
        <w:ind w:left="0" w:right="0" w:firstLine="566" w:firstLineChars="200"/>
        <w:jc w:val="both"/>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（二）拒绝政府采购领域商业贿赂承诺书</w:t>
      </w:r>
    </w:p>
    <w:p w14:paraId="1CF93B24">
      <w:pPr>
        <w:pageBreakBefore w:val="0"/>
        <w:kinsoku/>
        <w:wordWrap/>
        <w:overflowPunct w:val="0"/>
        <w:topLinePunct/>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（执行陕财办采管﹝2006﹞21号文件）</w:t>
      </w:r>
    </w:p>
    <w:p w14:paraId="0B452105">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为响应党中央、国务院关于治理政府采购领域商业贿赂行为的号召，我公司在此庄严承诺：</w:t>
      </w:r>
    </w:p>
    <w:p w14:paraId="7296CF16">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在参与政府采购活动中遵纪守法、诚信经营、公平竞标。</w:t>
      </w:r>
    </w:p>
    <w:p w14:paraId="7A3C12E8">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不向政府采购人、采购代理机构和政府采购评审专家进行任何形式的商业贿赂以谋取交易机会。</w:t>
      </w:r>
    </w:p>
    <w:p w14:paraId="3193A551">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不向政府采购代理机构和采购人提供虚假资质文件或采用虚假应标方式参与政府采购</w:t>
      </w:r>
      <w:r>
        <w:rPr>
          <w:rFonts w:hint="eastAsia" w:ascii="宋体" w:hAnsi="宋体" w:eastAsia="宋体" w:cs="宋体"/>
          <w:color w:val="000000" w:themeColor="text1"/>
          <w:lang w:eastAsia="zh-CN"/>
          <w14:textFill>
            <w14:solidFill>
              <w14:schemeClr w14:val="tx1"/>
            </w14:solidFill>
          </w14:textFill>
        </w:rPr>
        <w:t>现场</w:t>
      </w:r>
      <w:r>
        <w:rPr>
          <w:rFonts w:hint="eastAsia" w:ascii="宋体" w:hAnsi="宋体" w:eastAsia="宋体" w:cs="宋体"/>
          <w:color w:val="000000" w:themeColor="text1"/>
          <w14:textFill>
            <w14:solidFill>
              <w14:schemeClr w14:val="tx1"/>
            </w14:solidFill>
          </w14:textFill>
        </w:rPr>
        <w:t>竞争并谋取中标、成交。</w:t>
      </w:r>
    </w:p>
    <w:p w14:paraId="51B024C6">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不采取“围标、陪标”等商业欺诈手段获得政府采购定单。</w:t>
      </w:r>
    </w:p>
    <w:p w14:paraId="5A26A60F">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不采取不正当手段诋毁、排挤其他投标人。</w:t>
      </w:r>
    </w:p>
    <w:p w14:paraId="1FA551F5">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不在提供商品和服务时“偷梁换柱、以次充好”损害采购人的合法权益。</w:t>
      </w:r>
    </w:p>
    <w:p w14:paraId="170FE52D">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不与采购人、采购代理机构政府采购评审专家或</w:t>
      </w:r>
      <w:r>
        <w:rPr>
          <w:rFonts w:hint="eastAsia" w:ascii="宋体" w:hAnsi="宋体" w:eastAsia="宋体" w:cs="宋体"/>
          <w:color w:val="000000" w:themeColor="text1"/>
          <w:lang w:eastAsia="zh-CN"/>
          <w14:textFill>
            <w14:solidFill>
              <w14:schemeClr w14:val="tx1"/>
            </w14:solidFill>
          </w14:textFill>
        </w:rPr>
        <w:t>其他</w:t>
      </w:r>
      <w:r>
        <w:rPr>
          <w:rFonts w:hint="eastAsia" w:ascii="宋体" w:hAnsi="宋体" w:eastAsia="宋体" w:cs="宋体"/>
          <w:color w:val="000000" w:themeColor="text1"/>
          <w14:textFill>
            <w14:solidFill>
              <w14:schemeClr w14:val="tx1"/>
            </w14:solidFill>
          </w14:textFill>
        </w:rPr>
        <w:t>投标人恶意串通，进行质疑和投诉，维护政府采购</w:t>
      </w:r>
      <w:r>
        <w:rPr>
          <w:rFonts w:hint="eastAsia" w:ascii="宋体" w:hAnsi="宋体" w:eastAsia="宋体" w:cs="宋体"/>
          <w:color w:val="000000" w:themeColor="text1"/>
          <w:lang w:eastAsia="zh-CN"/>
          <w14:textFill>
            <w14:solidFill>
              <w14:schemeClr w14:val="tx1"/>
            </w14:solidFill>
          </w14:textFill>
        </w:rPr>
        <w:t>现场</w:t>
      </w:r>
      <w:r>
        <w:rPr>
          <w:rFonts w:hint="eastAsia" w:ascii="宋体" w:hAnsi="宋体" w:eastAsia="宋体" w:cs="宋体"/>
          <w:color w:val="000000" w:themeColor="text1"/>
          <w14:textFill>
            <w14:solidFill>
              <w14:schemeClr w14:val="tx1"/>
            </w14:solidFill>
          </w14:textFill>
        </w:rPr>
        <w:t>秩序。</w:t>
      </w:r>
    </w:p>
    <w:p w14:paraId="02E98C66">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尊重和接受政府采购监督管理部门的监督和政府采购代理机构招标采购要求，承担因违约行为给采购人造成的损失。</w:t>
      </w:r>
    </w:p>
    <w:p w14:paraId="500A6413">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不发生其他有悖于政府采购公开、公平、公正和诚信原则的行为。</w:t>
      </w:r>
    </w:p>
    <w:p w14:paraId="32B56EDB">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07BCB4E1">
      <w:pPr>
        <w:pageBreakBefore w:val="0"/>
        <w:kinsoku/>
        <w:wordWrap/>
        <w:bidi w:val="0"/>
        <w:spacing w:line="500" w:lineRule="exact"/>
        <w:ind w:left="0" w:right="0" w:firstLine="52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 xml:space="preserve">      </w:t>
      </w:r>
      <w:r>
        <w:rPr>
          <w:rFonts w:hint="eastAsia" w:ascii="宋体" w:hAnsi="宋体" w:eastAsia="宋体" w:cs="宋体"/>
          <w:color w:val="000000" w:themeColor="text1"/>
          <w:spacing w:val="-10"/>
          <w:u w:val="single"/>
          <w14:textFill>
            <w14:solidFill>
              <w14:schemeClr w14:val="tx1"/>
            </w14:solidFill>
          </w14:textFill>
        </w:rPr>
        <w:t>投标人名称</w:t>
      </w:r>
      <w:r>
        <w:rPr>
          <w:rFonts w:hint="eastAsia" w:ascii="宋体" w:hAnsi="宋体" w:eastAsia="宋体" w:cs="宋体"/>
          <w:color w:val="000000" w:themeColor="text1"/>
          <w14:textFill>
            <w14:solidFill>
              <w14:schemeClr w14:val="tx1"/>
            </w14:solidFill>
          </w14:textFill>
        </w:rPr>
        <w:t>（盖章）</w:t>
      </w:r>
    </w:p>
    <w:p w14:paraId="48C6B949">
      <w:pPr>
        <w:pageBreakBefore w:val="0"/>
        <w:kinsoku/>
        <w:wordWrap/>
        <w:bidi w:val="0"/>
        <w:spacing w:line="500" w:lineRule="exact"/>
        <w:ind w:left="0" w:right="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年　月　日</w:t>
      </w:r>
    </w:p>
    <w:p w14:paraId="0E021165">
      <w:pPr>
        <w:pStyle w:val="15"/>
        <w:pageBreakBefore w:val="0"/>
        <w:kinsoku/>
        <w:wordWrap/>
        <w:bidi w:val="0"/>
        <w:spacing w:afterLines="0" w:line="500" w:lineRule="exact"/>
        <w:ind w:left="0" w:right="0" w:firstLine="626" w:firstLineChars="200"/>
        <w:jc w:val="both"/>
        <w:textAlignment w:val="auto"/>
        <w:outlineLvl w:val="2"/>
        <w:rPr>
          <w:rFonts w:hint="eastAsia" w:ascii="宋体" w:hAnsi="宋体" w:eastAsia="宋体" w:cs="宋体"/>
          <w:color w:val="000000" w:themeColor="text1"/>
          <w:sz w:val="31"/>
          <w:szCs w:val="31"/>
          <w:shd w:val="clear" w:color="auto" w:fill="FFFFFF"/>
          <w14:textFill>
            <w14:solidFill>
              <w14:schemeClr w14:val="tx1"/>
            </w14:solidFill>
          </w14:textFill>
        </w:rPr>
      </w:pPr>
      <w:bookmarkStart w:id="410" w:name="_Toc48834331"/>
    </w:p>
    <w:p w14:paraId="7F9BBC5D">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6BD95AE3">
      <w:pPr>
        <w:pageBreakBefore w:val="0"/>
        <w:kinsoku/>
        <w:wordWrap/>
        <w:bidi w:val="0"/>
        <w:spacing w:line="500" w:lineRule="exact"/>
        <w:ind w:left="0" w:right="0" w:firstLine="646" w:firstLineChars="200"/>
        <w:jc w:val="both"/>
        <w:textAlignment w:val="auto"/>
        <w:rPr>
          <w:rFonts w:hint="eastAsia" w:ascii="宋体" w:hAnsi="宋体" w:eastAsia="宋体" w:cs="宋体"/>
          <w:b/>
          <w:color w:val="000000" w:themeColor="text1"/>
          <w:sz w:val="32"/>
          <w:szCs w:val="32"/>
          <w14:textFill>
            <w14:solidFill>
              <w14:schemeClr w14:val="tx1"/>
            </w14:solidFill>
          </w14:textFill>
        </w:rPr>
      </w:pPr>
    </w:p>
    <w:p w14:paraId="58E17928">
      <w:pPr>
        <w:pStyle w:val="15"/>
        <w:pageBreakBefore w:val="0"/>
        <w:kinsoku/>
        <w:wordWrap/>
        <w:bidi w:val="0"/>
        <w:spacing w:afterLines="0" w:line="500" w:lineRule="exact"/>
        <w:ind w:left="0" w:right="0" w:firstLine="366" w:firstLineChars="200"/>
        <w:jc w:val="both"/>
        <w:textAlignment w:val="auto"/>
        <w:rPr>
          <w:rFonts w:hint="eastAsia" w:ascii="宋体" w:hAnsi="宋体" w:eastAsia="宋体" w:cs="宋体"/>
          <w:color w:val="000000" w:themeColor="text1"/>
          <w14:textFill>
            <w14:solidFill>
              <w14:schemeClr w14:val="tx1"/>
            </w14:solidFill>
          </w14:textFill>
        </w:rPr>
      </w:pPr>
    </w:p>
    <w:p w14:paraId="24BE8598">
      <w:pPr>
        <w:pStyle w:val="15"/>
        <w:pageBreakBefore w:val="0"/>
        <w:kinsoku/>
        <w:wordWrap/>
        <w:bidi w:val="0"/>
        <w:spacing w:afterLines="0" w:line="500" w:lineRule="exact"/>
        <w:ind w:left="0" w:right="0" w:firstLine="366" w:firstLineChars="200"/>
        <w:jc w:val="both"/>
        <w:textAlignment w:val="auto"/>
        <w:rPr>
          <w:rFonts w:hint="eastAsia" w:ascii="宋体" w:hAnsi="宋体" w:eastAsia="宋体" w:cs="宋体"/>
          <w:color w:val="000000" w:themeColor="text1"/>
          <w14:textFill>
            <w14:solidFill>
              <w14:schemeClr w14:val="tx1"/>
            </w14:solidFill>
          </w14:textFill>
        </w:rPr>
      </w:pPr>
    </w:p>
    <w:p w14:paraId="7283A9A3">
      <w:pPr>
        <w:pStyle w:val="15"/>
        <w:pageBreakBefore w:val="0"/>
        <w:kinsoku/>
        <w:wordWrap/>
        <w:bidi w:val="0"/>
        <w:spacing w:afterLines="0" w:line="500" w:lineRule="exact"/>
        <w:ind w:left="0" w:right="0" w:firstLine="366" w:firstLineChars="200"/>
        <w:jc w:val="both"/>
        <w:textAlignment w:val="auto"/>
        <w:rPr>
          <w:rFonts w:hint="eastAsia" w:ascii="宋体" w:hAnsi="宋体" w:eastAsia="宋体" w:cs="宋体"/>
          <w:color w:val="000000" w:themeColor="text1"/>
          <w14:textFill>
            <w14:solidFill>
              <w14:schemeClr w14:val="tx1"/>
            </w14:solidFill>
          </w14:textFill>
        </w:rPr>
      </w:pPr>
    </w:p>
    <w:p w14:paraId="3B59D46A">
      <w:pPr>
        <w:pStyle w:val="15"/>
        <w:pageBreakBefore w:val="0"/>
        <w:kinsoku/>
        <w:wordWrap/>
        <w:bidi w:val="0"/>
        <w:spacing w:afterLines="0" w:line="500" w:lineRule="exact"/>
        <w:ind w:left="0" w:right="0" w:firstLine="366" w:firstLineChars="200"/>
        <w:jc w:val="both"/>
        <w:textAlignment w:val="auto"/>
        <w:rPr>
          <w:rFonts w:hint="eastAsia" w:ascii="宋体" w:hAnsi="宋体" w:eastAsia="宋体" w:cs="宋体"/>
          <w:color w:val="000000" w:themeColor="text1"/>
          <w14:textFill>
            <w14:solidFill>
              <w14:schemeClr w14:val="tx1"/>
            </w14:solidFill>
          </w14:textFill>
        </w:rPr>
      </w:pPr>
    </w:p>
    <w:p w14:paraId="7B1411B4">
      <w:pPr>
        <w:pageBreakBefore w:val="0"/>
        <w:kinsoku/>
        <w:wordWrap/>
        <w:bidi w:val="0"/>
        <w:spacing w:line="500" w:lineRule="exact"/>
        <w:ind w:right="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四、技术服务偏差表</w:t>
      </w:r>
      <w:bookmarkEnd w:id="410"/>
    </w:p>
    <w:tbl>
      <w:tblPr>
        <w:tblStyle w:val="17"/>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2524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14:paraId="5E587F53">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698" w:type="dxa"/>
            <w:shd w:val="clear" w:color="auto" w:fill="D8D8D8"/>
            <w:noWrap w:val="0"/>
            <w:vAlign w:val="center"/>
          </w:tcPr>
          <w:p w14:paraId="23590132">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招标文件要求</w:t>
            </w:r>
          </w:p>
        </w:tc>
        <w:tc>
          <w:tcPr>
            <w:tcW w:w="3132" w:type="dxa"/>
            <w:shd w:val="clear" w:color="auto" w:fill="D8D8D8"/>
            <w:noWrap w:val="0"/>
            <w:vAlign w:val="center"/>
          </w:tcPr>
          <w:p w14:paraId="35EFB998">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投标文件响应条款</w:t>
            </w:r>
          </w:p>
        </w:tc>
        <w:tc>
          <w:tcPr>
            <w:tcW w:w="1530" w:type="dxa"/>
            <w:shd w:val="clear" w:color="auto" w:fill="D8D8D8"/>
            <w:noWrap w:val="0"/>
            <w:vAlign w:val="center"/>
          </w:tcPr>
          <w:p w14:paraId="08073E19">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偏离程度</w:t>
            </w:r>
          </w:p>
        </w:tc>
        <w:tc>
          <w:tcPr>
            <w:tcW w:w="2066" w:type="dxa"/>
            <w:shd w:val="clear" w:color="auto" w:fill="D8D8D8"/>
            <w:noWrap w:val="0"/>
            <w:vAlign w:val="center"/>
          </w:tcPr>
          <w:p w14:paraId="08FB710E">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偏离简述</w:t>
            </w:r>
          </w:p>
          <w:p w14:paraId="4728A051">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或相关证明材料</w:t>
            </w:r>
          </w:p>
        </w:tc>
      </w:tr>
      <w:tr w14:paraId="7880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84A167B">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698" w:type="dxa"/>
            <w:noWrap w:val="0"/>
            <w:vAlign w:val="center"/>
          </w:tcPr>
          <w:p w14:paraId="1A0DF8E1">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1154190B">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5DF79F7D">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692A846D">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05DC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A80C9AE">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698" w:type="dxa"/>
            <w:noWrap w:val="0"/>
            <w:vAlign w:val="center"/>
          </w:tcPr>
          <w:p w14:paraId="5D69AF2D">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45932E00">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4F63F351">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2E3BD847">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406B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9311322">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698" w:type="dxa"/>
            <w:noWrap w:val="0"/>
            <w:vAlign w:val="center"/>
          </w:tcPr>
          <w:p w14:paraId="30806423">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5D21B135">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3C639470">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284974BC">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4745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AEE2A28">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698" w:type="dxa"/>
            <w:noWrap w:val="0"/>
            <w:vAlign w:val="center"/>
          </w:tcPr>
          <w:p w14:paraId="4C800057">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548C6ED0">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4781AF81">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523EC5CF">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1E28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3489703">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698" w:type="dxa"/>
            <w:noWrap w:val="0"/>
            <w:vAlign w:val="center"/>
          </w:tcPr>
          <w:p w14:paraId="202C6D9F">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189BC508">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1937ABE5">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49A7CB0B">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7401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4071BEC">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698" w:type="dxa"/>
            <w:noWrap w:val="0"/>
            <w:vAlign w:val="center"/>
          </w:tcPr>
          <w:p w14:paraId="680CD583">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5D1C5F1C">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2BBF8015">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4B979199">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2BD2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64EBB06">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98" w:type="dxa"/>
            <w:noWrap w:val="0"/>
            <w:vAlign w:val="center"/>
          </w:tcPr>
          <w:p w14:paraId="0CD7BE5D">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3132" w:type="dxa"/>
            <w:noWrap w:val="0"/>
            <w:vAlign w:val="center"/>
          </w:tcPr>
          <w:p w14:paraId="3D88A711">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0" w:type="dxa"/>
            <w:noWrap w:val="0"/>
            <w:vAlign w:val="center"/>
          </w:tcPr>
          <w:p w14:paraId="25EEB849">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066" w:type="dxa"/>
            <w:noWrap w:val="0"/>
            <w:vAlign w:val="center"/>
          </w:tcPr>
          <w:p w14:paraId="24034130">
            <w:pPr>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01F0B6D4">
      <w:pPr>
        <w:tabs>
          <w:tab w:val="right" w:pos="9070"/>
        </w:tabs>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备注：1、填写此表时以第四章“招标内容及采购要求”各条款为基本响应要求，满足招标文件要求的，“偏离程度”注明“0”，无需填写“偏离简述”项。超出、不满足招标文件要求的，列出“+”、“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”偏差，并在“偏离简述”项做出详细说明；如果“偏离程度”项未填写，将视为该项指标未响应。</w:t>
      </w:r>
    </w:p>
    <w:p w14:paraId="4CCB3DC7">
      <w:pPr>
        <w:tabs>
          <w:tab w:val="right" w:pos="9070"/>
        </w:tabs>
        <w:spacing w:line="500" w:lineRule="exact"/>
        <w:ind w:firstLine="48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“投标文件响应条款”必须与投标文件中提供的证明材料的实质性响应情况相一致。若在评审环节发现该项与投标文件证明材料的实质性响应情况不一致，按无效响应处理。</w:t>
      </w:r>
    </w:p>
    <w:p w14:paraId="068C9297">
      <w:pPr>
        <w:spacing w:line="500" w:lineRule="exact"/>
        <w:ind w:left="1" w:firstLine="426" w:firstLineChars="200"/>
        <w:rPr>
          <w:rFonts w:hint="eastAsia" w:ascii="宋体" w:hAnsi="宋体" w:eastAsia="宋体" w:cs="宋体"/>
          <w:color w:val="000000" w:themeColor="text1"/>
          <w:sz w:val="21"/>
          <w:szCs w:val="21"/>
          <w14:textFill>
            <w14:solidFill>
              <w14:schemeClr w14:val="tx1"/>
            </w14:solidFill>
          </w14:textFill>
        </w:rPr>
      </w:pPr>
    </w:p>
    <w:p w14:paraId="4D617CBD">
      <w:pPr>
        <w:pStyle w:val="2"/>
        <w:spacing w:afterLines="0" w:line="500" w:lineRule="exact"/>
        <w:rPr>
          <w:rFonts w:hint="eastAsia" w:ascii="宋体" w:hAnsi="宋体" w:eastAsia="宋体" w:cs="宋体"/>
          <w:bCs/>
          <w:color w:val="000000" w:themeColor="text1"/>
          <w:sz w:val="28"/>
          <w:szCs w:val="32"/>
          <w14:textFill>
            <w14:solidFill>
              <w14:schemeClr w14:val="tx1"/>
            </w14:solidFill>
          </w14:textFill>
        </w:rPr>
      </w:pPr>
    </w:p>
    <w:p w14:paraId="0E0B915C">
      <w:pPr>
        <w:pStyle w:val="2"/>
        <w:spacing w:afterLines="0" w:line="500" w:lineRule="exact"/>
        <w:ind w:firstLine="5377" w:firstLineChars="19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sz w:val="28"/>
          <w:szCs w:val="32"/>
          <w:u w:val="single"/>
          <w14:textFill>
            <w14:solidFill>
              <w14:schemeClr w14:val="tx1"/>
            </w14:solidFill>
          </w14:textFill>
        </w:rPr>
        <w:t>投标人名称</w:t>
      </w:r>
      <w:r>
        <w:rPr>
          <w:rFonts w:hint="eastAsia" w:ascii="宋体" w:hAnsi="宋体" w:eastAsia="宋体" w:cs="宋体"/>
          <w:bCs/>
          <w:color w:val="000000" w:themeColor="text1"/>
          <w:sz w:val="28"/>
          <w:szCs w:val="32"/>
          <w14:textFill>
            <w14:solidFill>
              <w14:schemeClr w14:val="tx1"/>
            </w14:solidFill>
          </w14:textFill>
        </w:rPr>
        <w:t>（盖章）</w:t>
      </w:r>
      <w:r>
        <w:rPr>
          <w:rFonts w:hint="eastAsia" w:ascii="宋体" w:hAnsi="宋体" w:eastAsia="宋体" w:cs="宋体"/>
          <w:bCs/>
          <w:color w:val="000000" w:themeColor="text1"/>
          <w14:textFill>
            <w14:solidFill>
              <w14:schemeClr w14:val="tx1"/>
            </w14:solidFill>
          </w14:textFill>
        </w:rPr>
        <w:tab/>
      </w:r>
    </w:p>
    <w:p w14:paraId="2E3D7C56">
      <w:pPr>
        <w:tabs>
          <w:tab w:val="right" w:pos="9070"/>
        </w:tabs>
        <w:spacing w:line="50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r>
        <w:rPr>
          <w:rFonts w:hint="eastAsia" w:ascii="宋体" w:hAnsi="宋体" w:eastAsia="宋体" w:cs="宋体"/>
          <w:bCs/>
          <w:color w:val="000000" w:themeColor="text1"/>
          <w14:textFill>
            <w14:solidFill>
              <w14:schemeClr w14:val="tx1"/>
            </w14:solidFill>
          </w14:textFill>
        </w:rPr>
        <w:tab/>
      </w:r>
    </w:p>
    <w:p w14:paraId="51C8E2A0">
      <w:pPr>
        <w:tabs>
          <w:tab w:val="right" w:pos="9070"/>
        </w:tabs>
        <w:spacing w:line="500" w:lineRule="exact"/>
        <w:ind w:firstLine="566" w:firstLineChars="200"/>
        <w:rPr>
          <w:rFonts w:hint="eastAsia" w:ascii="宋体" w:hAnsi="宋体" w:eastAsia="宋体" w:cs="宋体"/>
          <w:bCs/>
          <w:color w:val="000000" w:themeColor="text1"/>
          <w14:textFill>
            <w14:solidFill>
              <w14:schemeClr w14:val="tx1"/>
            </w14:solidFill>
          </w14:textFill>
        </w:rPr>
      </w:pPr>
    </w:p>
    <w:p w14:paraId="2300DFC6">
      <w:pPr>
        <w:spacing w:line="500" w:lineRule="exact"/>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bookmarkStart w:id="411" w:name="_Toc48834332"/>
      <w:r>
        <w:rPr>
          <w:rFonts w:hint="eastAsia" w:ascii="宋体" w:hAnsi="宋体" w:eastAsia="宋体" w:cs="宋体"/>
          <w:b/>
          <w:bCs/>
          <w:color w:val="000000" w:themeColor="text1"/>
          <w:sz w:val="28"/>
          <w:szCs w:val="28"/>
          <w14:textFill>
            <w14:solidFill>
              <w14:schemeClr w14:val="tx1"/>
            </w14:solidFill>
          </w14:textFill>
        </w:rPr>
        <w:t>五、合同条款响应</w:t>
      </w:r>
      <w:bookmarkEnd w:id="411"/>
    </w:p>
    <w:p w14:paraId="3C9A3413">
      <w:pPr>
        <w:spacing w:line="500" w:lineRule="exact"/>
        <w:ind w:firstLine="566"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完全理解并接受招标文件中“合同基本条款”要求。</w:t>
      </w:r>
    </w:p>
    <w:p w14:paraId="76D39334">
      <w:pPr>
        <w:spacing w:line="500" w:lineRule="exact"/>
        <w:ind w:firstLine="4811" w:firstLineChars="1700"/>
        <w:rPr>
          <w:rFonts w:hint="eastAsia" w:ascii="宋体" w:hAnsi="宋体" w:eastAsia="宋体" w:cs="宋体"/>
          <w:bCs/>
          <w:color w:val="000000" w:themeColor="text1"/>
          <w14:textFill>
            <w14:solidFill>
              <w14:schemeClr w14:val="tx1"/>
            </w14:solidFill>
          </w14:textFill>
        </w:rPr>
      </w:pPr>
    </w:p>
    <w:p w14:paraId="2671FAA8">
      <w:pPr>
        <w:pStyle w:val="2"/>
        <w:spacing w:after="190" w:line="500" w:lineRule="exact"/>
        <w:rPr>
          <w:rFonts w:hint="eastAsia" w:ascii="宋体" w:hAnsi="宋体" w:eastAsia="宋体" w:cs="宋体"/>
          <w:color w:val="000000" w:themeColor="text1"/>
          <w14:textFill>
            <w14:solidFill>
              <w14:schemeClr w14:val="tx1"/>
            </w14:solidFill>
          </w14:textFill>
        </w:rPr>
      </w:pPr>
    </w:p>
    <w:p w14:paraId="5D3DC43E">
      <w:pPr>
        <w:pStyle w:val="2"/>
        <w:spacing w:afterLines="0" w:line="500" w:lineRule="exact"/>
        <w:ind w:firstLine="5377" w:firstLineChars="19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sz w:val="28"/>
          <w:szCs w:val="32"/>
          <w:u w:val="single"/>
          <w14:textFill>
            <w14:solidFill>
              <w14:schemeClr w14:val="tx1"/>
            </w14:solidFill>
          </w14:textFill>
        </w:rPr>
        <w:t>投标人名称</w:t>
      </w:r>
      <w:r>
        <w:rPr>
          <w:rFonts w:hint="eastAsia" w:ascii="宋体" w:hAnsi="宋体" w:eastAsia="宋体" w:cs="宋体"/>
          <w:bCs/>
          <w:color w:val="000000" w:themeColor="text1"/>
          <w:sz w:val="28"/>
          <w:szCs w:val="32"/>
          <w14:textFill>
            <w14:solidFill>
              <w14:schemeClr w14:val="tx1"/>
            </w14:solidFill>
          </w14:textFill>
        </w:rPr>
        <w:t>（盖章）</w:t>
      </w:r>
      <w:r>
        <w:rPr>
          <w:rFonts w:hint="eastAsia" w:ascii="宋体" w:hAnsi="宋体" w:eastAsia="宋体" w:cs="宋体"/>
          <w:bCs/>
          <w:color w:val="000000" w:themeColor="text1"/>
          <w14:textFill>
            <w14:solidFill>
              <w14:schemeClr w14:val="tx1"/>
            </w14:solidFill>
          </w14:textFill>
        </w:rPr>
        <w:tab/>
      </w:r>
    </w:p>
    <w:p w14:paraId="230DC97C">
      <w:pPr>
        <w:pStyle w:val="15"/>
        <w:spacing w:line="500" w:lineRule="exact"/>
        <w:ind w:firstLine="0" w:firstLineChars="0"/>
        <w:rPr>
          <w:rFonts w:hint="eastAsia" w:ascii="宋体" w:hAnsi="宋体" w:eastAsia="宋体" w:cs="宋体"/>
          <w:bCs/>
          <w:color w:val="000000" w:themeColor="text1"/>
          <w:sz w:val="28"/>
          <w:szCs w:val="32"/>
          <w14:textFill>
            <w14:solidFill>
              <w14:schemeClr w14:val="tx1"/>
            </w14:solidFill>
          </w14:textFill>
        </w:rPr>
      </w:pPr>
      <w:r>
        <w:rPr>
          <w:rFonts w:hint="eastAsia" w:ascii="宋体" w:hAnsi="宋体" w:eastAsia="宋体" w:cs="宋体"/>
          <w:bCs/>
          <w:color w:val="000000" w:themeColor="text1"/>
          <w:sz w:val="28"/>
          <w:szCs w:val="32"/>
          <w14:textFill>
            <w14:solidFill>
              <w14:schemeClr w14:val="tx1"/>
            </w14:solidFill>
          </w14:textFill>
        </w:rPr>
        <w:t xml:space="preserve">                                      　 年　月　日</w:t>
      </w:r>
    </w:p>
    <w:p w14:paraId="77D34445">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724463FB">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41ACCE13">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6E528151">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159BAE00">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59E7354F">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0F9FB822">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38C4C235">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76F72944">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7A1F5A3F">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73ACB34D">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4C473650">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1D1A1ECA">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591AC18D">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4571DA4B">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0FB1086B">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4655930A">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1D96F495">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3CFBD610">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1CD1BC09">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19996A28">
      <w:pPr>
        <w:pStyle w:val="15"/>
        <w:spacing w:line="500" w:lineRule="exact"/>
        <w:ind w:firstLine="183"/>
        <w:rPr>
          <w:rFonts w:hint="eastAsia" w:ascii="宋体" w:hAnsi="宋体" w:eastAsia="宋体" w:cs="宋体"/>
          <w:bCs/>
          <w:color w:val="000000" w:themeColor="text1"/>
          <w14:textFill>
            <w14:solidFill>
              <w14:schemeClr w14:val="tx1"/>
            </w14:solidFill>
          </w14:textFill>
        </w:rPr>
      </w:pPr>
    </w:p>
    <w:p w14:paraId="73DEFFC3">
      <w:pPr>
        <w:spacing w:line="50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第三部分  投标方案</w:t>
      </w:r>
    </w:p>
    <w:p w14:paraId="536C3D6F">
      <w:pPr>
        <w:spacing w:before="190" w:beforeLines="50" w:line="500" w:lineRule="exact"/>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一、投标人性质及其概况</w:t>
      </w:r>
    </w:p>
    <w:p w14:paraId="7795440B">
      <w:pPr>
        <w:spacing w:before="190" w:beforeLines="50" w:line="500" w:lineRule="exact"/>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（一）投标人基本信息</w:t>
      </w:r>
    </w:p>
    <w:tbl>
      <w:tblPr>
        <w:tblStyle w:val="1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005F0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1374D9D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单位基本情况</w:t>
            </w:r>
          </w:p>
        </w:tc>
      </w:tr>
      <w:tr w14:paraId="3AFF1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14:paraId="1585A83C">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投标人全称</w:t>
            </w:r>
          </w:p>
        </w:tc>
        <w:tc>
          <w:tcPr>
            <w:tcW w:w="7494" w:type="dxa"/>
            <w:gridSpan w:val="5"/>
            <w:tcBorders>
              <w:top w:val="single" w:color="auto" w:sz="6" w:space="0"/>
              <w:bottom w:val="single" w:color="auto" w:sz="6" w:space="0"/>
              <w:right w:val="single" w:color="auto" w:sz="12" w:space="0"/>
            </w:tcBorders>
            <w:noWrap w:val="0"/>
            <w:vAlign w:val="center"/>
          </w:tcPr>
          <w:p w14:paraId="77886FC4">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170170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14:paraId="169648A5">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注册地址</w:t>
            </w:r>
          </w:p>
        </w:tc>
        <w:tc>
          <w:tcPr>
            <w:tcW w:w="3119" w:type="dxa"/>
            <w:gridSpan w:val="2"/>
            <w:tcBorders>
              <w:top w:val="single" w:color="auto" w:sz="6" w:space="0"/>
            </w:tcBorders>
            <w:noWrap w:val="0"/>
            <w:vAlign w:val="center"/>
          </w:tcPr>
          <w:p w14:paraId="325039F0">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417" w:type="dxa"/>
            <w:tcBorders>
              <w:top w:val="single" w:color="auto" w:sz="6" w:space="0"/>
            </w:tcBorders>
            <w:noWrap w:val="0"/>
            <w:vAlign w:val="center"/>
          </w:tcPr>
          <w:p w14:paraId="3F574F6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w:t>
            </w:r>
          </w:p>
        </w:tc>
        <w:tc>
          <w:tcPr>
            <w:tcW w:w="2958" w:type="dxa"/>
            <w:gridSpan w:val="2"/>
            <w:tcBorders>
              <w:top w:val="single" w:color="auto" w:sz="6" w:space="0"/>
              <w:right w:val="single" w:color="auto" w:sz="12" w:space="0"/>
            </w:tcBorders>
            <w:noWrap w:val="0"/>
            <w:vAlign w:val="center"/>
          </w:tcPr>
          <w:p w14:paraId="0B6B1B04">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5FAF2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3644763A">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登记证号</w:t>
            </w:r>
          </w:p>
        </w:tc>
        <w:tc>
          <w:tcPr>
            <w:tcW w:w="3119" w:type="dxa"/>
            <w:gridSpan w:val="2"/>
            <w:noWrap w:val="0"/>
            <w:vAlign w:val="center"/>
          </w:tcPr>
          <w:p w14:paraId="749764D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417" w:type="dxa"/>
            <w:noWrap w:val="0"/>
            <w:vAlign w:val="center"/>
          </w:tcPr>
          <w:p w14:paraId="2108CF2B">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tc>
        <w:tc>
          <w:tcPr>
            <w:tcW w:w="2958" w:type="dxa"/>
            <w:gridSpan w:val="2"/>
            <w:tcBorders>
              <w:right w:val="single" w:color="auto" w:sz="12" w:space="0"/>
            </w:tcBorders>
            <w:noWrap w:val="0"/>
            <w:vAlign w:val="center"/>
          </w:tcPr>
          <w:p w14:paraId="134D2852">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183BD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08C7B509">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p>
          <w:p w14:paraId="0C08DADC">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主要负责人</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3119" w:type="dxa"/>
            <w:gridSpan w:val="2"/>
            <w:noWrap w:val="0"/>
            <w:vAlign w:val="center"/>
          </w:tcPr>
          <w:p w14:paraId="73BEE81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417" w:type="dxa"/>
            <w:noWrap w:val="0"/>
            <w:vAlign w:val="center"/>
          </w:tcPr>
          <w:p w14:paraId="62960ED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p w14:paraId="56361DC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所属行业</w:t>
            </w:r>
          </w:p>
        </w:tc>
        <w:tc>
          <w:tcPr>
            <w:tcW w:w="2958" w:type="dxa"/>
            <w:gridSpan w:val="2"/>
            <w:tcBorders>
              <w:right w:val="single" w:color="auto" w:sz="12" w:space="0"/>
            </w:tcBorders>
            <w:noWrap w:val="0"/>
            <w:vAlign w:val="center"/>
          </w:tcPr>
          <w:p w14:paraId="6BF8F12F">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1609A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52DC692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上年度</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营业收入</w:t>
            </w:r>
          </w:p>
        </w:tc>
        <w:tc>
          <w:tcPr>
            <w:tcW w:w="3119" w:type="dxa"/>
            <w:gridSpan w:val="2"/>
            <w:noWrap w:val="0"/>
            <w:vAlign w:val="center"/>
          </w:tcPr>
          <w:p w14:paraId="76315EF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417" w:type="dxa"/>
            <w:noWrap w:val="0"/>
            <w:vAlign w:val="center"/>
          </w:tcPr>
          <w:p w14:paraId="22592D0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资产总额</w:t>
            </w:r>
          </w:p>
        </w:tc>
        <w:tc>
          <w:tcPr>
            <w:tcW w:w="2958" w:type="dxa"/>
            <w:gridSpan w:val="2"/>
            <w:tcBorders>
              <w:right w:val="single" w:color="auto" w:sz="12" w:space="0"/>
            </w:tcBorders>
            <w:noWrap w:val="0"/>
            <w:vAlign w:val="center"/>
          </w:tcPr>
          <w:p w14:paraId="589868B2">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09E8EA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65F9AF2C">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所获得资质及等级</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国家行政部门颁发</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7494" w:type="dxa"/>
            <w:gridSpan w:val="5"/>
            <w:tcBorders>
              <w:right w:val="single" w:color="auto" w:sz="12" w:space="0"/>
            </w:tcBorders>
            <w:noWrap w:val="0"/>
            <w:vAlign w:val="center"/>
          </w:tcPr>
          <w:p w14:paraId="5CDEB150">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p w14:paraId="5F5D872C">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49275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14:paraId="461E4F36">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经营范围</w:t>
            </w:r>
          </w:p>
        </w:tc>
        <w:tc>
          <w:tcPr>
            <w:tcW w:w="7494" w:type="dxa"/>
            <w:gridSpan w:val="5"/>
            <w:tcBorders>
              <w:right w:val="single" w:color="auto" w:sz="12" w:space="0"/>
            </w:tcBorders>
            <w:noWrap w:val="0"/>
            <w:vAlign w:val="center"/>
          </w:tcPr>
          <w:p w14:paraId="59F0FBE5">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r>
      <w:tr w14:paraId="7BED02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74F97FD0">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人员情况</w:t>
            </w:r>
          </w:p>
        </w:tc>
      </w:tr>
      <w:tr w14:paraId="0BBA67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14:paraId="06DA4272">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从业人员总数</w:t>
            </w:r>
          </w:p>
        </w:tc>
        <w:tc>
          <w:tcPr>
            <w:tcW w:w="1586" w:type="dxa"/>
            <w:vMerge w:val="restart"/>
            <w:noWrap w:val="0"/>
            <w:vAlign w:val="center"/>
          </w:tcPr>
          <w:p w14:paraId="42920A5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533" w:type="dxa"/>
            <w:noWrap w:val="0"/>
            <w:vAlign w:val="center"/>
          </w:tcPr>
          <w:p w14:paraId="51862980">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管理人员数量</w:t>
            </w:r>
          </w:p>
        </w:tc>
        <w:tc>
          <w:tcPr>
            <w:tcW w:w="1417" w:type="dxa"/>
            <w:noWrap w:val="0"/>
            <w:vAlign w:val="center"/>
          </w:tcPr>
          <w:p w14:paraId="7BB5AB0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560" w:type="dxa"/>
            <w:noWrap w:val="0"/>
            <w:vAlign w:val="center"/>
          </w:tcPr>
          <w:p w14:paraId="62A0144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专业技术</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人员数量</w:t>
            </w:r>
          </w:p>
        </w:tc>
        <w:tc>
          <w:tcPr>
            <w:tcW w:w="1398" w:type="dxa"/>
            <w:tcBorders>
              <w:right w:val="single" w:color="auto" w:sz="12" w:space="0"/>
            </w:tcBorders>
            <w:noWrap w:val="0"/>
            <w:vAlign w:val="center"/>
          </w:tcPr>
          <w:p w14:paraId="0F787196">
            <w:pPr>
              <w:autoSpaceDE w:val="0"/>
              <w:autoSpaceDN w:val="0"/>
              <w:adjustRightInd w:val="0"/>
              <w:spacing w:line="500" w:lineRule="exact"/>
              <w:rPr>
                <w:rFonts w:hint="eastAsia" w:ascii="宋体" w:hAnsi="宋体" w:eastAsia="宋体" w:cs="宋体"/>
                <w:bCs/>
                <w:color w:val="000000" w:themeColor="text1"/>
                <w:kern w:val="0"/>
                <w:sz w:val="24"/>
                <w:szCs w:val="24"/>
                <w14:textFill>
                  <w14:solidFill>
                    <w14:schemeClr w14:val="tx1"/>
                  </w14:solidFill>
                </w14:textFill>
              </w:rPr>
            </w:pPr>
          </w:p>
        </w:tc>
      </w:tr>
      <w:tr w14:paraId="40B2D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14:paraId="1922E8FB">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586" w:type="dxa"/>
            <w:vMerge w:val="continue"/>
            <w:tcBorders>
              <w:bottom w:val="single" w:color="auto" w:sz="4" w:space="0"/>
            </w:tcBorders>
            <w:noWrap w:val="0"/>
            <w:vAlign w:val="center"/>
          </w:tcPr>
          <w:p w14:paraId="4EB1E824">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533" w:type="dxa"/>
            <w:tcBorders>
              <w:bottom w:val="single" w:color="auto" w:sz="4" w:space="0"/>
            </w:tcBorders>
            <w:noWrap w:val="0"/>
            <w:vAlign w:val="center"/>
          </w:tcPr>
          <w:p w14:paraId="43832B95">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残疾人人数</w:t>
            </w:r>
          </w:p>
        </w:tc>
        <w:tc>
          <w:tcPr>
            <w:tcW w:w="1417" w:type="dxa"/>
            <w:tcBorders>
              <w:bottom w:val="single" w:color="auto" w:sz="4" w:space="0"/>
            </w:tcBorders>
            <w:noWrap w:val="0"/>
            <w:vAlign w:val="center"/>
          </w:tcPr>
          <w:p w14:paraId="2DC1DC41">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1560" w:type="dxa"/>
            <w:tcBorders>
              <w:bottom w:val="single" w:color="auto" w:sz="4" w:space="0"/>
            </w:tcBorders>
            <w:noWrap w:val="0"/>
            <w:vAlign w:val="center"/>
          </w:tcPr>
          <w:p w14:paraId="27CC6A2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少数民族</w:t>
            </w:r>
            <w:r>
              <w:rPr>
                <w:rFonts w:hint="eastAsia" w:ascii="宋体" w:hAnsi="宋体" w:eastAsia="宋体" w:cs="宋体"/>
                <w:color w:val="000000" w:themeColor="text1"/>
                <w:kern w:val="0"/>
                <w:sz w:val="24"/>
                <w:szCs w:val="24"/>
                <w:lang w:eastAsia="zh-CN"/>
                <w14:textFill>
                  <w14:solidFill>
                    <w14:schemeClr w14:val="tx1"/>
                  </w14:solidFill>
                </w14:textFill>
              </w:rPr>
              <w:t>人士</w:t>
            </w:r>
          </w:p>
        </w:tc>
        <w:tc>
          <w:tcPr>
            <w:tcW w:w="1398" w:type="dxa"/>
            <w:tcBorders>
              <w:bottom w:val="single" w:color="auto" w:sz="4" w:space="0"/>
              <w:right w:val="single" w:color="auto" w:sz="12" w:space="0"/>
            </w:tcBorders>
            <w:noWrap w:val="0"/>
            <w:vAlign w:val="center"/>
          </w:tcPr>
          <w:p w14:paraId="16238AA2">
            <w:pPr>
              <w:autoSpaceDE w:val="0"/>
              <w:autoSpaceDN w:val="0"/>
              <w:adjustRightInd w:val="0"/>
              <w:spacing w:line="500" w:lineRule="exact"/>
              <w:rPr>
                <w:rFonts w:hint="eastAsia" w:ascii="宋体" w:hAnsi="宋体" w:eastAsia="宋体" w:cs="宋体"/>
                <w:bCs/>
                <w:color w:val="000000" w:themeColor="text1"/>
                <w:kern w:val="0"/>
                <w:sz w:val="24"/>
                <w:szCs w:val="24"/>
                <w14:textFill>
                  <w14:solidFill>
                    <w14:schemeClr w14:val="tx1"/>
                  </w14:solidFill>
                </w14:textFill>
              </w:rPr>
            </w:pPr>
          </w:p>
        </w:tc>
      </w:tr>
      <w:tr w14:paraId="773A3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71BFFBB4">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存在直接控股、管理关系的相关投标人</w:t>
            </w:r>
          </w:p>
        </w:tc>
      </w:tr>
      <w:tr w14:paraId="583AD0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5D19E27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关系</w:t>
            </w:r>
          </w:p>
        </w:tc>
        <w:tc>
          <w:tcPr>
            <w:tcW w:w="7494" w:type="dxa"/>
            <w:gridSpan w:val="5"/>
            <w:tcBorders>
              <w:right w:val="single" w:color="auto" w:sz="12" w:space="0"/>
            </w:tcBorders>
            <w:noWrap w:val="0"/>
            <w:vAlign w:val="center"/>
          </w:tcPr>
          <w:p w14:paraId="361D0EC1">
            <w:pPr>
              <w:autoSpaceDE w:val="0"/>
              <w:autoSpaceDN w:val="0"/>
              <w:adjustRightInd w:val="0"/>
              <w:spacing w:line="500" w:lineRule="exac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投标人名称</w:t>
            </w:r>
          </w:p>
        </w:tc>
      </w:tr>
      <w:tr w14:paraId="555801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DE132E7">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7494" w:type="dxa"/>
            <w:gridSpan w:val="5"/>
            <w:tcBorders>
              <w:right w:val="single" w:color="auto" w:sz="12" w:space="0"/>
            </w:tcBorders>
            <w:noWrap w:val="0"/>
            <w:vAlign w:val="center"/>
          </w:tcPr>
          <w:p w14:paraId="02007643">
            <w:pPr>
              <w:autoSpaceDE w:val="0"/>
              <w:autoSpaceDN w:val="0"/>
              <w:adjustRightInd w:val="0"/>
              <w:spacing w:line="500" w:lineRule="exact"/>
              <w:rPr>
                <w:rFonts w:hint="eastAsia" w:ascii="宋体" w:hAnsi="宋体" w:eastAsia="宋体" w:cs="宋体"/>
                <w:bCs/>
                <w:color w:val="000000" w:themeColor="text1"/>
                <w:kern w:val="0"/>
                <w:sz w:val="24"/>
                <w:szCs w:val="24"/>
                <w14:textFill>
                  <w14:solidFill>
                    <w14:schemeClr w14:val="tx1"/>
                  </w14:solidFill>
                </w14:textFill>
              </w:rPr>
            </w:pPr>
          </w:p>
        </w:tc>
      </w:tr>
      <w:tr w14:paraId="0C990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4497B2C">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7494" w:type="dxa"/>
            <w:gridSpan w:val="5"/>
            <w:tcBorders>
              <w:right w:val="single" w:color="auto" w:sz="12" w:space="0"/>
            </w:tcBorders>
            <w:noWrap w:val="0"/>
            <w:vAlign w:val="center"/>
          </w:tcPr>
          <w:p w14:paraId="72409AF1">
            <w:pPr>
              <w:autoSpaceDE w:val="0"/>
              <w:autoSpaceDN w:val="0"/>
              <w:adjustRightInd w:val="0"/>
              <w:spacing w:line="500" w:lineRule="exact"/>
              <w:rPr>
                <w:rFonts w:hint="eastAsia" w:ascii="宋体" w:hAnsi="宋体" w:eastAsia="宋体" w:cs="宋体"/>
                <w:bCs/>
                <w:color w:val="000000" w:themeColor="text1"/>
                <w:kern w:val="0"/>
                <w:sz w:val="24"/>
                <w:szCs w:val="24"/>
                <w14:textFill>
                  <w14:solidFill>
                    <w14:schemeClr w14:val="tx1"/>
                  </w14:solidFill>
                </w14:textFill>
              </w:rPr>
            </w:pPr>
          </w:p>
        </w:tc>
      </w:tr>
      <w:tr w14:paraId="78CAF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A7FD7B3">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p>
        </w:tc>
        <w:tc>
          <w:tcPr>
            <w:tcW w:w="7494" w:type="dxa"/>
            <w:gridSpan w:val="5"/>
            <w:tcBorders>
              <w:right w:val="single" w:color="auto" w:sz="12" w:space="0"/>
            </w:tcBorders>
            <w:noWrap w:val="0"/>
            <w:vAlign w:val="center"/>
          </w:tcPr>
          <w:p w14:paraId="180E6B47">
            <w:pPr>
              <w:autoSpaceDE w:val="0"/>
              <w:autoSpaceDN w:val="0"/>
              <w:adjustRightInd w:val="0"/>
              <w:spacing w:line="500" w:lineRule="exact"/>
              <w:rPr>
                <w:rFonts w:hint="eastAsia" w:ascii="宋体" w:hAnsi="宋体" w:eastAsia="宋体" w:cs="宋体"/>
                <w:bCs/>
                <w:color w:val="000000" w:themeColor="text1"/>
                <w:kern w:val="0"/>
                <w:sz w:val="24"/>
                <w:szCs w:val="24"/>
                <w14:textFill>
                  <w14:solidFill>
                    <w14:schemeClr w14:val="tx1"/>
                  </w14:solidFill>
                </w14:textFill>
              </w:rPr>
            </w:pPr>
          </w:p>
        </w:tc>
      </w:tr>
      <w:tr w14:paraId="1DFCE6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14:paraId="2E3251EF">
            <w:pPr>
              <w:autoSpaceDE w:val="0"/>
              <w:autoSpaceDN w:val="0"/>
              <w:adjustRightInd w:val="0"/>
              <w:spacing w:line="5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tc>
        <w:tc>
          <w:tcPr>
            <w:tcW w:w="7494" w:type="dxa"/>
            <w:gridSpan w:val="5"/>
            <w:tcBorders>
              <w:bottom w:val="single" w:color="auto" w:sz="12" w:space="0"/>
              <w:right w:val="single" w:color="auto" w:sz="12" w:space="0"/>
            </w:tcBorders>
            <w:noWrap w:val="0"/>
            <w:vAlign w:val="center"/>
          </w:tcPr>
          <w:p w14:paraId="00D31BF2">
            <w:pPr>
              <w:spacing w:line="500" w:lineRule="exact"/>
              <w:ind w:left="360" w:hanging="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登记证号指营业执照/事业单位法人证书/专业服务机构执业许可证/民办非企业单位登记证书中的登记号。</w:t>
            </w:r>
          </w:p>
          <w:p w14:paraId="22BA62E6">
            <w:pPr>
              <w:spacing w:line="500" w:lineRule="exact"/>
              <w:ind w:left="360" w:hanging="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成立时间至提交投标文件截止时间不足一年的可不提供“上年度营业收入”。</w:t>
            </w:r>
          </w:p>
          <w:p w14:paraId="4C3832CD">
            <w:pPr>
              <w:spacing w:line="500" w:lineRule="exact"/>
              <w:ind w:left="360" w:hanging="36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投标人应如实填写上述信息。</w:t>
            </w:r>
            <w:bookmarkStart w:id="412" w:name="■AcceptUnion_CH5_A■"/>
            <w:r>
              <w:rPr>
                <w:rFonts w:hint="eastAsia" w:ascii="宋体" w:hAnsi="宋体" w:eastAsia="宋体" w:cs="宋体"/>
                <w:color w:val="000000" w:themeColor="text1"/>
                <w:sz w:val="24"/>
                <w:szCs w:val="24"/>
                <w14:textFill>
                  <w14:solidFill>
                    <w14:schemeClr w14:val="tx1"/>
                  </w14:solidFill>
                </w14:textFill>
              </w:rPr>
              <w:t>招标文件允许联合体投标的，联合体各方均应提供。</w:t>
            </w:r>
            <w:bookmarkEnd w:id="412"/>
          </w:p>
        </w:tc>
      </w:tr>
    </w:tbl>
    <w:p w14:paraId="1BE39307">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（二）投标人性质</w:t>
      </w:r>
    </w:p>
    <w:p w14:paraId="7DE8EDB4">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中小企业、残疾人福利性单位投标时，应提供声明函（按下文给定格式）。监狱企业投标时，应当提供由省级以上监狱管理局、戒毒管理局（含新疆生产建设兵团）出具的属于监狱企业的</w:t>
      </w:r>
      <w:r>
        <w:rPr>
          <w:rFonts w:hint="eastAsia" w:ascii="宋体" w:hAnsi="宋体" w:eastAsia="宋体" w:cs="宋体"/>
          <w:b/>
          <w:bCs/>
          <w:color w:val="000000" w:themeColor="text1"/>
          <w14:textFill>
            <w14:solidFill>
              <w14:schemeClr w14:val="tx1"/>
            </w14:solidFill>
          </w14:textFill>
        </w:rPr>
        <w:t>证明文件</w:t>
      </w:r>
      <w:r>
        <w:rPr>
          <w:rFonts w:hint="eastAsia" w:ascii="宋体" w:hAnsi="宋体" w:eastAsia="宋体" w:cs="宋体"/>
          <w:color w:val="000000" w:themeColor="text1"/>
          <w14:textFill>
            <w14:solidFill>
              <w14:schemeClr w14:val="tx1"/>
            </w14:solidFill>
          </w14:textFill>
        </w:rPr>
        <w:t>（格式不</w:t>
      </w:r>
      <w:r>
        <w:rPr>
          <w:rFonts w:hint="eastAsia" w:ascii="宋体" w:hAnsi="宋体" w:eastAsia="宋体" w:cs="宋体"/>
          <w:color w:val="000000" w:themeColor="text1"/>
          <w:lang w:eastAsia="zh-CN"/>
          <w14:textFill>
            <w14:solidFill>
              <w14:schemeClr w14:val="tx1"/>
            </w14:solidFill>
          </w14:textFill>
        </w:rPr>
        <w:t>作</w:t>
      </w:r>
      <w:r>
        <w:rPr>
          <w:rFonts w:hint="eastAsia" w:ascii="宋体" w:hAnsi="宋体" w:eastAsia="宋体" w:cs="宋体"/>
          <w:color w:val="000000" w:themeColor="text1"/>
          <w14:textFill>
            <w14:solidFill>
              <w14:schemeClr w14:val="tx1"/>
            </w14:solidFill>
          </w14:textFill>
        </w:rPr>
        <w:t xml:space="preserve">要求）。    </w:t>
      </w:r>
    </w:p>
    <w:p w14:paraId="1184C8C1">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专门面向中小企业采购的项目，残疾人福利性单位、监狱企业投标视同为中小企业，不再单独享受价格扣除。</w:t>
      </w:r>
    </w:p>
    <w:p w14:paraId="7112E9FA">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招标文件允许联合体投标的，联合体成员应分别提供上述声明函或证明文件，此外，还</w:t>
      </w:r>
      <w:r>
        <w:rPr>
          <w:rFonts w:hint="eastAsia" w:ascii="宋体" w:hAnsi="宋体" w:eastAsia="宋体" w:cs="宋体"/>
          <w:color w:val="000000" w:themeColor="text1"/>
          <w:lang w:eastAsia="zh-CN"/>
          <w14:textFill>
            <w14:solidFill>
              <w14:schemeClr w14:val="tx1"/>
            </w14:solidFill>
          </w14:textFill>
        </w:rPr>
        <w:t>需</w:t>
      </w:r>
      <w:r>
        <w:rPr>
          <w:rFonts w:hint="eastAsia" w:ascii="宋体" w:hAnsi="宋体" w:eastAsia="宋体" w:cs="宋体"/>
          <w:color w:val="000000" w:themeColor="text1"/>
          <w14:textFill>
            <w14:solidFill>
              <w14:schemeClr w14:val="tx1"/>
            </w14:solidFill>
          </w14:textFill>
        </w:rPr>
        <w:t>提供联合体协议书。投标联合体未提供联合体协议书的，其响应文件无效。</w:t>
      </w:r>
    </w:p>
    <w:p w14:paraId="1F9ACC78">
      <w:pPr>
        <w:spacing w:line="500" w:lineRule="exact"/>
        <w:ind w:firstLine="56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560DCA65">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（三）其他</w:t>
      </w:r>
    </w:p>
    <w:p w14:paraId="31222579">
      <w:pPr>
        <w:keepNext w:val="0"/>
        <w:keepLines w:val="0"/>
        <w:pageBreakBefore w:val="0"/>
        <w:widowControl/>
        <w:tabs>
          <w:tab w:val="right" w:pos="8364"/>
        </w:tabs>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如：经营状况、同类服务业绩、客户评价证明、获得奖励及证书等。</w:t>
      </w:r>
    </w:p>
    <w:p w14:paraId="23848983">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b/>
          <w:bCs/>
          <w:color w:val="000000" w:themeColor="text1"/>
          <w14:textFill>
            <w14:solidFill>
              <w14:schemeClr w14:val="tx1"/>
            </w14:solidFill>
          </w14:textFill>
        </w:rPr>
      </w:pPr>
      <w:bookmarkStart w:id="413" w:name="_Toc48834336"/>
    </w:p>
    <w:p w14:paraId="603509F2">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02066D0E">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397DED36">
      <w:pPr>
        <w:spacing w:line="500" w:lineRule="exact"/>
        <w:jc w:val="both"/>
        <w:rPr>
          <w:rFonts w:hint="eastAsia" w:ascii="宋体" w:hAnsi="宋体" w:eastAsia="宋体" w:cs="宋体"/>
          <w:b/>
          <w:bCs/>
          <w:color w:val="000000" w:themeColor="text1"/>
          <w14:textFill>
            <w14:solidFill>
              <w14:schemeClr w14:val="tx1"/>
            </w14:solidFill>
          </w14:textFill>
        </w:rPr>
      </w:pPr>
    </w:p>
    <w:p w14:paraId="18A73A52">
      <w:pPr>
        <w:pageBreakBefore w:val="0"/>
        <w:kinsoku/>
        <w:bidi w:val="0"/>
        <w:spacing w:line="500" w:lineRule="exact"/>
        <w:ind w:left="0" w:leftChars="0" w:right="0" w:rightChars="0" w:firstLine="566" w:firstLineChars="200"/>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中小企业声明函（服务）</w:t>
      </w:r>
    </w:p>
    <w:p w14:paraId="1568CB3F">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u w:val="single"/>
          <w14:textFill>
            <w14:solidFill>
              <w14:schemeClr w14:val="tx1"/>
            </w14:solidFill>
          </w14:textFill>
        </w:rPr>
        <w:t>（单位名称）</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采购活动，服务全部由符合政策要求的中小企业承接。相关企业（含联合体中的中小企业、签订分包意向协议的中小企业）的具体情况如下：</w:t>
      </w:r>
    </w:p>
    <w:p w14:paraId="69DC2F75">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color w:val="000000" w:themeColor="text1"/>
          <w:u w:val="single"/>
          <w14:textFill>
            <w14:solidFill>
              <w14:schemeClr w14:val="tx1"/>
            </w14:solidFill>
          </w14:textFill>
        </w:rPr>
        <w:t>（标的名称）</w:t>
      </w:r>
      <w:r>
        <w:rPr>
          <w:rFonts w:hint="eastAsia" w:ascii="宋体" w:hAnsi="宋体" w:eastAsia="宋体" w:cs="宋体"/>
          <w:color w:val="000000" w:themeColor="text1"/>
          <w14:textFill>
            <w14:solidFill>
              <w14:schemeClr w14:val="tx1"/>
            </w14:solidFill>
          </w14:textFill>
        </w:rPr>
        <w:t xml:space="preserve"> ，属于</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（采购文件中明确的所属行业）；承建（承接）企业为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万元，属于</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（中型企业、小型企业、微型企业）；</w:t>
      </w:r>
    </w:p>
    <w:p w14:paraId="62BBDF43">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2. </w:t>
      </w:r>
      <w:r>
        <w:rPr>
          <w:rFonts w:hint="eastAsia" w:ascii="宋体" w:hAnsi="宋体" w:eastAsia="宋体" w:cs="宋体"/>
          <w:color w:val="000000" w:themeColor="text1"/>
          <w:u w:val="single"/>
          <w14:textFill>
            <w14:solidFill>
              <w14:schemeClr w14:val="tx1"/>
            </w14:solidFill>
          </w14:textFill>
        </w:rPr>
        <w:t>（标的名称）</w:t>
      </w:r>
      <w:r>
        <w:rPr>
          <w:rFonts w:hint="eastAsia" w:ascii="宋体" w:hAnsi="宋体" w:eastAsia="宋体" w:cs="宋体"/>
          <w:color w:val="000000" w:themeColor="text1"/>
          <w14:textFill>
            <w14:solidFill>
              <w14:schemeClr w14:val="tx1"/>
            </w14:solidFill>
          </w14:textFill>
        </w:rPr>
        <w:t xml:space="preserve"> ，属于</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（采购文件中明确的所属行业）；承建（承接）企业为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万元，属于</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（中型企业、小型企业、微型企业）；</w:t>
      </w:r>
    </w:p>
    <w:p w14:paraId="075C99A4">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73A04AEA">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以上企业，不属于大企业的分支机构，不存在控股股东为大企业的情形，也不存在与大企业的负责人为同一人的情形。</w:t>
      </w:r>
    </w:p>
    <w:p w14:paraId="09DE0683">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本企业对上述声明内容的真实性负责。如有虚假，将依法承担相应责任。</w:t>
      </w:r>
    </w:p>
    <w:p w14:paraId="2BCE1502">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企业名称（盖章）：</w:t>
      </w:r>
    </w:p>
    <w:p w14:paraId="74541415">
      <w:pPr>
        <w:pageBreakBefore w:val="0"/>
        <w:kinsoku/>
        <w:bidi w:val="0"/>
        <w:spacing w:line="500" w:lineRule="exact"/>
        <w:ind w:left="0" w:leftChars="0" w:right="0" w:rightChars="0"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w:t>
      </w:r>
    </w:p>
    <w:p w14:paraId="74F7549B">
      <w:pPr>
        <w:pStyle w:val="15"/>
        <w:pageBreakBefore w:val="0"/>
        <w:kinsoku/>
        <w:bidi w:val="0"/>
        <w:spacing w:afterLines="0" w:line="500" w:lineRule="exact"/>
        <w:ind w:left="0" w:leftChars="0" w:right="0" w:rightChars="0" w:firstLine="366" w:firstLineChars="200"/>
        <w:jc w:val="both"/>
        <w:textAlignment w:val="auto"/>
        <w:rPr>
          <w:rFonts w:hint="eastAsia" w:ascii="宋体" w:hAnsi="宋体" w:eastAsia="宋体" w:cs="宋体"/>
          <w:color w:val="000000" w:themeColor="text1"/>
          <w14:textFill>
            <w14:solidFill>
              <w14:schemeClr w14:val="tx1"/>
            </w14:solidFill>
          </w14:textFill>
        </w:rPr>
      </w:pPr>
    </w:p>
    <w:p w14:paraId="5225AED8">
      <w:pPr>
        <w:tabs>
          <w:tab w:val="left" w:pos="5670"/>
        </w:tabs>
        <w:spacing w:line="5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pacing w:val="3"/>
          <w:sz w:val="21"/>
          <w14:textFill>
            <w14:solidFill>
              <w14:schemeClr w14:val="tx1"/>
            </w14:solidFill>
          </w14:textFill>
        </w:rPr>
        <w:t>填写前请认真阅读《工业和信息化部、国家统计局、国家发展和改革委员会财政</w:t>
      </w:r>
      <w:r>
        <w:rPr>
          <w:rFonts w:hint="eastAsia" w:ascii="宋体" w:hAnsi="宋体" w:eastAsia="宋体" w:cs="宋体"/>
          <w:color w:val="000000" w:themeColor="text1"/>
          <w:spacing w:val="2"/>
          <w:sz w:val="21"/>
          <w14:textFill>
            <w14:solidFill>
              <w14:schemeClr w14:val="tx1"/>
            </w14:solidFill>
          </w14:textFill>
        </w:rPr>
        <w:t>部关于印发中小企业划型标准规定的通知》（工信部联企业</w:t>
      </w:r>
      <w:r>
        <w:rPr>
          <w:rFonts w:hint="eastAsia" w:ascii="宋体" w:hAnsi="宋体" w:eastAsia="宋体" w:cs="宋体"/>
          <w:color w:val="000000" w:themeColor="text1"/>
          <w:spacing w:val="2"/>
          <w:sz w:val="21"/>
          <w:lang w:eastAsia="zh-CN"/>
          <w14:textFill>
            <w14:solidFill>
              <w14:schemeClr w14:val="tx1"/>
            </w14:solidFill>
          </w14:textFill>
        </w:rPr>
        <w:t>〔2011〕</w:t>
      </w:r>
      <w:r>
        <w:rPr>
          <w:rFonts w:hint="eastAsia" w:ascii="宋体" w:hAnsi="宋体" w:eastAsia="宋体" w:cs="宋体"/>
          <w:color w:val="000000" w:themeColor="text1"/>
          <w:spacing w:val="2"/>
          <w:sz w:val="21"/>
          <w14:textFill>
            <w14:solidFill>
              <w14:schemeClr w14:val="tx1"/>
            </w14:solidFill>
          </w14:textFill>
        </w:rPr>
        <w:t>300</w:t>
      </w:r>
      <w:r>
        <w:rPr>
          <w:rFonts w:hint="eastAsia" w:ascii="宋体" w:hAnsi="宋体" w:eastAsia="宋体" w:cs="宋体"/>
          <w:color w:val="000000" w:themeColor="text1"/>
          <w:spacing w:val="4"/>
          <w:sz w:val="21"/>
          <w14:textFill>
            <w14:solidFill>
              <w14:schemeClr w14:val="tx1"/>
            </w14:solidFill>
          </w14:textFill>
        </w:rPr>
        <w:t xml:space="preserve"> </w:t>
      </w:r>
      <w:r>
        <w:rPr>
          <w:rFonts w:hint="eastAsia" w:ascii="宋体" w:hAnsi="宋体" w:eastAsia="宋体" w:cs="宋体"/>
          <w:color w:val="000000" w:themeColor="text1"/>
          <w:spacing w:val="1"/>
          <w:sz w:val="21"/>
          <w14:textFill>
            <w14:solidFill>
              <w14:schemeClr w14:val="tx1"/>
            </w14:solidFill>
          </w14:textFill>
        </w:rPr>
        <w:t>号）和财政部、工业和信息</w:t>
      </w:r>
      <w:r>
        <w:rPr>
          <w:rFonts w:hint="eastAsia" w:ascii="宋体" w:hAnsi="宋体" w:eastAsia="宋体" w:cs="宋体"/>
          <w:color w:val="000000" w:themeColor="text1"/>
          <w:spacing w:val="3"/>
          <w:sz w:val="21"/>
          <w14:textFill>
            <w14:solidFill>
              <w14:schemeClr w14:val="tx1"/>
            </w14:solidFill>
          </w14:textFill>
        </w:rPr>
        <w:t>化部关于印发《政府采购促进中小企业发展管理办法》的通知</w:t>
      </w:r>
      <w:r>
        <w:rPr>
          <w:rFonts w:hint="eastAsia" w:ascii="宋体" w:hAnsi="宋体" w:eastAsia="宋体" w:cs="宋体"/>
          <w:color w:val="000000" w:themeColor="text1"/>
          <w:spacing w:val="3"/>
          <w:sz w:val="21"/>
          <w:lang w:eastAsia="zh-CN"/>
          <w14:textFill>
            <w14:solidFill>
              <w14:schemeClr w14:val="tx1"/>
            </w14:solidFill>
          </w14:textFill>
        </w:rPr>
        <w:t>（</w:t>
      </w:r>
      <w:r>
        <w:rPr>
          <w:rFonts w:hint="eastAsia" w:ascii="宋体" w:hAnsi="宋体" w:eastAsia="宋体" w:cs="宋体"/>
          <w:color w:val="000000" w:themeColor="text1"/>
          <w:spacing w:val="3"/>
          <w:sz w:val="21"/>
          <w14:textFill>
            <w14:solidFill>
              <w14:schemeClr w14:val="tx1"/>
            </w14:solidFill>
          </w14:textFill>
        </w:rPr>
        <w:t>财库</w:t>
      </w:r>
      <w:r>
        <w:rPr>
          <w:rFonts w:hint="eastAsia" w:ascii="宋体" w:hAnsi="宋体" w:eastAsia="宋体" w:cs="宋体"/>
          <w:color w:val="000000" w:themeColor="text1"/>
          <w:spacing w:val="3"/>
          <w:sz w:val="21"/>
          <w:lang w:eastAsia="zh-CN"/>
          <w14:textFill>
            <w14:solidFill>
              <w14:schemeClr w14:val="tx1"/>
            </w14:solidFill>
          </w14:textFill>
        </w:rPr>
        <w:t>〔2020〕</w:t>
      </w:r>
      <w:r>
        <w:rPr>
          <w:rFonts w:hint="eastAsia" w:ascii="宋体" w:hAnsi="宋体" w:eastAsia="宋体" w:cs="宋体"/>
          <w:color w:val="000000" w:themeColor="text1"/>
          <w:spacing w:val="3"/>
          <w:sz w:val="21"/>
          <w14:textFill>
            <w14:solidFill>
              <w14:schemeClr w14:val="tx1"/>
            </w14:solidFill>
          </w14:textFill>
        </w:rPr>
        <w:t>46</w:t>
      </w:r>
      <w:r>
        <w:rPr>
          <w:rFonts w:hint="eastAsia" w:ascii="宋体" w:hAnsi="宋体" w:eastAsia="宋体" w:cs="宋体"/>
          <w:color w:val="000000" w:themeColor="text1"/>
          <w:spacing w:val="0"/>
          <w:sz w:val="21"/>
          <w14:textFill>
            <w14:solidFill>
              <w14:schemeClr w14:val="tx1"/>
            </w14:solidFill>
          </w14:textFill>
        </w:rPr>
        <w:t xml:space="preserve"> </w:t>
      </w:r>
      <w:r>
        <w:rPr>
          <w:rFonts w:hint="eastAsia" w:ascii="宋体" w:hAnsi="宋体" w:eastAsia="宋体" w:cs="宋体"/>
          <w:color w:val="000000" w:themeColor="text1"/>
          <w:spacing w:val="3"/>
          <w:sz w:val="21"/>
          <w14:textFill>
            <w14:solidFill>
              <w14:schemeClr w14:val="tx1"/>
            </w14:solidFill>
          </w14:textFill>
        </w:rPr>
        <w:t>号</w:t>
      </w:r>
      <w:r>
        <w:rPr>
          <w:rFonts w:hint="eastAsia" w:ascii="宋体" w:hAnsi="宋体" w:eastAsia="宋体" w:cs="宋体"/>
          <w:color w:val="000000" w:themeColor="text1"/>
          <w:spacing w:val="3"/>
          <w:sz w:val="21"/>
          <w:lang w:eastAsia="zh-CN"/>
          <w14:textFill>
            <w14:solidFill>
              <w14:schemeClr w14:val="tx1"/>
            </w14:solidFill>
          </w14:textFill>
        </w:rPr>
        <w:t>）</w:t>
      </w:r>
      <w:r>
        <w:rPr>
          <w:rFonts w:hint="eastAsia" w:ascii="宋体" w:hAnsi="宋体" w:eastAsia="宋体" w:cs="宋体"/>
          <w:color w:val="000000" w:themeColor="text1"/>
          <w:spacing w:val="3"/>
          <w:sz w:val="21"/>
          <w14:textFill>
            <w14:solidFill>
              <w14:schemeClr w14:val="tx1"/>
            </w14:solidFill>
          </w14:textFill>
        </w:rPr>
        <w:t>相关规定；</w:t>
      </w:r>
    </w:p>
    <w:p w14:paraId="6EDD4CAE">
      <w:pPr>
        <w:numPr>
          <w:ilvl w:val="0"/>
          <w:numId w:val="0"/>
        </w:numPr>
        <w:tabs>
          <w:tab w:val="left" w:pos="5670"/>
        </w:tabs>
        <w:spacing w:line="500" w:lineRule="exact"/>
        <w:ind w:left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从业人员、营业收入、资产总额填报上一年度数据，无上一年度数据的新成立企业可不填报。</w:t>
      </w:r>
    </w:p>
    <w:p w14:paraId="4147CF1C">
      <w:pPr>
        <w:numPr>
          <w:ilvl w:val="0"/>
          <w:numId w:val="0"/>
        </w:numPr>
        <w:spacing w:beforeAutospacing="0" w:line="500" w:lineRule="exact"/>
        <w:ind w:left="566" w:leftChars="0"/>
        <w:rPr>
          <w:rFonts w:hint="eastAsia" w:ascii="宋体" w:hAnsi="宋体" w:eastAsia="宋体" w:cs="宋体"/>
          <w:color w:val="000000" w:themeColor="text1"/>
          <w:spacing w:val="2"/>
          <w:sz w:val="21"/>
          <w:lang w:val="en-US" w:eastAsia="zh-CN"/>
          <w14:textFill>
            <w14:solidFill>
              <w14:schemeClr w14:val="tx1"/>
            </w14:solidFill>
          </w14:textFill>
        </w:rPr>
      </w:pPr>
      <w:r>
        <w:rPr>
          <w:rFonts w:hint="eastAsia" w:ascii="宋体" w:hAnsi="宋体" w:eastAsia="宋体" w:cs="宋体"/>
          <w:color w:val="000000" w:themeColor="text1"/>
          <w:spacing w:val="2"/>
          <w:sz w:val="21"/>
          <w:lang w:val="en-US" w:eastAsia="zh-CN"/>
          <w14:textFill>
            <w14:solidFill>
              <w14:schemeClr w14:val="tx1"/>
            </w14:solidFill>
          </w14:textFill>
        </w:rPr>
        <w:t>3.投标人提供的《中小企业声明函》必须真实有效，如果被举报经查实出具虚假声明函的，将被取消投标资格，并按有关规定予以处理。</w:t>
      </w:r>
    </w:p>
    <w:p w14:paraId="4D0911CB">
      <w:pPr>
        <w:pStyle w:val="15"/>
        <w:ind w:firstLine="426"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4.本项目所属行业为工业。</w:t>
      </w:r>
    </w:p>
    <w:p w14:paraId="4C10A1D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残疾人福利性单位声明函</w:t>
      </w:r>
      <w:bookmarkEnd w:id="413"/>
    </w:p>
    <w:p w14:paraId="68FC6F30">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u w:val="single"/>
          <w14:textFill>
            <w14:solidFill>
              <w14:schemeClr w14:val="tx1"/>
            </w14:solidFill>
          </w14:textFill>
        </w:rPr>
        <w:t xml:space="preserve">   项目名称  </w:t>
      </w:r>
      <w:r>
        <w:rPr>
          <w:rFonts w:hint="eastAsia" w:ascii="宋体" w:hAnsi="宋体" w:eastAsia="宋体" w:cs="宋体"/>
          <w:color w:val="000000" w:themeColor="text1"/>
          <w14:textFill>
            <w14:solidFill>
              <w14:schemeClr w14:val="tx1"/>
            </w14:solidFill>
          </w14:textFill>
        </w:rPr>
        <w:t>（项目编号：）第___标段采购活动由本单位提供服务，或者提供其他残疾人福利性单位提供的服务。</w:t>
      </w:r>
    </w:p>
    <w:p w14:paraId="1158A9D1">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本单位对上述声明的真实性负责。如有虚假，将依法承担相应责任。</w:t>
      </w:r>
    </w:p>
    <w:p w14:paraId="14220E71">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54CB550D">
      <w:pPr>
        <w:keepNext w:val="0"/>
        <w:keepLines w:val="0"/>
        <w:pageBreakBefore w:val="0"/>
        <w:widowControl/>
        <w:tabs>
          <w:tab w:val="left" w:pos="5670"/>
        </w:tabs>
        <w:kinsoku/>
        <w:wordWrap/>
        <w:overflowPunct/>
        <w:topLinePunct w:val="0"/>
        <w:autoSpaceDE/>
        <w:autoSpaceDN/>
        <w:bidi w:val="0"/>
        <w:adjustRightInd/>
        <w:snapToGrid/>
        <w:spacing w:line="500" w:lineRule="exact"/>
        <w:ind w:firstLine="566" w:firstLineChars="200"/>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none"/>
          <w:lang w:val="en-US" w:eastAsia="zh-CN"/>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投标人名称</w:t>
      </w:r>
      <w:r>
        <w:rPr>
          <w:rFonts w:hint="eastAsia" w:ascii="宋体" w:hAnsi="宋体" w:eastAsia="宋体" w:cs="宋体"/>
          <w:color w:val="000000" w:themeColor="text1"/>
          <w14:textFill>
            <w14:solidFill>
              <w14:schemeClr w14:val="tx1"/>
            </w14:solidFill>
          </w14:textFill>
        </w:rPr>
        <w:t>（盖章）</w:t>
      </w:r>
    </w:p>
    <w:p w14:paraId="23CE03F8">
      <w:pPr>
        <w:keepNext w:val="0"/>
        <w:keepLines w:val="0"/>
        <w:pageBreakBefore w:val="0"/>
        <w:widowControl/>
        <w:tabs>
          <w:tab w:val="left" w:pos="5670"/>
        </w:tabs>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14:paraId="2E31B83A">
      <w:pPr>
        <w:keepNext w:val="0"/>
        <w:keepLines w:val="0"/>
        <w:pageBreakBefore w:val="0"/>
        <w:widowControl/>
        <w:tabs>
          <w:tab w:val="left" w:pos="5670"/>
        </w:tabs>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p>
    <w:p w14:paraId="58EE0966">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项目不分标段的，第___标段空白处填写</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57AB3776">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根据《财政部 民政部 中国残疾人联合会关于促进残疾人就业政府采购政策的通知》（财库〔2017〕141号）的规定：</w:t>
      </w:r>
    </w:p>
    <w:p w14:paraId="46F3A8DF">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一、享受政府采购支持政策的残疾人福利性单位应当同时满足以下条件：</w:t>
      </w:r>
    </w:p>
    <w:p w14:paraId="7C6AB346">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（一）安置的残疾人占本单位在职职工人数的比例不低于25%（含25%），并且安置的残疾人人数不少于10人（含10人）；</w:t>
      </w:r>
    </w:p>
    <w:p w14:paraId="0D70F7FC">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（二）依法与安置的每位残疾人签订了一年以上（含一年）的劳动合同或服务协议；</w:t>
      </w:r>
    </w:p>
    <w:p w14:paraId="442F92C1">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（三）为安置的每位残疾人按月足额缴纳了基本养老保险、基本医疗保险、失业保险、工伤保险和生育保险等社会保险费；</w:t>
      </w:r>
    </w:p>
    <w:p w14:paraId="76888382">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（四）通过银行等金融机构向安置的每位残疾人，按月支付了不低于单位所在区县适用的经省级人民政府批准的月最低工资标准的工资；</w:t>
      </w:r>
    </w:p>
    <w:p w14:paraId="44E40EA5">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（五）提供本单位承担的服务（以下简称产品），或者提供其他残疾人福利性单位提供的服。</w:t>
      </w:r>
    </w:p>
    <w:p w14:paraId="62E8E62F">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F8D8168">
      <w:pPr>
        <w:keepNext w:val="0"/>
        <w:keepLines w:val="0"/>
        <w:pageBreakBefore w:val="0"/>
        <w:widowControl/>
        <w:tabs>
          <w:tab w:val="left" w:pos="5670"/>
        </w:tabs>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二、中标、成交投标人为残疾人福利性单位的，采购人或者其委托的采购代理机构应当随中标、成交结果同时公告其《残疾人福利性单位声明函》，接受社会监督。</w:t>
      </w:r>
      <w:bookmarkStart w:id="414" w:name="_Toc48834337"/>
    </w:p>
    <w:p w14:paraId="42A97EAC">
      <w:pPr>
        <w:keepNext w:val="0"/>
        <w:keepLines w:val="0"/>
        <w:pageBreakBefore w:val="0"/>
        <w:widowControl/>
        <w:tabs>
          <w:tab w:val="left" w:pos="5670"/>
        </w:tabs>
        <w:kinsoku/>
        <w:wordWrap/>
        <w:overflowPunct/>
        <w:topLinePunct w:val="0"/>
        <w:autoSpaceDE/>
        <w:autoSpaceDN/>
        <w:bidi w:val="0"/>
        <w:adjustRightInd/>
        <w:snapToGrid/>
        <w:spacing w:line="500" w:lineRule="exact"/>
        <w:ind w:firstLine="566" w:firstLineChars="200"/>
        <w:jc w:val="center"/>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监狱企业证明函</w:t>
      </w:r>
      <w:bookmarkEnd w:id="414"/>
    </w:p>
    <w:p w14:paraId="3E3C57FF">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监狱企业参加政府采购活动，要求享受相关优惠政策的，应当提供由省级以上监狱管理局、戒毒管理局（含新疆生产建设兵团）出具的属于监狱企业的证明文件。</w:t>
      </w:r>
    </w:p>
    <w:p w14:paraId="566CD55B">
      <w:pPr>
        <w:keepNext w:val="0"/>
        <w:keepLines w:val="0"/>
        <w:pageBreakBefore w:val="0"/>
        <w:widowControl/>
        <w:kinsoku/>
        <w:wordWrap/>
        <w:overflowPunct/>
        <w:topLinePunct w:val="0"/>
        <w:autoSpaceDE/>
        <w:autoSpaceDN/>
        <w:bidi w:val="0"/>
        <w:adjustRightInd/>
        <w:snapToGrid/>
        <w:spacing w:line="500" w:lineRule="exact"/>
        <w:ind w:firstLine="426"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w:t>
      </w:r>
      <w:r>
        <w:rPr>
          <w:rFonts w:hint="eastAsia" w:ascii="宋体" w:hAnsi="宋体" w:eastAsia="宋体" w:cs="宋体"/>
          <w:color w:val="000000" w:themeColor="text1"/>
          <w:sz w:val="21"/>
          <w:szCs w:val="21"/>
          <w:lang w:eastAsia="zh-CN"/>
          <w14:textFill>
            <w14:solidFill>
              <w14:schemeClr w14:val="tx1"/>
            </w14:solidFill>
          </w14:textFill>
        </w:rPr>
        <w:t>县</w:t>
      </w:r>
      <w:r>
        <w:rPr>
          <w:rFonts w:hint="eastAsia" w:ascii="宋体" w:hAnsi="宋体" w:eastAsia="宋体" w:cs="宋体"/>
          <w:color w:val="000000" w:themeColor="text1"/>
          <w:sz w:val="21"/>
          <w:szCs w:val="21"/>
          <w14:textFill>
            <w14:solidFill>
              <w14:schemeClr w14:val="tx1"/>
            </w14:solidFill>
          </w14:textFill>
        </w:rPr>
        <w:t>监狱管理局、戒毒管理局，各地（设区的</w:t>
      </w:r>
      <w:r>
        <w:rPr>
          <w:rFonts w:hint="eastAsia" w:ascii="宋体" w:hAnsi="宋体" w:eastAsia="宋体" w:cs="宋体"/>
          <w:color w:val="000000" w:themeColor="text1"/>
          <w:sz w:val="21"/>
          <w:szCs w:val="21"/>
          <w:lang w:eastAsia="zh-CN"/>
          <w14:textFill>
            <w14:solidFill>
              <w14:schemeClr w14:val="tx1"/>
            </w14:solidFill>
          </w14:textFill>
        </w:rPr>
        <w:t>县</w:t>
      </w:r>
      <w:r>
        <w:rPr>
          <w:rFonts w:hint="eastAsia" w:ascii="宋体" w:hAnsi="宋体" w:eastAsia="宋体" w:cs="宋体"/>
          <w:color w:val="000000" w:themeColor="text1"/>
          <w:sz w:val="21"/>
          <w:szCs w:val="21"/>
          <w14:textFill>
            <w14:solidFill>
              <w14:schemeClr w14:val="tx1"/>
            </w14:solidFill>
          </w14:textFill>
        </w:rPr>
        <w:t>）监狱、强制隔离戒毒所、戒毒康复所，以及新疆生产建设兵团监狱管理局、戒毒管理局的企业。</w:t>
      </w:r>
    </w:p>
    <w:p w14:paraId="10019EA0">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415" w:name="_Toc4295"/>
      <w:bookmarkStart w:id="416" w:name="_Toc48834135"/>
      <w:bookmarkStart w:id="417" w:name="_Toc3411"/>
      <w:bookmarkStart w:id="418" w:name="_Toc12342"/>
      <w:bookmarkStart w:id="419" w:name="_Toc48834338"/>
      <w:bookmarkStart w:id="420" w:name="_Toc9336"/>
      <w:bookmarkStart w:id="421" w:name="_Toc3092"/>
      <w:bookmarkStart w:id="422" w:name="_Toc48834205"/>
      <w:bookmarkStart w:id="423" w:name="_Toc14867"/>
      <w:r>
        <w:rPr>
          <w:rFonts w:hint="eastAsia" w:ascii="宋体" w:hAnsi="宋体" w:eastAsia="宋体" w:cs="宋体"/>
          <w:b/>
          <w:bCs/>
          <w:color w:val="000000" w:themeColor="text1"/>
          <w14:textFill>
            <w14:solidFill>
              <w14:schemeClr w14:val="tx1"/>
            </w14:solidFill>
          </w14:textFill>
        </w:rPr>
        <w:t>二</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投标方案</w:t>
      </w:r>
      <w:bookmarkEnd w:id="415"/>
      <w:bookmarkEnd w:id="416"/>
      <w:bookmarkEnd w:id="417"/>
      <w:bookmarkEnd w:id="418"/>
      <w:bookmarkEnd w:id="419"/>
      <w:bookmarkEnd w:id="420"/>
      <w:bookmarkEnd w:id="421"/>
      <w:bookmarkEnd w:id="422"/>
      <w:bookmarkEnd w:id="423"/>
    </w:p>
    <w:p w14:paraId="2256E31E">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参照招标文件第二章第八项《组织评标》各条款的要求，结合第四章《招标内容及采购需求》编制投标方案。</w:t>
      </w:r>
    </w:p>
    <w:p w14:paraId="46F035B3">
      <w:pPr>
        <w:spacing w:line="500" w:lineRule="exac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三、参考样表</w:t>
      </w:r>
    </w:p>
    <w:p w14:paraId="034B05D2">
      <w:pPr>
        <w:spacing w:line="500" w:lineRule="exact"/>
        <w:ind w:firstLine="566"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（一）同类业绩统计样表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6E47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5D59A372">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63" w:type="pct"/>
            <w:noWrap w:val="0"/>
            <w:vAlign w:val="center"/>
          </w:tcPr>
          <w:p w14:paraId="533633E3">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采购单位名称</w:t>
            </w:r>
          </w:p>
        </w:tc>
        <w:tc>
          <w:tcPr>
            <w:tcW w:w="733" w:type="pct"/>
            <w:noWrap w:val="0"/>
            <w:vAlign w:val="center"/>
          </w:tcPr>
          <w:p w14:paraId="2B6348D6">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合同名称</w:t>
            </w:r>
          </w:p>
        </w:tc>
        <w:tc>
          <w:tcPr>
            <w:tcW w:w="1063" w:type="pct"/>
            <w:noWrap w:val="0"/>
            <w:vAlign w:val="center"/>
          </w:tcPr>
          <w:p w14:paraId="74D55650">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合同起止时间</w:t>
            </w:r>
          </w:p>
        </w:tc>
        <w:tc>
          <w:tcPr>
            <w:tcW w:w="1394" w:type="pct"/>
            <w:noWrap w:val="0"/>
            <w:vAlign w:val="center"/>
          </w:tcPr>
          <w:p w14:paraId="088BA80E">
            <w:pPr>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合同金额（万元）</w:t>
            </w:r>
          </w:p>
        </w:tc>
      </w:tr>
      <w:tr w14:paraId="67B8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6ED260D6">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063" w:type="pct"/>
            <w:noWrap w:val="0"/>
            <w:vAlign w:val="center"/>
          </w:tcPr>
          <w:p w14:paraId="44B6C903">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733" w:type="pct"/>
            <w:noWrap w:val="0"/>
            <w:vAlign w:val="center"/>
          </w:tcPr>
          <w:p w14:paraId="343945FB">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063" w:type="pct"/>
            <w:noWrap w:val="0"/>
            <w:vAlign w:val="center"/>
          </w:tcPr>
          <w:p w14:paraId="2C60DE27">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394" w:type="pct"/>
            <w:noWrap w:val="0"/>
            <w:vAlign w:val="center"/>
          </w:tcPr>
          <w:p w14:paraId="556A7E8C">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679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20EBAC9E">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63" w:type="pct"/>
            <w:noWrap w:val="0"/>
            <w:vAlign w:val="center"/>
          </w:tcPr>
          <w:p w14:paraId="2368230F">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733" w:type="pct"/>
            <w:noWrap w:val="0"/>
            <w:vAlign w:val="center"/>
          </w:tcPr>
          <w:p w14:paraId="3E05E6E8">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063" w:type="pct"/>
            <w:noWrap w:val="0"/>
            <w:vAlign w:val="center"/>
          </w:tcPr>
          <w:p w14:paraId="7FB8A16B">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394" w:type="pct"/>
            <w:noWrap w:val="0"/>
            <w:vAlign w:val="center"/>
          </w:tcPr>
          <w:p w14:paraId="686B5251">
            <w:pPr>
              <w:widowControl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1E57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14:paraId="71257B9E">
            <w:pPr>
              <w:widowControl w:val="0"/>
              <w:spacing w:line="5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数量合计（个）</w:t>
            </w:r>
            <w:r>
              <w:rPr>
                <w:rFonts w:hint="eastAsia" w:ascii="宋体" w:hAnsi="宋体" w:eastAsia="宋体" w:cs="宋体"/>
                <w:color w:val="000000" w:themeColor="text1"/>
                <w:sz w:val="24"/>
                <w:szCs w:val="24"/>
                <w14:textFill>
                  <w14:solidFill>
                    <w14:schemeClr w14:val="tx1"/>
                  </w14:solidFill>
                </w14:textFill>
              </w:rPr>
              <w:t>：</w:t>
            </w:r>
          </w:p>
        </w:tc>
      </w:tr>
    </w:tbl>
    <w:p w14:paraId="55837D4E">
      <w:pPr>
        <w:pStyle w:val="35"/>
        <w:keepLines w:val="0"/>
        <w:kinsoku w:val="0"/>
        <w:overflowPunct w:val="0"/>
        <w:autoSpaceDE w:val="0"/>
        <w:autoSpaceDN w:val="0"/>
        <w:adjustRightInd w:val="0"/>
        <w:snapToGrid w:val="0"/>
        <w:spacing w:before="0" w:after="0"/>
        <w:ind w:firstLine="566" w:firstLineChars="200"/>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bookmarkStart w:id="424" w:name="_Toc102654393"/>
      <w:bookmarkStart w:id="425" w:name="_Toc22837290"/>
      <w:bookmarkStart w:id="426" w:name="_Toc81935908"/>
      <w:bookmarkStart w:id="427" w:name="_Toc10625374"/>
      <w:bookmarkStart w:id="428" w:name="_Toc81665514"/>
      <w:bookmarkStart w:id="429" w:name="_Toc152162269"/>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拟投入项目人员情况表</w:t>
      </w:r>
      <w:bookmarkEnd w:id="424"/>
      <w:bookmarkEnd w:id="425"/>
      <w:bookmarkEnd w:id="426"/>
      <w:bookmarkEnd w:id="427"/>
      <w:bookmarkEnd w:id="428"/>
      <w:bookmarkEnd w:id="429"/>
    </w:p>
    <w:tbl>
      <w:tblPr>
        <w:tblStyle w:val="17"/>
        <w:tblW w:w="94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07"/>
        <w:gridCol w:w="1083"/>
        <w:gridCol w:w="1520"/>
        <w:gridCol w:w="1520"/>
        <w:gridCol w:w="3018"/>
      </w:tblGrid>
      <w:tr w14:paraId="3BA08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111" w:type="dxa"/>
            <w:tcBorders>
              <w:top w:val="single" w:color="auto" w:sz="8" w:space="0"/>
              <w:left w:val="single" w:color="auto" w:sz="8" w:space="0"/>
              <w:bottom w:val="single" w:color="auto" w:sz="4" w:space="0"/>
              <w:right w:val="single" w:color="auto" w:sz="4" w:space="0"/>
            </w:tcBorders>
            <w:noWrap w:val="0"/>
            <w:vAlign w:val="center"/>
          </w:tcPr>
          <w:p w14:paraId="7A058B01">
            <w:pPr>
              <w:widowControl w:val="0"/>
              <w:adjustRightInd w:val="0"/>
              <w:snapToGrid w:val="0"/>
              <w:spacing w:line="500" w:lineRule="exact"/>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序号</w:t>
            </w:r>
          </w:p>
        </w:tc>
        <w:tc>
          <w:tcPr>
            <w:tcW w:w="1207" w:type="dxa"/>
            <w:tcBorders>
              <w:top w:val="single" w:color="auto" w:sz="8" w:space="0"/>
              <w:left w:val="nil"/>
              <w:bottom w:val="single" w:color="auto" w:sz="4" w:space="0"/>
              <w:right w:val="single" w:color="auto" w:sz="4" w:space="0"/>
            </w:tcBorders>
            <w:noWrap w:val="0"/>
            <w:vAlign w:val="center"/>
          </w:tcPr>
          <w:p w14:paraId="03471909">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姓名</w:t>
            </w:r>
          </w:p>
        </w:tc>
        <w:tc>
          <w:tcPr>
            <w:tcW w:w="1083" w:type="dxa"/>
            <w:tcBorders>
              <w:top w:val="single" w:color="auto" w:sz="8" w:space="0"/>
              <w:left w:val="nil"/>
              <w:bottom w:val="single" w:color="auto" w:sz="4" w:space="0"/>
              <w:right w:val="single" w:color="auto" w:sz="4" w:space="0"/>
            </w:tcBorders>
            <w:noWrap w:val="0"/>
            <w:vAlign w:val="center"/>
          </w:tcPr>
          <w:p w14:paraId="7E6E9F2C">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性别</w:t>
            </w:r>
          </w:p>
        </w:tc>
        <w:tc>
          <w:tcPr>
            <w:tcW w:w="1520" w:type="dxa"/>
            <w:tcBorders>
              <w:top w:val="single" w:color="auto" w:sz="8" w:space="0"/>
              <w:left w:val="nil"/>
              <w:bottom w:val="single" w:color="auto" w:sz="4" w:space="0"/>
              <w:right w:val="single" w:color="auto" w:sz="4" w:space="0"/>
            </w:tcBorders>
            <w:noWrap w:val="0"/>
            <w:vAlign w:val="center"/>
          </w:tcPr>
          <w:p w14:paraId="773AF7C4">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年龄</w:t>
            </w:r>
          </w:p>
        </w:tc>
        <w:tc>
          <w:tcPr>
            <w:tcW w:w="1520" w:type="dxa"/>
            <w:tcBorders>
              <w:top w:val="single" w:color="auto" w:sz="8" w:space="0"/>
              <w:left w:val="nil"/>
              <w:bottom w:val="single" w:color="auto" w:sz="4" w:space="0"/>
              <w:right w:val="single" w:color="auto" w:sz="4" w:space="0"/>
            </w:tcBorders>
            <w:noWrap w:val="0"/>
            <w:vAlign w:val="center"/>
          </w:tcPr>
          <w:p w14:paraId="666D0B93">
            <w:pPr>
              <w:widowControl w:val="0"/>
              <w:adjustRightInd w:val="0"/>
              <w:snapToGrid w:val="0"/>
              <w:spacing w:line="500" w:lineRule="exact"/>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资格</w:t>
            </w:r>
          </w:p>
        </w:tc>
        <w:tc>
          <w:tcPr>
            <w:tcW w:w="3018" w:type="dxa"/>
            <w:tcBorders>
              <w:top w:val="single" w:color="auto" w:sz="8" w:space="0"/>
              <w:left w:val="nil"/>
              <w:bottom w:val="single" w:color="auto" w:sz="4" w:space="0"/>
              <w:right w:val="single" w:color="auto" w:sz="8" w:space="0"/>
            </w:tcBorders>
            <w:noWrap w:val="0"/>
            <w:vAlign w:val="center"/>
          </w:tcPr>
          <w:p w14:paraId="6C2061A3">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拟在本项目中</w:t>
            </w:r>
          </w:p>
          <w:p w14:paraId="75E6AF95">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担任的工作或岗位</w:t>
            </w:r>
          </w:p>
        </w:tc>
      </w:tr>
      <w:tr w14:paraId="23448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11" w:type="dxa"/>
            <w:tcBorders>
              <w:top w:val="single" w:color="auto" w:sz="4" w:space="0"/>
              <w:left w:val="single" w:color="auto" w:sz="8" w:space="0"/>
              <w:bottom w:val="single" w:color="auto" w:sz="4" w:space="0"/>
              <w:right w:val="single" w:color="auto" w:sz="4" w:space="0"/>
            </w:tcBorders>
            <w:noWrap w:val="0"/>
            <w:vAlign w:val="center"/>
          </w:tcPr>
          <w:p w14:paraId="62E2B989">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207" w:type="dxa"/>
            <w:tcBorders>
              <w:top w:val="single" w:color="auto" w:sz="4" w:space="0"/>
              <w:left w:val="nil"/>
              <w:bottom w:val="single" w:color="auto" w:sz="4" w:space="0"/>
              <w:right w:val="single" w:color="auto" w:sz="4" w:space="0"/>
            </w:tcBorders>
            <w:noWrap w:val="0"/>
            <w:vAlign w:val="center"/>
          </w:tcPr>
          <w:p w14:paraId="067CB7EC">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083" w:type="dxa"/>
            <w:tcBorders>
              <w:top w:val="single" w:color="auto" w:sz="4" w:space="0"/>
              <w:left w:val="nil"/>
              <w:bottom w:val="single" w:color="auto" w:sz="4" w:space="0"/>
              <w:right w:val="single" w:color="auto" w:sz="4" w:space="0"/>
            </w:tcBorders>
            <w:noWrap w:val="0"/>
            <w:vAlign w:val="center"/>
          </w:tcPr>
          <w:p w14:paraId="3A983B8B">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noWrap w:val="0"/>
            <w:vAlign w:val="center"/>
          </w:tcPr>
          <w:p w14:paraId="13C5B4F6">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noWrap w:val="0"/>
            <w:vAlign w:val="center"/>
          </w:tcPr>
          <w:p w14:paraId="68D72396">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3018" w:type="dxa"/>
            <w:tcBorders>
              <w:top w:val="single" w:color="auto" w:sz="4" w:space="0"/>
              <w:left w:val="nil"/>
              <w:bottom w:val="single" w:color="auto" w:sz="4" w:space="0"/>
              <w:right w:val="single" w:color="auto" w:sz="8" w:space="0"/>
            </w:tcBorders>
            <w:noWrap w:val="0"/>
            <w:vAlign w:val="center"/>
          </w:tcPr>
          <w:p w14:paraId="4DAD4A74">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r>
      <w:tr w14:paraId="767BE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11" w:type="dxa"/>
            <w:tcBorders>
              <w:top w:val="single" w:color="auto" w:sz="4" w:space="0"/>
              <w:left w:val="single" w:color="auto" w:sz="8" w:space="0"/>
              <w:bottom w:val="single" w:color="auto" w:sz="4" w:space="0"/>
              <w:right w:val="single" w:color="auto" w:sz="4" w:space="0"/>
            </w:tcBorders>
            <w:noWrap w:val="0"/>
            <w:vAlign w:val="center"/>
          </w:tcPr>
          <w:p w14:paraId="71B9B969">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207" w:type="dxa"/>
            <w:tcBorders>
              <w:top w:val="single" w:color="auto" w:sz="4" w:space="0"/>
              <w:left w:val="nil"/>
              <w:bottom w:val="single" w:color="auto" w:sz="4" w:space="0"/>
              <w:right w:val="single" w:color="auto" w:sz="4" w:space="0"/>
            </w:tcBorders>
            <w:noWrap w:val="0"/>
            <w:vAlign w:val="center"/>
          </w:tcPr>
          <w:p w14:paraId="398412FF">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083" w:type="dxa"/>
            <w:tcBorders>
              <w:top w:val="single" w:color="auto" w:sz="4" w:space="0"/>
              <w:left w:val="nil"/>
              <w:bottom w:val="single" w:color="auto" w:sz="4" w:space="0"/>
              <w:right w:val="single" w:color="auto" w:sz="4" w:space="0"/>
            </w:tcBorders>
            <w:noWrap w:val="0"/>
            <w:vAlign w:val="center"/>
          </w:tcPr>
          <w:p w14:paraId="2702D978">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noWrap w:val="0"/>
            <w:vAlign w:val="center"/>
          </w:tcPr>
          <w:p w14:paraId="7DAEFB66">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noWrap w:val="0"/>
            <w:vAlign w:val="center"/>
          </w:tcPr>
          <w:p w14:paraId="1729E714">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3018" w:type="dxa"/>
            <w:tcBorders>
              <w:top w:val="single" w:color="auto" w:sz="4" w:space="0"/>
              <w:left w:val="nil"/>
              <w:bottom w:val="single" w:color="auto" w:sz="4" w:space="0"/>
              <w:right w:val="single" w:color="auto" w:sz="8" w:space="0"/>
            </w:tcBorders>
            <w:noWrap w:val="0"/>
            <w:vAlign w:val="center"/>
          </w:tcPr>
          <w:p w14:paraId="1E5C66FE">
            <w:pPr>
              <w:widowControl w:val="0"/>
              <w:adjustRightInd w:val="0"/>
              <w:snapToGrid w:val="0"/>
              <w:spacing w:line="500" w:lineRule="exact"/>
              <w:jc w:val="center"/>
              <w:rPr>
                <w:rFonts w:hint="eastAsia" w:ascii="宋体" w:hAnsi="宋体" w:eastAsia="宋体" w:cs="宋体"/>
                <w:b/>
                <w:color w:val="000000" w:themeColor="text1"/>
                <w:sz w:val="24"/>
                <w:szCs w:val="24"/>
                <w14:textFill>
                  <w14:solidFill>
                    <w14:schemeClr w14:val="tx1"/>
                  </w14:solidFill>
                </w14:textFill>
              </w:rPr>
            </w:pPr>
          </w:p>
        </w:tc>
      </w:tr>
    </w:tbl>
    <w:p w14:paraId="22B2D95A">
      <w:pPr>
        <w:pStyle w:val="5"/>
        <w:ind w:left="0" w:leftChars="0" w:firstLine="566" w:firstLineChars="200"/>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（三）拟投入采砂项目的设备</w:t>
      </w:r>
    </w:p>
    <w:tbl>
      <w:tblPr>
        <w:tblStyle w:val="17"/>
        <w:tblW w:w="951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2072"/>
        <w:gridCol w:w="1659"/>
        <w:gridCol w:w="728"/>
        <w:gridCol w:w="728"/>
        <w:gridCol w:w="582"/>
        <w:gridCol w:w="1259"/>
        <w:gridCol w:w="1118"/>
        <w:gridCol w:w="881"/>
      </w:tblGrid>
      <w:tr w14:paraId="44EF0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562" w:type="dxa"/>
            <w:gridSpan w:val="2"/>
            <w:vMerge w:val="restart"/>
            <w:tcBorders>
              <w:top w:val="double" w:color="auto" w:sz="4" w:space="0"/>
              <w:bottom w:val="single" w:color="auto" w:sz="6" w:space="0"/>
            </w:tcBorders>
            <w:shd w:val="clear" w:color="auto" w:fill="FFFFFF"/>
            <w:noWrap w:val="0"/>
            <w:vAlign w:val="center"/>
          </w:tcPr>
          <w:p w14:paraId="3A93CC7B">
            <w:pPr>
              <w:ind w:left="64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设备名称</w:t>
            </w:r>
          </w:p>
        </w:tc>
        <w:tc>
          <w:tcPr>
            <w:tcW w:w="1659" w:type="dxa"/>
            <w:vMerge w:val="restart"/>
            <w:tcBorders>
              <w:top w:val="double" w:color="auto" w:sz="4" w:space="0"/>
              <w:bottom w:val="single" w:color="auto" w:sz="6" w:space="0"/>
            </w:tcBorders>
            <w:shd w:val="clear" w:color="auto" w:fill="FFFFFF"/>
            <w:noWrap w:val="0"/>
            <w:vAlign w:val="center"/>
          </w:tcPr>
          <w:p w14:paraId="0A30DAE9">
            <w:pPr>
              <w:ind w:left="0" w:leftChars="0"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型号规格</w:t>
            </w:r>
          </w:p>
        </w:tc>
        <w:tc>
          <w:tcPr>
            <w:tcW w:w="2038" w:type="dxa"/>
            <w:gridSpan w:val="3"/>
            <w:tcBorders>
              <w:top w:val="double" w:color="auto" w:sz="4" w:space="0"/>
              <w:bottom w:val="single" w:color="auto" w:sz="6" w:space="0"/>
            </w:tcBorders>
            <w:shd w:val="clear" w:color="auto" w:fill="FFFFFF"/>
            <w:noWrap w:val="0"/>
            <w:vAlign w:val="center"/>
          </w:tcPr>
          <w:p w14:paraId="7F7415FC">
            <w:pPr>
              <w:ind w:left="175" w:leftChars="62"/>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数量（台套）</w:t>
            </w:r>
          </w:p>
        </w:tc>
        <w:tc>
          <w:tcPr>
            <w:tcW w:w="1259" w:type="dxa"/>
            <w:vMerge w:val="restart"/>
            <w:tcBorders>
              <w:top w:val="double" w:color="auto" w:sz="4" w:space="0"/>
              <w:bottom w:val="single" w:color="auto" w:sz="6" w:space="0"/>
            </w:tcBorders>
            <w:shd w:val="clear" w:color="auto" w:fill="FFFFFF"/>
            <w:noWrap w:val="0"/>
            <w:vAlign w:val="center"/>
          </w:tcPr>
          <w:p w14:paraId="60B95C7C">
            <w:pPr>
              <w:ind w:left="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国别或</w:t>
            </w:r>
          </w:p>
          <w:p w14:paraId="137DD292">
            <w:pPr>
              <w:ind w:left="175" w:leftChars="6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产地</w:t>
            </w:r>
          </w:p>
        </w:tc>
        <w:tc>
          <w:tcPr>
            <w:tcW w:w="1118" w:type="dxa"/>
            <w:vMerge w:val="restart"/>
            <w:tcBorders>
              <w:top w:val="double" w:color="auto" w:sz="4" w:space="0"/>
              <w:bottom w:val="single" w:color="auto" w:sz="6" w:space="0"/>
            </w:tcBorders>
            <w:shd w:val="clear" w:color="auto" w:fill="FFFFFF"/>
            <w:noWrap w:val="0"/>
            <w:vAlign w:val="center"/>
          </w:tcPr>
          <w:p w14:paraId="2B4B5784">
            <w:pPr>
              <w:ind w:left="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制造</w:t>
            </w:r>
          </w:p>
          <w:p w14:paraId="50AD2A8C">
            <w:pPr>
              <w:ind w:left="0" w:left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年份</w:t>
            </w:r>
          </w:p>
        </w:tc>
        <w:tc>
          <w:tcPr>
            <w:tcW w:w="881" w:type="dxa"/>
            <w:vMerge w:val="restart"/>
            <w:tcBorders>
              <w:top w:val="double" w:color="auto" w:sz="4" w:space="0"/>
              <w:bottom w:val="single" w:color="auto" w:sz="6" w:space="0"/>
            </w:tcBorders>
            <w:shd w:val="clear" w:color="auto" w:fill="FFFFFF"/>
            <w:noWrap w:val="0"/>
            <w:vAlign w:val="center"/>
          </w:tcPr>
          <w:p w14:paraId="1042B2BF">
            <w:pPr>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备注</w:t>
            </w:r>
          </w:p>
        </w:tc>
      </w:tr>
      <w:tr w14:paraId="7D36A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562" w:type="dxa"/>
            <w:gridSpan w:val="2"/>
            <w:vMerge w:val="continue"/>
            <w:tcBorders>
              <w:top w:val="single" w:color="auto" w:sz="6" w:space="0"/>
              <w:bottom w:val="single" w:color="auto" w:sz="6" w:space="0"/>
            </w:tcBorders>
            <w:shd w:val="clear" w:color="auto" w:fill="E0E0E0"/>
            <w:noWrap w:val="0"/>
            <w:vAlign w:val="center"/>
          </w:tcPr>
          <w:p w14:paraId="0B4B671A">
            <w:pPr>
              <w:ind w:left="640"/>
              <w:jc w:val="center"/>
              <w:rPr>
                <w:rFonts w:hint="eastAsia" w:ascii="宋体" w:hAnsi="宋体" w:eastAsia="宋体" w:cs="宋体"/>
                <w:b/>
                <w:color w:val="000000" w:themeColor="text1"/>
                <w:sz w:val="28"/>
                <w:szCs w:val="28"/>
                <w14:textFill>
                  <w14:solidFill>
                    <w14:schemeClr w14:val="tx1"/>
                  </w14:solidFill>
                </w14:textFill>
              </w:rPr>
            </w:pPr>
          </w:p>
        </w:tc>
        <w:tc>
          <w:tcPr>
            <w:tcW w:w="1659" w:type="dxa"/>
            <w:vMerge w:val="continue"/>
            <w:tcBorders>
              <w:top w:val="single" w:color="auto" w:sz="6" w:space="0"/>
              <w:bottom w:val="single" w:color="auto" w:sz="6" w:space="0"/>
            </w:tcBorders>
            <w:shd w:val="clear" w:color="auto" w:fill="E0E0E0"/>
            <w:noWrap w:val="0"/>
            <w:vAlign w:val="center"/>
          </w:tcPr>
          <w:p w14:paraId="795983DF">
            <w:pPr>
              <w:ind w:left="640"/>
              <w:jc w:val="center"/>
              <w:rPr>
                <w:rFonts w:hint="eastAsia" w:ascii="宋体" w:hAnsi="宋体" w:eastAsia="宋体" w:cs="宋体"/>
                <w:b/>
                <w:color w:val="000000" w:themeColor="text1"/>
                <w:sz w:val="28"/>
                <w:szCs w:val="28"/>
                <w14:textFill>
                  <w14:solidFill>
                    <w14:schemeClr w14:val="tx1"/>
                  </w14:solidFill>
                </w14:textFill>
              </w:rPr>
            </w:pPr>
          </w:p>
        </w:tc>
        <w:tc>
          <w:tcPr>
            <w:tcW w:w="728" w:type="dxa"/>
            <w:tcBorders>
              <w:top w:val="single" w:color="auto" w:sz="6" w:space="0"/>
              <w:bottom w:val="single" w:color="auto" w:sz="6" w:space="0"/>
            </w:tcBorders>
            <w:shd w:val="clear" w:color="auto" w:fill="FFFFFF"/>
            <w:noWrap w:val="0"/>
            <w:vAlign w:val="center"/>
          </w:tcPr>
          <w:p w14:paraId="76F03ACB">
            <w:pPr>
              <w:ind w:left="64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自有</w:t>
            </w:r>
          </w:p>
        </w:tc>
        <w:tc>
          <w:tcPr>
            <w:tcW w:w="728" w:type="dxa"/>
            <w:tcBorders>
              <w:top w:val="single" w:color="auto" w:sz="6" w:space="0"/>
              <w:bottom w:val="single" w:color="auto" w:sz="6" w:space="0"/>
            </w:tcBorders>
            <w:shd w:val="clear" w:color="auto" w:fill="FFFFFF"/>
            <w:noWrap w:val="0"/>
            <w:vAlign w:val="center"/>
          </w:tcPr>
          <w:p w14:paraId="784BBC42">
            <w:pPr>
              <w:ind w:left="64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w:t>
            </w:r>
          </w:p>
        </w:tc>
        <w:tc>
          <w:tcPr>
            <w:tcW w:w="582" w:type="dxa"/>
            <w:tcBorders>
              <w:top w:val="single" w:color="auto" w:sz="6" w:space="0"/>
              <w:bottom w:val="single" w:color="auto" w:sz="6" w:space="0"/>
            </w:tcBorders>
            <w:shd w:val="clear" w:color="auto" w:fill="FFFFFF"/>
            <w:noWrap w:val="0"/>
            <w:vAlign w:val="center"/>
          </w:tcPr>
          <w:p w14:paraId="5FDD272D">
            <w:pPr>
              <w:ind w:left="64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租赁</w:t>
            </w:r>
          </w:p>
        </w:tc>
        <w:tc>
          <w:tcPr>
            <w:tcW w:w="1259" w:type="dxa"/>
            <w:vMerge w:val="continue"/>
            <w:tcBorders>
              <w:top w:val="single" w:color="auto" w:sz="6" w:space="0"/>
              <w:bottom w:val="single" w:color="auto" w:sz="6" w:space="0"/>
            </w:tcBorders>
            <w:shd w:val="clear" w:color="auto" w:fill="E0E0E0"/>
            <w:noWrap w:val="0"/>
            <w:vAlign w:val="center"/>
          </w:tcPr>
          <w:p w14:paraId="546A6071">
            <w:pPr>
              <w:ind w:left="640"/>
              <w:jc w:val="center"/>
              <w:rPr>
                <w:rFonts w:hint="eastAsia" w:ascii="宋体" w:hAnsi="宋体" w:eastAsia="宋体" w:cs="宋体"/>
                <w:b/>
                <w:color w:val="000000" w:themeColor="text1"/>
                <w:sz w:val="28"/>
                <w:szCs w:val="28"/>
                <w14:textFill>
                  <w14:solidFill>
                    <w14:schemeClr w14:val="tx1"/>
                  </w14:solidFill>
                </w14:textFill>
              </w:rPr>
            </w:pPr>
          </w:p>
        </w:tc>
        <w:tc>
          <w:tcPr>
            <w:tcW w:w="1118" w:type="dxa"/>
            <w:vMerge w:val="continue"/>
            <w:tcBorders>
              <w:top w:val="single" w:color="auto" w:sz="6" w:space="0"/>
              <w:bottom w:val="single" w:color="auto" w:sz="6" w:space="0"/>
            </w:tcBorders>
            <w:shd w:val="clear" w:color="auto" w:fill="E0E0E0"/>
            <w:noWrap w:val="0"/>
            <w:vAlign w:val="center"/>
          </w:tcPr>
          <w:p w14:paraId="20A86C2C">
            <w:pPr>
              <w:ind w:left="640"/>
              <w:jc w:val="center"/>
              <w:rPr>
                <w:rFonts w:hint="eastAsia" w:ascii="宋体" w:hAnsi="宋体" w:eastAsia="宋体" w:cs="宋体"/>
                <w:b/>
                <w:color w:val="000000" w:themeColor="text1"/>
                <w:sz w:val="28"/>
                <w:szCs w:val="28"/>
                <w14:textFill>
                  <w14:solidFill>
                    <w14:schemeClr w14:val="tx1"/>
                  </w14:solidFill>
                </w14:textFill>
              </w:rPr>
            </w:pPr>
          </w:p>
        </w:tc>
        <w:tc>
          <w:tcPr>
            <w:tcW w:w="881" w:type="dxa"/>
            <w:vMerge w:val="continue"/>
            <w:tcBorders>
              <w:top w:val="single" w:color="auto" w:sz="6" w:space="0"/>
              <w:bottom w:val="single" w:color="auto" w:sz="6" w:space="0"/>
            </w:tcBorders>
            <w:shd w:val="clear" w:color="auto" w:fill="E0E0E0"/>
            <w:noWrap w:val="0"/>
            <w:vAlign w:val="center"/>
          </w:tcPr>
          <w:p w14:paraId="79C95E73">
            <w:pPr>
              <w:ind w:left="640"/>
              <w:jc w:val="center"/>
              <w:rPr>
                <w:rFonts w:hint="eastAsia" w:ascii="宋体" w:hAnsi="宋体" w:eastAsia="宋体" w:cs="宋体"/>
                <w:b/>
                <w:color w:val="000000" w:themeColor="text1"/>
                <w:sz w:val="28"/>
                <w:szCs w:val="28"/>
                <w14:textFill>
                  <w14:solidFill>
                    <w14:schemeClr w14:val="tx1"/>
                  </w14:solidFill>
                </w14:textFill>
              </w:rPr>
            </w:pPr>
          </w:p>
        </w:tc>
      </w:tr>
      <w:tr w14:paraId="2E727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490" w:type="dxa"/>
            <w:vMerge w:val="restart"/>
            <w:noWrap w:val="0"/>
            <w:vAlign w:val="center"/>
          </w:tcPr>
          <w:p w14:paraId="50A156D0">
            <w:pPr>
              <w:ind w:left="64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设备</w:t>
            </w:r>
          </w:p>
        </w:tc>
        <w:tc>
          <w:tcPr>
            <w:tcW w:w="2072" w:type="dxa"/>
            <w:noWrap w:val="0"/>
            <w:vAlign w:val="center"/>
          </w:tcPr>
          <w:p w14:paraId="36F6B2E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659" w:type="dxa"/>
            <w:noWrap w:val="0"/>
            <w:vAlign w:val="center"/>
          </w:tcPr>
          <w:p w14:paraId="57353C14">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5248B5B4">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19516D9A">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582" w:type="dxa"/>
            <w:noWrap w:val="0"/>
            <w:vAlign w:val="center"/>
          </w:tcPr>
          <w:p w14:paraId="094CBEAB">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259" w:type="dxa"/>
            <w:noWrap w:val="0"/>
            <w:vAlign w:val="center"/>
          </w:tcPr>
          <w:p w14:paraId="477D175D">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118" w:type="dxa"/>
            <w:noWrap w:val="0"/>
            <w:vAlign w:val="center"/>
          </w:tcPr>
          <w:p w14:paraId="48EDF5C8">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881" w:type="dxa"/>
            <w:noWrap w:val="0"/>
            <w:vAlign w:val="center"/>
          </w:tcPr>
          <w:p w14:paraId="0AFE01E5">
            <w:pPr>
              <w:ind w:left="640"/>
              <w:jc w:val="center"/>
              <w:rPr>
                <w:rFonts w:hint="eastAsia" w:ascii="宋体" w:hAnsi="宋体" w:eastAsia="宋体" w:cs="宋体"/>
                <w:color w:val="000000" w:themeColor="text1"/>
                <w:sz w:val="28"/>
                <w:szCs w:val="28"/>
                <w14:textFill>
                  <w14:solidFill>
                    <w14:schemeClr w14:val="tx1"/>
                  </w14:solidFill>
                </w14:textFill>
              </w:rPr>
            </w:pPr>
          </w:p>
        </w:tc>
      </w:tr>
      <w:tr w14:paraId="2E9CD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490" w:type="dxa"/>
            <w:vMerge w:val="continue"/>
            <w:noWrap w:val="0"/>
            <w:vAlign w:val="center"/>
          </w:tcPr>
          <w:p w14:paraId="65B7783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2072" w:type="dxa"/>
            <w:noWrap w:val="0"/>
            <w:vAlign w:val="center"/>
          </w:tcPr>
          <w:p w14:paraId="466100BE">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659" w:type="dxa"/>
            <w:noWrap w:val="0"/>
            <w:vAlign w:val="center"/>
          </w:tcPr>
          <w:p w14:paraId="06BA1B8D">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5A003D78">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5BD07079">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582" w:type="dxa"/>
            <w:noWrap w:val="0"/>
            <w:vAlign w:val="center"/>
          </w:tcPr>
          <w:p w14:paraId="02D26D4E">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259" w:type="dxa"/>
            <w:noWrap w:val="0"/>
            <w:vAlign w:val="center"/>
          </w:tcPr>
          <w:p w14:paraId="7ED48FAA">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118" w:type="dxa"/>
            <w:noWrap w:val="0"/>
            <w:vAlign w:val="center"/>
          </w:tcPr>
          <w:p w14:paraId="132820C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881" w:type="dxa"/>
            <w:noWrap w:val="0"/>
            <w:vAlign w:val="center"/>
          </w:tcPr>
          <w:p w14:paraId="24074511">
            <w:pPr>
              <w:ind w:left="640"/>
              <w:jc w:val="center"/>
              <w:rPr>
                <w:rFonts w:hint="eastAsia" w:ascii="宋体" w:hAnsi="宋体" w:eastAsia="宋体" w:cs="宋体"/>
                <w:color w:val="000000" w:themeColor="text1"/>
                <w:sz w:val="28"/>
                <w:szCs w:val="28"/>
                <w14:textFill>
                  <w14:solidFill>
                    <w14:schemeClr w14:val="tx1"/>
                  </w14:solidFill>
                </w14:textFill>
              </w:rPr>
            </w:pPr>
          </w:p>
        </w:tc>
      </w:tr>
      <w:tr w14:paraId="642FA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490" w:type="dxa"/>
            <w:vMerge w:val="continue"/>
            <w:noWrap w:val="0"/>
            <w:vAlign w:val="center"/>
          </w:tcPr>
          <w:p w14:paraId="30D47AAD">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2072" w:type="dxa"/>
            <w:noWrap w:val="0"/>
            <w:vAlign w:val="center"/>
          </w:tcPr>
          <w:p w14:paraId="7AB93A3B">
            <w:pPr>
              <w:ind w:left="64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tc>
        <w:tc>
          <w:tcPr>
            <w:tcW w:w="1659" w:type="dxa"/>
            <w:noWrap w:val="0"/>
            <w:vAlign w:val="center"/>
          </w:tcPr>
          <w:p w14:paraId="2C92B592">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4D13C50F">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33F58AAD">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582" w:type="dxa"/>
            <w:noWrap w:val="0"/>
            <w:vAlign w:val="center"/>
          </w:tcPr>
          <w:p w14:paraId="3EE58FB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259" w:type="dxa"/>
            <w:noWrap w:val="0"/>
            <w:vAlign w:val="center"/>
          </w:tcPr>
          <w:p w14:paraId="4094046C">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118" w:type="dxa"/>
            <w:noWrap w:val="0"/>
            <w:vAlign w:val="center"/>
          </w:tcPr>
          <w:p w14:paraId="7981B30C">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881" w:type="dxa"/>
            <w:noWrap w:val="0"/>
            <w:vAlign w:val="center"/>
          </w:tcPr>
          <w:p w14:paraId="54EC021E">
            <w:pPr>
              <w:ind w:left="640"/>
              <w:jc w:val="center"/>
              <w:rPr>
                <w:rFonts w:hint="eastAsia" w:ascii="宋体" w:hAnsi="宋体" w:eastAsia="宋体" w:cs="宋体"/>
                <w:color w:val="000000" w:themeColor="text1"/>
                <w:sz w:val="28"/>
                <w:szCs w:val="28"/>
                <w14:textFill>
                  <w14:solidFill>
                    <w14:schemeClr w14:val="tx1"/>
                  </w14:solidFill>
                </w14:textFill>
              </w:rPr>
            </w:pPr>
          </w:p>
        </w:tc>
      </w:tr>
      <w:tr w14:paraId="468B0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562" w:type="dxa"/>
            <w:gridSpan w:val="2"/>
            <w:noWrap w:val="0"/>
            <w:vAlign w:val="center"/>
          </w:tcPr>
          <w:p w14:paraId="1324A153">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659" w:type="dxa"/>
            <w:noWrap w:val="0"/>
            <w:vAlign w:val="center"/>
          </w:tcPr>
          <w:p w14:paraId="3E870E03">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5180DC85">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0EF4BEC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582" w:type="dxa"/>
            <w:noWrap w:val="0"/>
            <w:vAlign w:val="center"/>
          </w:tcPr>
          <w:p w14:paraId="713B90D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259" w:type="dxa"/>
            <w:noWrap w:val="0"/>
            <w:vAlign w:val="center"/>
          </w:tcPr>
          <w:p w14:paraId="7B2E8C58">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118" w:type="dxa"/>
            <w:noWrap w:val="0"/>
            <w:vAlign w:val="center"/>
          </w:tcPr>
          <w:p w14:paraId="0A9CEA70">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881" w:type="dxa"/>
            <w:noWrap w:val="0"/>
            <w:vAlign w:val="center"/>
          </w:tcPr>
          <w:p w14:paraId="4C425778">
            <w:pPr>
              <w:ind w:left="640"/>
              <w:jc w:val="center"/>
              <w:rPr>
                <w:rFonts w:hint="eastAsia" w:ascii="宋体" w:hAnsi="宋体" w:eastAsia="宋体" w:cs="宋体"/>
                <w:color w:val="000000" w:themeColor="text1"/>
                <w:sz w:val="28"/>
                <w:szCs w:val="28"/>
                <w14:textFill>
                  <w14:solidFill>
                    <w14:schemeClr w14:val="tx1"/>
                  </w14:solidFill>
                </w14:textFill>
              </w:rPr>
            </w:pPr>
          </w:p>
        </w:tc>
      </w:tr>
      <w:tr w14:paraId="66D1C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2562" w:type="dxa"/>
            <w:gridSpan w:val="2"/>
            <w:noWrap w:val="0"/>
            <w:vAlign w:val="center"/>
          </w:tcPr>
          <w:p w14:paraId="3A3E72EE">
            <w:pPr>
              <w:ind w:left="64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tc>
        <w:tc>
          <w:tcPr>
            <w:tcW w:w="1659" w:type="dxa"/>
            <w:noWrap w:val="0"/>
            <w:vAlign w:val="center"/>
          </w:tcPr>
          <w:p w14:paraId="17B65F10">
            <w:pPr>
              <w:ind w:left="0" w:leftChars="0" w:firstLine="0" w:firstLineChars="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（此表可延长）</w:t>
            </w:r>
          </w:p>
        </w:tc>
        <w:tc>
          <w:tcPr>
            <w:tcW w:w="728" w:type="dxa"/>
            <w:noWrap w:val="0"/>
            <w:vAlign w:val="center"/>
          </w:tcPr>
          <w:p w14:paraId="6C142B3F">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728" w:type="dxa"/>
            <w:noWrap w:val="0"/>
            <w:vAlign w:val="center"/>
          </w:tcPr>
          <w:p w14:paraId="11EA2549">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582" w:type="dxa"/>
            <w:noWrap w:val="0"/>
            <w:vAlign w:val="center"/>
          </w:tcPr>
          <w:p w14:paraId="137C52BE">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259" w:type="dxa"/>
            <w:noWrap w:val="0"/>
            <w:vAlign w:val="center"/>
          </w:tcPr>
          <w:p w14:paraId="6D02ACB9">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1118" w:type="dxa"/>
            <w:noWrap w:val="0"/>
            <w:vAlign w:val="center"/>
          </w:tcPr>
          <w:p w14:paraId="609EF6A7">
            <w:pPr>
              <w:ind w:left="640"/>
              <w:jc w:val="center"/>
              <w:rPr>
                <w:rFonts w:hint="eastAsia" w:ascii="宋体" w:hAnsi="宋体" w:eastAsia="宋体" w:cs="宋体"/>
                <w:color w:val="000000" w:themeColor="text1"/>
                <w:sz w:val="28"/>
                <w:szCs w:val="28"/>
                <w14:textFill>
                  <w14:solidFill>
                    <w14:schemeClr w14:val="tx1"/>
                  </w14:solidFill>
                </w14:textFill>
              </w:rPr>
            </w:pPr>
          </w:p>
        </w:tc>
        <w:tc>
          <w:tcPr>
            <w:tcW w:w="881" w:type="dxa"/>
            <w:noWrap w:val="0"/>
            <w:vAlign w:val="center"/>
          </w:tcPr>
          <w:p w14:paraId="748E5812">
            <w:pPr>
              <w:ind w:left="640"/>
              <w:jc w:val="center"/>
              <w:rPr>
                <w:rFonts w:hint="eastAsia" w:ascii="宋体" w:hAnsi="宋体" w:eastAsia="宋体" w:cs="宋体"/>
                <w:color w:val="000000" w:themeColor="text1"/>
                <w:sz w:val="28"/>
                <w:szCs w:val="28"/>
                <w14:textFill>
                  <w14:solidFill>
                    <w14:schemeClr w14:val="tx1"/>
                  </w14:solidFill>
                </w14:textFill>
              </w:rPr>
            </w:pPr>
          </w:p>
        </w:tc>
      </w:tr>
    </w:tbl>
    <w:p w14:paraId="232E9DD8">
      <w:pPr>
        <w:pStyle w:val="8"/>
        <w:spacing w:line="360" w:lineRule="auto"/>
        <w:ind w:left="0" w:leftChars="0" w:firstLine="2547" w:firstLineChars="9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投标人名称（加盖公章）：</w:t>
      </w:r>
    </w:p>
    <w:p w14:paraId="5296253D">
      <w:pPr>
        <w:spacing w:line="360" w:lineRule="auto"/>
        <w:ind w:left="64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投标人法定代表人或其委托人签字： _____________</w:t>
      </w:r>
    </w:p>
    <w:p w14:paraId="6814DA09">
      <w:pPr>
        <w:pStyle w:val="13"/>
        <w:spacing w:line="500" w:lineRule="exact"/>
        <w:rPr>
          <w:rFonts w:hint="eastAsia" w:ascii="宋体" w:hAnsi="宋体" w:eastAsia="宋体" w:cs="宋体"/>
          <w:color w:val="000000" w:themeColor="text1"/>
          <w14:textFill>
            <w14:solidFill>
              <w14:schemeClr w14:val="tx1"/>
            </w14:solidFill>
          </w14:textFill>
        </w:rPr>
      </w:pPr>
    </w:p>
    <w:p w14:paraId="7CF6E3B6">
      <w:pPr>
        <w:numPr>
          <w:ilvl w:val="0"/>
          <w:numId w:val="0"/>
        </w:numPr>
        <w:spacing w:line="500" w:lineRule="exact"/>
        <w:jc w:val="left"/>
        <w:rPr>
          <w:rFonts w:hint="eastAsia" w:ascii="宋体" w:hAnsi="宋体" w:eastAsia="宋体" w:cs="宋体"/>
          <w:b/>
          <w:bCs/>
          <w:color w:val="000000" w:themeColor="text1"/>
          <w:lang w:val="en-US" w:eastAsia="zh-CN"/>
          <w14:textFill>
            <w14:solidFill>
              <w14:schemeClr w14:val="tx1"/>
            </w14:solidFill>
          </w14:textFill>
        </w:rPr>
      </w:pPr>
    </w:p>
    <w:p w14:paraId="2551744F">
      <w:pPr>
        <w:numPr>
          <w:ilvl w:val="0"/>
          <w:numId w:val="0"/>
        </w:numPr>
        <w:spacing w:line="500" w:lineRule="exact"/>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四、</w:t>
      </w:r>
      <w:r>
        <w:rPr>
          <w:rFonts w:hint="eastAsia" w:ascii="宋体" w:hAnsi="宋体" w:eastAsia="宋体" w:cs="宋体"/>
          <w:b/>
          <w:bCs/>
          <w:color w:val="000000" w:themeColor="text1"/>
          <w14:textFill>
            <w14:solidFill>
              <w14:schemeClr w14:val="tx1"/>
            </w14:solidFill>
          </w14:textFill>
        </w:rPr>
        <w:t>投标人认为有利于中标的其他情况说明</w:t>
      </w:r>
    </w:p>
    <w:p w14:paraId="6DCA44F8">
      <w:pPr>
        <w:pStyle w:val="15"/>
        <w:numPr>
          <w:ilvl w:val="0"/>
          <w:numId w:val="0"/>
        </w:numPr>
        <w:rPr>
          <w:rFonts w:hint="eastAsia" w:ascii="宋体" w:hAnsi="宋体" w:eastAsia="宋体" w:cs="宋体"/>
          <w:color w:val="000000" w:themeColor="text1"/>
          <w14:textFill>
            <w14:solidFill>
              <w14:schemeClr w14:val="tx1"/>
            </w14:solidFill>
          </w14:textFill>
        </w:rPr>
      </w:pPr>
    </w:p>
    <w:p w14:paraId="6A1DFE21">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1D111F4F">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2C48C250">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22370924">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AE3E3CA">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E033C50">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782293A">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63243132">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4D09962">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2AEA1679">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3B70CE2C">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FD585D4">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3FA4406A">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324D8D55">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1ED85D78">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066F92DE">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36211A40">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07EBE0E3">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7AA48336">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7071A82">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0F60DF6F">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58ED9E7A">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7886F2B6">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3BCA10FD">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1E53731D">
      <w:pPr>
        <w:pStyle w:val="13"/>
        <w:spacing w:line="500" w:lineRule="exact"/>
        <w:jc w:val="both"/>
        <w:rPr>
          <w:rFonts w:hint="eastAsia" w:ascii="宋体" w:hAnsi="宋体" w:eastAsia="宋体" w:cs="宋体"/>
          <w:color w:val="000000" w:themeColor="text1"/>
          <w:sz w:val="28"/>
          <w14:textFill>
            <w14:solidFill>
              <w14:schemeClr w14:val="tx1"/>
            </w14:solidFill>
          </w14:textFill>
        </w:rPr>
      </w:pPr>
    </w:p>
    <w:p w14:paraId="64B57514">
      <w:pPr>
        <w:rPr>
          <w:color w:val="000000" w:themeColor="text1"/>
          <w14:textFill>
            <w14:solidFill>
              <w14:schemeClr w14:val="tx1"/>
            </w14:solidFill>
          </w14:textFill>
        </w:rPr>
      </w:pPr>
    </w:p>
    <w:sectPr>
      <w:pgSz w:w="11906" w:h="16838"/>
      <w:pgMar w:top="1417" w:right="1418" w:bottom="1417" w:left="1418" w:header="851" w:footer="794" w:gutter="0"/>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52FA">
    <w:pPr>
      <w:pStyle w:val="10"/>
      <w:jc w:val="both"/>
    </w:pPr>
  </w:p>
  <w:p w14:paraId="402C3FB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D66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63F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301E5">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0301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2D9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986C7">
                          <w:pPr>
                            <w:pStyle w:val="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7986C7">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21F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FCE8">
    <w:pPr>
      <w:spacing w:line="240" w:lineRule="auto"/>
      <w:ind w:right="11"/>
      <w:jc w:val="left"/>
      <w:rPr>
        <w:rFonts w:hint="default" w:ascii="仿宋" w:hAnsi="仿宋" w:eastAsia="仿宋" w:cs="Times New Roman"/>
        <w:i/>
        <w:iCs/>
        <w:sz w:val="21"/>
        <w:szCs w:val="21"/>
        <w:u w:val="singl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986F">
    <w:pPr>
      <w:pStyle w:val="11"/>
      <w:jc w:val="both"/>
      <w:rPr>
        <w:rFonts w:hint="default"/>
        <w:i/>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89B0A32"/>
    <w:multiLevelType w:val="singleLevel"/>
    <w:tmpl w:val="589B0A32"/>
    <w:lvl w:ilvl="0" w:tentative="0">
      <w:start w:val="2"/>
      <w:numFmt w:val="decimal"/>
      <w:suff w:val="nothing"/>
      <w:lvlText w:val="%1、"/>
      <w:lvlJc w:val="left"/>
      <w:pPr>
        <w:ind w:left="731"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1EFE"/>
    <w:rsid w:val="05CC0F24"/>
    <w:rsid w:val="06D22892"/>
    <w:rsid w:val="0D8853B5"/>
    <w:rsid w:val="0E283AB0"/>
    <w:rsid w:val="0E354D60"/>
    <w:rsid w:val="0E745939"/>
    <w:rsid w:val="1BEE7DEA"/>
    <w:rsid w:val="1D174D42"/>
    <w:rsid w:val="204C04C4"/>
    <w:rsid w:val="22280ABD"/>
    <w:rsid w:val="22FB7F7F"/>
    <w:rsid w:val="249404DF"/>
    <w:rsid w:val="24CE594B"/>
    <w:rsid w:val="29F179E6"/>
    <w:rsid w:val="2B3D7387"/>
    <w:rsid w:val="2D642420"/>
    <w:rsid w:val="2DCA296F"/>
    <w:rsid w:val="2EC57408"/>
    <w:rsid w:val="34A55F9D"/>
    <w:rsid w:val="368F480F"/>
    <w:rsid w:val="389D76B7"/>
    <w:rsid w:val="39E44E71"/>
    <w:rsid w:val="3A485400"/>
    <w:rsid w:val="3F165ACD"/>
    <w:rsid w:val="44F00B6E"/>
    <w:rsid w:val="57763155"/>
    <w:rsid w:val="65B7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5">
    <w:name w:val="heading 2"/>
    <w:basedOn w:val="1"/>
    <w:next w:val="1"/>
    <w:qFormat/>
    <w:uiPriority w:val="9"/>
    <w:pPr>
      <w:keepNext/>
      <w:keepLines/>
      <w:spacing w:line="240" w:lineRule="auto"/>
      <w:outlineLvl w:val="1"/>
    </w:pPr>
    <w:rPr>
      <w:rFonts w:ascii="Calibri" w:hAnsi="Calibri" w:cs="Times New Roman"/>
      <w:b/>
      <w:bCs/>
      <w:sz w:val="32"/>
      <w:szCs w:val="32"/>
    </w:rPr>
  </w:style>
  <w:style w:type="paragraph" w:styleId="6">
    <w:name w:val="heading 4"/>
    <w:basedOn w:val="1"/>
    <w:next w:val="1"/>
    <w:qFormat/>
    <w:uiPriority w:val="9"/>
    <w:pPr>
      <w:keepNext/>
      <w:keepLines/>
      <w:spacing w:before="280" w:after="290" w:line="376" w:lineRule="atLeast"/>
      <w:outlineLvl w:val="3"/>
    </w:pPr>
    <w:rPr>
      <w:rFonts w:ascii="Calibri" w:hAnsi="Calibri" w:cs="Times New Roman"/>
      <w:b/>
      <w:bCs/>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50" w:line="360" w:lineRule="auto"/>
    </w:pPr>
    <w:rPr>
      <w:rFonts w:ascii="宋体" w:hAnsi="宋体"/>
      <w:color w:val="000000"/>
      <w:sz w:val="24"/>
    </w:rPr>
  </w:style>
  <w:style w:type="paragraph" w:styleId="3">
    <w:name w:val="Balloon Text"/>
    <w:basedOn w:val="1"/>
    <w:next w:val="4"/>
    <w:unhideWhenUsed/>
    <w:qFormat/>
    <w:uiPriority w:val="99"/>
    <w:pPr>
      <w:spacing w:line="240" w:lineRule="auto"/>
    </w:pPr>
    <w:rPr>
      <w:sz w:val="18"/>
      <w:szCs w:val="18"/>
    </w:rPr>
  </w:style>
  <w:style w:type="paragraph" w:styleId="4">
    <w:name w:val="toc 3"/>
    <w:basedOn w:val="1"/>
    <w:next w:val="1"/>
    <w:unhideWhenUsed/>
    <w:qFormat/>
    <w:uiPriority w:val="39"/>
    <w:pPr>
      <w:ind w:left="840" w:leftChars="400"/>
    </w:pPr>
  </w:style>
  <w:style w:type="paragraph" w:styleId="8">
    <w:name w:val="Normal Indent"/>
    <w:basedOn w:val="1"/>
    <w:unhideWhenUsed/>
    <w:qFormat/>
    <w:uiPriority w:val="99"/>
    <w:pPr>
      <w:ind w:firstLine="420"/>
    </w:pPr>
  </w:style>
  <w:style w:type="paragraph" w:styleId="9">
    <w:name w:val="Body Text Indent"/>
    <w:basedOn w:val="1"/>
    <w:unhideWhenUsed/>
    <w:qFormat/>
    <w:uiPriority w:val="0"/>
    <w:pPr>
      <w:autoSpaceDE w:val="0"/>
      <w:autoSpaceDN w:val="0"/>
      <w:adjustRightInd w:val="0"/>
      <w:spacing w:line="360" w:lineRule="atLeast"/>
      <w:ind w:firstLine="600"/>
      <w:jc w:val="left"/>
    </w:pPr>
    <w:rPr>
      <w:rFonts w:ascii="宋体" w:hAnsi="宋体"/>
      <w:kern w:val="0"/>
      <w:sz w:val="28"/>
      <w:szCs w:val="20"/>
    </w:rPr>
  </w:style>
  <w:style w:type="paragraph" w:styleId="10">
    <w:name w:val="footer"/>
    <w:basedOn w:val="1"/>
    <w:next w:val="2"/>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1">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2">
    <w:name w:val="toc 1"/>
    <w:basedOn w:val="1"/>
    <w:next w:val="1"/>
    <w:unhideWhenUsed/>
    <w:qFormat/>
    <w:uiPriority w:val="39"/>
  </w:style>
  <w:style w:type="paragraph" w:styleId="13">
    <w:name w:val="HTML Preformatted"/>
    <w:basedOn w:val="1"/>
    <w:qFormat/>
    <w:uiPriority w:val="99"/>
    <w:pPr>
      <w:jc w:val="left"/>
    </w:pPr>
    <w:rPr>
      <w:rFonts w:ascii="Arial" w:hAnsi="Arial" w:cs="Arial"/>
      <w:kern w:val="0"/>
      <w:sz w:val="24"/>
    </w:r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Body Text First Indent"/>
    <w:basedOn w:val="2"/>
    <w:next w:val="16"/>
    <w:unhideWhenUsed/>
    <w:qFormat/>
    <w:uiPriority w:val="0"/>
    <w:pPr>
      <w:spacing w:afterLines="0" w:line="240" w:lineRule="auto"/>
      <w:ind w:firstLine="420" w:firstLineChars="100"/>
    </w:pPr>
    <w:rPr>
      <w:rFonts w:ascii="Times New Roman" w:hAnsi="Times New Roman"/>
      <w:color w:val="auto"/>
      <w:sz w:val="18"/>
      <w:szCs w:val="18"/>
    </w:rPr>
  </w:style>
  <w:style w:type="paragraph" w:styleId="16">
    <w:name w:val="Body Text First Indent 2"/>
    <w:basedOn w:val="9"/>
    <w:qFormat/>
    <w:uiPriority w:val="0"/>
    <w:pPr>
      <w:autoSpaceDE/>
      <w:autoSpaceDN/>
      <w:adjustRightInd/>
      <w:spacing w:after="120" w:line="360" w:lineRule="auto"/>
      <w:ind w:left="420" w:firstLine="210"/>
      <w:jc w:val="both"/>
    </w:pPr>
    <w:rPr>
      <w:rFonts w:ascii="Times New Roman" w:hAnsi="Times New Roman"/>
      <w:kern w:val="2"/>
      <w:sz w:val="24"/>
    </w:rPr>
  </w:style>
  <w:style w:type="character" w:styleId="19">
    <w:name w:val="Strong"/>
    <w:basedOn w:val="18"/>
    <w:qFormat/>
    <w:uiPriority w:val="22"/>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qFormat/>
    <w:uiPriority w:val="99"/>
    <w:rPr>
      <w:color w:val="000000"/>
      <w:sz w:val="18"/>
      <w:szCs w:val="18"/>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uiPriority w:val="0"/>
    <w:rPr>
      <w:rFonts w:ascii="monospace" w:hAnsi="monospace" w:eastAsia="monospace" w:cs="monospace"/>
      <w:sz w:val="20"/>
    </w:rPr>
  </w:style>
  <w:style w:type="character" w:styleId="30">
    <w:name w:val="HTML Sample"/>
    <w:basedOn w:val="18"/>
    <w:uiPriority w:val="0"/>
    <w:rPr>
      <w:rFonts w:hint="default" w:ascii="monospace" w:hAnsi="monospace" w:eastAsia="monospace" w:cs="monospace"/>
    </w:rPr>
  </w:style>
  <w:style w:type="paragraph" w:customStyle="1" w:styleId="31">
    <w:name w:val="正文（缩进 2 字符）"/>
    <w:basedOn w:val="1"/>
    <w:qFormat/>
    <w:uiPriority w:val="0"/>
    <w:pPr>
      <w:ind w:firstLine="200" w:firstLineChars="200"/>
    </w:pPr>
  </w:style>
  <w:style w:type="paragraph" w:styleId="32">
    <w:name w:val="List Paragraph"/>
    <w:basedOn w:val="1"/>
    <w:qFormat/>
    <w:uiPriority w:val="99"/>
    <w:pPr>
      <w:ind w:firstLine="420" w:firstLineChars="200"/>
    </w:pPr>
  </w:style>
  <w:style w:type="paragraph" w:customStyle="1" w:styleId="33">
    <w:name w:val="列出段落3"/>
    <w:basedOn w:val="1"/>
    <w:qFormat/>
    <w:uiPriority w:val="0"/>
    <w:pPr>
      <w:ind w:firstLine="420" w:firstLineChars="200"/>
    </w:pPr>
    <w:rPr>
      <w:rFonts w:cs="Times New Roman"/>
    </w:rPr>
  </w:style>
  <w:style w:type="paragraph" w:customStyle="1" w:styleId="34">
    <w:name w:val="标题 2（投标文件）"/>
    <w:basedOn w:val="5"/>
    <w:qFormat/>
    <w:uiPriority w:val="0"/>
    <w:pPr>
      <w:jc w:val="center"/>
    </w:pPr>
  </w:style>
  <w:style w:type="paragraph" w:customStyle="1" w:styleId="35">
    <w:name w:val="标题 2_0"/>
    <w:basedOn w:val="36"/>
    <w:next w:val="36"/>
    <w:semiHidden/>
    <w:qFormat/>
    <w:uiPriority w:val="0"/>
    <w:pPr>
      <w:keepNext/>
      <w:keepLines/>
      <w:spacing w:before="260" w:after="260" w:line="410" w:lineRule="auto"/>
      <w:outlineLvl w:val="1"/>
    </w:pPr>
    <w:rPr>
      <w:rFonts w:ascii="Cambria" w:hAnsi="Cambria" w:eastAsia="宋体"/>
      <w:b/>
      <w:bCs/>
      <w:sz w:val="32"/>
      <w:szCs w:val="32"/>
    </w:rPr>
  </w:style>
  <w:style w:type="paragraph" w:customStyle="1" w:styleId="36">
    <w:name w:val="正文_8_0_0_0"/>
    <w:basedOn w:val="37"/>
    <w:qFormat/>
    <w:uiPriority w:val="0"/>
    <w:rPr>
      <w:rFonts w:ascii="Calibri" w:hAnsi="Calibri" w:eastAsia="宋体"/>
      <w:szCs w:val="21"/>
    </w:rPr>
  </w:style>
  <w:style w:type="paragraph" w:customStyle="1" w:styleId="37">
    <w:name w:val="正文_9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43c23f95-16c7-41e6-b6bc-0fc7c5dd26a8</errorID>
      <errorWord>:</errorWord>
      <group>L1_Format</group>
      <groupName>格式问题</groupName>
      <ability>L2_HalfPunc</ability>
      <abilityName>全半角检查</abilityName>
      <candidateList>
        <item>：</item>
      </candidateList>
      <explain>文本全半角错误。</explain>
      <paraID>3E04983C</paraID>
      <start>27</start>
      <end>28</end>
      <status>modified</status>
      <modifiedWord>：</modifiedWord>
      <trackRevisions>false</trackRevisions>
    </reviewItem>
    <reviewItem>
      <errorID>2ffd69e7-7032-476c-9fec-081d441b9372</errorID>
      <errorWord>:</errorWord>
      <group>L1_Format</group>
      <groupName>格式问题</groupName>
      <ability>L2_HalfPunc</ability>
      <abilityName>全半角检查</abilityName>
      <candidateList>
        <item>：</item>
      </candidateList>
      <explain>文本全半角错误。</explain>
      <paraID>7B4049D7</paraID>
      <start>29</start>
      <end>30</end>
      <status>modified</status>
      <modifiedWord>：</modifiedWord>
      <trackRevisions>false</trackRevisions>
    </reviewItem>
    <reviewItem>
      <errorID>691cb672-9cf0-44c9-acf5-ea74bc2f77f0</errorID>
      <errorWord>:</errorWord>
      <group>L1_Format</group>
      <groupName>格式问题</groupName>
      <ability>L2_HalfPunc</ability>
      <abilityName>全半角检查</abilityName>
      <candidateList>
        <item>：</item>
      </candidateList>
      <explain>文本全半角错误。</explain>
      <paraID>4DF0128C</paraID>
      <start>29</start>
      <end>30</end>
      <status>modified</status>
      <modifiedWord>：</modifiedWord>
      <trackRevisions>false</trackRevisions>
    </reviewItem>
    <reviewItem>
      <errorID>8d6163d3-fb8d-4e48-9de6-a3469ad9896d</errorID>
      <errorWord>:</errorWord>
      <group>L1_Format</group>
      <groupName>格式问题</groupName>
      <ability>L2_HalfPunc</ability>
      <abilityName>全半角检查</abilityName>
      <candidateList>
        <item>：</item>
      </candidateList>
      <explain>文本全半角错误。</explain>
      <paraID>3901C5E3</paraID>
      <start>26</start>
      <end>27</end>
      <status>modified</status>
      <modifiedWord>：</modifiedWord>
      <trackRevisions>false</trackRevisions>
    </reviewItem>
    <reviewItem>
      <errorID>13addf37-9a91-4357-900f-1d47d09b47a3</errorID>
      <errorWord>,</errorWord>
      <group>L1_Format</group>
      <groupName>格式问题</groupName>
      <ability>L2_HalfPunc</ability>
      <abilityName>全半角检查</abilityName>
      <candidateList>
        <item>，</item>
      </candidateList>
      <explain>文本全半角错误。</explain>
      <paraID>591FC578</paraID>
      <start>54</start>
      <end>55</end>
      <status>modified</status>
      <modifiedWord>，</modifiedWord>
      <trackRevisions>false</trackRevisions>
    </reviewItem>
    <reviewItem>
      <errorID>43d0f23f-ec7c-4e8e-8679-6f8e0bae7d97</errorID>
      <errorWord>疑义</errorWord>
      <group>L1_Word</group>
      <groupName>字词问题</groupName>
      <ability>L2_Typo</ability>
      <abilityName>字词错误</abilityName>
      <candidateList>
        <item>异义</item>
      </candidateList>
      <explain/>
      <paraID>51E0012B</paraID>
      <start>17</start>
      <end>19</end>
      <status>modified</status>
      <modifiedWord>异义</modifiedWord>
      <trackRevisions>false</trackRevisions>
    </reviewItem>
    <reviewItem>
      <errorID>d05e098c-8b47-4901-9db6-86bde235b9d4</errorID>
      <errorWord>诺</errorWord>
      <group>L1_Word</group>
      <groupName>字词问题</groupName>
      <ability>L2_Typo</ability>
      <abilityName>字词错误</abilityName>
      <candidateList>
        <item>诺书</item>
      </candidateList>
      <explain/>
      <paraID>40405C13</paraID>
      <start>111</start>
      <end>113</end>
      <status>modified</status>
      <modifiedWord>诺书</modifiedWord>
      <trackRevisions>false</trackRevisions>
    </reviewItem>
    <reviewItem>
      <errorID>fac64dca-bd12-4658-8106-bfb10c794e7d</errorID>
      <errorWord>做出</errorWord>
      <group>L1_Word</group>
      <groupName>字词问题</groupName>
      <ability>L2_Typo</ability>
      <abilityName>字词错误</abilityName>
      <candidateList>
        <item>作出</item>
      </candidateList>
      <explain/>
      <paraID> CC17EF3</paraID>
      <start>63</start>
      <end>65</end>
      <status>modified</status>
      <modifiedWord>作出</modifiedWord>
      <trackRevisions>false</trackRevisions>
    </reviewItem>
    <reviewItem>
      <errorID>3696c131-8653-42e6-981b-b2417545db3c</errorID>
      <errorWord>悉知</errorWord>
      <group>L1_Word</group>
      <groupName>字词问题</groupName>
      <ability>L2_Typo</ability>
      <abilityName>字词错误</abilityName>
      <candidateList>
        <item>知悉</item>
      </candidateList>
      <explain/>
      <paraID>4B4A15D7</paraID>
      <start>5</start>
      <end>7</end>
      <status>modified</status>
      <modifiedWord>知悉</modifiedWord>
      <trackRevisions>false</trackRevisions>
    </reviewItem>
    <reviewItem>
      <errorID>989e8d31-2670-4cc8-8f6c-f74f1900de3d</errorID>
      <errorWord>人数</errorWord>
      <group>L1_Word</group>
      <groupName>字词问题</groupName>
      <ability>L2_Typo</ability>
      <abilityName>字词错误</abilityName>
      <candidateList>
        <item>人士</item>
      </candidateList>
      <explain/>
      <paraID>27CC6A27</paraID>
      <start>4</start>
      <end>6</end>
      <status>modified</status>
      <modifiedWord>人士</modifiedWord>
      <trackRevisions>false</trackRevisions>
    </reviewItem>
    <reviewItem>
      <errorID>e5d697d7-5374-488d-8961-2f8487617e02</errorID>
      <errorWord>财政部</errorWord>
      <group>L1_Knowledge</group>
      <groupName>知识性问题</groupName>
      <ability>L2_Organization</ability>
      <abilityName>机构检查</abilityName>
      <candidateList/>
      <explain>[财政部]应在[工业和信息化部]之后</explain>
      <paraID>5225AED8</paraID>
      <start>38</start>
      <end>41</end>
      <status>ignored</status>
      <modifiedWord/>
      <trackRevisions>false</trackRevisions>
    </reviewItem>
    <reviewItem>
      <errorID>ef147579-749a-4c5f-974b-617c7b539068</errorID>
      <errorWord>财政部</errorWord>
      <group>L1_Knowledge</group>
      <groupName>知识性问题</groupName>
      <ability>L2_Organization</ability>
      <abilityName>机构检查</abilityName>
      <candidateList/>
      <explain>[财政部]应在[工业和信息化部]之后</explain>
      <paraID>5225AED8</paraID>
      <start>79</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f534c-0f12-4b22-b4cb-57570de35890}">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11684</Words>
  <Characters>12670</Characters>
  <Lines>0</Lines>
  <Paragraphs>0</Paragraphs>
  <TotalTime>179</TotalTime>
  <ScaleCrop>false</ScaleCrop>
  <LinksUpToDate>false</LinksUpToDate>
  <CharactersWithSpaces>12845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2026-03-02T07:06:00Z</dcterms:created>
  <dc:creator>txl</dc:creator>
  <cp:lastModifiedBy>华鼎工程咨询集团有限公司25号锁</cp:lastModifiedBy>
  <dcterms:modified xsi:type="dcterms:W3CDTF">2026-03-05T06:25:24Z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eyJoZGlkIjoiNTg0MTM3ZDA3NGM1Zjk1MWYyMzE4MjMzOTQ5NDU3ZWUiLCJ1c2VySWQiOiIxMzA2NDE4MTgyIn0=</vt:lpwstr>
  </property>
  <property fmtid="{D5CDD505-2E9C-101B-9397-08002B2CF9AE}" pid="4" name="ICV">
    <vt:lpwstr>38A5B9A7DE41469E9607C9CA6E663183_12</vt:lpwstr>
  </property>
</Properties>
</file>