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5"/>
        <w:gridCol w:w="1036"/>
        <w:gridCol w:w="6606"/>
      </w:tblGrid>
      <w:tr w14:paraId="13FE1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04140EBA">
            <w:pPr>
              <w:pStyle w:val="5"/>
              <w:jc w:val="center"/>
              <w:rPr>
                <w:highlight w:val="none"/>
              </w:rPr>
            </w:pPr>
            <w:r>
              <w:rPr>
                <w:rFonts w:ascii="仿宋_GB2312" w:hAnsi="仿宋_GB2312" w:eastAsia="仿宋_GB2312" w:cs="仿宋_GB2312"/>
                <w:highlight w:val="none"/>
              </w:rPr>
              <w:t>序号</w:t>
            </w:r>
          </w:p>
        </w:tc>
        <w:tc>
          <w:tcPr>
            <w:tcW w:w="1036" w:type="dxa"/>
          </w:tcPr>
          <w:p w14:paraId="5BEC8855">
            <w:pPr>
              <w:pStyle w:val="5"/>
              <w:jc w:val="center"/>
              <w:rPr>
                <w:highlight w:val="none"/>
              </w:rPr>
            </w:pPr>
            <w:r>
              <w:rPr>
                <w:rFonts w:ascii="仿宋_GB2312" w:hAnsi="仿宋_GB2312" w:eastAsia="仿宋_GB2312" w:cs="仿宋_GB2312"/>
                <w:highlight w:val="none"/>
              </w:rPr>
              <w:t>参数性质</w:t>
            </w:r>
          </w:p>
        </w:tc>
        <w:tc>
          <w:tcPr>
            <w:tcW w:w="6606" w:type="dxa"/>
          </w:tcPr>
          <w:p w14:paraId="2497CB0F">
            <w:pPr>
              <w:pStyle w:val="5"/>
              <w:jc w:val="center"/>
              <w:rPr>
                <w:highlight w:val="none"/>
              </w:rPr>
            </w:pPr>
            <w:r>
              <w:rPr>
                <w:rFonts w:ascii="仿宋_GB2312" w:hAnsi="仿宋_GB2312" w:eastAsia="仿宋_GB2312" w:cs="仿宋_GB2312"/>
                <w:highlight w:val="none"/>
              </w:rPr>
              <w:t>技术参数与性能指标</w:t>
            </w:r>
          </w:p>
        </w:tc>
      </w:tr>
      <w:tr w14:paraId="76A6F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0459FA0F">
            <w:pPr>
              <w:pStyle w:val="5"/>
              <w:jc w:val="center"/>
              <w:rPr>
                <w:highlight w:val="none"/>
              </w:rPr>
            </w:pPr>
            <w:r>
              <w:rPr>
                <w:rFonts w:ascii="仿宋_GB2312" w:hAnsi="仿宋_GB2312" w:eastAsia="仿宋_GB2312" w:cs="仿宋_GB2312"/>
                <w:highlight w:val="none"/>
              </w:rPr>
              <w:t>1</w:t>
            </w:r>
          </w:p>
        </w:tc>
        <w:tc>
          <w:tcPr>
            <w:tcW w:w="1036" w:type="dxa"/>
          </w:tcPr>
          <w:p w14:paraId="30CECE69">
            <w:pPr>
              <w:pStyle w:val="5"/>
              <w:jc w:val="center"/>
              <w:rPr>
                <w:rFonts w:ascii="仿宋_GB2312" w:hAnsi="仿宋_GB2312" w:eastAsia="仿宋_GB2312" w:cs="仿宋_GB2312"/>
                <w:highlight w:val="none"/>
              </w:rPr>
            </w:pPr>
          </w:p>
        </w:tc>
        <w:tc>
          <w:tcPr>
            <w:tcW w:w="6606" w:type="dxa"/>
          </w:tcPr>
          <w:p w14:paraId="4101CDB0">
            <w:pPr>
              <w:pStyle w:val="5"/>
              <w:jc w:val="left"/>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一、</w:t>
            </w:r>
            <w:r>
              <w:rPr>
                <w:rFonts w:hint="eastAsia" w:ascii="仿宋_GB2312" w:hAnsi="仿宋_GB2312" w:eastAsia="仿宋_GB2312" w:cs="仿宋_GB2312"/>
                <w:b/>
                <w:bCs/>
                <w:highlight w:val="none"/>
              </w:rPr>
              <w:t>服务内容</w:t>
            </w:r>
          </w:p>
          <w:p w14:paraId="4B51B627">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1.供应商需确保饭菜的营养、卫生、质量和安全，保障中心职工正常就餐；供应商负责制作供应中心的日常工作餐和根据中心需要服务单位提供的会餐等其他餐饮服务。 </w:t>
            </w:r>
          </w:p>
          <w:p w14:paraId="5C5F986A">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2.用餐时间(周一至周日)早餐:07:30-08:30；午餐:11:30-12:30；晚餐:17:30-18:30。供应商必须按照中心提供的时间安排员工就餐。</w:t>
            </w:r>
          </w:p>
          <w:p w14:paraId="7D2E37C0">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用餐标准，供应商制作提供的工作餐标准为米饭、面食、小吃、主荤菜、荤菜、素菜、汤类，保证每餐饭菜为现场即时制作，制作品类不低于以下标准。早餐:两种稀饭(或豆浆、胡辣汤、油茶等）+牛奶+两小菜+小吃+杂粮（不少于3种）;午餐：两荤+两素+面食+小吃+汤类+杂粮+水果;晚餐标准:三菜+稀饭+馒头或花卷。</w:t>
            </w:r>
          </w:p>
          <w:p w14:paraId="682705CA">
            <w:pPr>
              <w:pStyle w:val="5"/>
              <w:jc w:val="left"/>
              <w:rPr>
                <w:rFonts w:ascii="仿宋_GB2312" w:hAnsi="仿宋_GB2312" w:eastAsia="仿宋_GB2312" w:cs="仿宋_GB2312"/>
                <w:highlight w:val="none"/>
              </w:rPr>
            </w:pPr>
            <w:r>
              <w:rPr>
                <w:rFonts w:hint="eastAsia" w:ascii="仿宋_GB2312" w:hAnsi="仿宋_GB2312" w:eastAsia="仿宋_GB2312" w:cs="仿宋_GB2312"/>
                <w:highlight w:val="none"/>
              </w:rPr>
              <w:t>4.双方本着节约实惠原则，每周四由供应商向中心提出下周建议食谱，供应商须按照中心确定的食谱制作。</w:t>
            </w:r>
          </w:p>
        </w:tc>
      </w:tr>
      <w:tr w14:paraId="474C0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5DF74BBB">
            <w:pPr>
              <w:pStyle w:val="5"/>
              <w:jc w:val="center"/>
              <w:rPr>
                <w:highlight w:val="none"/>
              </w:rPr>
            </w:pPr>
            <w:r>
              <w:rPr>
                <w:rFonts w:ascii="仿宋_GB2312" w:hAnsi="仿宋_GB2312" w:eastAsia="仿宋_GB2312" w:cs="仿宋_GB2312"/>
                <w:highlight w:val="none"/>
              </w:rPr>
              <w:t>2</w:t>
            </w:r>
          </w:p>
        </w:tc>
        <w:tc>
          <w:tcPr>
            <w:tcW w:w="1036" w:type="dxa"/>
          </w:tcPr>
          <w:p w14:paraId="1EF0E17A">
            <w:pPr>
              <w:jc w:val="center"/>
              <w:rPr>
                <w:highlight w:val="none"/>
              </w:rPr>
            </w:pPr>
          </w:p>
        </w:tc>
        <w:tc>
          <w:tcPr>
            <w:tcW w:w="6606" w:type="dxa"/>
          </w:tcPr>
          <w:p w14:paraId="04A8107E">
            <w:pPr>
              <w:pStyle w:val="5"/>
              <w:jc w:val="left"/>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二、</w:t>
            </w:r>
            <w:r>
              <w:rPr>
                <w:rFonts w:hint="eastAsia" w:ascii="仿宋_GB2312" w:hAnsi="仿宋_GB2312" w:eastAsia="仿宋_GB2312" w:cs="仿宋_GB2312"/>
                <w:b/>
                <w:bCs/>
                <w:highlight w:val="none"/>
              </w:rPr>
              <w:t>人员配置及要求：</w:t>
            </w:r>
          </w:p>
          <w:p w14:paraId="2AB86694">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供应商所有工作人员需持有健康证，并按国家规定定期体检。患有《食品安全法实施条例》第二十三条所列疾病的人员(痢疾、伤寒、甲型病毒性肝炎、戊型病毒性肝炎等消化道传染病），不得从事接触直接入口食品的工作。患有活动性肺结核、化脓性或者渗出性皮肤病等有碍食品安全疾病的，不得从事餐厅的各项工作。</w:t>
            </w:r>
          </w:p>
          <w:p w14:paraId="05837B42">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2.供应商人员应建立每日晨检制度。有发热、腹泻、皮肤伤口或感染、咽部炎症等有碍食品安全病症的人员，应立即离开工作岗位，待查明原因并治愈后，方可重新上岗。</w:t>
            </w:r>
          </w:p>
          <w:p w14:paraId="5F6A5F13">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中心餐厅满足200人以上用餐要求，供应商派出食堂人员不少于12名。其中:主厨2名、面点师2名、小工3名、洗碗工2人、保洁人员2人、服务员1名。服务员应具有大专及以上学历，有较强的组织协调能力，能掌握电脑的基本操作、熟悉餐饮的接待礼仪。供应商人员在负责制作餐饮主副食外，还得负责餐厅、厨房、库房等职工食堂区域内的卫生清理清洁工作，并符合卫生要求。</w:t>
            </w:r>
          </w:p>
          <w:p w14:paraId="51A94096">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4.供应商应经中心管理部门同意后，定期（至少每半年）对主厨进行轮换调整，在保障职工基本用餐的同时，调整口味搭配，提升服务质量。</w:t>
            </w:r>
          </w:p>
          <w:p w14:paraId="2A6A6EFE">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5.供应商派遣的食堂人员须经中心相关管理部门同意后，方可上岗；同时应制定花名册，提供身份证复印件、健康证，报中心相关管理部门备案，如有人员变动应及时登记备案。中心认为供应商派遣的人员不称职，供应商应在接到书面或口头通知后5个工作日内予以调整。人员应聘、录用、离职等管理档案规范，手续齐全。</w:t>
            </w:r>
          </w:p>
        </w:tc>
      </w:tr>
      <w:tr w14:paraId="19794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566BB955">
            <w:pPr>
              <w:pStyle w:val="5"/>
              <w:jc w:val="center"/>
              <w:rPr>
                <w:highlight w:val="none"/>
              </w:rPr>
            </w:pPr>
            <w:r>
              <w:rPr>
                <w:rFonts w:ascii="仿宋_GB2312" w:hAnsi="仿宋_GB2312" w:eastAsia="仿宋_GB2312" w:cs="仿宋_GB2312"/>
                <w:highlight w:val="none"/>
              </w:rPr>
              <w:t>3</w:t>
            </w:r>
          </w:p>
        </w:tc>
        <w:tc>
          <w:tcPr>
            <w:tcW w:w="1036" w:type="dxa"/>
          </w:tcPr>
          <w:p w14:paraId="2CB09D71">
            <w:pPr>
              <w:jc w:val="center"/>
              <w:rPr>
                <w:highlight w:val="none"/>
              </w:rPr>
            </w:pPr>
          </w:p>
        </w:tc>
        <w:tc>
          <w:tcPr>
            <w:tcW w:w="6606" w:type="dxa"/>
          </w:tcPr>
          <w:p w14:paraId="3C8B290B">
            <w:pPr>
              <w:pStyle w:val="5"/>
              <w:jc w:val="left"/>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三、</w:t>
            </w:r>
            <w:r>
              <w:rPr>
                <w:rFonts w:hint="eastAsia" w:ascii="仿宋_GB2312" w:hAnsi="仿宋_GB2312" w:eastAsia="仿宋_GB2312" w:cs="仿宋_GB2312"/>
                <w:b/>
                <w:bCs/>
                <w:highlight w:val="none"/>
              </w:rPr>
              <w:t>食品安全及要求：</w:t>
            </w:r>
          </w:p>
          <w:p w14:paraId="3C2103E1">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1.中心不得采购《食品安全法》第二十八条规定禁止生产经营的食品和《农产品质量安全法》第三十三条规定不得销售的食用农产品。供应商要对中心采购食材进行查验、交接。</w:t>
            </w:r>
          </w:p>
          <w:p w14:paraId="2680EFBF">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2.餐具清洗消毒水池应专用，与食品原料、清洁用具及接触非直接入口食品的工具、容器清洗水池分开。食用的洗涤剂、消毒剂应符合GB14930.2《食品工具、设备用洗涤卫生标准》和GB14930.2《食品工具、设备用洗涤消毒剂卫生标准》等有关食品安全标准和要求，消毒后的餐饮器具应符合GB14934《食(饮)具消毒卫生标准》规定。</w:t>
            </w:r>
          </w:p>
          <w:p w14:paraId="4BDCD5CE">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3.供应商必须严格执行《中华人民共和国食品安全法》对餐厅的饭菜、食品质量负责，如因服务单位原因发生食源性食物中毒事故，应由服务单位负全责。</w:t>
            </w:r>
          </w:p>
          <w:p w14:paraId="00D224FD">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4.供应商每餐供应的主副食品种，需留样保存48小时，并做好记录。</w:t>
            </w:r>
          </w:p>
        </w:tc>
      </w:tr>
      <w:tr w14:paraId="70E31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1D9FA238">
            <w:pPr>
              <w:pStyle w:val="5"/>
              <w:jc w:val="center"/>
              <w:rPr>
                <w:highlight w:val="none"/>
              </w:rPr>
            </w:pPr>
            <w:r>
              <w:rPr>
                <w:rFonts w:ascii="仿宋_GB2312" w:hAnsi="仿宋_GB2312" w:eastAsia="仿宋_GB2312" w:cs="仿宋_GB2312"/>
                <w:highlight w:val="none"/>
              </w:rPr>
              <w:t>4</w:t>
            </w:r>
          </w:p>
        </w:tc>
        <w:tc>
          <w:tcPr>
            <w:tcW w:w="1036" w:type="dxa"/>
          </w:tcPr>
          <w:p w14:paraId="2BB5195F">
            <w:pPr>
              <w:jc w:val="center"/>
              <w:rPr>
                <w:highlight w:val="none"/>
              </w:rPr>
            </w:pPr>
          </w:p>
        </w:tc>
        <w:tc>
          <w:tcPr>
            <w:tcW w:w="6606" w:type="dxa"/>
          </w:tcPr>
          <w:p w14:paraId="1D04D5E5">
            <w:pPr>
              <w:pStyle w:val="5"/>
              <w:jc w:val="left"/>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四、</w:t>
            </w:r>
            <w:r>
              <w:rPr>
                <w:rFonts w:hint="eastAsia" w:ascii="仿宋_GB2312" w:hAnsi="仿宋_GB2312" w:eastAsia="仿宋_GB2312" w:cs="仿宋_GB2312"/>
                <w:b/>
                <w:bCs/>
                <w:highlight w:val="none"/>
              </w:rPr>
              <w:t>其他要求：</w:t>
            </w:r>
          </w:p>
          <w:p w14:paraId="51693683">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1.供应商的派遣人员应做到岗前安全培训</w:t>
            </w:r>
          </w:p>
          <w:p w14:paraId="4E64D969">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所有派驻职工食堂的工作人员上岗前，必须完成全覆盖、标准化的安全专项培训，确保熟练掌握 “四懂四会” 核心要求、专项应急处置技能及应急救护与疏散规范，培训考核合格后方可上岗。</w:t>
            </w:r>
          </w:p>
          <w:p w14:paraId="04D5F2A1">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四懂”核心要求：一懂火灾危险性，了解厨房燃气泄漏、电路老化、油锅高温、易燃物品堆放等常见火灾隐患的成因及危害；二懂预防措施，掌握食材规范存储、设备定期检修、火源专人看管、易燃物隔离存放等火灾预防手段；三懂扑救方法，了解不同类型火灾（气体火灾、油类火灾、电气火灾等）的特性及对应扑救方式；四懂逃生路线，熟记职工食堂及所在建筑的紧急疏散通道、安全出口位置，明确疏散引导责任分工。</w:t>
            </w:r>
          </w:p>
          <w:p w14:paraId="268BDCC8">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(2)“四会”实操技能：一会准确报警，掌握火警电话119 的拨打流程，能清晰说明火灾发生地点、起火部位、火势大小、有无人员被困及报警人联系方式；二会规范使用灭火器，熟悉食堂内配置的灭火器类型、存放位置、操作步骤（提、拔、握、压），能在安全范围内精准操作；三会扑救初起火灾，针对厨房常见的小火情（如灶台旁杂物起火、小型电器短路起火等），能运用正确方法快速处置，避免火势扩大；同时需熟练掌握用气安全规范，包括燃气管道、阀门、灶具的日常检查方法，以及燃气泄漏、油锅起火等专项处置技巧——燃气泄漏时，立即关闭阀门、开窗通风，严禁开关电器或使用明火，迅速疏散人员并上报；油锅起火时，立即关闭灶具火源，用锅盖覆盖窒息灭火或使用专用灭火毯处置，严禁用水直接扑救。</w:t>
            </w:r>
          </w:p>
          <w:p w14:paraId="07DE46AF">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应急救护与疏散：系统学习基础应急救护知识，包括烫伤、割伤、触电等常见工伤的初步处理方法，掌握心肺复苏（CPR）、止血包扎等基础急救技能；熟练掌握逃生疏散流程，明确疏散时的引导职责、人员清点方式、安全集结点位置，了解拥挤踩踏、浓烟逃生等场景的自我保护技巧；全面熟悉各类突发事件（如火灾、食品安全事故、设备故障、极端天气等）的应急处置规范，明确响应流程、责任分工及上报路径。</w:t>
            </w:r>
          </w:p>
          <w:p w14:paraId="796926E0">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(4)后续安全培训：为强化安全意识、巩固实操技能，供应商需建立常态化安全培训机制，每季度至少组织1次安全专业培训，培训内容重点覆盖用电用气安全（含设备日常巡检、隐患排查、违规操作警示）、灭火器等消防器材的实操演练、各类突发事件的应急处置流程复盘等，培训后需留存签到表、培训课件、考核记录及现场影像资料，报中心相关管理部门备案。</w:t>
            </w:r>
          </w:p>
          <w:p w14:paraId="2AB4AF59">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2.供应商派遣人员在工作过程中造成自身伤害或第三方侵权、侵害的，由供应商处理，中心不负任何直接或间接责任；供应商派遣人员在中心造成的伤亡事故（含第三者责任），由供应商负责，中心不负任何直接或间接责任。</w:t>
            </w:r>
          </w:p>
          <w:p w14:paraId="1523AD3E">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3.供应商派遣人员发生劳动争议等问题均由供应商负责处理，中心不负任何直接或间接责任。</w:t>
            </w:r>
          </w:p>
        </w:tc>
      </w:tr>
      <w:tr w14:paraId="3479A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6D266005">
            <w:pPr>
              <w:pStyle w:val="5"/>
              <w:jc w:val="center"/>
              <w:rPr>
                <w:rFonts w:ascii="仿宋_GB2312" w:hAnsi="仿宋_GB2312" w:eastAsia="仿宋_GB2312" w:cs="仿宋_GB2312"/>
                <w:highlight w:val="none"/>
              </w:rPr>
            </w:pPr>
          </w:p>
        </w:tc>
        <w:tc>
          <w:tcPr>
            <w:tcW w:w="1036" w:type="dxa"/>
          </w:tcPr>
          <w:p w14:paraId="65523B72">
            <w:pPr>
              <w:jc w:val="center"/>
              <w:rPr>
                <w:highlight w:val="none"/>
              </w:rPr>
            </w:pPr>
          </w:p>
        </w:tc>
        <w:tc>
          <w:tcPr>
            <w:tcW w:w="6606" w:type="dxa"/>
          </w:tcPr>
          <w:p w14:paraId="792A732E">
            <w:pPr>
              <w:pStyle w:val="5"/>
              <w:jc w:val="left"/>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四、</w:t>
            </w:r>
            <w:r>
              <w:rPr>
                <w:rFonts w:hint="eastAsia" w:ascii="仿宋_GB2312" w:hAnsi="仿宋_GB2312" w:eastAsia="仿宋_GB2312" w:cs="仿宋_GB2312"/>
                <w:b/>
                <w:bCs/>
                <w:highlight w:val="none"/>
              </w:rPr>
              <w:t>资产要求</w:t>
            </w:r>
            <w:r>
              <w:rPr>
                <w:rFonts w:hint="eastAsia" w:ascii="仿宋_GB2312" w:hAnsi="仿宋_GB2312" w:eastAsia="仿宋_GB2312" w:cs="仿宋_GB2312"/>
                <w:b/>
                <w:bCs/>
                <w:highlight w:val="none"/>
                <w:lang w:eastAsia="zh-CN"/>
              </w:rPr>
              <w:t>：</w:t>
            </w:r>
          </w:p>
          <w:p w14:paraId="57AC8784">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1.供应商不得利用中心的餐厅、水电等资源从事经营活动，不能改变其使用性质。</w:t>
            </w:r>
          </w:p>
          <w:p w14:paraId="1DC678CD">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2.如果发生因服务单位工作失职造成失窃事件、消防事故或其他财产损失和人身伤害，均由供应商承担相关经济和法律责任。</w:t>
            </w:r>
          </w:p>
        </w:tc>
      </w:tr>
      <w:tr w14:paraId="56E9B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4DCB061A">
            <w:pPr>
              <w:pStyle w:val="5"/>
              <w:jc w:val="center"/>
              <w:rPr>
                <w:rFonts w:ascii="仿宋_GB2312" w:hAnsi="仿宋_GB2312" w:eastAsia="仿宋_GB2312" w:cs="仿宋_GB2312"/>
                <w:highlight w:val="none"/>
              </w:rPr>
            </w:pPr>
          </w:p>
        </w:tc>
        <w:tc>
          <w:tcPr>
            <w:tcW w:w="1036" w:type="dxa"/>
          </w:tcPr>
          <w:p w14:paraId="3002A0FE">
            <w:pPr>
              <w:jc w:val="center"/>
              <w:rPr>
                <w:highlight w:val="none"/>
              </w:rPr>
            </w:pPr>
          </w:p>
        </w:tc>
        <w:tc>
          <w:tcPr>
            <w:tcW w:w="6606" w:type="dxa"/>
          </w:tcPr>
          <w:p w14:paraId="7A6957DD">
            <w:pPr>
              <w:pStyle w:val="5"/>
              <w:jc w:val="left"/>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五、</w:t>
            </w:r>
            <w:r>
              <w:rPr>
                <w:rFonts w:hint="eastAsia" w:ascii="仿宋_GB2312" w:hAnsi="仿宋_GB2312" w:eastAsia="仿宋_GB2312" w:cs="仿宋_GB2312"/>
                <w:b/>
                <w:bCs/>
                <w:highlight w:val="none"/>
              </w:rPr>
              <w:t>保密要求</w:t>
            </w:r>
            <w:r>
              <w:rPr>
                <w:rFonts w:hint="eastAsia" w:ascii="仿宋_GB2312" w:hAnsi="仿宋_GB2312" w:eastAsia="仿宋_GB2312" w:cs="仿宋_GB2312"/>
                <w:b/>
                <w:bCs/>
                <w:highlight w:val="none"/>
                <w:lang w:eastAsia="zh-CN"/>
              </w:rPr>
              <w:t>：</w:t>
            </w:r>
          </w:p>
          <w:p w14:paraId="0CC19F11">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项目实施过程中所收集、产生的所有与本项目相关的文档、资料，包括文字、图片、表格、数字等各种形式的所属权均归属省中心，供应商必须对所涉及的内容保密，供应商及服务人员应按照要求签署保密协议。</w:t>
            </w:r>
          </w:p>
        </w:tc>
      </w:tr>
      <w:tr w14:paraId="326DA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5650A38F">
            <w:pPr>
              <w:pStyle w:val="5"/>
              <w:jc w:val="center"/>
              <w:rPr>
                <w:rFonts w:ascii="仿宋_GB2312" w:hAnsi="仿宋_GB2312" w:eastAsia="仿宋_GB2312" w:cs="仿宋_GB2312"/>
                <w:highlight w:val="none"/>
              </w:rPr>
            </w:pPr>
          </w:p>
        </w:tc>
        <w:tc>
          <w:tcPr>
            <w:tcW w:w="1036" w:type="dxa"/>
          </w:tcPr>
          <w:p w14:paraId="1722F7DA">
            <w:pPr>
              <w:jc w:val="center"/>
              <w:rPr>
                <w:highlight w:val="none"/>
              </w:rPr>
            </w:pPr>
          </w:p>
        </w:tc>
        <w:tc>
          <w:tcPr>
            <w:tcW w:w="6606" w:type="dxa"/>
          </w:tcPr>
          <w:p w14:paraId="7424DBC7">
            <w:pPr>
              <w:pStyle w:val="5"/>
              <w:jc w:val="left"/>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六、</w:t>
            </w:r>
            <w:r>
              <w:rPr>
                <w:rFonts w:hint="eastAsia" w:ascii="仿宋_GB2312" w:hAnsi="仿宋_GB2312" w:eastAsia="仿宋_GB2312" w:cs="仿宋_GB2312"/>
                <w:b/>
                <w:bCs/>
                <w:highlight w:val="none"/>
              </w:rPr>
              <w:t>违约责任</w:t>
            </w:r>
            <w:r>
              <w:rPr>
                <w:rFonts w:hint="eastAsia" w:ascii="仿宋_GB2312" w:hAnsi="仿宋_GB2312" w:eastAsia="仿宋_GB2312" w:cs="仿宋_GB2312"/>
                <w:b/>
                <w:bCs/>
                <w:highlight w:val="none"/>
                <w:lang w:eastAsia="zh-CN"/>
              </w:rPr>
              <w:t>：</w:t>
            </w:r>
          </w:p>
          <w:p w14:paraId="3558571A">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1.双方因其他原因提出解除合同时，必须提前90天通知对方，并进行协商。</w:t>
            </w:r>
          </w:p>
          <w:p w14:paraId="0712FA61">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2.因供应商原因未按时向采购人员工供餐而导致采购人工作受到较大影响的（不可抗力因素除外），供应商应承担采购人外购食品的费用，同时应按照合同总价款的5%向采购人支付违约金。</w:t>
            </w:r>
          </w:p>
          <w:p w14:paraId="483A4ED5">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3.因供应商原因产生食品安全问题或供应商员工不符合健康要求的，采购人有权解除合同，供应商应按照合同总价款的20%向采购人支付违约金。</w:t>
            </w:r>
          </w:p>
          <w:p w14:paraId="141C3ED6">
            <w:pPr>
              <w:pStyle w:val="5"/>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4.供应商如不能及时开具全额发票或采购人要求的保函，采购人有权延时付款且不承担违约责任，直至供应商开具全额发票或采购人要求的保函后再进行付款。</w:t>
            </w:r>
          </w:p>
        </w:tc>
      </w:tr>
      <w:tr w14:paraId="50A7E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46290E87">
            <w:pPr>
              <w:pStyle w:val="5"/>
              <w:jc w:val="center"/>
              <w:rPr>
                <w:highlight w:val="none"/>
              </w:rPr>
            </w:pPr>
            <w:r>
              <w:rPr>
                <w:rFonts w:ascii="仿宋_GB2312" w:hAnsi="仿宋_GB2312" w:eastAsia="仿宋_GB2312" w:cs="仿宋_GB2312"/>
                <w:highlight w:val="none"/>
              </w:rPr>
              <w:t>5</w:t>
            </w:r>
          </w:p>
        </w:tc>
        <w:tc>
          <w:tcPr>
            <w:tcW w:w="1036" w:type="dxa"/>
          </w:tcPr>
          <w:p w14:paraId="5CA3AAAC">
            <w:pPr>
              <w:jc w:val="center"/>
              <w:rPr>
                <w:highlight w:val="none"/>
              </w:rPr>
            </w:pPr>
          </w:p>
        </w:tc>
        <w:tc>
          <w:tcPr>
            <w:tcW w:w="6606" w:type="dxa"/>
          </w:tcPr>
          <w:p w14:paraId="04FE9B0A">
            <w:pPr>
              <w:pStyle w:val="5"/>
              <w:jc w:val="left"/>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七、</w:t>
            </w:r>
            <w:r>
              <w:rPr>
                <w:rFonts w:hint="eastAsia" w:ascii="仿宋_GB2312" w:hAnsi="仿宋_GB2312" w:eastAsia="仿宋_GB2312" w:cs="仿宋_GB2312"/>
                <w:b/>
                <w:bCs/>
                <w:highlight w:val="none"/>
              </w:rPr>
              <w:t>报价要求：</w:t>
            </w:r>
          </w:p>
          <w:p w14:paraId="76913F9C">
            <w:pPr>
              <w:pStyle w:val="5"/>
              <w:ind w:firstLine="40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按照岗位设置，不少于12名服务人员的全部费用，包括人员工资、管理费、培训费、税金、利润、社会保险费等为完成本次招投标项目所发生的一切费用。以及依法缴纳员工养老、失业、医疗、工伤、纳税等保险，自行解决员工劳保、工资、福利、员工上下班交通及为完成服务所发生的一切费用等有关问题。</w:t>
            </w:r>
          </w:p>
          <w:p w14:paraId="6C1F4387">
            <w:pPr>
              <w:pStyle w:val="5"/>
              <w:ind w:firstLine="40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同时应综合考虑合同期内政策性费用调整的风险。供应商应考虑西安市最低工资标准及社保上调等因素，服务期限内不得以最低工资标准上调以及物价指数上涨等理由增加费用。</w:t>
            </w:r>
          </w:p>
          <w:p w14:paraId="495BE47C">
            <w:pPr>
              <w:pStyle w:val="5"/>
              <w:ind w:firstLine="40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服务期间服务总费用不变，采购人无须另向服务单位支付合同约定之外的其它任何费用。</w:t>
            </w:r>
          </w:p>
          <w:p w14:paraId="294AF41D">
            <w:pPr>
              <w:pStyle w:val="5"/>
              <w:ind w:firstLine="40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供应商须向采购人出具合法有效的发票，采购人进行支付结算。首次支付时供应商应开具全额发票。</w:t>
            </w:r>
          </w:p>
        </w:tc>
      </w:tr>
    </w:tbl>
    <w:p w14:paraId="4864548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054C9"/>
    <w:rsid w:val="06905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b/>
      <w:szCs w:val="24"/>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2026-03-31T07:02:00Z</dcterms:created>
  <dc:creator>白日梦</dc:creator>
  <cp:lastModifiedBy>白日梦</cp:lastModifiedBy>
  <dcterms:modified xsi:type="dcterms:W3CDTF">2026-03-31T07:02:43Z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E1ED8AC8F0644D3DA2244CD0FDB1EFD0_11</vt:lpwstr>
  </property>
  <property fmtid="{D5CDD505-2E9C-101B-9397-08002B2CF9AE}" pid="4" name="KSOTemplateDocerSaveRecord">
    <vt:lpwstr>eyJoZGlkIjoiOTQyNjJhYWQ1Y2ZkMWY1OTgyN2E4ZDZkNGNkNDQwMjYiLCJ1c2VySWQiOiIzMTI3MDEwNzEifQ==</vt:lpwstr>
  </property>
</Properties>
</file>