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21AEE">
      <w:pPr>
        <w:rPr>
          <w:rFonts w:hint="eastAsia" w:ascii="宋体" w:hAnsi="宋体" w:cs="宋体"/>
          <w:b/>
          <w:bCs/>
          <w:sz w:val="32"/>
          <w:szCs w:val="32"/>
          <w:lang w:eastAsia="zh-CN"/>
        </w:rPr>
      </w:pPr>
      <w:bookmarkStart w:id="0" w:name="_Toc15591"/>
      <w:r>
        <w:rPr>
          <w:rFonts w:hint="eastAsia" w:ascii="宋体" w:hAnsi="宋体" w:cs="宋体"/>
          <w:b/>
          <w:bCs/>
          <w:sz w:val="32"/>
          <w:szCs w:val="32"/>
        </w:rPr>
        <w:t>项目编号：</w:t>
      </w:r>
      <w:r>
        <w:rPr>
          <w:rFonts w:hint="eastAsia" w:ascii="宋体" w:hAnsi="宋体" w:cs="宋体"/>
          <w:b/>
          <w:bCs/>
          <w:sz w:val="32"/>
          <w:szCs w:val="32"/>
          <w:lang w:eastAsia="zh-CN"/>
        </w:rPr>
        <w:t>SXXZ2026-04</w:t>
      </w:r>
    </w:p>
    <w:p w14:paraId="41E8AD9E">
      <w:pPr>
        <w:pStyle w:val="11"/>
        <w:rPr>
          <w:rFonts w:hint="eastAsia"/>
        </w:rPr>
      </w:pPr>
    </w:p>
    <w:p w14:paraId="1B28FB6C">
      <w:pPr>
        <w:pStyle w:val="11"/>
        <w:rPr>
          <w:rFonts w:hint="eastAsia"/>
        </w:rPr>
      </w:pPr>
    </w:p>
    <w:p w14:paraId="5008052C">
      <w:pPr>
        <w:pStyle w:val="11"/>
        <w:jc w:val="center"/>
        <w:rPr>
          <w:rFonts w:hint="eastAsia" w:ascii="宋体" w:hAnsi="宋体" w:cs="宋体"/>
          <w:b/>
          <w:bCs/>
          <w:sz w:val="44"/>
          <w:szCs w:val="44"/>
          <w:lang w:eastAsia="zh-CN"/>
        </w:rPr>
      </w:pPr>
      <w:bookmarkStart w:id="1" w:name="_Toc26697"/>
      <w:bookmarkStart w:id="2" w:name="_Toc15395"/>
      <w:bookmarkStart w:id="3" w:name="_Toc27774"/>
      <w:r>
        <w:rPr>
          <w:rFonts w:hint="eastAsia" w:cs="宋体"/>
          <w:b/>
          <w:bCs/>
          <w:sz w:val="36"/>
          <w:szCs w:val="36"/>
          <w:lang w:eastAsia="zh-CN"/>
        </w:rPr>
        <w:t>延安市公路建设工程管理处延安北高速出入口区域路网交通改善工程建设过程服务项目（</w:t>
      </w:r>
      <w:r>
        <w:rPr>
          <w:rFonts w:hint="eastAsia" w:cs="宋体"/>
          <w:b/>
          <w:bCs/>
          <w:sz w:val="36"/>
          <w:szCs w:val="36"/>
          <w:lang w:val="en-US" w:eastAsia="zh-CN"/>
        </w:rPr>
        <w:t>二</w:t>
      </w:r>
      <w:r>
        <w:rPr>
          <w:rFonts w:hint="eastAsia" w:cs="宋体"/>
          <w:b/>
          <w:bCs/>
          <w:sz w:val="36"/>
          <w:szCs w:val="36"/>
          <w:lang w:eastAsia="zh-CN"/>
        </w:rPr>
        <w:t>标包）</w:t>
      </w:r>
    </w:p>
    <w:p w14:paraId="6958A34D">
      <w:pPr>
        <w:rPr>
          <w:rFonts w:hint="eastAsia"/>
          <w:lang w:eastAsia="zh-CN"/>
        </w:rPr>
      </w:pPr>
    </w:p>
    <w:p w14:paraId="14707B86">
      <w:pPr>
        <w:pStyle w:val="8"/>
        <w:rPr>
          <w:rFonts w:hint="eastAsia"/>
          <w:lang w:eastAsia="zh-CN"/>
        </w:rPr>
      </w:pPr>
    </w:p>
    <w:p w14:paraId="046E2CB4">
      <w:pPr>
        <w:rPr>
          <w:rFonts w:hint="eastAsia"/>
        </w:rPr>
      </w:pPr>
    </w:p>
    <w:p w14:paraId="4A69838E">
      <w:pPr>
        <w:pStyle w:val="11"/>
        <w:rPr>
          <w:rFonts w:hint="eastAsia"/>
        </w:rPr>
      </w:pPr>
    </w:p>
    <w:p w14:paraId="4635BE77">
      <w:pPr>
        <w:pStyle w:val="11"/>
        <w:rPr>
          <w:rFonts w:hint="eastAsia"/>
        </w:rPr>
      </w:pPr>
    </w:p>
    <w:p w14:paraId="19BE82A0">
      <w:pPr>
        <w:rPr>
          <w:rFonts w:hint="eastAsia"/>
        </w:rPr>
      </w:pPr>
    </w:p>
    <w:p w14:paraId="522E42FD">
      <w:pPr>
        <w:spacing w:before="360" w:beforeLines="150"/>
        <w:jc w:val="center"/>
        <w:rPr>
          <w:rFonts w:hint="eastAsia" w:ascii="宋体" w:hAnsi="宋体" w:cs="宋体"/>
          <w:b/>
          <w:spacing w:val="4"/>
          <w:sz w:val="100"/>
          <w:szCs w:val="100"/>
        </w:rPr>
      </w:pPr>
      <w:r>
        <w:rPr>
          <w:rFonts w:hint="eastAsia" w:ascii="宋体" w:hAnsi="宋体" w:cs="宋体"/>
          <w:b/>
          <w:spacing w:val="4"/>
          <w:sz w:val="100"/>
          <w:szCs w:val="100"/>
        </w:rPr>
        <w:t>招 标 文 件</w:t>
      </w:r>
      <w:bookmarkEnd w:id="0"/>
      <w:bookmarkEnd w:id="1"/>
      <w:bookmarkEnd w:id="2"/>
      <w:bookmarkEnd w:id="3"/>
    </w:p>
    <w:p w14:paraId="1D9E8D57">
      <w:pPr>
        <w:jc w:val="center"/>
        <w:rPr>
          <w:rFonts w:hint="eastAsia" w:ascii="宋体" w:hAnsi="宋体" w:cs="宋体"/>
          <w:b/>
          <w:spacing w:val="4"/>
          <w:sz w:val="24"/>
        </w:rPr>
      </w:pPr>
    </w:p>
    <w:p w14:paraId="724BE95D">
      <w:pPr>
        <w:rPr>
          <w:rFonts w:hint="eastAsia" w:ascii="宋体" w:hAnsi="宋体" w:cs="宋体"/>
          <w:b/>
          <w:spacing w:val="4"/>
          <w:sz w:val="24"/>
        </w:rPr>
      </w:pPr>
    </w:p>
    <w:p w14:paraId="0369186F">
      <w:pPr>
        <w:spacing w:before="100" w:after="100" w:line="480" w:lineRule="auto"/>
        <w:rPr>
          <w:rFonts w:hint="eastAsia" w:ascii="宋体" w:hAnsi="宋体" w:cs="宋体"/>
          <w:b/>
          <w:sz w:val="32"/>
          <w:szCs w:val="36"/>
        </w:rPr>
      </w:pPr>
    </w:p>
    <w:p w14:paraId="577B30EC">
      <w:pPr>
        <w:pStyle w:val="11"/>
        <w:rPr>
          <w:rFonts w:hint="eastAsia"/>
        </w:rPr>
      </w:pPr>
    </w:p>
    <w:p w14:paraId="7DB58A2E">
      <w:pPr>
        <w:spacing w:before="100" w:after="100" w:line="480" w:lineRule="auto"/>
        <w:rPr>
          <w:rFonts w:hint="eastAsia" w:ascii="宋体" w:hAnsi="宋体" w:cs="宋体"/>
          <w:b/>
          <w:sz w:val="32"/>
          <w:szCs w:val="36"/>
          <w:lang w:eastAsia="zh-CN"/>
        </w:rPr>
      </w:pPr>
      <w:r>
        <w:rPr>
          <w:rFonts w:hint="eastAsia" w:ascii="宋体" w:hAnsi="宋体" w:cs="宋体"/>
          <w:b/>
          <w:sz w:val="32"/>
          <w:szCs w:val="36"/>
        </w:rPr>
        <w:t>采</w:t>
      </w:r>
      <w:r>
        <w:rPr>
          <w:rFonts w:hint="eastAsia" w:ascii="宋体" w:hAnsi="宋体" w:cs="宋体"/>
          <w:b/>
          <w:sz w:val="32"/>
          <w:szCs w:val="36"/>
          <w:lang w:val="en-US" w:eastAsia="zh-CN"/>
        </w:rPr>
        <w:t xml:space="preserve">   </w:t>
      </w:r>
      <w:r>
        <w:rPr>
          <w:rFonts w:hint="eastAsia" w:ascii="宋体" w:hAnsi="宋体" w:cs="宋体"/>
          <w:b/>
          <w:sz w:val="32"/>
          <w:szCs w:val="36"/>
        </w:rPr>
        <w:t>购</w:t>
      </w:r>
      <w:r>
        <w:rPr>
          <w:rFonts w:hint="eastAsia" w:ascii="宋体" w:hAnsi="宋体" w:cs="宋体"/>
          <w:b/>
          <w:sz w:val="32"/>
          <w:szCs w:val="36"/>
          <w:lang w:val="en-US" w:eastAsia="zh-CN"/>
        </w:rPr>
        <w:t xml:space="preserve">   </w:t>
      </w:r>
      <w:r>
        <w:rPr>
          <w:rFonts w:hint="eastAsia" w:ascii="宋体" w:hAnsi="宋体" w:cs="宋体"/>
          <w:b/>
          <w:sz w:val="32"/>
          <w:szCs w:val="36"/>
        </w:rPr>
        <w:t>人：</w:t>
      </w:r>
      <w:r>
        <w:rPr>
          <w:rFonts w:hint="eastAsia" w:ascii="宋体" w:hAnsi="宋体" w:cs="宋体"/>
          <w:b/>
          <w:sz w:val="32"/>
          <w:szCs w:val="36"/>
          <w:lang w:eastAsia="zh-CN"/>
        </w:rPr>
        <w:t>延安市公路建设工程管理处</w:t>
      </w:r>
    </w:p>
    <w:p w14:paraId="0AA9CDF3">
      <w:pPr>
        <w:pStyle w:val="33"/>
        <w:rPr>
          <w:rFonts w:hint="eastAsia"/>
        </w:rPr>
      </w:pPr>
    </w:p>
    <w:p w14:paraId="292A3162">
      <w:pPr>
        <w:pStyle w:val="11"/>
        <w:spacing w:before="100" w:after="100" w:line="480" w:lineRule="auto"/>
        <w:rPr>
          <w:rFonts w:hint="eastAsia" w:cs="宋体"/>
          <w:b/>
          <w:sz w:val="32"/>
          <w:szCs w:val="36"/>
          <w:lang w:eastAsia="zh-CN"/>
        </w:rPr>
      </w:pPr>
      <w:r>
        <w:rPr>
          <w:rFonts w:hint="eastAsia" w:cs="宋体"/>
          <w:b/>
          <w:sz w:val="32"/>
          <w:szCs w:val="36"/>
        </w:rPr>
        <w:t>采购代理机构：</w:t>
      </w:r>
      <w:r>
        <w:rPr>
          <w:rFonts w:hint="eastAsia" w:cs="宋体"/>
          <w:b/>
          <w:sz w:val="32"/>
          <w:szCs w:val="36"/>
          <w:lang w:eastAsia="zh-CN"/>
        </w:rPr>
        <w:t>陕西新招项目管理有限公司</w:t>
      </w:r>
    </w:p>
    <w:p w14:paraId="4F2BF551">
      <w:pPr>
        <w:pStyle w:val="11"/>
        <w:spacing w:before="100" w:after="100" w:line="480" w:lineRule="auto"/>
        <w:rPr>
          <w:rFonts w:hint="eastAsia" w:cs="宋体"/>
          <w:b/>
          <w:sz w:val="32"/>
          <w:szCs w:val="36"/>
          <w:lang w:eastAsia="zh-CN"/>
        </w:rPr>
      </w:pPr>
    </w:p>
    <w:p w14:paraId="50B99C15">
      <w:pPr>
        <w:pStyle w:val="11"/>
        <w:spacing w:before="100" w:after="100" w:line="480" w:lineRule="auto"/>
        <w:rPr>
          <w:rFonts w:hint="default" w:ascii="宋体" w:hAnsi="宋体" w:eastAsia="宋体" w:cs="宋体"/>
          <w:b/>
          <w:sz w:val="52"/>
          <w:szCs w:val="52"/>
          <w:lang w:val="en-US" w:eastAsia="zh-CN"/>
        </w:rPr>
      </w:pPr>
      <w:r>
        <w:rPr>
          <w:rFonts w:hint="eastAsia" w:ascii="宋体" w:hAnsi="宋体" w:cs="宋体"/>
          <w:b/>
          <w:sz w:val="32"/>
          <w:szCs w:val="36"/>
          <w:lang w:val="en-US" w:eastAsia="zh-CN"/>
        </w:rPr>
        <w:t>日        期：</w:t>
      </w:r>
      <w:r>
        <w:rPr>
          <w:rFonts w:hint="eastAsia" w:ascii="宋体" w:hAnsi="宋体" w:cs="宋体"/>
          <w:b/>
          <w:sz w:val="32"/>
          <w:szCs w:val="36"/>
        </w:rPr>
        <w:t>二○二</w:t>
      </w:r>
      <w:r>
        <w:rPr>
          <w:rFonts w:hint="eastAsia" w:cs="宋体"/>
          <w:b/>
          <w:sz w:val="32"/>
          <w:szCs w:val="36"/>
          <w:lang w:val="en-US" w:eastAsia="zh-CN"/>
        </w:rPr>
        <w:t>六</w:t>
      </w:r>
      <w:r>
        <w:rPr>
          <w:rFonts w:hint="eastAsia" w:ascii="宋体" w:hAnsi="宋体" w:cs="宋体"/>
          <w:b/>
          <w:sz w:val="32"/>
          <w:szCs w:val="36"/>
        </w:rPr>
        <w:t>年</w:t>
      </w:r>
      <w:r>
        <w:rPr>
          <w:rFonts w:hint="eastAsia" w:cs="宋体"/>
          <w:b/>
          <w:sz w:val="32"/>
          <w:szCs w:val="36"/>
          <w:lang w:val="en-US" w:eastAsia="zh-CN"/>
        </w:rPr>
        <w:t>三</w:t>
      </w:r>
      <w:r>
        <w:rPr>
          <w:rFonts w:hint="eastAsia" w:ascii="宋体" w:hAnsi="宋体" w:cs="宋体"/>
          <w:b/>
          <w:sz w:val="32"/>
          <w:szCs w:val="36"/>
        </w:rPr>
        <w:t>月</w:t>
      </w:r>
      <w:r>
        <w:rPr>
          <w:rFonts w:hint="eastAsia" w:cs="宋体"/>
          <w:b/>
          <w:sz w:val="32"/>
          <w:szCs w:val="36"/>
          <w:lang w:val="en-US" w:eastAsia="zh-CN"/>
        </w:rPr>
        <w:t>六</w:t>
      </w:r>
      <w:r>
        <w:rPr>
          <w:rFonts w:hint="eastAsia" w:ascii="宋体" w:hAnsi="宋体" w:cs="宋体"/>
          <w:b/>
          <w:sz w:val="32"/>
          <w:szCs w:val="36"/>
          <w:lang w:val="en-US" w:eastAsia="zh-CN"/>
        </w:rPr>
        <w:t>日</w:t>
      </w:r>
    </w:p>
    <w:p w14:paraId="572EE40D">
      <w:pPr>
        <w:spacing w:before="340" w:after="340" w:line="480" w:lineRule="auto"/>
        <w:jc w:val="center"/>
        <w:rPr>
          <w:sz w:val="16"/>
          <w:szCs w:val="15"/>
        </w:rPr>
      </w:pPr>
      <w:r>
        <w:rPr>
          <w:rFonts w:hint="eastAsia" w:ascii="宋体" w:hAnsi="宋体" w:cs="宋体"/>
          <w:b/>
          <w:sz w:val="40"/>
          <w:szCs w:val="40"/>
        </w:rPr>
        <w:t>目  录</w:t>
      </w:r>
    </w:p>
    <w:p w14:paraId="559EAB12">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cs="宋体"/>
          <w:sz w:val="30"/>
          <w:szCs w:val="30"/>
        </w:rPr>
        <w:fldChar w:fldCharType="begin"/>
      </w:r>
      <w:r>
        <w:rPr>
          <w:rFonts w:hint="eastAsia" w:ascii="宋体" w:hAnsi="宋体" w:cs="宋体"/>
          <w:sz w:val="30"/>
          <w:szCs w:val="30"/>
        </w:rPr>
        <w:instrText xml:space="preserve">TOC \o "1-1" \h \u </w:instrText>
      </w:r>
      <w:r>
        <w:rPr>
          <w:rFonts w:hint="eastAsia" w:ascii="宋体" w:hAnsi="宋体" w:cs="宋体"/>
          <w:sz w:val="30"/>
          <w:szCs w:val="30"/>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_Toc25739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招标公告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_Toc25739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9C1D42C">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_Toc8706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投标人须知</w:t>
      </w:r>
      <w:r>
        <w:rPr>
          <w:rFonts w:hint="eastAsia" w:ascii="宋体" w:hAnsi="宋体" w:eastAsia="宋体" w:cs="宋体"/>
          <w:b/>
          <w:bCs/>
          <w:sz w:val="28"/>
          <w:szCs w:val="28"/>
        </w:rPr>
        <w:tab/>
      </w:r>
      <w:r>
        <w:rPr>
          <w:rFonts w:hint="eastAsia" w:ascii="宋体" w:hAnsi="宋体" w:cs="宋体"/>
          <w:b/>
          <w:bCs/>
          <w:sz w:val="28"/>
          <w:szCs w:val="28"/>
          <w:lang w:val="en-US" w:eastAsia="zh-CN"/>
        </w:rPr>
        <w:t>1</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1</w:t>
      </w:r>
    </w:p>
    <w:p w14:paraId="04C2F53A">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_Toc1751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投标人资格证明文件及审核</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_Toc1751 \h </w:instrText>
      </w:r>
      <w:r>
        <w:rPr>
          <w:rFonts w:hint="eastAsia" w:ascii="宋体" w:hAnsi="宋体" w:eastAsia="宋体" w:cs="宋体"/>
          <w:b/>
          <w:bCs/>
          <w:sz w:val="28"/>
          <w:szCs w:val="28"/>
        </w:rPr>
        <w:fldChar w:fldCharType="separate"/>
      </w:r>
      <w:r>
        <w:rPr>
          <w:rFonts w:hint="eastAsia" w:ascii="宋体" w:hAnsi="宋体" w:cs="宋体"/>
          <w:b/>
          <w:bCs/>
          <w:sz w:val="28"/>
          <w:szCs w:val="28"/>
          <w:lang w:val="en-US" w:eastAsia="zh-CN"/>
        </w:rPr>
        <w:t>43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BF2EB23">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_Toc18123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评标办法前附表及评标办法</w:t>
      </w:r>
      <w:r>
        <w:rPr>
          <w:rFonts w:hint="eastAsia" w:ascii="宋体" w:hAnsi="宋体" w:eastAsia="宋体" w:cs="宋体"/>
          <w:b/>
          <w:bCs/>
          <w:sz w:val="28"/>
          <w:szCs w:val="28"/>
        </w:rPr>
        <w:tab/>
      </w:r>
      <w:r>
        <w:rPr>
          <w:rFonts w:hint="eastAsia" w:ascii="宋体" w:hAnsi="宋体" w:cs="宋体"/>
          <w:b/>
          <w:bCs/>
          <w:sz w:val="28"/>
          <w:szCs w:val="28"/>
          <w:lang w:val="en-US" w:eastAsia="zh-CN"/>
        </w:rPr>
        <w:t>4</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7</w:t>
      </w:r>
    </w:p>
    <w:p w14:paraId="0C690D39">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_Toc9414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合同（拟签订文本）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_Toc9414 \h </w:instrText>
      </w:r>
      <w:r>
        <w:rPr>
          <w:rFonts w:hint="eastAsia" w:ascii="宋体" w:hAnsi="宋体" w:eastAsia="宋体" w:cs="宋体"/>
          <w:b/>
          <w:bCs/>
          <w:sz w:val="28"/>
          <w:szCs w:val="28"/>
        </w:rPr>
        <w:fldChar w:fldCharType="separate"/>
      </w:r>
      <w:r>
        <w:rPr>
          <w:rFonts w:hint="eastAsia" w:ascii="宋体" w:hAnsi="宋体" w:cs="宋体"/>
          <w:b/>
          <w:bCs/>
          <w:sz w:val="28"/>
          <w:szCs w:val="28"/>
          <w:lang w:val="en-US" w:eastAsia="zh-CN"/>
        </w:rPr>
        <w:t>64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ACEF080">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_Toc11076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技术要求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_Toc11076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cs="宋体"/>
          <w:b/>
          <w:bCs/>
          <w:sz w:val="28"/>
          <w:szCs w:val="28"/>
          <w:lang w:val="en-US" w:eastAsia="zh-CN"/>
        </w:rPr>
        <w:t>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8E58461">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_Toc2221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第七章 投标文件格式</w:t>
      </w:r>
      <w:r>
        <w:rPr>
          <w:rFonts w:hint="eastAsia" w:ascii="宋体" w:hAnsi="宋体" w:eastAsia="宋体" w:cs="宋体"/>
          <w:b/>
          <w:bCs/>
          <w:sz w:val="28"/>
          <w:szCs w:val="28"/>
        </w:rPr>
        <w:tab/>
      </w:r>
      <w:r>
        <w:rPr>
          <w:rFonts w:hint="eastAsia" w:ascii="宋体" w:hAnsi="宋体" w:cs="宋体"/>
          <w:b/>
          <w:bCs/>
          <w:sz w:val="28"/>
          <w:szCs w:val="28"/>
          <w:lang w:val="en-US" w:eastAsia="zh-CN"/>
        </w:rPr>
        <w:t>6</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7</w:t>
      </w:r>
    </w:p>
    <w:p w14:paraId="09723E0A">
      <w:pPr>
        <w:pStyle w:val="24"/>
        <w:tabs>
          <w:tab w:val="right" w:leader="dot" w:pos="9355"/>
        </w:tabs>
      </w:pPr>
    </w:p>
    <w:p w14:paraId="2610E93F">
      <w:pPr>
        <w:pStyle w:val="81"/>
        <w:spacing w:line="480" w:lineRule="auto"/>
        <w:sectPr>
          <w:headerReference r:id="rId4" w:type="first"/>
          <w:head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szCs w:val="30"/>
        </w:rPr>
        <w:fldChar w:fldCharType="end"/>
      </w:r>
      <w:bookmarkStart w:id="4" w:name="_Toc18591"/>
      <w:bookmarkStart w:id="5" w:name="_Toc14920"/>
      <w:bookmarkStart w:id="6" w:name="_Toc12582"/>
      <w:bookmarkStart w:id="7" w:name="_Toc15401"/>
      <w:bookmarkStart w:id="8" w:name="_Toc18626"/>
      <w:bookmarkStart w:id="9" w:name="_Toc23366"/>
    </w:p>
    <w:p w14:paraId="2B8258B9">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sz w:val="28"/>
          <w:szCs w:val="28"/>
        </w:rPr>
      </w:pPr>
      <w:r>
        <w:rPr>
          <w:rFonts w:hint="eastAsia"/>
          <w:b/>
          <w:bCs/>
          <w:color w:val="000000"/>
        </w:rPr>
        <w:t xml:space="preserve"> </w:t>
      </w:r>
      <w:bookmarkStart w:id="10" w:name="_Toc25739"/>
      <w:r>
        <w:rPr>
          <w:rFonts w:hint="eastAsia"/>
          <w:b/>
          <w:bCs/>
          <w:color w:val="000000"/>
        </w:rPr>
        <w:t>招标公告</w:t>
      </w:r>
      <w:bookmarkEnd w:id="4"/>
      <w:bookmarkEnd w:id="5"/>
      <w:bookmarkEnd w:id="6"/>
      <w:bookmarkEnd w:id="7"/>
      <w:bookmarkEnd w:id="8"/>
      <w:bookmarkEnd w:id="9"/>
      <w:bookmarkEnd w:id="10"/>
      <w:bookmarkStart w:id="11" w:name="_Toc1675"/>
      <w:bookmarkStart w:id="12" w:name="_Toc5839"/>
    </w:p>
    <w:p w14:paraId="767EC4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32"/>
          <w:szCs w:val="32"/>
          <w:shd w:val="clear" w:fill="FFFFFF"/>
          <w:lang w:val="en-US" w:eastAsia="zh-CN" w:bidi="ar"/>
        </w:rPr>
        <w:t>延安市公路建设工程管理处延安北高速出入口区域路网交通改善工程建设过程服务项目招标公告</w:t>
      </w:r>
    </w:p>
    <w:p w14:paraId="4917AC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jc w:val="left"/>
        <w:textAlignment w:val="auto"/>
        <w:rPr>
          <w:rFonts w:hint="eastAsia" w:ascii="宋体" w:hAnsi="宋体" w:eastAsia="宋体" w:cs="宋体"/>
          <w:b w:val="0"/>
          <w:bCs w:val="0"/>
          <w:color w:val="auto"/>
          <w:sz w:val="24"/>
          <w:szCs w:val="24"/>
        </w:rPr>
      </w:pPr>
      <w:r>
        <w:rPr>
          <w:rStyle w:val="38"/>
          <w:rFonts w:hint="eastAsia" w:ascii="宋体" w:hAnsi="宋体" w:eastAsia="宋体" w:cs="宋体"/>
          <w:b/>
          <w:bCs/>
          <w:i w:val="0"/>
          <w:iCs w:val="0"/>
          <w:caps w:val="0"/>
          <w:color w:val="auto"/>
          <w:spacing w:val="0"/>
          <w:sz w:val="24"/>
          <w:szCs w:val="24"/>
          <w:shd w:val="clear" w:fill="FFFFFF"/>
        </w:rPr>
        <w:t>项目概况</w:t>
      </w:r>
    </w:p>
    <w:p w14:paraId="33B188A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延安北高速出入口区域路网交通改善工程建设过程服务项目招标项目的潜在投标人应在《全国公共资源交易平台（陕西省·延安市）》获取招标文件，并于 2026年03月31日 09时00分 （北京时间）前递交投标文件。</w:t>
      </w:r>
    </w:p>
    <w:p w14:paraId="0B130D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一、项目基本情况</w:t>
      </w:r>
    </w:p>
    <w:p w14:paraId="5290087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项目编号：SXXZ2026-04</w:t>
      </w:r>
    </w:p>
    <w:p w14:paraId="7647CF9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项目名称：延安北高速出入口区域路网交通改善工程建设过程服务项目</w:t>
      </w:r>
    </w:p>
    <w:p w14:paraId="23EF9B0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14:paraId="035AB64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预算金额：2,490,600.00元</w:t>
      </w:r>
    </w:p>
    <w:p w14:paraId="6D98B4F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09D9392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合同包1(延安市公路建设工程管理处延安北高速出入口区域路网交通改善工程建设过程服务项目（一标包）):</w:t>
      </w:r>
    </w:p>
    <w:p w14:paraId="502DFEC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合同包预算金额：600,000.00元</w:t>
      </w:r>
    </w:p>
    <w:p w14:paraId="1F58CCC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合同包最高限价：600,000.00元</w:t>
      </w:r>
    </w:p>
    <w:tbl>
      <w:tblPr>
        <w:tblStyle w:val="35"/>
        <w:tblW w:w="106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96"/>
        <w:gridCol w:w="1374"/>
        <w:gridCol w:w="2595"/>
        <w:gridCol w:w="1335"/>
        <w:gridCol w:w="2670"/>
        <w:gridCol w:w="1560"/>
      </w:tblGrid>
      <w:tr w14:paraId="56D67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8B0DC7">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DF90FE">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5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8B3F7E">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E5DCB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442A5FA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26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666E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FA022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47C6E1F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6994FD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08B15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C09CD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25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345DA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延安北高速出入口区域路网交通改善工程桥梁检测（荷载试验）服务</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4D8A8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26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7F410B">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265D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600,000.00</w:t>
            </w:r>
          </w:p>
        </w:tc>
      </w:tr>
    </w:tbl>
    <w:p w14:paraId="6113C5F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1DF3F74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合同履行期限：60天</w:t>
      </w:r>
    </w:p>
    <w:p w14:paraId="7DD6EF1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合同包2(延安市公路建设工程管理处延安北高速出入口区域路网交通改善工程建设过程服务项目（二标包）):</w:t>
      </w:r>
    </w:p>
    <w:p w14:paraId="69A78EC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合同包预算金额：450,000.00元</w:t>
      </w:r>
    </w:p>
    <w:p w14:paraId="0A1A3C6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合同包最高限价：450,000.00元</w:t>
      </w:r>
    </w:p>
    <w:tbl>
      <w:tblPr>
        <w:tblStyle w:val="35"/>
        <w:tblW w:w="91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16"/>
        <w:gridCol w:w="1218"/>
        <w:gridCol w:w="1905"/>
        <w:gridCol w:w="1260"/>
        <w:gridCol w:w="2113"/>
        <w:gridCol w:w="1440"/>
      </w:tblGrid>
      <w:tr w14:paraId="09AE57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2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BFE41C">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32D5BC">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30C2AB">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8CD574">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36383678">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21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E6002F">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35F04C">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4AE2FBFB">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192B2E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B1D36C">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2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5EC7B7">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1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918557">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延安北高速出入口区域路网交通改善工程工程试验检测服务</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1477DC">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21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6F99D0">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368666">
            <w:pPr>
              <w:keepNext/>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450,000.00</w:t>
            </w:r>
          </w:p>
        </w:tc>
      </w:tr>
    </w:tbl>
    <w:p w14:paraId="068B14D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0CDF8FF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合同履行期限：540天，服务期限与施工工期同步。</w:t>
      </w:r>
    </w:p>
    <w:p w14:paraId="10987B3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合同包3(延安市公路建设工程管理处延安北高速出入口区域路网交通改善工程建设过程服务项目（三标包）):</w:t>
      </w:r>
    </w:p>
    <w:p w14:paraId="64C8C89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合同包预算金额：656,000.00元</w:t>
      </w:r>
    </w:p>
    <w:p w14:paraId="02C2614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合同包最高限价：656,000.00元</w:t>
      </w:r>
    </w:p>
    <w:tbl>
      <w:tblPr>
        <w:tblStyle w:val="35"/>
        <w:tblW w:w="982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92"/>
        <w:gridCol w:w="1253"/>
        <w:gridCol w:w="2145"/>
        <w:gridCol w:w="1200"/>
        <w:gridCol w:w="2546"/>
        <w:gridCol w:w="1485"/>
      </w:tblGrid>
      <w:tr w14:paraId="1B0713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02320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6EFE70">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1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1553A7">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D29E22">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24A22C82">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25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581188">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5FF18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40FE6E7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3626CF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056DC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12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5E0C8F">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21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3DE61C">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延安北高速出入口区域路网交通改善工程全过程造价咨询服务</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56F52B">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25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B9C070">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AB43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656,000.00</w:t>
            </w:r>
          </w:p>
        </w:tc>
      </w:tr>
    </w:tbl>
    <w:p w14:paraId="06FBD9F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2F26DBA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合同履行期限：540天，服务期限与施工工期同步。</w:t>
      </w:r>
    </w:p>
    <w:p w14:paraId="484CE34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合同包4(延安市公路建设工程管理处延安北高速出入口区域路网交通改善工程建设过程服务项目（四标包）):</w:t>
      </w:r>
    </w:p>
    <w:p w14:paraId="2739BDA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合同包预算金额：784,600.00元</w:t>
      </w:r>
    </w:p>
    <w:p w14:paraId="03AB5DA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合同包最高限价：784,600.00元</w:t>
      </w:r>
    </w:p>
    <w:tbl>
      <w:tblPr>
        <w:tblStyle w:val="35"/>
        <w:tblW w:w="967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86"/>
        <w:gridCol w:w="1308"/>
        <w:gridCol w:w="2350"/>
        <w:gridCol w:w="1550"/>
        <w:gridCol w:w="1938"/>
        <w:gridCol w:w="1440"/>
      </w:tblGrid>
      <w:tr w14:paraId="030E1A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7C62B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E58F2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0FC3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88688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5B76C51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D0B91B">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892F9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7BC21B4F">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3AB1C5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66C21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4-1</w:t>
            </w:r>
          </w:p>
        </w:tc>
        <w:tc>
          <w:tcPr>
            <w:tcW w:w="13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9C164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2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631E9E">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延安北高速出入口区域路网交通改善工程智慧工地项目管理信息化服务</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2CFE42">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256F48">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DFBF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784,600.00</w:t>
            </w:r>
          </w:p>
        </w:tc>
      </w:tr>
    </w:tbl>
    <w:p w14:paraId="547AF55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290081C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合同履行期限：540天，服务期限与施工工期同步。</w:t>
      </w:r>
    </w:p>
    <w:p w14:paraId="62CCEB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二、申请人的资格要求：</w:t>
      </w:r>
    </w:p>
    <w:p w14:paraId="0477961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66A2761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1B30262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合同包1(延安市公路建设工程管理处延安北高速出入口区域路网交通改善工程建设过程服务项目（一标包）)落实政府采购政策需满足的资格要求如下:</w:t>
      </w:r>
    </w:p>
    <w:p w14:paraId="3997D77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43479DF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合同包2(延安市公路建设工程管理处延安北高速出入口区域路网交通改善工程建设过程服务项目（二标包）)落实政府采购政策需满足的资格要求如下:</w:t>
      </w:r>
    </w:p>
    <w:p w14:paraId="4B14FFF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5F54579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合同包3(延安市公路建设工程管理处延安北高速出入口区域路网交通改善工程建设过程服务项目（三标包）)落实政府采购政策需满足的资格要求如下:</w:t>
      </w:r>
    </w:p>
    <w:p w14:paraId="4F6D5E5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0280377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合同包4(延安市公路建设工程管理处延安北高速出入口区域路网交通改善工程建设过程服务项目（四标包）)落实政府采购政策需满足的资格要求如下:</w:t>
      </w:r>
    </w:p>
    <w:p w14:paraId="10829CA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0D01D7E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0939A72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合同包1(延安市公路建设工程管理处延安北高速出入口区域路网交通改善工程建设过程服务项目（一标包）)特定资格要求如下:</w:t>
      </w:r>
    </w:p>
    <w:p w14:paraId="084E7FF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4.投标人具备交通运输主管部门颁发的公路工程试验检测机构综合甲级资质或桥梁隧道工程专项资质和省级及以上行政主管部门颁发的合格有效的检验检测机构资质认定证书(CMA)；</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5.项目负责人具备交通运输部门颁发的公路工程试验检测工程师资格，或人社部和交通运输职业资格中心联合核发的公路水运工程试验检测师(桥梁隧道工程专业)资格，并具有高级及以上专业技术职称；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11.本项目不接受联合体投标。</w:t>
      </w:r>
    </w:p>
    <w:p w14:paraId="63BB3CF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合同包2(延安市公路建设工程管理处延安北高速出入口区域路网交通改善工程建设过程服务项目（二标包）)特定资格要求如下:</w:t>
      </w:r>
    </w:p>
    <w:p w14:paraId="32D11C0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4.投标人具备交通运输部工程质量监督机构颁发的公路工程综合甲级资质和省级及以上行政主管部门颁发的合格有效的检验检测机构资质认定证书(CMA)；</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5.项目负责人具备交通运输部门颁发的公路工程试验检测工程师资格，或人社部和交通运输职业资格中心联合核发的公路水运工程试验检测师(桥梁隧道工程专业)资格，并具有高级及以上专业技术职称；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11.本项目不接受联合体投标。</w:t>
      </w:r>
    </w:p>
    <w:p w14:paraId="1220B7D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合同包3(延安市公路建设工程管理处延安北高速出入口区域路网交通改善工程建设过程服务项目（三标包）)特定资格要求如下:</w:t>
      </w:r>
    </w:p>
    <w:p w14:paraId="272B99D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4.投标人拟派项目负责人须具备土木建筑工程专业国家一级注册造价工程师资格证书，并在本单位注册；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10.本项目不接受联合体投标。</w:t>
      </w:r>
    </w:p>
    <w:p w14:paraId="252C781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合同包4(延安市公路建设工程管理处延安北高速出入口区域路网交通改善工程建设过程服务项目（四标包）)特定资格要求如下:</w:t>
      </w:r>
    </w:p>
    <w:p w14:paraId="185C36F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9.本项目不接受联合体投标。</w:t>
      </w:r>
    </w:p>
    <w:p w14:paraId="1F7EFC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三、获取招标文件</w:t>
      </w:r>
    </w:p>
    <w:p w14:paraId="6EA8996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2026年03月09日 至 2026年03月13日 ，每天上午 09:00:00 至 12:00:00 ，下午 14:30:00 至 17:00:00 （北京时间）</w:t>
      </w:r>
    </w:p>
    <w:p w14:paraId="1A3D695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途径：《全国公共资源交易平台（陕西省·延安市）》</w:t>
      </w:r>
    </w:p>
    <w:p w14:paraId="753CB07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23613DE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14:paraId="669AA0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四、提交投标文件截止时间、开标时间和地点</w:t>
      </w:r>
    </w:p>
    <w:p w14:paraId="7E52E3E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2026年03月31日 09时00分00秒 （北京时间）</w:t>
      </w:r>
    </w:p>
    <w:p w14:paraId="04518B7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提交投标文件地点：延安市公共资源交易中心交易一厅</w:t>
      </w:r>
    </w:p>
    <w:p w14:paraId="1974A3F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开标地点：延安市公共资源交易中心交易一厅</w:t>
      </w:r>
    </w:p>
    <w:p w14:paraId="09DF2E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五、公告期限</w:t>
      </w:r>
    </w:p>
    <w:p w14:paraId="3F9D322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14:paraId="073406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六、其他补充事宜</w:t>
      </w:r>
    </w:p>
    <w:p w14:paraId="18C3375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1.请投标人按照陕西省财政厅关于政府采购供应商注册登记有关事项的通知中的要求，通过陕西省政府采购网注册登记加入陕西省政府采购供应商库；</w:t>
      </w:r>
    </w:p>
    <w:p w14:paraId="341D9F5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投标人须完成数字认证证书（CA锁）办理（包括法人锁、主锁）及信息绑定数字认证证书（CA锁）办理地址：延安市新区为民服务中心7号楼2楼B205室，CA锁企业信息绑定在1号服务窗口（7号楼2楼大厅）办理，且在《全国公共资源交易平台（陕西省）》进行备案登记；</w:t>
      </w:r>
    </w:p>
    <w:p w14:paraId="02276CC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3.报名方式：投标人使用捆绑CA证书登录全国公共资源交易平台（陕西省·延安市）延安市公共资源交易中心 ，选择电子交易平台中的陕西政府采购交易系统进行登录，登录后选择“交易乙方”身份进入投标人界面进行报名。</w:t>
      </w:r>
    </w:p>
    <w:p w14:paraId="0DA52CE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4.下载文件：投标人登录延安市公共资源交易中心，选择“交易乙方”身份进入投标人界面下载采购文件。</w:t>
      </w:r>
    </w:p>
    <w:p w14:paraId="2D8D7C0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5.投标文件递交方式：电子文件上传递交地点：《全国公共资源交易平台（陕西省·延安市）》电子招投标系统，投标文件递交的具体要求详见招标文件的规定，逾期送达或者未送达指定地点的投标文件，不予受理。</w:t>
      </w:r>
    </w:p>
    <w:p w14:paraId="5CCCEA0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6.本项目不专门面向中小企业。</w:t>
      </w:r>
    </w:p>
    <w:p w14:paraId="7B448CF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7.本项目采用线上不见面形式。</w:t>
      </w:r>
    </w:p>
    <w:p w14:paraId="575F0C3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8.本次招标公告在《陕西省政府采购网》、《全国公共资源交易平台（陕西省·延安市）》媒介上发布。</w:t>
      </w:r>
    </w:p>
    <w:p w14:paraId="56D202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Style w:val="38"/>
          <w:rFonts w:hint="eastAsia" w:ascii="宋体" w:hAnsi="宋体" w:eastAsia="宋体" w:cs="宋体"/>
          <w:b/>
          <w:bCs/>
          <w:i w:val="0"/>
          <w:iCs w:val="0"/>
          <w:caps w:val="0"/>
          <w:color w:val="auto"/>
          <w:spacing w:val="0"/>
          <w:sz w:val="24"/>
          <w:szCs w:val="24"/>
          <w:shd w:val="clear" w:fill="FFFFFF"/>
        </w:rPr>
      </w:pPr>
      <w:r>
        <w:rPr>
          <w:rStyle w:val="38"/>
          <w:rFonts w:hint="eastAsia" w:ascii="宋体" w:hAnsi="宋体" w:eastAsia="宋体" w:cs="宋体"/>
          <w:b/>
          <w:bCs/>
          <w:i w:val="0"/>
          <w:iCs w:val="0"/>
          <w:caps w:val="0"/>
          <w:color w:val="auto"/>
          <w:spacing w:val="0"/>
          <w:sz w:val="24"/>
          <w:szCs w:val="24"/>
          <w:shd w:val="clear" w:fill="FFFFFF"/>
        </w:rPr>
        <w:t>七、对本次招标提出询问，请按以下方式联系。</w:t>
      </w:r>
    </w:p>
    <w:p w14:paraId="732E2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1.采购人信息</w:t>
      </w:r>
    </w:p>
    <w:p w14:paraId="707F1CC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名称：延安市公路建设工程管理处</w:t>
      </w:r>
    </w:p>
    <w:p w14:paraId="29673E0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地址：延安市百米大道</w:t>
      </w:r>
    </w:p>
    <w:p w14:paraId="1420E8B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联系方式：15332553383</w:t>
      </w:r>
    </w:p>
    <w:p w14:paraId="5C04A6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2.采购代理机构信息</w:t>
      </w:r>
    </w:p>
    <w:p w14:paraId="2450339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名称：陕西新招项目管理有限公司</w:t>
      </w:r>
    </w:p>
    <w:p w14:paraId="1BCD15F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地址：陕西省延安市宝塔区陕西省延安市宝塔区东方明珠4号楼27层</w:t>
      </w:r>
    </w:p>
    <w:p w14:paraId="56E3F06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联系方式：15691188082</w:t>
      </w:r>
    </w:p>
    <w:p w14:paraId="4569F9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3.项目联系方式</w:t>
      </w:r>
    </w:p>
    <w:p w14:paraId="3A0855F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项目联系人：蔡园园</w:t>
      </w:r>
    </w:p>
    <w:p w14:paraId="0FA52AE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电话：15691188082</w:t>
      </w:r>
    </w:p>
    <w:p w14:paraId="5CCA2D4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2371F2C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p>
    <w:p w14:paraId="0AD265A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sz w:val="24"/>
          <w:szCs w:val="24"/>
        </w:rPr>
      </w:pPr>
    </w:p>
    <w:p w14:paraId="042C4604">
      <w:pPr>
        <w:pStyle w:val="110"/>
        <w:rPr>
          <w:rFonts w:hint="eastAsia" w:ascii="宋体" w:hAnsi="宋体" w:eastAsia="宋体" w:cs="宋体"/>
          <w:sz w:val="24"/>
          <w:szCs w:val="24"/>
        </w:rPr>
      </w:pPr>
    </w:p>
    <w:p w14:paraId="4B35244F">
      <w:pPr>
        <w:pStyle w:val="110"/>
        <w:rPr>
          <w:rFonts w:hint="eastAsia" w:eastAsiaTheme="minorEastAsia"/>
          <w:lang w:val="en-US" w:eastAsia="zh-CN"/>
        </w:rPr>
      </w:pPr>
      <w:r>
        <w:rPr>
          <w:rFonts w:hint="eastAsia" w:ascii="仿宋_GB2312" w:hAnsi="仿宋_GB2312" w:eastAsia="仿宋_GB2312" w:cs="仿宋_GB2312"/>
          <w:lang w:val="en-US" w:eastAsia="zh-CN"/>
        </w:rPr>
        <w:t xml:space="preserve"> </w:t>
      </w:r>
    </w:p>
    <w:p w14:paraId="429E4060">
      <w:pPr>
        <w:pStyle w:val="11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p>
    <w:p w14:paraId="78BE6CD6">
      <w:pPr>
        <w:pStyle w:val="110"/>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556D385">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560" w:firstLineChars="200"/>
        <w:jc w:val="both"/>
        <w:textAlignment w:val="auto"/>
        <w:outlineLvl w:val="9"/>
        <w:rPr>
          <w:rFonts w:hint="eastAsia" w:ascii="宋体" w:hAnsi="宋体" w:eastAsia="宋体" w:cs="宋体"/>
          <w:b w:val="0"/>
          <w:bCs w:val="0"/>
          <w:color w:val="000000"/>
          <w:spacing w:val="0"/>
          <w:sz w:val="28"/>
          <w:szCs w:val="28"/>
          <w:lang w:val="en-US" w:eastAsia="zh-CN"/>
        </w:rPr>
      </w:pPr>
    </w:p>
    <w:p w14:paraId="467CC8D9">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pacing w:beforeAutospacing="0" w:afterAutospacing="0" w:line="560" w:lineRule="exact"/>
        <w:ind w:leftChars="0" w:right="0" w:rightChars="0" w:firstLine="420" w:firstLineChars="200"/>
        <w:jc w:val="center"/>
        <w:rPr>
          <w:rFonts w:hint="eastAsia" w:ascii="宋体" w:hAnsi="宋体" w:cs="宋体"/>
        </w:rPr>
        <w:sectPr>
          <w:footerReference r:id="rId7" w:type="first"/>
          <w:headerReference r:id="rId5" w:type="default"/>
          <w:footerReference r:id="rId6" w:type="default"/>
          <w:pgSz w:w="11906" w:h="16838"/>
          <w:pgMar w:top="1417" w:right="1134" w:bottom="1417" w:left="141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3170352D">
      <w:pPr>
        <w:pStyle w:val="2"/>
        <w:spacing w:line="240" w:lineRule="auto"/>
        <w:jc w:val="center"/>
        <w:rPr>
          <w:rFonts w:hint="eastAsia" w:ascii="宋体" w:hAnsi="宋体" w:cs="宋体"/>
        </w:rPr>
      </w:pPr>
      <w:bookmarkStart w:id="13" w:name="_Toc8706"/>
      <w:bookmarkStart w:id="14" w:name="_Toc16762"/>
      <w:bookmarkStart w:id="15" w:name="_Toc23672"/>
      <w:bookmarkStart w:id="16" w:name="_Toc10411"/>
      <w:r>
        <w:rPr>
          <w:rFonts w:hint="eastAsia" w:ascii="宋体" w:hAnsi="宋体" w:cs="宋体"/>
        </w:rPr>
        <w:t>第二章  投标人须知</w:t>
      </w:r>
      <w:bookmarkEnd w:id="11"/>
      <w:bookmarkEnd w:id="12"/>
      <w:bookmarkEnd w:id="13"/>
      <w:bookmarkEnd w:id="14"/>
      <w:bookmarkEnd w:id="15"/>
      <w:bookmarkEnd w:id="16"/>
    </w:p>
    <w:p w14:paraId="625B546A">
      <w:pPr>
        <w:pStyle w:val="2"/>
        <w:spacing w:after="0" w:line="240" w:lineRule="auto"/>
        <w:rPr>
          <w:rFonts w:hint="eastAsia" w:ascii="宋体" w:hAnsi="宋体" w:cs="宋体"/>
          <w:sz w:val="24"/>
          <w:szCs w:val="40"/>
        </w:rPr>
      </w:pPr>
      <w:bookmarkStart w:id="17" w:name="_Toc13763"/>
      <w:bookmarkStart w:id="18" w:name="_Toc22961"/>
      <w:bookmarkStart w:id="19" w:name="_Toc24259"/>
      <w:bookmarkStart w:id="20" w:name="_Toc12247"/>
      <w:bookmarkStart w:id="21" w:name="_Toc26053"/>
      <w:bookmarkStart w:id="22" w:name="_Toc32301"/>
      <w:bookmarkStart w:id="23" w:name="_Toc25163"/>
      <w:bookmarkStart w:id="24" w:name="_Toc15597"/>
      <w:bookmarkStart w:id="25" w:name="_Toc25587"/>
      <w:bookmarkStart w:id="26" w:name="_Toc16081"/>
      <w:bookmarkStart w:id="27" w:name="_Toc11843"/>
      <w:r>
        <w:rPr>
          <w:rFonts w:hint="eastAsia" w:ascii="宋体" w:hAnsi="宋体" w:cs="宋体"/>
          <w:sz w:val="24"/>
          <w:szCs w:val="40"/>
        </w:rPr>
        <w:t>投标人须知前附表</w:t>
      </w:r>
      <w:bookmarkEnd w:id="17"/>
      <w:bookmarkEnd w:id="18"/>
      <w:bookmarkEnd w:id="19"/>
      <w:bookmarkEnd w:id="20"/>
      <w:bookmarkEnd w:id="21"/>
      <w:bookmarkEnd w:id="22"/>
      <w:bookmarkEnd w:id="23"/>
      <w:bookmarkEnd w:id="24"/>
      <w:bookmarkEnd w:id="25"/>
      <w:bookmarkEnd w:id="26"/>
      <w:bookmarkEnd w:id="27"/>
    </w:p>
    <w:tbl>
      <w:tblPr>
        <w:tblStyle w:val="35"/>
        <w:tblpPr w:leftFromText="180" w:rightFromText="180" w:vertAnchor="text" w:horzAnchor="page" w:tblpXSpec="center" w:tblpY="570"/>
        <w:tblOverlap w:val="never"/>
        <w:tblW w:w="9762" w:type="dxa"/>
        <w:jc w:val="center"/>
        <w:tblLayout w:type="fixed"/>
        <w:tblCellMar>
          <w:top w:w="0" w:type="dxa"/>
          <w:left w:w="108" w:type="dxa"/>
          <w:bottom w:w="0" w:type="dxa"/>
          <w:right w:w="108" w:type="dxa"/>
        </w:tblCellMar>
      </w:tblPr>
      <w:tblGrid>
        <w:gridCol w:w="968"/>
        <w:gridCol w:w="1708"/>
        <w:gridCol w:w="7086"/>
      </w:tblGrid>
      <w:tr w14:paraId="23AE4B5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4D006A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431F1B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  款  名  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0655AF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编  列  内  容</w:t>
            </w:r>
          </w:p>
        </w:tc>
      </w:tr>
      <w:tr w14:paraId="3508939E">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DF7CF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FAE70C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CDF3A06">
            <w:pPr>
              <w:tabs>
                <w:tab w:val="left" w:pos="3132"/>
              </w:tabs>
              <w:autoSpaceDE w:val="0"/>
              <w:autoSpaceDN w:val="0"/>
              <w:adjustRightInd w:val="0"/>
              <w:spacing w:line="360" w:lineRule="auto"/>
              <w:rPr>
                <w:rFonts w:hint="eastAsia" w:ascii="宋体" w:hAnsi="宋体" w:eastAsia="宋体" w:cs="宋体"/>
                <w:color w:val="000000"/>
                <w:kern w:val="0"/>
                <w:sz w:val="24"/>
                <w:szCs w:val="24"/>
                <w:highlight w:val="none"/>
                <w:lang w:eastAsia="zh-CN"/>
              </w:rPr>
            </w:pPr>
            <w:r>
              <w:rPr>
                <w:rFonts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eastAsia="zh-CN"/>
              </w:rPr>
              <w:t>延安市公路建设工程管理处</w:t>
            </w:r>
          </w:p>
          <w:p w14:paraId="4EDC4DDC">
            <w:pPr>
              <w:tabs>
                <w:tab w:val="left" w:pos="3132"/>
              </w:tabs>
              <w:autoSpaceDE w:val="0"/>
              <w:autoSpaceDN w:val="0"/>
              <w:adjustRightInd w:val="0"/>
              <w:spacing w:line="360" w:lineRule="auto"/>
              <w:rPr>
                <w:rFonts w:hint="eastAsia" w:ascii="宋体" w:hAnsi="宋体" w:eastAsia="宋体" w:cs="宋体"/>
                <w:color w:val="000000"/>
                <w:kern w:val="0"/>
                <w:sz w:val="24"/>
                <w:szCs w:val="24"/>
                <w:highlight w:val="none"/>
                <w:lang w:eastAsia="zh-CN"/>
              </w:rPr>
            </w:pPr>
            <w:r>
              <w:rPr>
                <w:rFonts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lang w:eastAsia="zh-CN"/>
              </w:rPr>
              <w:t>延安市百米大道</w:t>
            </w:r>
          </w:p>
          <w:p w14:paraId="7347F29F">
            <w:pPr>
              <w:tabs>
                <w:tab w:val="left" w:pos="3132"/>
              </w:tabs>
              <w:autoSpaceDE w:val="0"/>
              <w:autoSpaceDN w:val="0"/>
              <w:adjustRightInd w:val="0"/>
              <w:spacing w:line="360" w:lineRule="auto"/>
              <w:rPr>
                <w:rFonts w:hint="default"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rPr>
              <w:t>联系人：</w:t>
            </w:r>
            <w:r>
              <w:rPr>
                <w:rFonts w:hint="eastAsia" w:ascii="宋体" w:hAnsi="宋体" w:eastAsia="宋体" w:cs="宋体"/>
                <w:color w:val="000000"/>
                <w:kern w:val="0"/>
                <w:sz w:val="24"/>
                <w:szCs w:val="24"/>
                <w:highlight w:val="none"/>
                <w:lang w:val="en-US" w:eastAsia="zh-CN"/>
              </w:rPr>
              <w:t>张永昌</w:t>
            </w:r>
          </w:p>
          <w:p w14:paraId="4DC90891">
            <w:pPr>
              <w:spacing w:line="360" w:lineRule="auto"/>
              <w:rPr>
                <w:rFonts w:hint="eastAsia" w:ascii="宋体" w:hAnsi="宋体" w:eastAsia="宋体" w:cs="宋体"/>
                <w:sz w:val="24"/>
                <w:szCs w:val="24"/>
                <w:lang w:val="en-US" w:eastAsia="zh-CN"/>
              </w:rPr>
            </w:pPr>
            <w:r>
              <w:rPr>
                <w:rFonts w:ascii="宋体" w:hAnsi="宋体" w:eastAsia="宋体" w:cs="宋体"/>
                <w:color w:val="000000"/>
                <w:kern w:val="0"/>
                <w:sz w:val="24"/>
                <w:szCs w:val="24"/>
                <w:highlight w:val="none"/>
              </w:rPr>
              <w:t>联系方式：15332553383</w:t>
            </w:r>
          </w:p>
        </w:tc>
      </w:tr>
      <w:tr w14:paraId="50A41714">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E0E16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1C388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054A21D">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陕西新招项目管理有限公司</w:t>
            </w:r>
          </w:p>
          <w:p w14:paraId="2B05360A">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cs="宋体"/>
                <w:sz w:val="24"/>
                <w:szCs w:val="24"/>
                <w:lang w:eastAsia="zh-CN"/>
              </w:rPr>
              <w:t>陕西省延安市宝塔区陕西省延安市宝塔区东方明珠4号楼27层</w:t>
            </w:r>
          </w:p>
          <w:p w14:paraId="694A2C6F">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蔡园园</w:t>
            </w:r>
            <w:r>
              <w:rPr>
                <w:rFonts w:hint="eastAsia" w:ascii="宋体" w:hAnsi="宋体" w:eastAsia="宋体" w:cs="宋体"/>
                <w:sz w:val="24"/>
                <w:szCs w:val="24"/>
              </w:rPr>
              <w:t xml:space="preserve">       </w:t>
            </w:r>
          </w:p>
          <w:p w14:paraId="385DFF41">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cs="宋体"/>
                <w:sz w:val="24"/>
                <w:szCs w:val="24"/>
                <w:lang w:eastAsia="zh-CN"/>
              </w:rPr>
              <w:t>15691188082</w:t>
            </w:r>
            <w:r>
              <w:rPr>
                <w:rFonts w:hint="eastAsia" w:ascii="宋体" w:hAnsi="宋体" w:eastAsia="宋体" w:cs="宋体"/>
                <w:kern w:val="0"/>
                <w:sz w:val="24"/>
                <w:szCs w:val="24"/>
              </w:rPr>
              <w:t xml:space="preserve"> </w:t>
            </w:r>
          </w:p>
        </w:tc>
      </w:tr>
      <w:tr w14:paraId="5B350ED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3062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8E91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6D2344A">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延安市公路建设工程管理处延安北高速出入口区域路网交通改善工程建设过程服务项目（</w:t>
            </w:r>
            <w:r>
              <w:rPr>
                <w:rFonts w:hint="eastAsia" w:ascii="宋体" w:hAnsi="宋体" w:cs="宋体"/>
                <w:sz w:val="24"/>
                <w:szCs w:val="24"/>
                <w:lang w:val="en-US" w:eastAsia="zh-CN"/>
              </w:rPr>
              <w:t>二</w:t>
            </w:r>
            <w:r>
              <w:rPr>
                <w:rFonts w:hint="eastAsia" w:ascii="宋体" w:hAnsi="宋体" w:cs="宋体"/>
                <w:sz w:val="24"/>
                <w:szCs w:val="24"/>
                <w:lang w:eastAsia="zh-CN"/>
              </w:rPr>
              <w:t>标包）</w:t>
            </w:r>
          </w:p>
        </w:tc>
      </w:tr>
      <w:tr w14:paraId="374F9217">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66832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5086C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5B26D49">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延安市公路建设工程管理处</w:t>
            </w:r>
            <w:r>
              <w:rPr>
                <w:rFonts w:hint="eastAsia" w:ascii="宋体" w:hAnsi="宋体" w:eastAsia="宋体" w:cs="宋体"/>
                <w:sz w:val="24"/>
                <w:szCs w:val="24"/>
                <w:lang w:eastAsia="zh-CN"/>
              </w:rPr>
              <w:t>指定地点</w:t>
            </w:r>
          </w:p>
        </w:tc>
      </w:tr>
      <w:tr w14:paraId="57CEC97C">
        <w:tblPrEx>
          <w:tblCellMar>
            <w:top w:w="0" w:type="dxa"/>
            <w:left w:w="108" w:type="dxa"/>
            <w:bottom w:w="0" w:type="dxa"/>
            <w:right w:w="108" w:type="dxa"/>
          </w:tblCellMar>
        </w:tblPrEx>
        <w:trPr>
          <w:trHeight w:val="38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6545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8270A8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资金来源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1B0CF2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财政资金  　　　</w:t>
            </w:r>
          </w:p>
        </w:tc>
      </w:tr>
      <w:tr w14:paraId="790DDF70">
        <w:tblPrEx>
          <w:tblCellMar>
            <w:top w:w="0" w:type="dxa"/>
            <w:left w:w="108" w:type="dxa"/>
            <w:bottom w:w="0" w:type="dxa"/>
            <w:right w:w="108" w:type="dxa"/>
          </w:tblCellMar>
        </w:tblPrEx>
        <w:trPr>
          <w:trHeight w:val="4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3D3499B">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1.2.</w:t>
            </w:r>
            <w:r>
              <w:rPr>
                <w:rFonts w:hint="eastAsia" w:ascii="宋体" w:hAnsi="宋体" w:eastAsia="宋体" w:cs="宋体"/>
                <w:sz w:val="24"/>
                <w:szCs w:val="24"/>
                <w:lang w:val="en-US" w:eastAsia="zh-CN"/>
              </w:rPr>
              <w:t>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9299E3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项目预算</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EF7A95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450,000.00</w:t>
            </w:r>
          </w:p>
        </w:tc>
      </w:tr>
      <w:tr w14:paraId="58E8E944">
        <w:tblPrEx>
          <w:tblCellMar>
            <w:top w:w="0" w:type="dxa"/>
            <w:left w:w="108" w:type="dxa"/>
            <w:bottom w:w="0" w:type="dxa"/>
            <w:right w:w="108" w:type="dxa"/>
          </w:tblCellMar>
        </w:tblPrEx>
        <w:trPr>
          <w:trHeight w:val="49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70F07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EF8E07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招标内容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8FFB2FF">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延安北高速出入口区域路网交通改善工程工程试验检测服务</w:t>
            </w:r>
          </w:p>
        </w:tc>
      </w:tr>
      <w:tr w14:paraId="0661B94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2D039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BC0B12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A95084E">
            <w:pPr>
              <w:spacing w:line="360" w:lineRule="auto"/>
              <w:jc w:val="left"/>
              <w:rPr>
                <w:rFonts w:hint="eastAsia" w:ascii="宋体" w:hAnsi="宋体" w:eastAsia="宋体" w:cs="宋体"/>
                <w:color w:val="000000"/>
                <w:sz w:val="24"/>
                <w:szCs w:val="24"/>
                <w:lang w:val="en-US" w:eastAsia="zh-CN"/>
              </w:rPr>
            </w:pPr>
            <w:r>
              <w:rPr>
                <w:rFonts w:hint="eastAsia" w:ascii="宋体" w:hAnsi="宋体" w:cs="宋体"/>
                <w:sz w:val="24"/>
                <w:szCs w:val="24"/>
                <w:lang w:val="en-US" w:eastAsia="zh-CN"/>
              </w:rPr>
              <w:t>540天，服务期限与施工工期同步。</w:t>
            </w:r>
          </w:p>
        </w:tc>
      </w:tr>
      <w:tr w14:paraId="0EB93B7D">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039836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7FF92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投标人应具备承担本项目的资质条件、能力和信誉</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E5E72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（1）基本资格条件：符合《中华人民共和国政府采购法》第二十二条的规定；</w:t>
            </w:r>
          </w:p>
          <w:p w14:paraId="1A82FD6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（2）特定资格条件：</w:t>
            </w:r>
          </w:p>
          <w:p w14:paraId="1FC9F6D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p>
          <w:p w14:paraId="0A6C6686">
            <w:pPr>
              <w:spacing w:line="360" w:lineRule="auto"/>
              <w:ind w:left="479" w:leftChars="228" w:firstLine="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提供经年检有效的“三证合一”的营业执照（附2024年度或2025年度报告书）</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4.投标人具备交通运输部工程质量监督机构颁发的公路工程综合甲级资质和省级及以上行政主管部门颁发的合格有效的检验检测机构资质认定证书(CMA)；</w:t>
            </w:r>
            <w:r>
              <w:rPr>
                <w:rFonts w:hint="eastAsia" w:ascii="宋体" w:hAnsi="宋体" w:eastAsia="宋体" w:cs="宋体"/>
                <w:sz w:val="24"/>
                <w:szCs w:val="24"/>
              </w:rPr>
              <w:br w:type="textWrapping"/>
            </w:r>
            <w:r>
              <w:rPr>
                <w:rFonts w:hint="eastAsia" w:ascii="宋体" w:hAnsi="宋体" w:eastAsia="宋体" w:cs="宋体"/>
                <w:sz w:val="24"/>
                <w:szCs w:val="24"/>
              </w:rPr>
              <w:t>5.</w:t>
            </w:r>
            <w:r>
              <w:rPr>
                <w:rFonts w:hint="eastAsia" w:ascii="宋体" w:hAnsi="宋体" w:cs="宋体"/>
                <w:sz w:val="24"/>
                <w:szCs w:val="24"/>
                <w:lang w:eastAsia="zh-CN"/>
              </w:rPr>
              <w:t>项目负责人具备交通运输部门颁发的公路工程试验检测工程师资格，或人社部和交通运输职业资格中心联合核发的公路水运工程试验检测师(桥梁隧道工程专业)资格，并具有高级及以上专业技术职称</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w:t>
            </w:r>
          </w:p>
        </w:tc>
      </w:tr>
      <w:tr w14:paraId="74A53696">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C0FA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CEE522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0023A262">
            <w:pPr>
              <w:spacing w:line="360" w:lineRule="auto"/>
              <w:jc w:val="left"/>
              <w:rPr>
                <w:rFonts w:hint="eastAsia" w:ascii="宋体" w:hAnsi="宋体" w:eastAsia="宋体" w:cs="宋体"/>
                <w:sz w:val="24"/>
                <w:szCs w:val="24"/>
              </w:rPr>
            </w:pPr>
            <w:r>
              <w:rPr>
                <w:rFonts w:hint="eastAsia" w:ascii="宋体" w:hAnsi="宋体" w:eastAsia="宋体" w:cs="宋体"/>
                <w:sz w:val="24"/>
                <w:szCs w:val="24"/>
              </w:rPr>
              <w:t>不接受</w:t>
            </w:r>
          </w:p>
        </w:tc>
      </w:tr>
      <w:tr w14:paraId="536C936E">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63CF7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1.9.1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6E148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E0B3C7">
            <w:pPr>
              <w:pStyle w:val="10"/>
              <w:topLinePunct/>
              <w:spacing w:line="360" w:lineRule="auto"/>
              <w:rPr>
                <w:rFonts w:hint="eastAsia" w:ascii="宋体" w:hAnsi="宋体" w:eastAsia="宋体" w:cs="宋体"/>
                <w:sz w:val="24"/>
                <w:szCs w:val="24"/>
              </w:rPr>
            </w:pPr>
            <w:r>
              <w:rPr>
                <w:rFonts w:hint="eastAsia" w:ascii="宋体" w:hAnsi="宋体" w:eastAsia="宋体" w:cs="宋体"/>
                <w:sz w:val="24"/>
                <w:szCs w:val="24"/>
              </w:rPr>
              <w:t>不组织</w:t>
            </w:r>
          </w:p>
        </w:tc>
      </w:tr>
      <w:tr w14:paraId="3F3D7BF9">
        <w:tblPrEx>
          <w:tblCellMar>
            <w:top w:w="0" w:type="dxa"/>
            <w:left w:w="108" w:type="dxa"/>
            <w:bottom w:w="0" w:type="dxa"/>
            <w:right w:w="108" w:type="dxa"/>
          </w:tblCellMar>
        </w:tblPrEx>
        <w:trPr>
          <w:trHeight w:val="42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4D91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AFC1F3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投标预备会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5BC4BBD">
            <w:pPr>
              <w:pStyle w:val="10"/>
              <w:topLinePunct/>
              <w:spacing w:line="360" w:lineRule="auto"/>
              <w:rPr>
                <w:rFonts w:hint="eastAsia" w:ascii="宋体" w:hAnsi="宋体" w:eastAsia="宋体" w:cs="宋体"/>
                <w:sz w:val="24"/>
                <w:szCs w:val="24"/>
              </w:rPr>
            </w:pPr>
            <w:r>
              <w:rPr>
                <w:rFonts w:hint="eastAsia" w:ascii="宋体" w:hAnsi="宋体" w:eastAsia="宋体" w:cs="宋体"/>
                <w:sz w:val="24"/>
                <w:szCs w:val="24"/>
              </w:rPr>
              <w:t>不召开</w:t>
            </w:r>
          </w:p>
        </w:tc>
      </w:tr>
      <w:tr w14:paraId="0C560DF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6663C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0903A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投标人提出问题的截止时间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83847B">
            <w:pPr>
              <w:spacing w:line="360" w:lineRule="auto"/>
              <w:rPr>
                <w:rFonts w:hint="eastAsia" w:ascii="宋体" w:hAnsi="宋体" w:eastAsia="宋体" w:cs="宋体"/>
                <w:sz w:val="24"/>
                <w:szCs w:val="24"/>
              </w:rPr>
            </w:pPr>
            <w:r>
              <w:rPr>
                <w:rFonts w:hint="eastAsia" w:ascii="宋体" w:hAnsi="宋体" w:eastAsia="宋体" w:cs="宋体"/>
                <w:sz w:val="24"/>
                <w:szCs w:val="24"/>
              </w:rPr>
              <w:t>投标截止时间至少10日前</w:t>
            </w:r>
          </w:p>
        </w:tc>
      </w:tr>
      <w:tr w14:paraId="5A27861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84FBA6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4A2190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95380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投标截止时间至少15日前</w:t>
            </w:r>
          </w:p>
        </w:tc>
      </w:tr>
      <w:tr w14:paraId="0944A97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5AD02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6F27F7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招标文件的时间、地点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82140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时间：202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年</w:t>
            </w:r>
            <w:r>
              <w:rPr>
                <w:rFonts w:hint="eastAsia" w:ascii="宋体" w:hAnsi="宋体" w:cs="宋体"/>
                <w:color w:val="000000"/>
                <w:sz w:val="24"/>
                <w:szCs w:val="24"/>
                <w:lang w:val="en-US" w:eastAsia="zh-CN"/>
              </w:rPr>
              <w:t>03</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09</w:t>
            </w:r>
            <w:r>
              <w:rPr>
                <w:rFonts w:hint="eastAsia" w:ascii="宋体" w:hAnsi="宋体" w:eastAsia="宋体" w:cs="宋体"/>
                <w:color w:val="000000"/>
                <w:sz w:val="24"/>
                <w:szCs w:val="24"/>
                <w:lang w:val="en-US" w:eastAsia="zh-CN"/>
              </w:rPr>
              <w:t>日</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时00分至202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 xml:space="preserve"> 年</w:t>
            </w:r>
            <w:r>
              <w:rPr>
                <w:rFonts w:hint="eastAsia" w:ascii="宋体" w:hAnsi="宋体" w:cs="宋体"/>
                <w:color w:val="000000"/>
                <w:sz w:val="24"/>
                <w:szCs w:val="24"/>
                <w:lang w:val="en-US" w:eastAsia="zh-CN"/>
              </w:rPr>
              <w:t>03</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13</w:t>
            </w:r>
            <w:r>
              <w:rPr>
                <w:rFonts w:hint="eastAsia" w:ascii="宋体" w:hAnsi="宋体" w:eastAsia="宋体" w:cs="宋体"/>
                <w:color w:val="000000"/>
                <w:sz w:val="24"/>
                <w:szCs w:val="24"/>
                <w:lang w:val="en-US" w:eastAsia="zh-CN"/>
              </w:rPr>
              <w:t>日1</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en-US" w:eastAsia="zh-CN"/>
              </w:rPr>
              <w:t>时</w:t>
            </w:r>
            <w:r>
              <w:rPr>
                <w:rFonts w:hint="eastAsia" w:ascii="宋体" w:hAnsi="宋体" w:eastAsia="宋体" w:cs="宋体"/>
                <w:color w:val="auto"/>
                <w:sz w:val="24"/>
                <w:szCs w:val="24"/>
                <w:lang w:val="en-US" w:eastAsia="zh-CN"/>
              </w:rPr>
              <w:t>00分（北京时间）持CA锁在《全国公共资源交易平台（陕西省·延安市）》电子招投标系统报名，报名成功后在《全国公共资源交易平台（陕西省·延安市）》下载招标文件。</w:t>
            </w:r>
          </w:p>
        </w:tc>
      </w:tr>
      <w:tr w14:paraId="6800CF14">
        <w:tblPrEx>
          <w:tblCellMar>
            <w:top w:w="0" w:type="dxa"/>
            <w:left w:w="108" w:type="dxa"/>
            <w:bottom w:w="0" w:type="dxa"/>
            <w:right w:w="108" w:type="dxa"/>
          </w:tblCellMar>
        </w:tblPrEx>
        <w:trPr>
          <w:trHeight w:val="60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67C1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020C0B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C3A132">
            <w:pPr>
              <w:pStyle w:val="10"/>
              <w:topLinePunct/>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不允许出现负偏离</w:t>
            </w:r>
          </w:p>
        </w:tc>
      </w:tr>
      <w:tr w14:paraId="7BE0247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2AAB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72BE4A">
            <w:pPr>
              <w:spacing w:line="360" w:lineRule="auto"/>
              <w:rPr>
                <w:rFonts w:hint="eastAsia" w:ascii="宋体" w:hAnsi="宋体" w:eastAsia="宋体" w:cs="宋体"/>
                <w:sz w:val="24"/>
                <w:szCs w:val="24"/>
              </w:rPr>
            </w:pPr>
            <w:r>
              <w:rPr>
                <w:rFonts w:hint="eastAsia" w:ascii="宋体" w:hAnsi="宋体" w:eastAsia="宋体" w:cs="宋体"/>
                <w:sz w:val="24"/>
                <w:szCs w:val="24"/>
              </w:rPr>
              <w:t>招标文件的组成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D38267">
            <w:pPr>
              <w:spacing w:line="360" w:lineRule="auto"/>
              <w:rPr>
                <w:rFonts w:hint="eastAsia" w:ascii="宋体" w:hAnsi="宋体" w:eastAsia="宋体" w:cs="宋体"/>
                <w:sz w:val="24"/>
                <w:szCs w:val="24"/>
              </w:rPr>
            </w:pPr>
            <w:r>
              <w:rPr>
                <w:rFonts w:hint="eastAsia" w:ascii="宋体" w:hAnsi="宋体" w:eastAsia="宋体" w:cs="宋体"/>
                <w:sz w:val="24"/>
                <w:szCs w:val="24"/>
              </w:rPr>
              <w:t>（1）招标公告；</w:t>
            </w:r>
          </w:p>
          <w:p w14:paraId="5D6A8A2F">
            <w:pPr>
              <w:spacing w:line="360" w:lineRule="auto"/>
              <w:rPr>
                <w:rFonts w:hint="eastAsia" w:ascii="宋体" w:hAnsi="宋体" w:eastAsia="宋体" w:cs="宋体"/>
                <w:sz w:val="24"/>
                <w:szCs w:val="24"/>
              </w:rPr>
            </w:pPr>
            <w:r>
              <w:rPr>
                <w:rFonts w:hint="eastAsia" w:ascii="宋体" w:hAnsi="宋体" w:eastAsia="宋体" w:cs="宋体"/>
                <w:sz w:val="24"/>
                <w:szCs w:val="24"/>
              </w:rPr>
              <w:t>（2）投标人须知；</w:t>
            </w:r>
          </w:p>
          <w:p w14:paraId="001409A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投标人资格证明文件及审核</w:t>
            </w:r>
            <w:r>
              <w:rPr>
                <w:rFonts w:hint="eastAsia" w:ascii="宋体" w:hAnsi="宋体" w:eastAsia="宋体" w:cs="宋体"/>
                <w:sz w:val="24"/>
                <w:szCs w:val="24"/>
                <w:lang w:eastAsia="zh-CN"/>
              </w:rPr>
              <w:t>；</w:t>
            </w:r>
          </w:p>
          <w:p w14:paraId="7EF7121C">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）评标办法前附表及评标办法；</w:t>
            </w:r>
          </w:p>
          <w:p w14:paraId="27AB1027">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）合同（拟签订文本）；</w:t>
            </w:r>
          </w:p>
          <w:p w14:paraId="4C1DFA6F">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）技术要求；</w:t>
            </w:r>
          </w:p>
          <w:p w14:paraId="3C2454BD">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）投标文件格式。</w:t>
            </w:r>
          </w:p>
        </w:tc>
      </w:tr>
      <w:tr w14:paraId="72FD716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2DBD8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1978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投标人要求澄清招标文件的截止时间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111034">
            <w:pPr>
              <w:spacing w:line="360" w:lineRule="auto"/>
              <w:ind w:firstLine="448" w:firstLineChars="200"/>
              <w:rPr>
                <w:rFonts w:hint="eastAsia" w:ascii="宋体" w:hAnsi="宋体" w:eastAsia="宋体" w:cs="宋体"/>
                <w:spacing w:val="-8"/>
                <w:sz w:val="24"/>
                <w:szCs w:val="24"/>
              </w:rPr>
            </w:pPr>
            <w:r>
              <w:rPr>
                <w:rFonts w:hint="eastAsia" w:ascii="宋体" w:hAnsi="宋体" w:eastAsia="宋体" w:cs="宋体"/>
                <w:spacing w:val="-8"/>
                <w:sz w:val="24"/>
                <w:szCs w:val="24"/>
              </w:rPr>
              <w:t>投标截止之日10天前以书面形式通知采购代理机构（</w:t>
            </w:r>
            <w:r>
              <w:rPr>
                <w:rFonts w:hint="eastAsia" w:ascii="宋体" w:hAnsi="宋体" w:cs="宋体"/>
                <w:spacing w:val="-8"/>
                <w:sz w:val="24"/>
                <w:szCs w:val="24"/>
                <w:lang w:eastAsia="zh-CN"/>
              </w:rPr>
              <w:t>1974943985</w:t>
            </w:r>
            <w:r>
              <w:rPr>
                <w:rFonts w:hint="eastAsia" w:ascii="宋体" w:hAnsi="宋体" w:eastAsia="宋体" w:cs="宋体"/>
                <w:spacing w:val="-8"/>
                <w:sz w:val="24"/>
                <w:szCs w:val="24"/>
              </w:rPr>
              <w:t>@qq.com），并电话确认代理公司相关联系人收到答疑书面文件。</w:t>
            </w:r>
          </w:p>
        </w:tc>
      </w:tr>
      <w:tr w14:paraId="6A455B38">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456F7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17DE28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08E7DCB">
            <w:pPr>
              <w:spacing w:line="360" w:lineRule="auto"/>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rPr>
              <w:t>202</w:t>
            </w:r>
            <w:r>
              <w:rPr>
                <w:rFonts w:hint="eastAsia" w:ascii="宋体" w:hAnsi="宋体" w:cs="宋体"/>
                <w:color w:val="000000"/>
                <w:sz w:val="24"/>
                <w:szCs w:val="24"/>
                <w:lang w:val="en-US" w:eastAsia="zh-CN"/>
              </w:rPr>
              <w:t>6</w:t>
            </w:r>
            <w:r>
              <w:rPr>
                <w:rFonts w:hint="eastAsia" w:ascii="宋体" w:hAnsi="宋体" w:cs="宋体"/>
                <w:color w:val="000000"/>
                <w:sz w:val="24"/>
                <w:szCs w:val="24"/>
              </w:rPr>
              <w:t>年</w:t>
            </w:r>
            <w:r>
              <w:rPr>
                <w:rFonts w:hint="eastAsia" w:ascii="宋体" w:hAnsi="宋体" w:cs="宋体"/>
                <w:color w:val="000000"/>
                <w:sz w:val="24"/>
                <w:szCs w:val="24"/>
                <w:lang w:val="en-US" w:eastAsia="zh-CN"/>
              </w:rPr>
              <w:t>03</w:t>
            </w:r>
            <w:r>
              <w:rPr>
                <w:rFonts w:hint="eastAsia" w:ascii="宋体" w:hAnsi="宋体" w:cs="宋体"/>
                <w:color w:val="000000"/>
                <w:sz w:val="24"/>
                <w:szCs w:val="24"/>
              </w:rPr>
              <w:t>月</w:t>
            </w:r>
            <w:r>
              <w:rPr>
                <w:rFonts w:hint="eastAsia" w:ascii="宋体" w:hAnsi="宋体" w:cs="宋体"/>
                <w:color w:val="000000"/>
                <w:sz w:val="24"/>
                <w:szCs w:val="24"/>
                <w:lang w:val="en-US" w:eastAsia="zh-CN"/>
              </w:rPr>
              <w:t>31</w:t>
            </w: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09 </w:t>
            </w:r>
            <w:r>
              <w:rPr>
                <w:rFonts w:hint="eastAsia" w:ascii="宋体" w:hAnsi="宋体" w:cs="宋体"/>
                <w:color w:val="000000"/>
                <w:sz w:val="24"/>
                <w:szCs w:val="24"/>
              </w:rPr>
              <w:t>时00分00秒（北京时间）</w:t>
            </w:r>
          </w:p>
        </w:tc>
      </w:tr>
      <w:tr w14:paraId="6C0ABCA0">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4A625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2.2.4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AD7D6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6A5228">
            <w:pPr>
              <w:spacing w:line="360" w:lineRule="auto"/>
              <w:rPr>
                <w:rFonts w:hint="eastAsia" w:ascii="宋体" w:hAnsi="宋体" w:eastAsia="宋体" w:cs="宋体"/>
                <w:sz w:val="24"/>
                <w:szCs w:val="24"/>
              </w:rPr>
            </w:pPr>
            <w:r>
              <w:rPr>
                <w:rFonts w:hint="eastAsia" w:ascii="宋体" w:hAnsi="宋体" w:eastAsia="宋体" w:cs="宋体"/>
                <w:sz w:val="24"/>
                <w:szCs w:val="24"/>
              </w:rPr>
              <w:t>收到澄清文件当日内完成</w:t>
            </w:r>
          </w:p>
        </w:tc>
      </w:tr>
      <w:tr w14:paraId="6688235B">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1C713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5380D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投标人确认收到招标文件修改的时间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AECBC7F">
            <w:pPr>
              <w:spacing w:line="360" w:lineRule="auto"/>
              <w:rPr>
                <w:rFonts w:hint="eastAsia" w:ascii="宋体" w:hAnsi="宋体" w:eastAsia="宋体" w:cs="宋体"/>
                <w:sz w:val="24"/>
                <w:szCs w:val="24"/>
              </w:rPr>
            </w:pPr>
            <w:r>
              <w:rPr>
                <w:rFonts w:hint="eastAsia" w:ascii="宋体" w:hAnsi="宋体" w:eastAsia="宋体" w:cs="宋体"/>
                <w:sz w:val="24"/>
                <w:szCs w:val="24"/>
              </w:rPr>
              <w:t>收到修改文件当日内完成</w:t>
            </w:r>
          </w:p>
        </w:tc>
      </w:tr>
      <w:tr w14:paraId="7481C467">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543B7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FD0FD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455F1DE">
            <w:pPr>
              <w:spacing w:line="360" w:lineRule="auto"/>
              <w:rPr>
                <w:rFonts w:hint="eastAsia" w:ascii="宋体" w:hAnsi="宋体" w:eastAsia="宋体" w:cs="宋体"/>
                <w:sz w:val="24"/>
                <w:szCs w:val="24"/>
              </w:rPr>
            </w:pPr>
            <w:r>
              <w:rPr>
                <w:rFonts w:hint="eastAsia" w:ascii="宋体" w:hAnsi="宋体" w:eastAsia="宋体" w:cs="宋体"/>
                <w:sz w:val="24"/>
                <w:szCs w:val="24"/>
              </w:rPr>
              <w:t>自开标大会之日起不得少于90天</w:t>
            </w:r>
          </w:p>
        </w:tc>
      </w:tr>
      <w:tr w14:paraId="3F05AEF6">
        <w:tblPrEx>
          <w:tblCellMar>
            <w:top w:w="0" w:type="dxa"/>
            <w:left w:w="108" w:type="dxa"/>
            <w:bottom w:w="0" w:type="dxa"/>
            <w:right w:w="108" w:type="dxa"/>
          </w:tblCellMar>
        </w:tblPrEx>
        <w:trPr>
          <w:trHeight w:val="56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0E83F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4E4A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C48379F">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投标</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3000</w:t>
            </w:r>
            <w:r>
              <w:rPr>
                <w:rFonts w:hint="eastAsia" w:ascii="宋体" w:hAnsi="宋体" w:eastAsia="宋体" w:cs="宋体"/>
                <w:b/>
                <w:bCs/>
                <w:color w:val="auto"/>
                <w:kern w:val="2"/>
                <w:sz w:val="24"/>
                <w:szCs w:val="24"/>
                <w:lang w:val="en-US" w:eastAsia="zh-CN"/>
              </w:rPr>
              <w:t>.00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叁仟元整</w:t>
            </w:r>
            <w:r>
              <w:rPr>
                <w:rFonts w:hint="eastAsia" w:ascii="宋体" w:hAnsi="宋体" w:eastAsia="宋体" w:cs="宋体"/>
                <w:b/>
                <w:bCs/>
                <w:color w:val="auto"/>
                <w:kern w:val="2"/>
                <w:sz w:val="24"/>
                <w:szCs w:val="24"/>
                <w:u w:val="none"/>
                <w:lang w:eastAsia="zh-CN"/>
              </w:rPr>
              <w:t>）</w:t>
            </w:r>
          </w:p>
          <w:p w14:paraId="52886ED0">
            <w:pPr>
              <w:pStyle w:val="14"/>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auto"/>
                <w:kern w:val="2"/>
                <w:sz w:val="24"/>
                <w:szCs w:val="24"/>
                <w:lang w:val="en-US" w:eastAsia="zh-CN" w:bidi="ar-SA"/>
              </w:rPr>
              <w:t>SXXZ2026-04</w:t>
            </w:r>
            <w:r>
              <w:rPr>
                <w:rFonts w:hint="eastAsia" w:ascii="宋体" w:hAnsi="宋体" w:eastAsia="宋体" w:cs="宋体"/>
                <w:b/>
                <w:bCs/>
                <w:color w:val="auto"/>
                <w:kern w:val="2"/>
                <w:sz w:val="24"/>
                <w:szCs w:val="24"/>
                <w:lang w:val="en-US" w:eastAsia="zh-CN" w:bidi="ar-SA"/>
              </w:rPr>
              <w:t>-</w:t>
            </w:r>
            <w:r>
              <w:rPr>
                <w:rFonts w:hint="eastAsia" w:ascii="宋体" w:hAnsi="宋体" w:cs="宋体"/>
                <w:b/>
                <w:bCs/>
                <w:color w:val="auto"/>
                <w:kern w:val="2"/>
                <w:sz w:val="24"/>
                <w:szCs w:val="24"/>
                <w:lang w:val="en-US" w:eastAsia="zh-CN" w:bidi="ar-SA"/>
              </w:rPr>
              <w:t>二</w:t>
            </w:r>
            <w:r>
              <w:rPr>
                <w:rFonts w:hint="eastAsia" w:ascii="宋体" w:hAnsi="宋体" w:eastAsia="宋体" w:cs="宋体"/>
                <w:b/>
                <w:bCs/>
                <w:color w:val="auto"/>
                <w:kern w:val="2"/>
                <w:sz w:val="24"/>
                <w:szCs w:val="24"/>
                <w:lang w:val="en-US" w:eastAsia="zh-CN" w:bidi="ar-SA"/>
              </w:rPr>
              <w:t>标包投标保证金</w:t>
            </w:r>
          </w:p>
          <w:p w14:paraId="5F8FE8EE">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有效期一致。</w:t>
            </w:r>
          </w:p>
          <w:p w14:paraId="66FF3286">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文件无效。请</w:t>
            </w:r>
            <w:r>
              <w:rPr>
                <w:rFonts w:hint="eastAsia" w:ascii="宋体" w:hAnsi="宋体" w:eastAsia="宋体" w:cs="宋体"/>
                <w:color w:val="auto"/>
                <w:sz w:val="24"/>
                <w:szCs w:val="24"/>
                <w:lang w:eastAsia="zh-CN"/>
              </w:rPr>
              <w:t>供应商在</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eastAsia="zh-CN"/>
              </w:rPr>
              <w:t>文件递交截止时间</w:t>
            </w:r>
            <w:r>
              <w:rPr>
                <w:rFonts w:hint="eastAsia" w:ascii="宋体" w:hAnsi="宋体" w:eastAsia="宋体" w:cs="宋体"/>
                <w:color w:val="auto"/>
                <w:sz w:val="24"/>
                <w:szCs w:val="24"/>
                <w:lang w:val="en-US" w:eastAsia="zh-CN"/>
              </w:rPr>
              <w:t>前将投标保证金由公司账户（投标保证金的交付单位和投标供应商的名称必须一致）缴纳到下列账户：</w:t>
            </w:r>
          </w:p>
          <w:p w14:paraId="4C964B62">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cs="宋体"/>
                <w:b/>
                <w:bCs/>
                <w:color w:val="auto"/>
                <w:sz w:val="24"/>
                <w:szCs w:val="24"/>
                <w:lang w:eastAsia="zh-CN"/>
              </w:rPr>
              <w:t>陕西新招项目管理有限公司</w:t>
            </w:r>
          </w:p>
          <w:p w14:paraId="3C77BB0C">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w:t>
            </w:r>
            <w:r>
              <w:rPr>
                <w:rFonts w:hint="eastAsia" w:ascii="宋体" w:hAnsi="宋体" w:eastAsia="宋体" w:cs="宋体"/>
                <w:b/>
                <w:bCs/>
                <w:color w:val="auto"/>
                <w:sz w:val="24"/>
                <w:szCs w:val="24"/>
                <w:lang w:val="en-US" w:eastAsia="zh-CN"/>
              </w:rPr>
              <w:t>中国银行股份有限公司延安东街支行</w:t>
            </w:r>
          </w:p>
          <w:p w14:paraId="1C9A7B36">
            <w:pPr>
              <w:spacing w:line="360" w:lineRule="auto"/>
              <w:ind w:firstLine="482" w:firstLineChars="200"/>
              <w:jc w:val="left"/>
              <w:rPr>
                <w:rFonts w:hint="eastAsia" w:ascii="宋体" w:hAnsi="宋体" w:eastAsia="宋体" w:cs="宋体"/>
                <w:sz w:val="24"/>
                <w:szCs w:val="24"/>
                <w:lang w:eastAsia="zh-CN"/>
              </w:rPr>
            </w:pPr>
            <w:r>
              <w:rPr>
                <w:rFonts w:hint="eastAsia" w:ascii="宋体" w:hAnsi="宋体" w:eastAsia="宋体" w:cs="宋体"/>
                <w:b/>
                <w:bCs/>
                <w:color w:val="auto"/>
                <w:sz w:val="24"/>
                <w:szCs w:val="24"/>
              </w:rPr>
              <w:t>账      号：</w:t>
            </w:r>
            <w:r>
              <w:rPr>
                <w:rFonts w:hint="eastAsia" w:ascii="宋体" w:hAnsi="宋体" w:eastAsia="宋体" w:cs="宋体"/>
                <w:b/>
                <w:bCs/>
                <w:color w:val="auto"/>
                <w:sz w:val="24"/>
                <w:szCs w:val="24"/>
                <w:lang w:val="en-US" w:eastAsia="zh-CN"/>
              </w:rPr>
              <w:t>103305729573</w:t>
            </w:r>
          </w:p>
        </w:tc>
      </w:tr>
      <w:tr w14:paraId="0AA527A7">
        <w:tblPrEx>
          <w:tblCellMar>
            <w:top w:w="0" w:type="dxa"/>
            <w:left w:w="108" w:type="dxa"/>
            <w:bottom w:w="0" w:type="dxa"/>
            <w:right w:w="108" w:type="dxa"/>
          </w:tblCellMar>
        </w:tblPrEx>
        <w:trPr>
          <w:trHeight w:val="140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7052E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474D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签字或盖章要求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4A8EB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电子</w:t>
            </w:r>
            <w:r>
              <w:rPr>
                <w:rFonts w:hint="eastAsia" w:ascii="宋体" w:hAnsi="宋体" w:eastAsia="宋体" w:cs="宋体"/>
                <w:sz w:val="24"/>
                <w:szCs w:val="24"/>
              </w:rPr>
              <w:t>投标文件须逐页加盖公章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鲜章</w:t>
            </w:r>
            <w:r>
              <w:rPr>
                <w:rFonts w:hint="eastAsia" w:ascii="宋体" w:hAnsi="宋体" w:eastAsia="宋体" w:cs="宋体"/>
                <w:sz w:val="24"/>
                <w:szCs w:val="24"/>
                <w:lang w:eastAsia="zh-CN"/>
              </w:rPr>
              <w:t>）</w:t>
            </w:r>
            <w:r>
              <w:rPr>
                <w:rFonts w:hint="eastAsia" w:ascii="宋体" w:hAnsi="宋体" w:eastAsia="宋体" w:cs="宋体"/>
                <w:sz w:val="24"/>
                <w:szCs w:val="24"/>
              </w:rPr>
              <w:t>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纸质投标文件须</w:t>
            </w:r>
            <w:r>
              <w:rPr>
                <w:rFonts w:hint="eastAsia" w:ascii="宋体" w:hAnsi="宋体" w:eastAsia="宋体" w:cs="宋体"/>
                <w:sz w:val="24"/>
                <w:szCs w:val="24"/>
              </w:rPr>
              <w:t>在指定页面加盖公章（鲜章）并经法定代表人或其委托代理人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签字或盖章。由委托代理人签字或盖章的在投标文件中须同时提交投标文件签署授权委托书。</w:t>
            </w:r>
          </w:p>
        </w:tc>
      </w:tr>
      <w:tr w14:paraId="412BD02A">
        <w:tblPrEx>
          <w:tblCellMar>
            <w:top w:w="0" w:type="dxa"/>
            <w:left w:w="108" w:type="dxa"/>
            <w:bottom w:w="0" w:type="dxa"/>
            <w:right w:w="108" w:type="dxa"/>
          </w:tblCellMar>
        </w:tblPrEx>
        <w:trPr>
          <w:trHeight w:val="1139" w:hRule="atLeast"/>
          <w:jc w:val="center"/>
        </w:trPr>
        <w:tc>
          <w:tcPr>
            <w:tcW w:w="968" w:type="dxa"/>
            <w:tcBorders>
              <w:top w:val="single" w:color="auto" w:sz="4" w:space="0"/>
              <w:left w:val="single" w:color="auto" w:sz="4" w:space="0"/>
              <w:right w:val="single" w:color="auto" w:sz="4" w:space="0"/>
            </w:tcBorders>
            <w:noWrap w:val="0"/>
            <w:vAlign w:val="center"/>
          </w:tcPr>
          <w:p w14:paraId="60CF41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CD534A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eastAsia="zh-CN"/>
              </w:rPr>
              <w:t>投标文件编制及递交要求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0ABB5652">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本招标项目采用电子化招投标，项目投标文件应在“延安市公共资源交易中心网”下载投标文件制作软件进行编制并在投标截止时间前上传递交。若未按照招标文件要求编制、递交投标文件，将可能导致投标无效，其后果由投标人自负。</w:t>
            </w:r>
          </w:p>
          <w:p w14:paraId="3E30025E">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2、电子投标文件上传递交至延安市公共资源交易中心网电子招标投标系统；</w:t>
            </w:r>
          </w:p>
          <w:p w14:paraId="0CB5E5A8">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3、纸质投标文件递交要求：正本壹份，副本贰份，电子版U盘1份。</w:t>
            </w:r>
          </w:p>
          <w:p w14:paraId="74D463F9">
            <w:pPr>
              <w:spacing w:line="360" w:lineRule="auto"/>
              <w:ind w:firstLine="482" w:firstLineChars="20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注：本项目纸质投标文件须留档保存，接受邮寄（纸质投标文件须与电子投标文件保持一致），开标结束后三日内邮寄到：</w:t>
            </w:r>
            <w:r>
              <w:rPr>
                <w:rFonts w:hint="eastAsia" w:ascii="宋体" w:hAnsi="宋体" w:cs="宋体"/>
                <w:b/>
                <w:bCs/>
                <w:color w:val="000000"/>
                <w:sz w:val="24"/>
                <w:szCs w:val="24"/>
                <w:lang w:val="en-US" w:eastAsia="zh-CN"/>
              </w:rPr>
              <w:t>陕西省延安市宝塔区陕西省延安市宝塔区东方明珠4号楼27层</w:t>
            </w:r>
            <w:r>
              <w:rPr>
                <w:rFonts w:hint="eastAsia" w:ascii="宋体" w:hAnsi="宋体" w:eastAsia="宋体" w:cs="宋体"/>
                <w:b/>
                <w:bCs/>
                <w:color w:val="000000"/>
                <w:sz w:val="24"/>
                <w:szCs w:val="24"/>
                <w:lang w:val="en-US" w:eastAsia="zh-CN"/>
              </w:rPr>
              <w:t>，电话：</w:t>
            </w:r>
            <w:r>
              <w:rPr>
                <w:rFonts w:hint="eastAsia" w:ascii="宋体" w:hAnsi="宋体" w:cs="宋体"/>
                <w:b/>
                <w:bCs/>
                <w:color w:val="000000"/>
                <w:sz w:val="24"/>
                <w:szCs w:val="24"/>
                <w:lang w:val="en-US" w:eastAsia="zh-CN"/>
              </w:rPr>
              <w:t>15691188082</w:t>
            </w:r>
            <w:r>
              <w:rPr>
                <w:rFonts w:hint="eastAsia" w:ascii="宋体" w:hAnsi="宋体" w:eastAsia="宋体" w:cs="宋体"/>
                <w:b/>
                <w:bCs/>
                <w:color w:val="000000"/>
                <w:sz w:val="24"/>
                <w:szCs w:val="24"/>
                <w:lang w:val="en-US" w:eastAsia="zh-CN"/>
              </w:rPr>
              <w:t>。</w:t>
            </w:r>
          </w:p>
        </w:tc>
      </w:tr>
      <w:tr w14:paraId="2E61F7B3">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07D1AC6">
            <w:pPr>
              <w:spacing w:line="360" w:lineRule="auto"/>
              <w:jc w:val="center"/>
              <w:rPr>
                <w:rFonts w:hint="eastAsia" w:ascii="宋体" w:hAnsi="宋体" w:eastAsia="宋体" w:cs="宋体"/>
                <w:sz w:val="24"/>
                <w:szCs w:val="24"/>
              </w:rPr>
            </w:pPr>
            <w:r>
              <w:rPr>
                <w:rFonts w:hint="eastAsia" w:ascii="宋体" w:hAnsi="宋体" w:cs="宋体"/>
                <w:sz w:val="24"/>
                <w:szCs w:val="24"/>
              </w:rPr>
              <w:t>4.2.2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213B8DB">
            <w:pPr>
              <w:spacing w:line="360" w:lineRule="auto"/>
              <w:jc w:val="center"/>
              <w:rPr>
                <w:rFonts w:hint="eastAsia" w:ascii="宋体" w:hAnsi="宋体" w:eastAsia="宋体" w:cs="宋体"/>
                <w:color w:val="000000"/>
                <w:sz w:val="24"/>
                <w:szCs w:val="24"/>
              </w:rPr>
            </w:pPr>
            <w:r>
              <w:rPr>
                <w:rFonts w:hint="eastAsia" w:ascii="宋体" w:hAnsi="宋体" w:cs="宋体"/>
                <w:color w:val="000000"/>
                <w:sz w:val="24"/>
                <w:szCs w:val="24"/>
              </w:rPr>
              <w:t>开标时间和地点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D380FBC">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202</w:t>
            </w:r>
            <w:r>
              <w:rPr>
                <w:rFonts w:hint="eastAsia" w:ascii="宋体" w:hAnsi="宋体" w:cs="宋体"/>
                <w:color w:val="000000"/>
                <w:sz w:val="24"/>
                <w:szCs w:val="24"/>
                <w:lang w:val="en-US" w:eastAsia="zh-CN"/>
              </w:rPr>
              <w:t>6</w:t>
            </w:r>
            <w:r>
              <w:rPr>
                <w:rFonts w:hint="eastAsia" w:ascii="宋体" w:hAnsi="宋体" w:cs="宋体"/>
                <w:color w:val="000000"/>
                <w:sz w:val="24"/>
                <w:szCs w:val="24"/>
              </w:rPr>
              <w:t>年</w:t>
            </w:r>
            <w:r>
              <w:rPr>
                <w:rFonts w:hint="eastAsia" w:ascii="宋体" w:hAnsi="宋体" w:cs="宋体"/>
                <w:color w:val="000000"/>
                <w:sz w:val="24"/>
                <w:szCs w:val="24"/>
                <w:lang w:val="en-US" w:eastAsia="zh-CN"/>
              </w:rPr>
              <w:t>03</w:t>
            </w:r>
            <w:r>
              <w:rPr>
                <w:rFonts w:hint="eastAsia" w:ascii="宋体" w:hAnsi="宋体" w:cs="宋体"/>
                <w:color w:val="000000"/>
                <w:sz w:val="24"/>
                <w:szCs w:val="24"/>
              </w:rPr>
              <w:t>月</w:t>
            </w:r>
            <w:r>
              <w:rPr>
                <w:rFonts w:hint="eastAsia" w:ascii="宋体" w:hAnsi="宋体" w:cs="宋体"/>
                <w:color w:val="000000"/>
                <w:sz w:val="24"/>
                <w:szCs w:val="24"/>
                <w:lang w:val="en-US" w:eastAsia="zh-CN"/>
              </w:rPr>
              <w:t>31</w:t>
            </w: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09 </w:t>
            </w:r>
            <w:r>
              <w:rPr>
                <w:rFonts w:hint="eastAsia" w:ascii="宋体" w:hAnsi="宋体" w:cs="宋体"/>
                <w:color w:val="000000"/>
                <w:sz w:val="24"/>
                <w:szCs w:val="24"/>
              </w:rPr>
              <w:t>时00分00秒（北京时间）</w:t>
            </w:r>
          </w:p>
          <w:p w14:paraId="5C6B0EBB">
            <w:pPr>
              <w:spacing w:line="360" w:lineRule="auto"/>
              <w:rPr>
                <w:rFonts w:hint="eastAsia" w:ascii="宋体" w:hAnsi="宋体" w:eastAsia="宋体" w:cs="宋体"/>
                <w:color w:val="000000"/>
                <w:sz w:val="24"/>
                <w:szCs w:val="24"/>
              </w:rPr>
            </w:pPr>
            <w:r>
              <w:rPr>
                <w:rFonts w:hint="eastAsia" w:ascii="宋体" w:hAnsi="宋体" w:cs="宋体"/>
                <w:color w:val="000000"/>
                <w:sz w:val="24"/>
                <w:szCs w:val="24"/>
              </w:rPr>
              <w:t>地点：延安市公共资源交易中心交易</w:t>
            </w:r>
            <w:r>
              <w:rPr>
                <w:rFonts w:hint="eastAsia" w:ascii="宋体" w:hAnsi="宋体" w:cs="宋体"/>
                <w:color w:val="000000"/>
                <w:sz w:val="24"/>
                <w:szCs w:val="24"/>
                <w:lang w:val="en-US" w:eastAsia="zh-CN"/>
              </w:rPr>
              <w:t>一</w:t>
            </w:r>
            <w:r>
              <w:rPr>
                <w:rFonts w:hint="eastAsia" w:ascii="宋体" w:hAnsi="宋体" w:cs="宋体"/>
                <w:color w:val="000000"/>
                <w:sz w:val="24"/>
                <w:szCs w:val="24"/>
              </w:rPr>
              <w:t>厅</w:t>
            </w:r>
          </w:p>
        </w:tc>
      </w:tr>
      <w:tr w14:paraId="03EDF7B6">
        <w:tblPrEx>
          <w:tblCellMar>
            <w:top w:w="0" w:type="dxa"/>
            <w:left w:w="108" w:type="dxa"/>
            <w:bottom w:w="0" w:type="dxa"/>
            <w:right w:w="108" w:type="dxa"/>
          </w:tblCellMar>
        </w:tblPrEx>
        <w:trPr>
          <w:trHeight w:val="73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8B6B9D8">
            <w:pPr>
              <w:spacing w:line="360" w:lineRule="auto"/>
              <w:jc w:val="center"/>
              <w:rPr>
                <w:rFonts w:hint="eastAsia" w:ascii="宋体" w:hAnsi="宋体" w:eastAsia="宋体" w:cs="宋体"/>
                <w:sz w:val="24"/>
                <w:szCs w:val="24"/>
              </w:rPr>
            </w:pPr>
            <w:r>
              <w:rPr>
                <w:rFonts w:hint="eastAsia" w:ascii="宋体" w:hAnsi="宋体" w:cs="宋体"/>
                <w:sz w:val="24"/>
                <w:szCs w:val="24"/>
              </w:rPr>
              <w:t>4.2.3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DB9BEDF">
            <w:pPr>
              <w:spacing w:line="360" w:lineRule="auto"/>
              <w:jc w:val="center"/>
              <w:rPr>
                <w:rFonts w:hint="eastAsia" w:ascii="宋体" w:hAnsi="宋体" w:eastAsia="宋体" w:cs="宋体"/>
                <w:sz w:val="24"/>
                <w:szCs w:val="24"/>
              </w:rPr>
            </w:pPr>
            <w:r>
              <w:rPr>
                <w:rFonts w:hint="eastAsia" w:ascii="宋体" w:hAnsi="宋体" w:cs="宋体"/>
                <w:color w:val="000000"/>
                <w:sz w:val="24"/>
                <w:szCs w:val="24"/>
              </w:rPr>
              <w:t>是否退还投标文件</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BE9EB95">
            <w:pPr>
              <w:spacing w:line="360" w:lineRule="auto"/>
              <w:jc w:val="left"/>
              <w:rPr>
                <w:rFonts w:hint="eastAsia" w:ascii="宋体" w:hAnsi="宋体" w:eastAsia="宋体" w:cs="宋体"/>
                <w:sz w:val="24"/>
                <w:szCs w:val="24"/>
              </w:rPr>
            </w:pPr>
            <w:r>
              <w:rPr>
                <w:rFonts w:hint="eastAsia" w:ascii="宋体" w:hAnsi="宋体" w:cs="宋体"/>
                <w:color w:val="000000"/>
                <w:sz w:val="24"/>
                <w:szCs w:val="24"/>
              </w:rPr>
              <w:t>否</w:t>
            </w:r>
          </w:p>
        </w:tc>
      </w:tr>
      <w:tr w14:paraId="5A791FE4">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5DC2076">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D86D5D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开标程序</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8BF81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13C6025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tc>
      </w:tr>
      <w:tr w14:paraId="266EB3B8">
        <w:tblPrEx>
          <w:tblCellMar>
            <w:top w:w="0" w:type="dxa"/>
            <w:left w:w="108" w:type="dxa"/>
            <w:bottom w:w="0" w:type="dxa"/>
            <w:right w:w="108" w:type="dxa"/>
          </w:tblCellMar>
        </w:tblPrEx>
        <w:trPr>
          <w:trHeight w:val="119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CDBCD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B8084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79074CF">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人；其中采购人代表</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人；专家</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人</w:t>
            </w:r>
          </w:p>
          <w:p w14:paraId="4D7289E5">
            <w:pPr>
              <w:spacing w:line="360" w:lineRule="auto"/>
              <w:rPr>
                <w:rFonts w:hint="eastAsia" w:ascii="宋体" w:hAnsi="宋体" w:eastAsia="宋体" w:cs="宋体"/>
                <w:sz w:val="24"/>
                <w:szCs w:val="24"/>
              </w:rPr>
            </w:pPr>
            <w:r>
              <w:rPr>
                <w:rFonts w:hint="eastAsia" w:ascii="宋体" w:hAnsi="宋体" w:eastAsia="宋体" w:cs="宋体"/>
                <w:sz w:val="24"/>
                <w:szCs w:val="24"/>
              </w:rPr>
              <w:t>评标专家确定方式：陕西</w:t>
            </w:r>
            <w:r>
              <w:rPr>
                <w:rFonts w:hint="eastAsia" w:ascii="宋体" w:hAnsi="宋体" w:eastAsia="宋体" w:cs="宋体"/>
                <w:sz w:val="24"/>
                <w:szCs w:val="24"/>
                <w:lang w:val="en-US" w:eastAsia="zh-CN"/>
              </w:rPr>
              <w:t>省</w:t>
            </w:r>
            <w:r>
              <w:rPr>
                <w:rFonts w:hint="eastAsia" w:ascii="宋体" w:hAnsi="宋体" w:eastAsia="宋体" w:cs="宋体"/>
                <w:sz w:val="24"/>
                <w:szCs w:val="24"/>
              </w:rPr>
              <w:t>政府采购综合管理平台专家库中随机抽取。</w:t>
            </w:r>
          </w:p>
        </w:tc>
      </w:tr>
      <w:tr w14:paraId="3C34BF9C">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CA520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E181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4957733">
            <w:pPr>
              <w:spacing w:line="360" w:lineRule="auto"/>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color w:val="000000"/>
                <w:sz w:val="24"/>
                <w:szCs w:val="24"/>
              </w:rPr>
              <w:t>推荐3名中标候选供应商</w:t>
            </w:r>
          </w:p>
        </w:tc>
      </w:tr>
      <w:tr w14:paraId="748683DF">
        <w:tblPrEx>
          <w:tblCellMar>
            <w:top w:w="0" w:type="dxa"/>
            <w:left w:w="108" w:type="dxa"/>
            <w:bottom w:w="0" w:type="dxa"/>
            <w:right w:w="108" w:type="dxa"/>
          </w:tblCellMar>
        </w:tblPrEx>
        <w:trPr>
          <w:trHeight w:val="49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8ADFE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5790D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1D553C">
            <w:pPr>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4189689E">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E1D036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63BBBF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是否专门面向中小企业采购</w:t>
            </w:r>
          </w:p>
        </w:tc>
        <w:tc>
          <w:tcPr>
            <w:tcW w:w="70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815D37">
            <w:pPr>
              <w:pStyle w:val="17"/>
              <w:spacing w:line="40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r>
              <w:rPr>
                <w:rFonts w:hint="eastAsia" w:hAnsi="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hAnsi="宋体" w:cs="宋体"/>
                <w:color w:val="auto"/>
                <w:sz w:val="24"/>
                <w:szCs w:val="24"/>
                <w:lang w:eastAsia="zh-CN"/>
              </w:rPr>
              <w:t>☑</w:t>
            </w:r>
          </w:p>
          <w:p w14:paraId="162AC91E">
            <w:pPr>
              <w:pStyle w:val="17"/>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本项目不专门面向中小企业采购项目,</w:t>
            </w:r>
            <w:r>
              <w:rPr>
                <w:rFonts w:hint="eastAsia" w:hAnsi="宋体" w:cs="宋体"/>
                <w:b/>
                <w:bCs/>
                <w:color w:val="auto"/>
                <w:kern w:val="2"/>
                <w:sz w:val="24"/>
                <w:szCs w:val="24"/>
                <w:lang w:val="en-US" w:eastAsia="zh-CN" w:bidi="ar-SA"/>
              </w:rPr>
              <w:t>小微</w:t>
            </w:r>
            <w:r>
              <w:rPr>
                <w:rFonts w:hint="eastAsia" w:ascii="宋体" w:hAnsi="宋体" w:eastAsia="宋体" w:cs="宋体"/>
                <w:b/>
                <w:bCs/>
                <w:color w:val="auto"/>
                <w:kern w:val="2"/>
                <w:sz w:val="24"/>
                <w:szCs w:val="24"/>
                <w:lang w:val="en-US" w:eastAsia="zh-CN" w:bidi="ar-SA"/>
              </w:rPr>
              <w:t>企业执行价格分折扣优惠。（未预留份额专门面向</w:t>
            </w:r>
            <w:r>
              <w:rPr>
                <w:rFonts w:hint="eastAsia" w:hAnsi="宋体" w:cs="宋体"/>
                <w:b/>
                <w:bCs/>
                <w:color w:val="auto"/>
                <w:kern w:val="2"/>
                <w:sz w:val="24"/>
                <w:szCs w:val="24"/>
                <w:lang w:val="en-US" w:eastAsia="zh-CN" w:bidi="ar-SA"/>
              </w:rPr>
              <w:t>小微</w:t>
            </w:r>
            <w:r>
              <w:rPr>
                <w:rFonts w:hint="eastAsia" w:ascii="宋体" w:hAnsi="宋体" w:eastAsia="宋体" w:cs="宋体"/>
                <w:b/>
                <w:bCs/>
                <w:color w:val="auto"/>
                <w:kern w:val="2"/>
                <w:sz w:val="24"/>
                <w:szCs w:val="24"/>
                <w:lang w:val="en-US" w:eastAsia="zh-CN" w:bidi="ar-SA"/>
              </w:rPr>
              <w:t>企业的货物服务采购项目，给予</w:t>
            </w:r>
            <w:r>
              <w:rPr>
                <w:rFonts w:hint="eastAsia" w:hAnsi="宋体" w:cs="宋体"/>
                <w:b/>
                <w:bCs/>
                <w:color w:val="auto"/>
                <w:kern w:val="2"/>
                <w:sz w:val="24"/>
                <w:szCs w:val="24"/>
                <w:lang w:val="en-US" w:eastAsia="zh-CN" w:bidi="ar-SA"/>
              </w:rPr>
              <w:t>小微</w:t>
            </w:r>
            <w:r>
              <w:rPr>
                <w:rFonts w:hint="eastAsia" w:ascii="宋体" w:hAnsi="宋体" w:eastAsia="宋体" w:cs="宋体"/>
                <w:b/>
                <w:bCs/>
                <w:color w:val="auto"/>
                <w:kern w:val="2"/>
                <w:sz w:val="24"/>
                <w:szCs w:val="24"/>
                <w:lang w:val="en-US" w:eastAsia="zh-CN" w:bidi="ar-SA"/>
              </w:rPr>
              <w:t>企业的价格扣除优惠10%）</w:t>
            </w:r>
            <w:bookmarkStart w:id="992" w:name="_GoBack"/>
            <w:bookmarkEnd w:id="992"/>
          </w:p>
        </w:tc>
      </w:tr>
      <w:tr w14:paraId="282182B3">
        <w:tblPrEx>
          <w:tblCellMar>
            <w:top w:w="0" w:type="dxa"/>
            <w:left w:w="108" w:type="dxa"/>
            <w:bottom w:w="0" w:type="dxa"/>
            <w:right w:w="108" w:type="dxa"/>
          </w:tblCellMar>
        </w:tblPrEx>
        <w:trPr>
          <w:trHeight w:val="74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97D4A9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B40433C">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采购标的所属行业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A51B8B7">
            <w:pPr>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其他未列明行业</w:t>
            </w:r>
          </w:p>
        </w:tc>
      </w:tr>
      <w:tr w14:paraId="2EB1186C">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3FEADC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794" w:type="dxa"/>
            <w:gridSpan w:val="2"/>
            <w:tcBorders>
              <w:top w:val="single" w:color="auto" w:sz="4" w:space="0"/>
              <w:left w:val="single" w:color="auto" w:sz="4" w:space="0"/>
              <w:bottom w:val="single" w:color="auto" w:sz="4" w:space="0"/>
              <w:right w:val="single" w:color="auto" w:sz="4" w:space="0"/>
            </w:tcBorders>
            <w:noWrap w:val="0"/>
            <w:vAlign w:val="center"/>
          </w:tcPr>
          <w:p w14:paraId="165B8927">
            <w:pPr>
              <w:spacing w:line="360" w:lineRule="auto"/>
              <w:rPr>
                <w:rFonts w:hint="eastAsia" w:ascii="宋体" w:hAnsi="宋体" w:eastAsia="宋体" w:cs="宋体"/>
                <w:sz w:val="24"/>
                <w:szCs w:val="24"/>
              </w:rPr>
            </w:pPr>
            <w:r>
              <w:rPr>
                <w:rFonts w:hint="eastAsia" w:ascii="宋体" w:hAnsi="宋体" w:eastAsia="宋体" w:cs="宋体"/>
                <w:b/>
                <w:sz w:val="24"/>
                <w:szCs w:val="24"/>
              </w:rPr>
              <w:t>需要补充的其他内容</w:t>
            </w:r>
          </w:p>
        </w:tc>
      </w:tr>
      <w:tr w14:paraId="6927E7D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2762E4">
            <w:pPr>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lang w:val="en-US" w:eastAsia="zh-CN"/>
              </w:rPr>
              <w:t>10</w:t>
            </w:r>
            <w:r>
              <w:rPr>
                <w:rFonts w:hint="eastAsia" w:ascii="宋体" w:hAnsi="宋体" w:eastAsia="宋体" w:cs="宋体"/>
                <w:sz w:val="24"/>
                <w:szCs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0EE521">
            <w:pPr>
              <w:spacing w:line="360" w:lineRule="auto"/>
              <w:rPr>
                <w:rFonts w:hint="eastAsia" w:ascii="宋体" w:hAnsi="宋体" w:eastAsia="宋体" w:cs="宋体"/>
                <w:sz w:val="24"/>
                <w:szCs w:val="24"/>
                <w:highlight w:val="yellow"/>
              </w:rPr>
            </w:pPr>
            <w:r>
              <w:rPr>
                <w:rFonts w:hint="eastAsia" w:ascii="宋体" w:hAnsi="宋体" w:eastAsia="宋体" w:cs="宋体"/>
                <w:sz w:val="24"/>
                <w:szCs w:val="24"/>
              </w:rPr>
              <w:t>招标代理服务费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B8219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代理服务费收费标准：</w:t>
            </w:r>
            <w:r>
              <w:rPr>
                <w:rFonts w:hint="eastAsia" w:ascii="宋体" w:hAnsi="宋体" w:eastAsia="宋体" w:cs="宋体"/>
                <w:color w:val="000000"/>
                <w:sz w:val="24"/>
                <w:szCs w:val="24"/>
              </w:rPr>
              <w:t>采购代理机构参照国家计委关于印发《招标代理服务收费管理暂行办法》计价格[2002]1980号文和《国家发展改革委关于降低部分建设项目收费标准规范收费行为等有关问题的通知》发改价格[2011]534号规定标准</w:t>
            </w:r>
            <w:r>
              <w:rPr>
                <w:rFonts w:hint="eastAsia" w:ascii="宋体" w:hAnsi="宋体" w:cs="宋体"/>
                <w:color w:val="000000"/>
                <w:sz w:val="24"/>
                <w:szCs w:val="24"/>
                <w:lang w:val="en-US" w:eastAsia="zh-CN"/>
              </w:rPr>
              <w:t>向中标人</w:t>
            </w:r>
            <w:r>
              <w:rPr>
                <w:rFonts w:hint="eastAsia" w:ascii="宋体" w:hAnsi="宋体" w:eastAsia="宋体" w:cs="宋体"/>
                <w:color w:val="000000"/>
                <w:sz w:val="24"/>
                <w:szCs w:val="24"/>
              </w:rPr>
              <w:t>收取代理服务费</w:t>
            </w:r>
            <w:r>
              <w:rPr>
                <w:rFonts w:hint="eastAsia" w:ascii="宋体" w:hAnsi="宋体" w:eastAsia="宋体" w:cs="宋体"/>
                <w:sz w:val="24"/>
                <w:szCs w:val="24"/>
              </w:rPr>
              <w:t>。</w:t>
            </w:r>
          </w:p>
        </w:tc>
      </w:tr>
      <w:tr w14:paraId="08A956CC">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F37B12">
            <w:pPr>
              <w:spacing w:line="360" w:lineRule="auto"/>
              <w:jc w:val="center"/>
              <w:rPr>
                <w:rFonts w:hint="eastAsia" w:ascii="宋体" w:hAnsi="宋体" w:eastAsia="宋体" w:cs="宋体"/>
                <w:sz w:val="24"/>
                <w:szCs w:val="24"/>
                <w:lang w:val="en-US" w:eastAsia="zh-CN"/>
              </w:rPr>
            </w:pPr>
            <w:bookmarkStart w:id="28" w:name="_Toc12768"/>
            <w:bookmarkStart w:id="29" w:name="_Toc246996918"/>
            <w:bookmarkStart w:id="30" w:name="_Toc23962"/>
            <w:bookmarkStart w:id="31" w:name="_Toc179632546"/>
            <w:bookmarkStart w:id="32" w:name="_Toc152042305"/>
            <w:bookmarkStart w:id="33" w:name="_Toc152045529"/>
            <w:bookmarkStart w:id="34" w:name="_Toc247085689"/>
            <w:bookmarkStart w:id="35" w:name="_Toc20614"/>
            <w:bookmarkStart w:id="36" w:name="_Toc246996175"/>
            <w:bookmarkStart w:id="37" w:name="_Toc144974497"/>
            <w:bookmarkStart w:id="38" w:name="_Toc30835"/>
            <w:bookmarkStart w:id="39" w:name="_Toc9105"/>
            <w:bookmarkStart w:id="40" w:name="_Toc23617"/>
            <w:bookmarkStart w:id="41" w:name="_Toc16773"/>
            <w:r>
              <w:rPr>
                <w:rFonts w:hint="eastAsia" w:ascii="宋体" w:hAnsi="宋体" w:eastAsia="宋体" w:cs="宋体"/>
                <w:color w:val="000000"/>
                <w:sz w:val="24"/>
                <w:szCs w:val="24"/>
                <w:lang w:val="en-US" w:eastAsia="zh-CN"/>
              </w:rPr>
              <w:t>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96F3274">
            <w:pPr>
              <w:spacing w:line="360" w:lineRule="auto"/>
              <w:rPr>
                <w:rFonts w:hint="eastAsia" w:ascii="宋体" w:hAnsi="宋体" w:eastAsia="宋体" w:cs="宋体"/>
                <w:sz w:val="24"/>
                <w:szCs w:val="24"/>
              </w:rPr>
            </w:pPr>
            <w:r>
              <w:rPr>
                <w:rFonts w:hint="eastAsia" w:ascii="宋体" w:hAnsi="宋体" w:eastAsia="宋体" w:cs="宋体"/>
                <w:color w:val="000000"/>
                <w:sz w:val="24"/>
                <w:szCs w:val="24"/>
                <w:lang w:eastAsia="zh-CN"/>
              </w:rPr>
              <w:t>电子投标注意事项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6730935">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val="en-US" w:eastAsia="zh-CN"/>
              </w:rPr>
              <w:t>电子投标注意事项：投标人应及时下载招标文件和答疑纪要等相关文件，在投标截止时间前必须上传投标文件；本项目采用线上不见面形式，开标时各投标企业在各自公司进行解密，因投标人原因造成上传文件无法解密的，按无效处理。</w:t>
            </w:r>
          </w:p>
        </w:tc>
      </w:tr>
      <w:tr w14:paraId="1AFA1FDE">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9CCAA5C">
            <w:pPr>
              <w:spacing w:line="360" w:lineRule="auto"/>
              <w:jc w:val="center"/>
              <w:rPr>
                <w:rFonts w:hint="eastAsia" w:ascii="宋体" w:hAnsi="宋体" w:eastAsia="宋体" w:cs="宋体"/>
                <w:color w:val="000000"/>
                <w:sz w:val="24"/>
                <w:szCs w:val="24"/>
                <w:lang w:val="en-US" w:eastAsia="zh-CN"/>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FEE696F">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auto"/>
                <w:sz w:val="24"/>
                <w:szCs w:val="24"/>
                <w:highlight w:val="none"/>
                <w:lang w:val="en-US" w:eastAsia="zh-CN"/>
              </w:rPr>
              <w:t>其他要求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0AD604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（1）本项目共分</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个</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w:t>
            </w:r>
            <w:r>
              <w:rPr>
                <w:rFonts w:hint="eastAsia" w:ascii="宋体" w:hAnsi="宋体" w:cs="宋体"/>
                <w:color w:val="auto"/>
                <w:sz w:val="24"/>
                <w:szCs w:val="24"/>
                <w:highlight w:val="none"/>
                <w:lang w:val="en-US" w:eastAsia="zh-CN"/>
              </w:rPr>
              <w:t>二标</w:t>
            </w:r>
            <w:r>
              <w:rPr>
                <w:rFonts w:hint="eastAsia" w:ascii="宋体" w:hAnsi="宋体" w:eastAsia="宋体" w:cs="宋体"/>
                <w:color w:val="auto"/>
                <w:sz w:val="24"/>
                <w:szCs w:val="24"/>
                <w:highlight w:val="none"/>
                <w:lang w:val="en-US" w:eastAsia="zh-CN"/>
              </w:rPr>
              <w:t>包、三标包</w:t>
            </w:r>
            <w:r>
              <w:rPr>
                <w:rFonts w:hint="eastAsia" w:ascii="宋体" w:hAnsi="宋体" w:cs="宋体"/>
                <w:color w:val="auto"/>
                <w:sz w:val="24"/>
                <w:szCs w:val="24"/>
                <w:highlight w:val="none"/>
                <w:lang w:val="en-US" w:eastAsia="zh-CN"/>
              </w:rPr>
              <w:t>、四标包</w:t>
            </w:r>
            <w:r>
              <w:rPr>
                <w:rFonts w:hint="eastAsia" w:ascii="宋体" w:hAnsi="宋体" w:eastAsia="宋体" w:cs="宋体"/>
                <w:color w:val="auto"/>
                <w:sz w:val="24"/>
                <w:szCs w:val="24"/>
                <w:highlight w:val="none"/>
                <w:lang w:val="en-US" w:eastAsia="zh-CN"/>
              </w:rPr>
              <w:t>），投标人可同时投任意一</w:t>
            </w:r>
            <w:r>
              <w:rPr>
                <w:rFonts w:hint="eastAsia" w:ascii="宋体" w:hAnsi="宋体" w:cs="宋体"/>
                <w:color w:val="auto"/>
                <w:sz w:val="24"/>
                <w:szCs w:val="24"/>
                <w:highlight w:val="none"/>
                <w:lang w:val="en-US" w:eastAsia="zh-CN"/>
              </w:rPr>
              <w:t>标包</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lang w:val="en-US" w:eastAsia="zh-CN"/>
              </w:rPr>
              <w:t>四标</w:t>
            </w:r>
            <w:r>
              <w:rPr>
                <w:rFonts w:hint="eastAsia" w:ascii="宋体" w:hAnsi="宋体" w:eastAsia="宋体" w:cs="宋体"/>
                <w:color w:val="auto"/>
                <w:sz w:val="24"/>
                <w:szCs w:val="24"/>
                <w:highlight w:val="none"/>
                <w:lang w:val="en-US" w:eastAsia="zh-CN"/>
              </w:rPr>
              <w:t>包，但最多只能中选1个包。</w:t>
            </w:r>
          </w:p>
          <w:p w14:paraId="691B93F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（2）评标顺序为一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w:t>
            </w:r>
            <w:r>
              <w:rPr>
                <w:rFonts w:hint="eastAsia" w:ascii="宋体" w:hAnsi="宋体" w:cs="宋体"/>
                <w:color w:val="auto"/>
                <w:sz w:val="24"/>
                <w:szCs w:val="24"/>
                <w:highlight w:val="none"/>
                <w:lang w:val="en-US" w:eastAsia="zh-CN"/>
              </w:rPr>
              <w:t>四标</w:t>
            </w:r>
            <w:r>
              <w:rPr>
                <w:rFonts w:hint="eastAsia" w:ascii="宋体" w:hAnsi="宋体" w:eastAsia="宋体" w:cs="宋体"/>
                <w:color w:val="auto"/>
                <w:sz w:val="24"/>
                <w:szCs w:val="24"/>
                <w:highlight w:val="none"/>
                <w:lang w:val="en-US" w:eastAsia="zh-CN"/>
              </w:rPr>
              <w:t>包，按顺序依次评审并推荐中标候选人。</w:t>
            </w:r>
          </w:p>
          <w:p w14:paraId="7ED6CADD">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（3）若投标人在一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包中被确定为第一中标候选人，则其在二</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包、三标包</w:t>
            </w:r>
            <w:r>
              <w:rPr>
                <w:rFonts w:hint="eastAsia" w:ascii="宋体" w:hAnsi="宋体" w:cs="宋体"/>
                <w:color w:val="auto"/>
                <w:sz w:val="24"/>
                <w:szCs w:val="24"/>
                <w:highlight w:val="none"/>
                <w:lang w:val="en-US" w:eastAsia="zh-CN"/>
              </w:rPr>
              <w:t>、四标包</w:t>
            </w:r>
            <w:r>
              <w:rPr>
                <w:rFonts w:hint="eastAsia" w:ascii="宋体" w:hAnsi="宋体" w:eastAsia="宋体" w:cs="宋体"/>
                <w:color w:val="auto"/>
                <w:sz w:val="24"/>
                <w:szCs w:val="24"/>
                <w:highlight w:val="none"/>
                <w:lang w:val="en-US" w:eastAsia="zh-CN"/>
              </w:rPr>
              <w:t>的评审中不再具备中标资格（投标文件仍参与评审，但不纳入中标候选人排序）。</w:t>
            </w:r>
          </w:p>
        </w:tc>
      </w:tr>
    </w:tbl>
    <w:p w14:paraId="65C396E8">
      <w:pPr>
        <w:bidi w:val="0"/>
        <w:jc w:val="both"/>
        <w:rPr>
          <w:rFonts w:hint="eastAsia" w:ascii="宋体" w:hAnsi="宋体" w:eastAsia="宋体" w:cs="宋体"/>
          <w:b/>
          <w:bCs/>
          <w:i w:val="0"/>
          <w:iCs w:val="0"/>
          <w:sz w:val="24"/>
          <w:szCs w:val="24"/>
        </w:rPr>
      </w:pPr>
    </w:p>
    <w:p w14:paraId="7C0E89E9">
      <w:pPr>
        <w:bidi w:val="0"/>
        <w:jc w:val="center"/>
        <w:rPr>
          <w:rFonts w:hint="eastAsia" w:ascii="宋体" w:hAnsi="宋体" w:eastAsia="宋体" w:cs="宋体"/>
          <w:b/>
          <w:bCs/>
          <w:i w:val="0"/>
          <w:iCs w:val="0"/>
          <w:sz w:val="24"/>
          <w:szCs w:val="24"/>
        </w:rPr>
      </w:pPr>
    </w:p>
    <w:p w14:paraId="36B12742">
      <w:pPr>
        <w:bidi w:val="0"/>
        <w:jc w:val="center"/>
        <w:rPr>
          <w:rFonts w:hint="eastAsia" w:ascii="宋体" w:hAnsi="宋体" w:eastAsia="宋体" w:cs="宋体"/>
          <w:b/>
          <w:bCs/>
          <w:i w:val="0"/>
          <w:iCs w:val="0"/>
          <w:sz w:val="24"/>
          <w:szCs w:val="24"/>
        </w:rPr>
      </w:pPr>
    </w:p>
    <w:p w14:paraId="3453A03D">
      <w:pPr>
        <w:bidi w:val="0"/>
        <w:jc w:val="center"/>
        <w:rPr>
          <w:rFonts w:hint="eastAsia" w:ascii="宋体" w:hAnsi="宋体" w:eastAsia="宋体" w:cs="宋体"/>
          <w:b/>
          <w:bCs/>
          <w:i w:val="0"/>
          <w:iCs w:val="0"/>
          <w:sz w:val="24"/>
          <w:szCs w:val="24"/>
        </w:rPr>
      </w:pPr>
    </w:p>
    <w:p w14:paraId="42FCD41C">
      <w:pPr>
        <w:pStyle w:val="33"/>
        <w:rPr>
          <w:rFonts w:hint="eastAsia" w:ascii="宋体" w:hAnsi="宋体" w:eastAsia="宋体" w:cs="宋体"/>
          <w:b/>
          <w:bCs/>
          <w:i w:val="0"/>
          <w:iCs w:val="0"/>
          <w:sz w:val="24"/>
          <w:szCs w:val="24"/>
        </w:rPr>
      </w:pPr>
    </w:p>
    <w:p w14:paraId="055A75E2">
      <w:pPr>
        <w:pStyle w:val="33"/>
        <w:rPr>
          <w:rFonts w:hint="eastAsia" w:ascii="宋体" w:hAnsi="宋体" w:eastAsia="宋体" w:cs="宋体"/>
          <w:b/>
          <w:bCs/>
          <w:i w:val="0"/>
          <w:iCs w:val="0"/>
          <w:sz w:val="24"/>
          <w:szCs w:val="24"/>
        </w:rPr>
      </w:pPr>
    </w:p>
    <w:p w14:paraId="3ECE7C58">
      <w:pPr>
        <w:pStyle w:val="33"/>
        <w:rPr>
          <w:rFonts w:hint="eastAsia" w:ascii="宋体" w:hAnsi="宋体" w:eastAsia="宋体" w:cs="宋体"/>
          <w:b/>
          <w:bCs/>
          <w:i w:val="0"/>
          <w:iCs w:val="0"/>
          <w:sz w:val="24"/>
          <w:szCs w:val="24"/>
        </w:rPr>
      </w:pPr>
    </w:p>
    <w:p w14:paraId="57E85FA4">
      <w:pPr>
        <w:pStyle w:val="33"/>
        <w:rPr>
          <w:rFonts w:hint="eastAsia" w:ascii="宋体" w:hAnsi="宋体" w:eastAsia="宋体" w:cs="宋体"/>
          <w:b/>
          <w:bCs/>
          <w:i w:val="0"/>
          <w:iCs w:val="0"/>
          <w:sz w:val="24"/>
          <w:szCs w:val="24"/>
        </w:rPr>
      </w:pPr>
    </w:p>
    <w:p w14:paraId="4F412987">
      <w:pPr>
        <w:pStyle w:val="33"/>
        <w:rPr>
          <w:rFonts w:hint="eastAsia" w:ascii="宋体" w:hAnsi="宋体" w:eastAsia="宋体" w:cs="宋体"/>
          <w:b/>
          <w:bCs/>
          <w:i w:val="0"/>
          <w:iCs w:val="0"/>
          <w:sz w:val="24"/>
          <w:szCs w:val="24"/>
        </w:rPr>
      </w:pPr>
    </w:p>
    <w:p w14:paraId="1233ED4C">
      <w:pPr>
        <w:pStyle w:val="33"/>
        <w:rPr>
          <w:rFonts w:hint="eastAsia" w:ascii="宋体" w:hAnsi="宋体" w:eastAsia="宋体" w:cs="宋体"/>
          <w:b/>
          <w:bCs/>
          <w:i w:val="0"/>
          <w:iCs w:val="0"/>
          <w:sz w:val="24"/>
          <w:szCs w:val="24"/>
        </w:rPr>
      </w:pPr>
    </w:p>
    <w:p w14:paraId="6DCD5924">
      <w:pPr>
        <w:pStyle w:val="33"/>
        <w:rPr>
          <w:rFonts w:hint="eastAsia" w:ascii="宋体" w:hAnsi="宋体" w:eastAsia="宋体" w:cs="宋体"/>
          <w:b/>
          <w:bCs/>
          <w:i w:val="0"/>
          <w:iCs w:val="0"/>
          <w:sz w:val="24"/>
          <w:szCs w:val="24"/>
        </w:rPr>
      </w:pPr>
    </w:p>
    <w:p w14:paraId="39AF0CFA">
      <w:pPr>
        <w:pStyle w:val="33"/>
        <w:rPr>
          <w:rFonts w:hint="eastAsia" w:ascii="宋体" w:hAnsi="宋体" w:eastAsia="宋体" w:cs="宋体"/>
          <w:b/>
          <w:bCs/>
          <w:i w:val="0"/>
          <w:iCs w:val="0"/>
          <w:sz w:val="24"/>
          <w:szCs w:val="24"/>
        </w:rPr>
      </w:pPr>
    </w:p>
    <w:p w14:paraId="2550E76A">
      <w:pPr>
        <w:pStyle w:val="33"/>
        <w:rPr>
          <w:rFonts w:hint="eastAsia" w:ascii="宋体" w:hAnsi="宋体" w:eastAsia="宋体" w:cs="宋体"/>
          <w:b/>
          <w:bCs/>
          <w:i w:val="0"/>
          <w:iCs w:val="0"/>
          <w:sz w:val="24"/>
          <w:szCs w:val="24"/>
        </w:rPr>
      </w:pPr>
    </w:p>
    <w:p w14:paraId="59635B89">
      <w:pPr>
        <w:pStyle w:val="33"/>
        <w:rPr>
          <w:rFonts w:hint="eastAsia" w:ascii="宋体" w:hAnsi="宋体" w:eastAsia="宋体" w:cs="宋体"/>
          <w:b/>
          <w:bCs/>
          <w:i w:val="0"/>
          <w:iCs w:val="0"/>
          <w:sz w:val="24"/>
          <w:szCs w:val="24"/>
        </w:rPr>
      </w:pPr>
    </w:p>
    <w:p w14:paraId="3CC6064B">
      <w:pPr>
        <w:pStyle w:val="33"/>
        <w:rPr>
          <w:rFonts w:hint="eastAsia" w:ascii="宋体" w:hAnsi="宋体" w:eastAsia="宋体" w:cs="宋体"/>
          <w:b/>
          <w:bCs/>
          <w:i w:val="0"/>
          <w:iCs w:val="0"/>
          <w:sz w:val="24"/>
          <w:szCs w:val="24"/>
        </w:rPr>
      </w:pPr>
    </w:p>
    <w:p w14:paraId="7A3E836D">
      <w:pPr>
        <w:pStyle w:val="33"/>
        <w:rPr>
          <w:rFonts w:hint="eastAsia" w:ascii="宋体" w:hAnsi="宋体" w:eastAsia="宋体" w:cs="宋体"/>
          <w:b/>
          <w:bCs/>
          <w:i w:val="0"/>
          <w:iCs w:val="0"/>
          <w:sz w:val="24"/>
          <w:szCs w:val="24"/>
        </w:rPr>
      </w:pPr>
    </w:p>
    <w:p w14:paraId="08E647D2">
      <w:pPr>
        <w:pStyle w:val="33"/>
        <w:rPr>
          <w:rFonts w:hint="eastAsia" w:ascii="宋体" w:hAnsi="宋体" w:eastAsia="宋体" w:cs="宋体"/>
          <w:b/>
          <w:bCs/>
          <w:i w:val="0"/>
          <w:iCs w:val="0"/>
          <w:sz w:val="24"/>
          <w:szCs w:val="24"/>
        </w:rPr>
      </w:pPr>
    </w:p>
    <w:p w14:paraId="79D97FB3">
      <w:pPr>
        <w:pStyle w:val="33"/>
        <w:rPr>
          <w:rFonts w:hint="eastAsia" w:ascii="宋体" w:hAnsi="宋体" w:eastAsia="宋体" w:cs="宋体"/>
          <w:b/>
          <w:bCs/>
          <w:i w:val="0"/>
          <w:iCs w:val="0"/>
          <w:sz w:val="24"/>
          <w:szCs w:val="24"/>
        </w:rPr>
      </w:pPr>
    </w:p>
    <w:p w14:paraId="3B59DABD">
      <w:pPr>
        <w:pStyle w:val="33"/>
        <w:rPr>
          <w:rFonts w:hint="eastAsia" w:ascii="宋体" w:hAnsi="宋体" w:eastAsia="宋体" w:cs="宋体"/>
          <w:b/>
          <w:bCs/>
          <w:i w:val="0"/>
          <w:iCs w:val="0"/>
          <w:sz w:val="24"/>
          <w:szCs w:val="24"/>
        </w:rPr>
      </w:pPr>
    </w:p>
    <w:p w14:paraId="59E01194">
      <w:pPr>
        <w:pStyle w:val="33"/>
        <w:rPr>
          <w:rFonts w:hint="eastAsia" w:ascii="宋体" w:hAnsi="宋体" w:eastAsia="宋体" w:cs="宋体"/>
          <w:b/>
          <w:bCs/>
          <w:i w:val="0"/>
          <w:iCs w:val="0"/>
          <w:sz w:val="24"/>
          <w:szCs w:val="24"/>
        </w:rPr>
      </w:pPr>
    </w:p>
    <w:p w14:paraId="335B158E">
      <w:pPr>
        <w:bidi w:val="0"/>
        <w:jc w:val="center"/>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1.总则</w:t>
      </w:r>
      <w:bookmarkEnd w:id="28"/>
      <w:bookmarkEnd w:id="29"/>
      <w:bookmarkEnd w:id="30"/>
      <w:bookmarkEnd w:id="31"/>
      <w:bookmarkEnd w:id="32"/>
      <w:bookmarkEnd w:id="33"/>
      <w:bookmarkEnd w:id="34"/>
      <w:bookmarkEnd w:id="35"/>
      <w:bookmarkEnd w:id="36"/>
      <w:bookmarkEnd w:id="37"/>
    </w:p>
    <w:p w14:paraId="47CEB1D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42" w:name="_Toc7660"/>
      <w:bookmarkStart w:id="43" w:name="_Toc247085690"/>
      <w:bookmarkStart w:id="44" w:name="_Toc152042306"/>
      <w:bookmarkStart w:id="45" w:name="_Toc144974498"/>
      <w:bookmarkStart w:id="46" w:name="_Toc152045530"/>
      <w:bookmarkStart w:id="47" w:name="_Toc31044"/>
      <w:bookmarkStart w:id="48" w:name="_Toc179632547"/>
      <w:bookmarkStart w:id="49" w:name="_Toc11216"/>
      <w:bookmarkStart w:id="50" w:name="_Toc246996176"/>
      <w:bookmarkStart w:id="51" w:name="_Toc246996919"/>
      <w:r>
        <w:rPr>
          <w:rFonts w:hint="eastAsia" w:ascii="宋体" w:hAnsi="宋体" w:eastAsia="宋体" w:cs="宋体"/>
          <w:sz w:val="24"/>
          <w:szCs w:val="24"/>
        </w:rPr>
        <w:t>1.1 项目概况</w:t>
      </w:r>
      <w:bookmarkEnd w:id="42"/>
      <w:bookmarkEnd w:id="43"/>
      <w:bookmarkEnd w:id="44"/>
      <w:bookmarkEnd w:id="45"/>
      <w:bookmarkEnd w:id="46"/>
      <w:bookmarkEnd w:id="47"/>
      <w:bookmarkEnd w:id="48"/>
      <w:bookmarkEnd w:id="49"/>
      <w:bookmarkEnd w:id="50"/>
      <w:bookmarkEnd w:id="51"/>
    </w:p>
    <w:p w14:paraId="1E5021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1.1.1根据《中华人民共和国招标投标法》等有关法律、法规和规章的规定，本招标项目已具备招标条件，现对本项目进行招标。</w:t>
      </w:r>
    </w:p>
    <w:p w14:paraId="5BCBFB4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本采购项目采购人：见投标人须知前附表。</w:t>
      </w:r>
    </w:p>
    <w:p w14:paraId="7EADF4D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本采购项目采购代理机构：见投标人须知前附表。</w:t>
      </w:r>
    </w:p>
    <w:p w14:paraId="4ACD7E4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本采购项目名称：见投标人须知前附表。</w:t>
      </w:r>
    </w:p>
    <w:p w14:paraId="5F2563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本采购项目地点：见投标人须知前附表。</w:t>
      </w:r>
    </w:p>
    <w:p w14:paraId="469369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 招标文件各章内容对投标事宜提出明确要求，投标人须仔细阅读和正确理解。因投标人在阅读、理解招标文件方面产生疏漏和误解，而导致投标不利后果的或者被废标的，其责任由投标人自负。</w:t>
      </w:r>
    </w:p>
    <w:p w14:paraId="32D58EEC">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52" w:name="_Toc14545"/>
      <w:bookmarkStart w:id="53" w:name="_Toc246996920"/>
      <w:bookmarkStart w:id="54" w:name="_Toc152042307"/>
      <w:bookmarkStart w:id="55" w:name="_Toc152045531"/>
      <w:bookmarkStart w:id="56" w:name="_Toc246996177"/>
      <w:bookmarkStart w:id="57" w:name="_Toc8384"/>
      <w:bookmarkStart w:id="58" w:name="_Toc247085691"/>
      <w:bookmarkStart w:id="59" w:name="_Toc144974499"/>
      <w:bookmarkStart w:id="60" w:name="_Toc30959"/>
      <w:bookmarkStart w:id="61" w:name="_Toc179632548"/>
      <w:r>
        <w:rPr>
          <w:rFonts w:hint="eastAsia" w:ascii="宋体" w:hAnsi="宋体" w:eastAsia="宋体" w:cs="宋体"/>
          <w:sz w:val="24"/>
          <w:szCs w:val="24"/>
        </w:rPr>
        <w:t>1.2 资金来源和落实情况</w:t>
      </w:r>
      <w:bookmarkEnd w:id="52"/>
      <w:bookmarkEnd w:id="53"/>
      <w:bookmarkEnd w:id="54"/>
      <w:bookmarkEnd w:id="55"/>
      <w:bookmarkEnd w:id="56"/>
      <w:bookmarkEnd w:id="57"/>
      <w:bookmarkEnd w:id="58"/>
      <w:bookmarkEnd w:id="59"/>
      <w:bookmarkEnd w:id="60"/>
      <w:bookmarkEnd w:id="61"/>
    </w:p>
    <w:p w14:paraId="2FEABF8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1.2.1本招标项目的资金来源及出资比例：见投标人须知前附表。</w:t>
      </w:r>
    </w:p>
    <w:p w14:paraId="2D0E8EE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1.2.2本招标项目的项目预算：见投标人须知前附表。</w:t>
      </w:r>
    </w:p>
    <w:p w14:paraId="795F4B08">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62" w:name="_Toc20745"/>
      <w:bookmarkStart w:id="63" w:name="_Toc144974500"/>
      <w:bookmarkStart w:id="64" w:name="_Toc246996178"/>
      <w:bookmarkStart w:id="65" w:name="_Toc246996921"/>
      <w:bookmarkStart w:id="66" w:name="_Toc152045532"/>
      <w:bookmarkStart w:id="67" w:name="_Toc152042308"/>
      <w:bookmarkStart w:id="68" w:name="_Toc21770"/>
      <w:bookmarkStart w:id="69" w:name="_Toc179632549"/>
      <w:bookmarkStart w:id="70" w:name="_Toc18917"/>
      <w:bookmarkStart w:id="71" w:name="_Toc247085692"/>
      <w:r>
        <w:rPr>
          <w:rFonts w:hint="eastAsia" w:ascii="宋体" w:hAnsi="宋体" w:eastAsia="宋体" w:cs="宋体"/>
          <w:sz w:val="24"/>
          <w:szCs w:val="24"/>
        </w:rPr>
        <w:t>1.3 招标内容、</w:t>
      </w:r>
      <w:bookmarkEnd w:id="62"/>
      <w:bookmarkEnd w:id="63"/>
      <w:bookmarkEnd w:id="64"/>
      <w:bookmarkEnd w:id="65"/>
      <w:bookmarkEnd w:id="66"/>
      <w:bookmarkEnd w:id="67"/>
      <w:bookmarkEnd w:id="68"/>
      <w:bookmarkEnd w:id="69"/>
      <w:bookmarkEnd w:id="70"/>
      <w:bookmarkEnd w:id="71"/>
      <w:r>
        <w:rPr>
          <w:rFonts w:hint="eastAsia" w:ascii="宋体" w:hAnsi="宋体" w:cs="宋体"/>
          <w:sz w:val="24"/>
          <w:szCs w:val="24"/>
          <w:lang w:eastAsia="zh-CN"/>
        </w:rPr>
        <w:t>服务期</w:t>
      </w:r>
    </w:p>
    <w:p w14:paraId="01160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1.3.1本次招标内容：见投标人须知前附表。</w:t>
      </w:r>
    </w:p>
    <w:p w14:paraId="2FC27F2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1.3.2本招标项目的</w:t>
      </w:r>
      <w:r>
        <w:rPr>
          <w:rFonts w:hint="eastAsia" w:ascii="宋体" w:hAnsi="宋体" w:eastAsia="宋体" w:cs="宋体"/>
          <w:sz w:val="24"/>
          <w:szCs w:val="24"/>
          <w:lang w:eastAsia="zh-CN"/>
        </w:rPr>
        <w:t>服务期</w:t>
      </w:r>
      <w:r>
        <w:rPr>
          <w:rFonts w:hint="eastAsia" w:ascii="宋体" w:hAnsi="宋体" w:eastAsia="宋体" w:cs="宋体"/>
          <w:sz w:val="24"/>
          <w:szCs w:val="24"/>
        </w:rPr>
        <w:t>：见投标人须知前附表。</w:t>
      </w:r>
    </w:p>
    <w:p w14:paraId="1E54071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72" w:name="_Toc246996179"/>
      <w:bookmarkStart w:id="73" w:name="_Toc247085693"/>
      <w:bookmarkStart w:id="74" w:name="_Toc152042310"/>
      <w:bookmarkStart w:id="75" w:name="_Toc3275"/>
      <w:bookmarkStart w:id="76" w:name="_Toc413"/>
      <w:bookmarkStart w:id="77" w:name="_Toc144974502"/>
      <w:bookmarkStart w:id="78" w:name="_Toc179632551"/>
      <w:bookmarkStart w:id="79" w:name="_Toc28754"/>
      <w:bookmarkStart w:id="80" w:name="_Toc246996922"/>
      <w:bookmarkStart w:id="81" w:name="_Toc152045534"/>
      <w:r>
        <w:rPr>
          <w:rFonts w:hint="eastAsia" w:ascii="宋体" w:hAnsi="宋体" w:eastAsia="宋体" w:cs="宋体"/>
          <w:sz w:val="24"/>
          <w:szCs w:val="24"/>
        </w:rPr>
        <w:t>1.4 投标人资格要求</w:t>
      </w:r>
      <w:bookmarkEnd w:id="72"/>
      <w:bookmarkEnd w:id="73"/>
      <w:bookmarkEnd w:id="74"/>
      <w:bookmarkEnd w:id="75"/>
      <w:bookmarkEnd w:id="76"/>
      <w:bookmarkEnd w:id="77"/>
      <w:bookmarkEnd w:id="78"/>
      <w:bookmarkEnd w:id="79"/>
      <w:bookmarkEnd w:id="80"/>
      <w:bookmarkEnd w:id="81"/>
    </w:p>
    <w:p w14:paraId="16B71030">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1.4.1 投标人应具备承担本项目的资质条件、能力和信誉：见投标人须知前附表。</w:t>
      </w:r>
    </w:p>
    <w:p w14:paraId="0792B448">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1.4.2 投标人须知前附表规定接受联合体投标的，除应符合本章第1.4.1项的要求外，还应遵守以下规定： </w:t>
      </w:r>
    </w:p>
    <w:p w14:paraId="7503AE09">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（1）联合体各方应按招标文件提供的格式签订联合体协议书，明确联合体牵头人和各方权利义务；</w:t>
      </w:r>
    </w:p>
    <w:p w14:paraId="31875E75">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（2）由同一专业的单位组成的联合体，按照资质等级较低的单位确定资质等级； </w:t>
      </w:r>
    </w:p>
    <w:p w14:paraId="2DA55C7B">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（3）联合体各方不得再以自己名义单独或参加其他联合体在同一标段中投标。</w:t>
      </w:r>
    </w:p>
    <w:p w14:paraId="6F88944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1.4.3投标人不得存在下列情形之一：</w:t>
      </w:r>
    </w:p>
    <w:p w14:paraId="7AA3301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（1）与采购人存在利害关系可能影响招标公正性的法人或其他组织；</w:t>
      </w:r>
    </w:p>
    <w:p w14:paraId="5F6C6E95">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（2）接受委托参与项目前期咨询和招标文件编制的法人或其他组织； </w:t>
      </w:r>
    </w:p>
    <w:p w14:paraId="347A65AB">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（3）为该项目的投标人编制投标文件或者提供咨询的机构；</w:t>
      </w:r>
    </w:p>
    <w:p w14:paraId="3B02128F">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（4）为本招标项目提供招标代理服务的； </w:t>
      </w:r>
    </w:p>
    <w:p w14:paraId="3A20D037">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（5）被责令停业的； </w:t>
      </w:r>
    </w:p>
    <w:p w14:paraId="6DA2B3D6">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（6）被暂停或取消投标资格的； </w:t>
      </w:r>
    </w:p>
    <w:p w14:paraId="23A8A372">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（7）财产被接管或冻结的；</w:t>
      </w:r>
    </w:p>
    <w:p w14:paraId="4D966C71">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lang w:eastAsia="zh-CN"/>
        </w:rPr>
      </w:pPr>
      <w:r>
        <w:rPr>
          <w:rFonts w:hint="eastAsia" w:ascii="宋体" w:hAnsi="宋体" w:eastAsia="宋体" w:cs="宋体"/>
          <w:sz w:val="24"/>
          <w:szCs w:val="24"/>
        </w:rPr>
        <w:t>（8）在最近三年内有骗取中标或严重违约或重大质量问题的</w:t>
      </w:r>
      <w:r>
        <w:rPr>
          <w:rFonts w:hint="eastAsia" w:ascii="宋体" w:hAnsi="宋体" w:eastAsia="宋体" w:cs="宋体"/>
          <w:sz w:val="24"/>
          <w:szCs w:val="24"/>
          <w:lang w:eastAsia="zh-CN"/>
        </w:rPr>
        <w:t>；</w:t>
      </w:r>
    </w:p>
    <w:p w14:paraId="34DFC986">
      <w:pPr>
        <w:pageBreakBefore w:val="0"/>
        <w:wordWrap/>
        <w:topLinePunct w:val="0"/>
        <w:autoSpaceDE/>
        <w:autoSpaceDN/>
        <w:bidi w:val="0"/>
        <w:adjustRightInd/>
        <w:spacing w:line="600" w:lineRule="exact"/>
        <w:ind w:firstLine="410" w:firstLineChars="171"/>
        <w:textAlignment w:val="auto"/>
        <w:rPr>
          <w:rFonts w:hint="eastAsia"/>
        </w:rPr>
      </w:pPr>
      <w:r>
        <w:rPr>
          <w:rFonts w:hint="eastAsia" w:ascii="宋体" w:hAnsi="宋体" w:eastAsia="宋体" w:cs="宋体"/>
          <w:sz w:val="24"/>
          <w:szCs w:val="24"/>
        </w:rPr>
        <w:t>（9）为本项目提供整体设计、规范编制或者项目管理、监理、检测等服务的供应商，不得再参与本项目投标。</w:t>
      </w:r>
    </w:p>
    <w:p w14:paraId="084915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4</w:t>
      </w:r>
      <w:r>
        <w:rPr>
          <w:rFonts w:hint="eastAsia" w:ascii="宋体" w:hAnsi="宋体" w:eastAsia="宋体" w:cs="宋体"/>
          <w:sz w:val="24"/>
          <w:szCs w:val="24"/>
        </w:rPr>
        <w:t>单位负责人为同一人或者存在控股、管理关系的不同单位，不得同时参加本招标项目投标。</w:t>
      </w:r>
    </w:p>
    <w:p w14:paraId="6D64825C">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82" w:name="_Toc152042311"/>
      <w:bookmarkStart w:id="83" w:name="_Toc1757"/>
      <w:bookmarkStart w:id="84" w:name="_Toc247085694"/>
      <w:bookmarkStart w:id="85" w:name="_Toc246996923"/>
      <w:bookmarkStart w:id="86" w:name="_Toc19113"/>
      <w:bookmarkStart w:id="87" w:name="_Toc10816"/>
      <w:bookmarkStart w:id="88" w:name="_Toc246996180"/>
      <w:bookmarkStart w:id="89" w:name="_Toc152045535"/>
      <w:bookmarkStart w:id="90" w:name="_Toc179632552"/>
      <w:bookmarkStart w:id="91" w:name="_Toc144974503"/>
      <w:r>
        <w:rPr>
          <w:rFonts w:hint="eastAsia" w:ascii="宋体" w:hAnsi="宋体" w:eastAsia="宋体" w:cs="宋体"/>
          <w:sz w:val="24"/>
          <w:szCs w:val="24"/>
        </w:rPr>
        <w:t>1.5 费用承担</w:t>
      </w:r>
      <w:bookmarkEnd w:id="82"/>
      <w:bookmarkEnd w:id="83"/>
      <w:bookmarkEnd w:id="84"/>
      <w:bookmarkEnd w:id="85"/>
      <w:bookmarkEnd w:id="86"/>
      <w:bookmarkEnd w:id="87"/>
      <w:bookmarkEnd w:id="88"/>
      <w:bookmarkEnd w:id="89"/>
      <w:bookmarkEnd w:id="90"/>
      <w:bookmarkEnd w:id="91"/>
    </w:p>
    <w:p w14:paraId="41E6E1A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14:paraId="0C4C608D">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92" w:name="_Toc3803"/>
      <w:bookmarkStart w:id="93" w:name="_Toc246996181"/>
      <w:bookmarkStart w:id="94" w:name="_Toc1605"/>
      <w:bookmarkStart w:id="95" w:name="_Toc179632553"/>
      <w:bookmarkStart w:id="96" w:name="_Toc144974504"/>
      <w:bookmarkStart w:id="97" w:name="_Toc246996924"/>
      <w:bookmarkStart w:id="98" w:name="_Toc5909"/>
      <w:bookmarkStart w:id="99" w:name="_Toc247085695"/>
      <w:bookmarkStart w:id="100" w:name="_Toc152045536"/>
      <w:bookmarkStart w:id="101" w:name="_Toc152042312"/>
      <w:r>
        <w:rPr>
          <w:rFonts w:hint="eastAsia" w:ascii="宋体" w:hAnsi="宋体" w:eastAsia="宋体" w:cs="宋体"/>
          <w:sz w:val="24"/>
          <w:szCs w:val="24"/>
        </w:rPr>
        <w:t>1.6 保密</w:t>
      </w:r>
      <w:bookmarkEnd w:id="92"/>
      <w:bookmarkEnd w:id="93"/>
      <w:bookmarkEnd w:id="94"/>
      <w:bookmarkEnd w:id="95"/>
      <w:bookmarkEnd w:id="96"/>
      <w:bookmarkEnd w:id="97"/>
      <w:bookmarkEnd w:id="98"/>
      <w:bookmarkEnd w:id="99"/>
      <w:bookmarkEnd w:id="100"/>
      <w:bookmarkEnd w:id="101"/>
    </w:p>
    <w:p w14:paraId="78938A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参与招标投标活动的各方应对招标文件和投标文件中的商业和技术等秘密保密，违者应对由此造成的后果承担法律责任。 </w:t>
      </w:r>
    </w:p>
    <w:p w14:paraId="56A35F34">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02" w:name="_Toc144974505"/>
      <w:bookmarkStart w:id="103" w:name="_Toc246996182"/>
      <w:bookmarkStart w:id="104" w:name="_Toc152042313"/>
      <w:bookmarkStart w:id="105" w:name="_Toc246996925"/>
      <w:bookmarkStart w:id="106" w:name="_Toc247085696"/>
      <w:bookmarkStart w:id="107" w:name="_Toc24696"/>
      <w:bookmarkStart w:id="108" w:name="_Toc977"/>
      <w:bookmarkStart w:id="109" w:name="_Toc179632554"/>
      <w:bookmarkStart w:id="110" w:name="_Toc5424"/>
      <w:bookmarkStart w:id="111" w:name="_Toc152045537"/>
      <w:r>
        <w:rPr>
          <w:rFonts w:hint="eastAsia" w:ascii="宋体" w:hAnsi="宋体" w:eastAsia="宋体" w:cs="宋体"/>
          <w:sz w:val="24"/>
          <w:szCs w:val="24"/>
        </w:rPr>
        <w:t>1.7 语言</w:t>
      </w:r>
      <w:bookmarkEnd w:id="102"/>
      <w:r>
        <w:rPr>
          <w:rFonts w:hint="eastAsia" w:ascii="宋体" w:hAnsi="宋体" w:eastAsia="宋体" w:cs="宋体"/>
          <w:sz w:val="24"/>
          <w:szCs w:val="24"/>
        </w:rPr>
        <w:t>文字</w:t>
      </w:r>
      <w:bookmarkEnd w:id="103"/>
      <w:bookmarkEnd w:id="104"/>
      <w:bookmarkEnd w:id="105"/>
      <w:bookmarkEnd w:id="106"/>
      <w:bookmarkEnd w:id="107"/>
      <w:bookmarkEnd w:id="108"/>
      <w:bookmarkEnd w:id="109"/>
      <w:bookmarkEnd w:id="110"/>
      <w:bookmarkEnd w:id="111"/>
    </w:p>
    <w:p w14:paraId="60BD5F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12" w:name="_Toc246996926"/>
      <w:bookmarkStart w:id="113" w:name="_Toc144974506"/>
      <w:bookmarkStart w:id="114" w:name="_Toc152045538"/>
      <w:bookmarkStart w:id="115" w:name="_Toc246996183"/>
      <w:bookmarkStart w:id="116" w:name="_Toc247085697"/>
      <w:bookmarkStart w:id="117" w:name="_Toc152042314"/>
      <w:bookmarkStart w:id="118" w:name="_Toc179632555"/>
      <w:r>
        <w:rPr>
          <w:rFonts w:hint="eastAsia" w:ascii="宋体" w:hAnsi="宋体" w:eastAsia="宋体" w:cs="宋体"/>
          <w:sz w:val="24"/>
          <w:szCs w:val="24"/>
        </w:rPr>
        <w:t>招标投标文件使用的语言文字为中文。专用术语使用外文的，应附有中文注释。</w:t>
      </w:r>
    </w:p>
    <w:p w14:paraId="66AAE48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19" w:name="_Toc9225"/>
      <w:bookmarkStart w:id="120" w:name="_Toc23391"/>
      <w:bookmarkStart w:id="121" w:name="_Toc13990"/>
      <w:r>
        <w:rPr>
          <w:rFonts w:hint="eastAsia" w:ascii="宋体" w:hAnsi="宋体" w:eastAsia="宋体" w:cs="宋体"/>
          <w:sz w:val="24"/>
          <w:szCs w:val="24"/>
        </w:rPr>
        <w:t>1.8 计量单位</w:t>
      </w:r>
      <w:bookmarkEnd w:id="112"/>
      <w:bookmarkEnd w:id="113"/>
      <w:bookmarkEnd w:id="114"/>
      <w:bookmarkEnd w:id="115"/>
      <w:bookmarkEnd w:id="116"/>
      <w:bookmarkEnd w:id="117"/>
      <w:bookmarkEnd w:id="118"/>
      <w:bookmarkEnd w:id="119"/>
      <w:bookmarkEnd w:id="120"/>
      <w:bookmarkEnd w:id="121"/>
    </w:p>
    <w:p w14:paraId="6096A0D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1316BC5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22" w:name="_Toc247527563"/>
      <w:bookmarkStart w:id="123" w:name="_Toc19468"/>
      <w:bookmarkStart w:id="124" w:name="_Toc22945"/>
      <w:bookmarkStart w:id="125" w:name="_Toc27993"/>
      <w:bookmarkStart w:id="126" w:name="_Toc144974507"/>
      <w:bookmarkStart w:id="127" w:name="_Toc247592876"/>
      <w:bookmarkStart w:id="128" w:name="_Toc152045539"/>
      <w:bookmarkStart w:id="129" w:name="_Toc152042315"/>
      <w:bookmarkStart w:id="130" w:name="_Toc247513962"/>
      <w:r>
        <w:rPr>
          <w:rFonts w:hint="eastAsia" w:ascii="宋体" w:hAnsi="宋体" w:eastAsia="宋体" w:cs="宋体"/>
          <w:sz w:val="24"/>
          <w:szCs w:val="24"/>
        </w:rPr>
        <w:t>1.9 踏勘现场</w:t>
      </w:r>
      <w:bookmarkEnd w:id="122"/>
      <w:bookmarkEnd w:id="123"/>
      <w:bookmarkEnd w:id="124"/>
      <w:bookmarkEnd w:id="125"/>
      <w:bookmarkEnd w:id="126"/>
      <w:bookmarkEnd w:id="127"/>
      <w:bookmarkEnd w:id="128"/>
      <w:bookmarkEnd w:id="129"/>
      <w:bookmarkEnd w:id="130"/>
    </w:p>
    <w:p w14:paraId="587E1DD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1.9.1 投标人须知前附表规定组织踏勘现场的，采购人按投标人须知前附表规定的时间、地点组织投标人踏勘项目现场。 </w:t>
      </w:r>
    </w:p>
    <w:p w14:paraId="423A3D9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 投标人踏勘现场发生的费用自理。</w:t>
      </w:r>
    </w:p>
    <w:p w14:paraId="5A030938">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31" w:name="_Toc152042316"/>
      <w:bookmarkStart w:id="132" w:name="_Toc144974508"/>
      <w:bookmarkStart w:id="133" w:name="_Toc3757"/>
      <w:bookmarkStart w:id="134" w:name="_Toc152045540"/>
      <w:bookmarkStart w:id="135" w:name="_Toc247513963"/>
      <w:bookmarkStart w:id="136" w:name="_Toc80"/>
      <w:bookmarkStart w:id="137" w:name="_Toc30092"/>
      <w:bookmarkStart w:id="138" w:name="_Toc247527564"/>
      <w:bookmarkStart w:id="139" w:name="_Toc247592877"/>
      <w:r>
        <w:rPr>
          <w:rFonts w:hint="eastAsia" w:ascii="宋体" w:hAnsi="宋体" w:eastAsia="宋体" w:cs="宋体"/>
          <w:sz w:val="24"/>
          <w:szCs w:val="24"/>
        </w:rPr>
        <w:t>1.10 投标预备会</w:t>
      </w:r>
      <w:bookmarkEnd w:id="131"/>
      <w:bookmarkEnd w:id="132"/>
      <w:bookmarkEnd w:id="133"/>
      <w:bookmarkEnd w:id="134"/>
      <w:bookmarkEnd w:id="135"/>
      <w:bookmarkEnd w:id="136"/>
      <w:bookmarkEnd w:id="137"/>
      <w:bookmarkEnd w:id="138"/>
      <w:bookmarkEnd w:id="139"/>
    </w:p>
    <w:p w14:paraId="223DD8D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40" w:name="_Toc11626"/>
      <w:bookmarkStart w:id="141" w:name="_Toc4429"/>
      <w:r>
        <w:rPr>
          <w:rFonts w:hint="eastAsia" w:ascii="宋体" w:hAnsi="宋体" w:eastAsia="宋体" w:cs="宋体"/>
          <w:sz w:val="24"/>
          <w:szCs w:val="24"/>
        </w:rPr>
        <w:t>1.10.1 投标人须知前附表规定召开投标预备会的，采购人按投标人须知前附表规定的时间和地点召开投标预备会，澄清投标人提出的问题。</w:t>
      </w:r>
    </w:p>
    <w:p w14:paraId="69778F6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1.10.2 投标人应在投标人须知前附表规定的时间前，以书面形式将提出的问题送达采购人，以便采购人在会议期间澄清。</w:t>
      </w:r>
    </w:p>
    <w:p w14:paraId="4B9B3D0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1.10.3采购人书面澄清的时间：见投标人须知前附表。</w:t>
      </w:r>
    </w:p>
    <w:p w14:paraId="5E187AE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1.10.4购买招标文件的时间、地点：见投标人须知前附表。</w:t>
      </w:r>
    </w:p>
    <w:p w14:paraId="131AB47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42" w:name="_Toc22104"/>
      <w:r>
        <w:rPr>
          <w:rFonts w:hint="eastAsia" w:ascii="宋体" w:hAnsi="宋体" w:eastAsia="宋体" w:cs="宋体"/>
          <w:sz w:val="24"/>
          <w:szCs w:val="24"/>
        </w:rPr>
        <w:t>1.11 偏离</w:t>
      </w:r>
      <w:bookmarkEnd w:id="140"/>
      <w:bookmarkEnd w:id="141"/>
      <w:bookmarkEnd w:id="142"/>
    </w:p>
    <w:p w14:paraId="4A0BC85E">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sz w:val="24"/>
          <w:szCs w:val="24"/>
        </w:rPr>
      </w:pPr>
      <w:bookmarkStart w:id="143" w:name="_Toc246996187"/>
      <w:bookmarkStart w:id="144" w:name="_Toc152042318"/>
      <w:bookmarkStart w:id="145" w:name="_Toc246996930"/>
      <w:bookmarkStart w:id="146" w:name="_Toc152045542"/>
      <w:bookmarkStart w:id="147" w:name="_Toc179632560"/>
      <w:bookmarkStart w:id="148" w:name="_Toc18581"/>
      <w:bookmarkStart w:id="149" w:name="_Toc31978"/>
      <w:bookmarkStart w:id="150" w:name="_Toc247085701"/>
      <w:bookmarkStart w:id="151" w:name="_Toc13281"/>
      <w:bookmarkStart w:id="152" w:name="_Toc144974510"/>
      <w:r>
        <w:rPr>
          <w:rFonts w:hint="eastAsia" w:ascii="宋体" w:hAnsi="宋体" w:eastAsia="宋体" w:cs="宋体"/>
          <w:b w:val="0"/>
          <w:bCs w:val="0"/>
          <w:color w:val="000000"/>
          <w:sz w:val="24"/>
          <w:szCs w:val="24"/>
        </w:rPr>
        <w:t>不允许出现负偏离</w:t>
      </w:r>
    </w:p>
    <w:p w14:paraId="1B717E3F">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2. 招标文件</w:t>
      </w:r>
      <w:bookmarkEnd w:id="143"/>
      <w:bookmarkEnd w:id="144"/>
      <w:bookmarkEnd w:id="145"/>
      <w:bookmarkEnd w:id="146"/>
      <w:bookmarkEnd w:id="147"/>
      <w:bookmarkEnd w:id="148"/>
      <w:bookmarkEnd w:id="149"/>
      <w:bookmarkEnd w:id="150"/>
      <w:bookmarkEnd w:id="151"/>
      <w:bookmarkEnd w:id="152"/>
    </w:p>
    <w:p w14:paraId="1A2A461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53" w:name="_Toc144974511"/>
      <w:bookmarkStart w:id="154" w:name="_Toc9862"/>
      <w:bookmarkStart w:id="155" w:name="_Toc247085702"/>
      <w:bookmarkStart w:id="156" w:name="_Toc246996188"/>
      <w:bookmarkStart w:id="157" w:name="_Toc152045543"/>
      <w:bookmarkStart w:id="158" w:name="_Toc25465"/>
      <w:bookmarkStart w:id="159" w:name="_Toc179632561"/>
      <w:bookmarkStart w:id="160" w:name="_Toc29070"/>
      <w:bookmarkStart w:id="161" w:name="_Toc152042319"/>
      <w:bookmarkStart w:id="162" w:name="_Toc246996931"/>
      <w:r>
        <w:rPr>
          <w:rFonts w:hint="eastAsia" w:ascii="宋体" w:hAnsi="宋体" w:eastAsia="宋体" w:cs="宋体"/>
          <w:sz w:val="24"/>
          <w:szCs w:val="24"/>
        </w:rPr>
        <w:t>2.1 招标文件的组成</w:t>
      </w:r>
      <w:bookmarkEnd w:id="153"/>
      <w:bookmarkEnd w:id="154"/>
      <w:bookmarkEnd w:id="155"/>
      <w:bookmarkEnd w:id="156"/>
      <w:bookmarkEnd w:id="157"/>
      <w:bookmarkEnd w:id="158"/>
      <w:bookmarkEnd w:id="159"/>
      <w:bookmarkEnd w:id="160"/>
      <w:bookmarkEnd w:id="161"/>
      <w:bookmarkEnd w:id="162"/>
    </w:p>
    <w:p w14:paraId="5CA6606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2.1.1 本招标文件包括：</w:t>
      </w:r>
    </w:p>
    <w:p w14:paraId="6B25558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招标公告；</w:t>
      </w:r>
    </w:p>
    <w:p w14:paraId="64C52A9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投标人须知；</w:t>
      </w:r>
    </w:p>
    <w:p w14:paraId="6D0D1D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第三章 投标人资格证明文件及审核</w:t>
      </w:r>
      <w:r>
        <w:rPr>
          <w:rFonts w:hint="eastAsia" w:ascii="宋体" w:hAnsi="宋体" w:eastAsia="宋体" w:cs="宋体"/>
          <w:sz w:val="24"/>
          <w:szCs w:val="24"/>
          <w:lang w:eastAsia="zh-CN"/>
        </w:rPr>
        <w:t>；</w:t>
      </w:r>
    </w:p>
    <w:p w14:paraId="3CC8796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第四章 评标办法前附表及评标办法；</w:t>
      </w:r>
    </w:p>
    <w:p w14:paraId="33BFB7B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第五章 合同（拟签订文本）；</w:t>
      </w:r>
    </w:p>
    <w:p w14:paraId="51B9879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第六章 技术要求 ；</w:t>
      </w:r>
    </w:p>
    <w:p w14:paraId="7B0DEC9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第七章 投标文件格式。</w:t>
      </w:r>
    </w:p>
    <w:p w14:paraId="27703F81">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根据本章第1.10款、第2.2款和第2.3款对招标文件所作的澄清、修改，构成招标文件的组成部分。</w:t>
      </w:r>
    </w:p>
    <w:p w14:paraId="71F89AA7">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投标人应同时认真审阅招标文件中所有的事项、格式、条款和规范要求等，若投标人的投标文件没有按照招标文件要求提交全部资料，或投标文件没有对招标文件做出实质性响应，其风险由投标人自行承担，并根据有关条款规定，该投标将被拒绝。</w:t>
      </w:r>
    </w:p>
    <w:p w14:paraId="7F18EAFD">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2.1.4招标文件由招标组织机构登记发售，一经售出，恕不能退。</w:t>
      </w:r>
    </w:p>
    <w:p w14:paraId="4A7E9F4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2.1.5投标人不得擅自转让、变卖或复制招标文件进行投标。</w:t>
      </w:r>
    </w:p>
    <w:p w14:paraId="69123AC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2.1.6招标文件的解释权归招标组织机构。</w:t>
      </w:r>
    </w:p>
    <w:p w14:paraId="575B368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63" w:name="_Toc25646"/>
      <w:bookmarkStart w:id="164" w:name="_Toc9540"/>
      <w:bookmarkStart w:id="165" w:name="_Toc152042320"/>
      <w:bookmarkStart w:id="166" w:name="_Toc152045544"/>
      <w:bookmarkStart w:id="167" w:name="_Toc19400"/>
      <w:bookmarkStart w:id="168" w:name="_Toc144974512"/>
      <w:bookmarkStart w:id="169" w:name="_Toc179632562"/>
      <w:bookmarkStart w:id="170" w:name="_Toc246996932"/>
      <w:bookmarkStart w:id="171" w:name="_Toc247085703"/>
      <w:bookmarkStart w:id="172" w:name="_Toc246996189"/>
      <w:r>
        <w:rPr>
          <w:rFonts w:hint="eastAsia" w:ascii="宋体" w:hAnsi="宋体" w:eastAsia="宋体" w:cs="宋体"/>
          <w:sz w:val="24"/>
          <w:szCs w:val="24"/>
        </w:rPr>
        <w:t>2.2 招标文件的澄清</w:t>
      </w:r>
      <w:bookmarkEnd w:id="163"/>
      <w:bookmarkEnd w:id="164"/>
      <w:bookmarkEnd w:id="165"/>
      <w:bookmarkEnd w:id="166"/>
      <w:bookmarkEnd w:id="167"/>
      <w:bookmarkEnd w:id="168"/>
      <w:bookmarkEnd w:id="169"/>
      <w:bookmarkEnd w:id="170"/>
      <w:bookmarkEnd w:id="171"/>
      <w:bookmarkEnd w:id="172"/>
      <w:r>
        <w:rPr>
          <w:rFonts w:hint="eastAsia" w:ascii="宋体" w:hAnsi="宋体" w:eastAsia="宋体" w:cs="宋体"/>
          <w:sz w:val="24"/>
          <w:szCs w:val="24"/>
        </w:rPr>
        <w:t xml:space="preserve"> </w:t>
      </w:r>
    </w:p>
    <w:p w14:paraId="6739E58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投标人应仔细阅读和检查招标文件的全部内容。如发现缺页或附件不全，应及时向采购人提出，以便补齐。如有疑问，应在投标人须知前附表规定的时间前以书面形式（包括信函、电报、传真等可以有形地表现所载内容的形式，下同），要求采购人对招标文件予以澄清，逾期将失去提出异议的权利；招标组织机构在投标截止时间七日前以书面形式予以答复；必要时将书面答复传送给所有招标文件收受人。投标人在收到该澄清文件后应于一日内，以书面形式予以确认，该澄清、修改或补正的内容作为招标文件的组成部分，具有约束作用。</w:t>
      </w:r>
    </w:p>
    <w:p w14:paraId="6A61B58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投标截止时间：招标组织机构可对已发出的招标文件进行必要的修改、澄清或补正，修改、澄清或补正的内容在投标截止时间十五日前，在财政部门指定的政府采购信息发布媒体上发布更正公告，并以书面形式通知所有招标文件收受人，该澄清或修改的内容为招标文件的组成部分。</w:t>
      </w:r>
    </w:p>
    <w:p w14:paraId="6A6240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2.2.3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 </w:t>
      </w:r>
    </w:p>
    <w:p w14:paraId="24C5DAC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73" w:name="_Toc152045545"/>
      <w:bookmarkStart w:id="174" w:name="_Toc246996933"/>
      <w:bookmarkStart w:id="175" w:name="_Toc32623"/>
      <w:bookmarkStart w:id="176" w:name="_Toc246996190"/>
      <w:bookmarkStart w:id="177" w:name="_Toc179632563"/>
      <w:bookmarkStart w:id="178" w:name="_Toc144974513"/>
      <w:bookmarkStart w:id="179" w:name="_Toc27203"/>
      <w:bookmarkStart w:id="180" w:name="_Toc13614"/>
      <w:bookmarkStart w:id="181" w:name="_Toc152042321"/>
      <w:bookmarkStart w:id="182" w:name="_Toc247085704"/>
      <w:r>
        <w:rPr>
          <w:rFonts w:hint="eastAsia" w:ascii="宋体" w:hAnsi="宋体" w:eastAsia="宋体" w:cs="宋体"/>
          <w:sz w:val="24"/>
          <w:szCs w:val="24"/>
        </w:rPr>
        <w:t>2.3 招标文件的修改</w:t>
      </w:r>
      <w:bookmarkEnd w:id="173"/>
      <w:bookmarkEnd w:id="174"/>
      <w:bookmarkEnd w:id="175"/>
      <w:bookmarkEnd w:id="176"/>
      <w:bookmarkEnd w:id="177"/>
      <w:bookmarkEnd w:id="178"/>
      <w:bookmarkEnd w:id="179"/>
      <w:bookmarkEnd w:id="180"/>
      <w:bookmarkEnd w:id="181"/>
      <w:bookmarkEnd w:id="182"/>
    </w:p>
    <w:p w14:paraId="3F6CE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2.3.1招标文件的澄清、修改、补充等内容均以书面形式明确的内容为准。当招标文件、招标文件的澄清、修改、补充等在同一内容的表述不一致时，以最后发出的书面文件为准。</w:t>
      </w:r>
    </w:p>
    <w:p w14:paraId="1C3CEF2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2.3.2投标人确认收到招标文件修改的时间：见投标人须知前附表。</w:t>
      </w:r>
      <w:bookmarkStart w:id="183" w:name="_Toc144974514"/>
      <w:bookmarkStart w:id="184" w:name="_Toc8058"/>
      <w:bookmarkStart w:id="185" w:name="_Toc246996191"/>
      <w:bookmarkStart w:id="186" w:name="_Toc7461"/>
      <w:bookmarkStart w:id="187" w:name="_Toc246996934"/>
      <w:bookmarkStart w:id="188" w:name="_Toc23378"/>
      <w:bookmarkStart w:id="189" w:name="_Toc152042322"/>
      <w:bookmarkStart w:id="190" w:name="_Toc247085705"/>
      <w:bookmarkStart w:id="191" w:name="_Toc152045546"/>
      <w:bookmarkStart w:id="192" w:name="_Toc179632564"/>
    </w:p>
    <w:p w14:paraId="5D3DD84F">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 投标文件</w:t>
      </w:r>
      <w:bookmarkEnd w:id="183"/>
      <w:bookmarkEnd w:id="184"/>
      <w:bookmarkEnd w:id="185"/>
      <w:bookmarkEnd w:id="186"/>
      <w:bookmarkEnd w:id="187"/>
      <w:bookmarkEnd w:id="188"/>
      <w:bookmarkEnd w:id="189"/>
      <w:bookmarkEnd w:id="190"/>
      <w:bookmarkEnd w:id="191"/>
      <w:bookmarkEnd w:id="192"/>
    </w:p>
    <w:p w14:paraId="0E5AC0F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93" w:name="_Toc27247"/>
      <w:bookmarkStart w:id="194" w:name="_Toc237"/>
      <w:bookmarkStart w:id="195" w:name="_Toc246996935"/>
      <w:bookmarkStart w:id="196" w:name="_Toc179632565"/>
      <w:bookmarkStart w:id="197" w:name="_Toc246996192"/>
      <w:bookmarkStart w:id="198" w:name="_Toc28974"/>
      <w:bookmarkStart w:id="199" w:name="_Toc152045547"/>
      <w:bookmarkStart w:id="200" w:name="_Toc152042323"/>
      <w:bookmarkStart w:id="201" w:name="_Toc144974515"/>
      <w:bookmarkStart w:id="202" w:name="_Toc247085706"/>
      <w:r>
        <w:rPr>
          <w:rFonts w:hint="eastAsia" w:ascii="宋体" w:hAnsi="宋体" w:eastAsia="宋体" w:cs="宋体"/>
          <w:sz w:val="24"/>
          <w:szCs w:val="24"/>
        </w:rPr>
        <w:t>3.1 投标文件的组成</w:t>
      </w:r>
      <w:bookmarkEnd w:id="193"/>
      <w:bookmarkEnd w:id="194"/>
      <w:bookmarkEnd w:id="195"/>
      <w:bookmarkEnd w:id="196"/>
      <w:bookmarkEnd w:id="197"/>
      <w:bookmarkEnd w:id="198"/>
      <w:bookmarkEnd w:id="199"/>
      <w:bookmarkEnd w:id="200"/>
      <w:bookmarkEnd w:id="201"/>
      <w:bookmarkEnd w:id="202"/>
    </w:p>
    <w:p w14:paraId="5C39715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03" w:name="_Toc343511476"/>
      <w:bookmarkStart w:id="204" w:name="_Toc4527"/>
      <w:bookmarkStart w:id="205" w:name="_Toc152045548"/>
      <w:bookmarkStart w:id="206" w:name="_Toc152042324"/>
      <w:bookmarkStart w:id="207" w:name="_Toc144974516"/>
      <w:bookmarkStart w:id="208" w:name="_Toc246996936"/>
      <w:bookmarkStart w:id="209" w:name="_Toc28739"/>
      <w:bookmarkStart w:id="210" w:name="_Toc246996193"/>
      <w:bookmarkStart w:id="211" w:name="_Toc179632566"/>
      <w:bookmarkStart w:id="212" w:name="_Toc10240"/>
      <w:bookmarkStart w:id="213" w:name="_Toc247085707"/>
      <w:r>
        <w:rPr>
          <w:rFonts w:hint="eastAsia" w:ascii="宋体" w:hAnsi="宋体" w:eastAsia="宋体" w:cs="宋体"/>
          <w:color w:val="000000"/>
          <w:sz w:val="24"/>
          <w:szCs w:val="24"/>
        </w:rPr>
        <w:t>3.1.</w:t>
      </w:r>
      <w:r>
        <w:rPr>
          <w:rFonts w:hint="eastAsia" w:ascii="宋体" w:hAnsi="宋体" w:eastAsia="宋体" w:cs="宋体"/>
          <w:sz w:val="24"/>
          <w:szCs w:val="24"/>
        </w:rPr>
        <w:t>1投标文件由商务部分、技术</w:t>
      </w:r>
      <w:r>
        <w:rPr>
          <w:rFonts w:hint="eastAsia" w:ascii="宋体" w:hAnsi="宋体" w:eastAsia="宋体" w:cs="宋体"/>
          <w:color w:val="000000"/>
          <w:sz w:val="24"/>
          <w:szCs w:val="24"/>
        </w:rPr>
        <w:t>部分组成。</w:t>
      </w:r>
      <w:bookmarkEnd w:id="203"/>
    </w:p>
    <w:p w14:paraId="5CD265A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3.1.2投标文件主要包括以下内容：</w:t>
      </w:r>
    </w:p>
    <w:p w14:paraId="13558E74">
      <w:pPr>
        <w:pageBreakBefore w:val="0"/>
        <w:numPr>
          <w:ilvl w:val="0"/>
          <w:numId w:val="0"/>
        </w:numPr>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一、</w:t>
      </w:r>
      <w:r>
        <w:rPr>
          <w:rFonts w:hint="eastAsia" w:ascii="宋体" w:hAnsi="宋体" w:eastAsia="宋体" w:cs="宋体"/>
          <w:b w:val="0"/>
          <w:bCs/>
          <w:color w:val="000000"/>
          <w:sz w:val="24"/>
          <w:szCs w:val="24"/>
        </w:rPr>
        <w:t>资格证明文件</w:t>
      </w:r>
    </w:p>
    <w:p w14:paraId="4AEECF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二</w:t>
      </w:r>
      <w:r>
        <w:rPr>
          <w:rFonts w:hint="eastAsia" w:ascii="宋体" w:hAnsi="宋体" w:eastAsia="宋体" w:cs="宋体"/>
          <w:b w:val="0"/>
          <w:bCs/>
          <w:color w:val="000000"/>
          <w:sz w:val="24"/>
          <w:szCs w:val="24"/>
        </w:rPr>
        <w:t>、投标函</w:t>
      </w:r>
    </w:p>
    <w:p w14:paraId="47BE96A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三、</w:t>
      </w:r>
      <w:r>
        <w:rPr>
          <w:rFonts w:hint="eastAsia" w:ascii="宋体" w:hAnsi="宋体" w:eastAsia="宋体" w:cs="宋体"/>
          <w:b w:val="0"/>
          <w:bCs/>
          <w:color w:val="000000"/>
          <w:sz w:val="24"/>
          <w:szCs w:val="24"/>
          <w:lang w:eastAsia="zh-CN"/>
        </w:rPr>
        <w:t>投标报价一览表</w:t>
      </w:r>
    </w:p>
    <w:p w14:paraId="06754B8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 w:val="0"/>
          <w:bCs/>
          <w:color w:val="000000"/>
          <w:sz w:val="24"/>
          <w:szCs w:val="24"/>
          <w:lang w:val="en-US" w:eastAsia="zh-CN"/>
        </w:rPr>
        <w:t>四、投标</w:t>
      </w:r>
      <w:r>
        <w:rPr>
          <w:rFonts w:hint="eastAsia" w:ascii="宋体" w:hAnsi="宋体" w:eastAsia="宋体" w:cs="宋体"/>
          <w:b w:val="0"/>
          <w:bCs/>
          <w:color w:val="000000"/>
          <w:sz w:val="24"/>
          <w:szCs w:val="24"/>
          <w:lang w:eastAsia="zh-CN"/>
        </w:rPr>
        <w:t>分项报价表</w:t>
      </w:r>
    </w:p>
    <w:p w14:paraId="53E0EF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五</w:t>
      </w:r>
      <w:r>
        <w:rPr>
          <w:rFonts w:hint="eastAsia" w:ascii="宋体" w:hAnsi="宋体" w:eastAsia="宋体" w:cs="宋体"/>
          <w:b w:val="0"/>
          <w:bCs/>
          <w:color w:val="000000"/>
          <w:sz w:val="24"/>
          <w:szCs w:val="24"/>
        </w:rPr>
        <w:t>、陕西省政府采购供应商拒绝政府采购领域商业贿赂承诺书</w:t>
      </w:r>
    </w:p>
    <w:p w14:paraId="0B61911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六</w:t>
      </w:r>
      <w:r>
        <w:rPr>
          <w:rFonts w:hint="eastAsia" w:ascii="宋体" w:hAnsi="宋体" w:eastAsia="宋体" w:cs="宋体"/>
          <w:b w:val="0"/>
          <w:bCs/>
          <w:color w:val="000000"/>
          <w:sz w:val="24"/>
          <w:szCs w:val="24"/>
        </w:rPr>
        <w:t>、技术部分响应内容</w:t>
      </w:r>
    </w:p>
    <w:p w14:paraId="2BC0F0A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七</w:t>
      </w:r>
      <w:r>
        <w:rPr>
          <w:rFonts w:hint="eastAsia" w:ascii="宋体" w:hAnsi="宋体" w:eastAsia="宋体" w:cs="宋体"/>
          <w:b w:val="0"/>
          <w:bCs/>
          <w:color w:val="000000"/>
          <w:sz w:val="24"/>
          <w:szCs w:val="24"/>
        </w:rPr>
        <w:t>、商务部分响应内容</w:t>
      </w:r>
    </w:p>
    <w:p w14:paraId="07433BD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八</w:t>
      </w:r>
      <w:r>
        <w:rPr>
          <w:rFonts w:hint="eastAsia" w:ascii="宋体" w:hAnsi="宋体" w:eastAsia="宋体" w:cs="宋体"/>
          <w:b w:val="0"/>
          <w:bCs/>
          <w:color w:val="000000"/>
          <w:sz w:val="24"/>
          <w:szCs w:val="24"/>
        </w:rPr>
        <w:t>、其他资料</w:t>
      </w:r>
    </w:p>
    <w:p w14:paraId="16D356D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3.2 投标报价</w:t>
      </w:r>
      <w:bookmarkEnd w:id="204"/>
      <w:bookmarkEnd w:id="205"/>
      <w:bookmarkEnd w:id="206"/>
      <w:bookmarkEnd w:id="207"/>
      <w:bookmarkEnd w:id="208"/>
      <w:bookmarkEnd w:id="209"/>
      <w:bookmarkEnd w:id="210"/>
      <w:bookmarkEnd w:id="211"/>
      <w:bookmarkEnd w:id="212"/>
      <w:bookmarkEnd w:id="213"/>
    </w:p>
    <w:p w14:paraId="3E3E07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14" w:name="_Toc144974517"/>
      <w:bookmarkStart w:id="215" w:name="_Toc179632567"/>
      <w:bookmarkStart w:id="216" w:name="_Toc27607"/>
      <w:bookmarkStart w:id="217" w:name="_Toc246996194"/>
      <w:bookmarkStart w:id="218" w:name="_Toc246996937"/>
      <w:bookmarkStart w:id="219" w:name="_Toc31607"/>
      <w:bookmarkStart w:id="220" w:name="_Toc247085708"/>
      <w:bookmarkStart w:id="221" w:name="_Toc18722"/>
      <w:bookmarkStart w:id="222" w:name="_Toc152045549"/>
      <w:bookmarkStart w:id="223" w:name="_Toc152042325"/>
      <w:r>
        <w:rPr>
          <w:rFonts w:hint="eastAsia" w:ascii="宋体" w:hAnsi="宋体" w:eastAsia="宋体" w:cs="宋体"/>
          <w:color w:val="000000"/>
          <w:sz w:val="24"/>
          <w:szCs w:val="24"/>
        </w:rPr>
        <w:t>3.2.1投标人应对此项目进行全面响应，不得将其中所列的所有内容拆开报价。凡本招标文件要求（或允许）及投标人认为需要进行投标的各项费用项目（不论是否要求进入报价），若投标时未报或未在投标文件中予以说明，采购人将认为这些费用投标人已计取，并包含在总报价中（项目内容、项目量调整除外）</w:t>
      </w:r>
    </w:p>
    <w:p w14:paraId="3FF365F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投标人不得以低于成本的报价参加投标，当评标委员会认为投标人的投标报价或者某些分项报价明显不合理或低于成本价，有可能影响商品质量和不能诚信履约的，可要求投标人在规定的期限内提供书面说明，并提交相关证明材料，否则，可拒绝投标人的投标。</w:t>
      </w:r>
    </w:p>
    <w:p w14:paraId="23A30D9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投标报价只能提交唯一、不可选择的报价。投标货币：人民币。</w:t>
      </w:r>
    </w:p>
    <w:p w14:paraId="2D72DBB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投标期间一切费用自理</w:t>
      </w:r>
      <w:r>
        <w:rPr>
          <w:rFonts w:hint="eastAsia" w:ascii="宋体" w:hAnsi="宋体" w:eastAsia="宋体" w:cs="宋体"/>
          <w:color w:val="000000"/>
          <w:sz w:val="24"/>
          <w:szCs w:val="24"/>
          <w:lang w:eastAsia="zh-CN"/>
        </w:rPr>
        <w:t>。</w:t>
      </w:r>
    </w:p>
    <w:p w14:paraId="7B1D8917">
      <w:pPr>
        <w:pageBreakBefore w:val="0"/>
        <w:wordWrap/>
        <w:topLinePunct w:val="0"/>
        <w:autoSpaceDE/>
        <w:autoSpaceDN/>
        <w:bidi w:val="0"/>
        <w:adjustRightIn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3.2.</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最低投标报价不作为中标的唯一条件，中标须经投标报价、</w:t>
      </w:r>
      <w:bookmarkStart w:id="224" w:name="_Hlk519149183"/>
      <w:r>
        <w:rPr>
          <w:rFonts w:hint="eastAsia" w:ascii="宋体" w:hAnsi="宋体" w:eastAsia="宋体" w:cs="宋体"/>
          <w:b/>
          <w:color w:val="000000"/>
          <w:sz w:val="24"/>
          <w:szCs w:val="24"/>
        </w:rPr>
        <w:t>技术部分评审、商务部分评审</w:t>
      </w:r>
      <w:bookmarkEnd w:id="224"/>
      <w:r>
        <w:rPr>
          <w:rFonts w:hint="eastAsia" w:ascii="宋体" w:hAnsi="宋体" w:eastAsia="宋体" w:cs="宋体"/>
          <w:b/>
          <w:color w:val="000000"/>
          <w:sz w:val="24"/>
          <w:szCs w:val="24"/>
        </w:rPr>
        <w:t>等内容综合评定。</w:t>
      </w:r>
    </w:p>
    <w:p w14:paraId="6B67EE3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3.3 投标有效期</w:t>
      </w:r>
      <w:bookmarkEnd w:id="214"/>
      <w:bookmarkEnd w:id="215"/>
      <w:bookmarkEnd w:id="216"/>
      <w:bookmarkEnd w:id="217"/>
      <w:bookmarkEnd w:id="218"/>
      <w:bookmarkEnd w:id="219"/>
      <w:bookmarkEnd w:id="220"/>
      <w:bookmarkEnd w:id="221"/>
      <w:bookmarkEnd w:id="222"/>
      <w:bookmarkEnd w:id="223"/>
    </w:p>
    <w:p w14:paraId="02EBCC4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25" w:name="_Hlk522170577"/>
      <w:bookmarkStart w:id="226" w:name="_Toc10049"/>
      <w:bookmarkStart w:id="227" w:name="_Toc179632568"/>
      <w:bookmarkStart w:id="228" w:name="_Toc152042326"/>
      <w:bookmarkStart w:id="229" w:name="_Toc246996195"/>
      <w:bookmarkStart w:id="230" w:name="_Toc152045550"/>
      <w:bookmarkStart w:id="231" w:name="_Toc246996938"/>
      <w:bookmarkStart w:id="232" w:name="_Toc17558"/>
      <w:bookmarkStart w:id="233" w:name="_Toc144974518"/>
      <w:bookmarkStart w:id="234" w:name="_Toc247085709"/>
      <w:r>
        <w:rPr>
          <w:rFonts w:hint="eastAsia" w:ascii="宋体" w:hAnsi="宋体" w:eastAsia="宋体" w:cs="宋体"/>
          <w:color w:val="000000"/>
          <w:sz w:val="24"/>
          <w:szCs w:val="24"/>
        </w:rPr>
        <w:t>3.3.1 在投标人须知前附表规定的投标有效期内，投标人不得要求撤销或修改其投标文件。</w:t>
      </w:r>
    </w:p>
    <w:p w14:paraId="006E51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225"/>
    </w:p>
    <w:p w14:paraId="12ED3CC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35" w:name="_Toc25617"/>
      <w:r>
        <w:rPr>
          <w:rFonts w:hint="eastAsia" w:ascii="宋体" w:hAnsi="宋体" w:eastAsia="宋体" w:cs="宋体"/>
          <w:sz w:val="24"/>
          <w:szCs w:val="24"/>
        </w:rPr>
        <w:t>3.4 投标保证金</w:t>
      </w:r>
      <w:bookmarkEnd w:id="226"/>
      <w:bookmarkEnd w:id="227"/>
      <w:bookmarkEnd w:id="228"/>
      <w:bookmarkEnd w:id="229"/>
      <w:bookmarkEnd w:id="230"/>
      <w:bookmarkEnd w:id="231"/>
      <w:bookmarkEnd w:id="232"/>
      <w:bookmarkEnd w:id="233"/>
      <w:bookmarkEnd w:id="234"/>
      <w:bookmarkEnd w:id="235"/>
    </w:p>
    <w:p w14:paraId="7BC8B9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6" w:name="_Toc343511515"/>
      <w:bookmarkStart w:id="237" w:name="_Hlk522170699"/>
      <w:r>
        <w:rPr>
          <w:rFonts w:hint="eastAsia" w:ascii="宋体" w:hAnsi="宋体" w:eastAsia="宋体" w:cs="宋体"/>
          <w:color w:val="000000"/>
          <w:sz w:val="24"/>
          <w:szCs w:val="24"/>
        </w:rPr>
        <w:t>3.4.1 供应商在递交投标文件的同时，应按供应商须知前附表规定的金额、担保形式缴纳投标保证金。</w:t>
      </w:r>
    </w:p>
    <w:p w14:paraId="3E1E74C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 投标人不按本章第3.4.1项要求提交投标保证金的，其投标文件作废标处理。</w:t>
      </w:r>
    </w:p>
    <w:bookmarkEnd w:id="236"/>
    <w:bookmarkEnd w:id="237"/>
    <w:p w14:paraId="4D67C7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8" w:name="_Toc343511517"/>
      <w:r>
        <w:rPr>
          <w:rFonts w:hint="eastAsia" w:ascii="宋体" w:hAnsi="宋体" w:eastAsia="宋体" w:cs="宋体"/>
          <w:color w:val="000000"/>
          <w:sz w:val="24"/>
          <w:szCs w:val="24"/>
        </w:rPr>
        <w:t>3.4.3</w:t>
      </w:r>
      <w:bookmarkEnd w:id="238"/>
      <w:r>
        <w:rPr>
          <w:rFonts w:hint="eastAsia" w:ascii="宋体" w:hAnsi="宋体" w:eastAsia="宋体" w:cs="宋体"/>
          <w:color w:val="000000"/>
          <w:sz w:val="24"/>
          <w:szCs w:val="24"/>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788FB97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应当自中标通知书发出之日起5个工作日内退还未中标投标人的投标保证金，向未中标的投标人扣除银行交易手续费后退还投标保证金及银行同期存款利息。自合同签订之日起5个工作日内退还中标投标人的投标保证金向中标投标人扣除银行交易手续费后退还投标保证金及银行同期存款利息。</w:t>
      </w:r>
    </w:p>
    <w:p w14:paraId="420BFD8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3.4.4采购人在招标文件中要求投标人提交投标保证金的，投标保证金不得超过招标项目估算价的2%。投标保证金有效期应当与投标有效期一致。</w:t>
      </w:r>
    </w:p>
    <w:p w14:paraId="5F886B0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采购人不得挪用投标保证金。</w:t>
      </w:r>
    </w:p>
    <w:p w14:paraId="09503BC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3.4.5采购人终止招标的，应当及时发布公告，或者以书面形式通知被邀请的或者已经获取资格预审文件、招标文件的潜在投标人。已经发售资格预审文件、招标文件或者已经收取投标保证金的，采购人应当及时退还所收取的资格预审文件、招标文件的费用，以及所收取的投标保证金及银行同期存款利息。</w:t>
      </w:r>
    </w:p>
    <w:p w14:paraId="3B4316C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3.4.6投标人撤回已提交的投标文件，应当在投标截止时间前书面通知采购人。采购人已收取投标保证金的，应当自收到投标人书面撤回通知之日起5日内退还。</w:t>
      </w:r>
    </w:p>
    <w:p w14:paraId="598CA4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投标截止后投标人撤销投标文件的，采购人可以不退还投标保证金。</w:t>
      </w:r>
    </w:p>
    <w:p w14:paraId="5865A42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3.4.7采购人和中标人应当依照招标投标法和本条例的规定签订书面合同，合同的标的、价款、质量、履行期限等主要条款应当与招标文件和中标人的投标文件的内容一致。采购人和中标人不得再行订立背离合同实质性内容的其他协议。</w:t>
      </w:r>
    </w:p>
    <w:p w14:paraId="69DFB17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3.4.8中标人无正当理由不与采购人订立合同，在签订合同时向采购人提出附加条件，或者不按照招标文件要求提交履约保证金的，取消其中标资格，投标保证金不予退还。对依法必须进行招标的项目的中标人，由有关行政监督部门责令改正，可以处中标项目金额10‰以下的罚款。</w:t>
      </w:r>
    </w:p>
    <w:p w14:paraId="747C89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9" w:name="_Toc343511518"/>
      <w:bookmarkStart w:id="240" w:name="_Hlk522172384"/>
      <w:r>
        <w:rPr>
          <w:rFonts w:hint="eastAsia" w:ascii="宋体" w:hAnsi="宋体" w:eastAsia="宋体" w:cs="宋体"/>
          <w:color w:val="000000"/>
          <w:sz w:val="24"/>
          <w:szCs w:val="24"/>
        </w:rPr>
        <w:t>3.4.9有下列情形之一的，投标保证金将不予退还</w:t>
      </w:r>
      <w:bookmarkEnd w:id="239"/>
      <w:r>
        <w:rPr>
          <w:rFonts w:hint="eastAsia" w:ascii="宋体" w:hAnsi="宋体" w:eastAsia="宋体" w:cs="宋体"/>
          <w:color w:val="000000"/>
          <w:sz w:val="24"/>
          <w:szCs w:val="24"/>
        </w:rPr>
        <w:t>。招标公司有权扣留其投标保证金，以弥补采购人损失。</w:t>
      </w:r>
    </w:p>
    <w:p w14:paraId="73D25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41" w:name="_Hlk522172370"/>
      <w:r>
        <w:rPr>
          <w:rFonts w:hint="eastAsia" w:ascii="宋体" w:hAnsi="宋体" w:eastAsia="宋体" w:cs="宋体"/>
          <w:color w:val="000000"/>
          <w:sz w:val="24"/>
          <w:szCs w:val="24"/>
        </w:rPr>
        <w:t>（1）投标人在规定的投标有效期内撤销或修改其投标文件。</w:t>
      </w:r>
    </w:p>
    <w:p w14:paraId="010A4B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（2）中标人在收到中标通知书后，无正当理由拒签合同协议书或未按招标文件规定提交履约担保。</w:t>
      </w:r>
    </w:p>
    <w:bookmarkEnd w:id="240"/>
    <w:bookmarkEnd w:id="241"/>
    <w:p w14:paraId="3CCC11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（3）投标人与采购人、其他投标人或者采购代理机构恶意串通的。</w:t>
      </w:r>
    </w:p>
    <w:p w14:paraId="62D5BAE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（4）投标人中标后无正当理由放弃中标的</w:t>
      </w:r>
    </w:p>
    <w:p w14:paraId="4F0388D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（5）投标人中标后未能按规定交纳招标代理服务费。</w:t>
      </w:r>
    </w:p>
    <w:p w14:paraId="5090872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（6）投标人中标后将中标项目转让给他人，未经采购人同意，将中标项目分包给他人的。</w:t>
      </w:r>
    </w:p>
    <w:p w14:paraId="2B04D5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（7）投标人在投标文件中提供伪造、套改、虚假资料参加投标的。</w:t>
      </w:r>
    </w:p>
    <w:p w14:paraId="14B833D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（8）投标人不按法定程序进行质疑和投诉,捏造事实，查无实据，造成恶劣影响，导致采购活动无法正常进行的。</w:t>
      </w:r>
    </w:p>
    <w:p w14:paraId="5E2D94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（9）招标文件规定的其他情形。</w:t>
      </w:r>
    </w:p>
    <w:p w14:paraId="676239B1">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42" w:name="_Toc246996196"/>
      <w:bookmarkStart w:id="243" w:name="_Toc246996939"/>
      <w:bookmarkStart w:id="244" w:name="_Toc144974520"/>
      <w:bookmarkStart w:id="245" w:name="_Toc179632570"/>
      <w:bookmarkStart w:id="246" w:name="_Toc152045552"/>
      <w:bookmarkStart w:id="247" w:name="_Toc247085710"/>
      <w:bookmarkStart w:id="248" w:name="_Toc152042328"/>
      <w:bookmarkStart w:id="249" w:name="_Toc296602441"/>
      <w:bookmarkStart w:id="250" w:name="_Toc18308"/>
      <w:bookmarkStart w:id="251" w:name="_Toc5131"/>
      <w:bookmarkStart w:id="252" w:name="_Toc16361"/>
      <w:r>
        <w:rPr>
          <w:rFonts w:hint="eastAsia" w:ascii="宋体" w:hAnsi="宋体" w:eastAsia="宋体" w:cs="宋体"/>
          <w:sz w:val="24"/>
          <w:szCs w:val="24"/>
        </w:rPr>
        <w:t>3.5</w:t>
      </w:r>
      <w:bookmarkEnd w:id="242"/>
      <w:bookmarkEnd w:id="243"/>
      <w:bookmarkEnd w:id="244"/>
      <w:bookmarkEnd w:id="245"/>
      <w:bookmarkEnd w:id="246"/>
      <w:bookmarkEnd w:id="247"/>
      <w:bookmarkEnd w:id="248"/>
      <w:bookmarkEnd w:id="249"/>
      <w:bookmarkStart w:id="253" w:name="_Toc246996940"/>
      <w:bookmarkStart w:id="254" w:name="_Toc246996197"/>
      <w:bookmarkStart w:id="255" w:name="_Toc179632571"/>
      <w:bookmarkStart w:id="256" w:name="_Toc152042329"/>
      <w:bookmarkStart w:id="257" w:name="_Toc247085711"/>
      <w:bookmarkStart w:id="258" w:name="_Toc144974521"/>
      <w:bookmarkStart w:id="259" w:name="_Toc152045553"/>
      <w:r>
        <w:rPr>
          <w:rFonts w:hint="eastAsia" w:ascii="宋体" w:hAnsi="宋体" w:eastAsia="宋体" w:cs="宋体"/>
          <w:sz w:val="24"/>
          <w:szCs w:val="24"/>
        </w:rPr>
        <w:t xml:space="preserve"> 投标文件的编制</w:t>
      </w:r>
      <w:bookmarkEnd w:id="250"/>
      <w:bookmarkEnd w:id="251"/>
      <w:bookmarkEnd w:id="252"/>
    </w:p>
    <w:bookmarkEnd w:id="253"/>
    <w:bookmarkEnd w:id="254"/>
    <w:bookmarkEnd w:id="255"/>
    <w:bookmarkEnd w:id="256"/>
    <w:bookmarkEnd w:id="257"/>
    <w:bookmarkEnd w:id="258"/>
    <w:bookmarkEnd w:id="259"/>
    <w:p w14:paraId="4BE9F47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260" w:name="_Toc179632573"/>
      <w:bookmarkStart w:id="261" w:name="_Toc152042331"/>
      <w:bookmarkStart w:id="262" w:name="_Toc28026"/>
      <w:bookmarkStart w:id="263" w:name="_Toc31049"/>
      <w:bookmarkStart w:id="264" w:name="_Toc19372"/>
      <w:bookmarkStart w:id="265" w:name="_Toc247085713"/>
      <w:bookmarkStart w:id="266" w:name="_Toc152045555"/>
      <w:bookmarkStart w:id="267" w:name="_Toc144974523"/>
      <w:bookmarkStart w:id="268" w:name="_Toc246996199"/>
      <w:bookmarkStart w:id="269" w:name="_Toc246996942"/>
      <w:r>
        <w:rPr>
          <w:rFonts w:hint="eastAsia" w:ascii="宋体" w:hAnsi="宋体" w:eastAsia="宋体" w:cs="宋体"/>
          <w:sz w:val="24"/>
          <w:szCs w:val="24"/>
        </w:rPr>
        <w:t>3.5.1投标文件必须按“投标文件格式”进行编写，如有必要，可以增加附页，作为投标文件的组成部分。</w:t>
      </w:r>
    </w:p>
    <w:p w14:paraId="5482B4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 投标文件应当对招标文件有关</w:t>
      </w:r>
      <w:r>
        <w:rPr>
          <w:rFonts w:hint="eastAsia" w:ascii="宋体" w:hAnsi="宋体" w:eastAsia="宋体" w:cs="宋体"/>
          <w:sz w:val="24"/>
          <w:szCs w:val="24"/>
          <w:lang w:eastAsia="zh-CN"/>
        </w:rPr>
        <w:t>服务期</w:t>
      </w:r>
      <w:r>
        <w:rPr>
          <w:rFonts w:hint="eastAsia" w:ascii="宋体" w:hAnsi="宋体" w:eastAsia="宋体" w:cs="宋体"/>
          <w:sz w:val="24"/>
          <w:szCs w:val="24"/>
        </w:rPr>
        <w:t>、投标有效期、技术要求、招标范围等实质性内容作出响应。</w:t>
      </w:r>
    </w:p>
    <w:p w14:paraId="10AF34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3.5.3投标文件应尽量避免涂改、行间插字或删除。如果出现上述情况，改动之处应必须加盖投标人单位公章；由委托代理人签字或盖章的，需随投标文件一起提交有效的“授权委托书”原件的（正副本各一份）；</w:t>
      </w:r>
    </w:p>
    <w:p w14:paraId="4B2174C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投标文件正本一份，副本份数见投标人须知前附表。正本和副本的封面上必须清楚地标记 “正本”或“副本”的字样。当副本和正本不一致时，以正本为准。</w:t>
      </w:r>
    </w:p>
    <w:p w14:paraId="30BB7D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3.5.5投标文件的正本和所有的副本必须全部打印并分别装订成册，并编制目录，统一装订、编码，必须在每一页的下方清楚标明。</w:t>
      </w:r>
    </w:p>
    <w:p w14:paraId="66F900A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3.5.6 投标文件签字或盖章要求，见投标人须知前附表。</w:t>
      </w:r>
    </w:p>
    <w:p w14:paraId="1C901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3.5.7 投标文件因字迹潦草或表达不清所引起的后果由投标单位负责。</w:t>
      </w:r>
    </w:p>
    <w:p w14:paraId="65E312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3.5.8 未按本章第3.5.1 项至第3.5.7项规定，出现任何一项未按要求编制的投标文件，采购人（或采购代理机构）不予受理，投标文件按无效文件处理。</w:t>
      </w:r>
    </w:p>
    <w:p w14:paraId="5C30B0FE">
      <w:pPr>
        <w:pStyle w:val="3"/>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 投标</w:t>
      </w:r>
      <w:bookmarkEnd w:id="260"/>
      <w:bookmarkEnd w:id="261"/>
      <w:bookmarkEnd w:id="262"/>
      <w:bookmarkEnd w:id="263"/>
      <w:bookmarkEnd w:id="264"/>
      <w:bookmarkEnd w:id="265"/>
      <w:bookmarkEnd w:id="266"/>
      <w:bookmarkEnd w:id="267"/>
      <w:bookmarkEnd w:id="268"/>
      <w:bookmarkEnd w:id="269"/>
    </w:p>
    <w:p w14:paraId="40A945C7">
      <w:pPr>
        <w:spacing w:line="600" w:lineRule="exact"/>
        <w:rPr>
          <w:rFonts w:hint="eastAsia" w:ascii="宋体" w:hAnsi="宋体" w:cs="宋体"/>
          <w:b/>
          <w:bCs/>
          <w:sz w:val="24"/>
          <w:szCs w:val="24"/>
        </w:rPr>
      </w:pPr>
      <w:bookmarkStart w:id="270" w:name="_Toc2773"/>
      <w:bookmarkStart w:id="271" w:name="_Toc2783"/>
      <w:bookmarkStart w:id="272" w:name="_Toc152045557"/>
      <w:bookmarkStart w:id="273" w:name="_Toc15547"/>
      <w:bookmarkStart w:id="274" w:name="_Toc152042333"/>
      <w:bookmarkStart w:id="275" w:name="_Toc179632575"/>
      <w:bookmarkStart w:id="276" w:name="_Toc246996945"/>
      <w:bookmarkStart w:id="277" w:name="_Toc144974526"/>
      <w:bookmarkStart w:id="278" w:name="_Toc152042334"/>
      <w:bookmarkStart w:id="279" w:name="_Toc246996202"/>
      <w:bookmarkStart w:id="280" w:name="_Toc144974525"/>
      <w:bookmarkStart w:id="281" w:name="_Toc152045558"/>
      <w:bookmarkStart w:id="282" w:name="_Toc247085716"/>
      <w:bookmarkStart w:id="283" w:name="_Toc179632576"/>
      <w:r>
        <w:rPr>
          <w:rFonts w:hint="eastAsia" w:ascii="宋体" w:hAnsi="宋体" w:cs="宋体"/>
          <w:b/>
          <w:bCs/>
          <w:sz w:val="24"/>
          <w:szCs w:val="24"/>
        </w:rPr>
        <w:t xml:space="preserve">4.1投标文件的递交 </w:t>
      </w:r>
    </w:p>
    <w:p w14:paraId="239A5184">
      <w:pPr>
        <w:spacing w:line="600" w:lineRule="exact"/>
        <w:ind w:firstLine="480" w:firstLineChars="200"/>
        <w:rPr>
          <w:rFonts w:hint="eastAsia" w:ascii="宋体" w:hAnsi="宋体" w:cs="宋体"/>
          <w:sz w:val="24"/>
          <w:szCs w:val="24"/>
        </w:rPr>
      </w:pPr>
      <w:r>
        <w:rPr>
          <w:rFonts w:hint="eastAsia" w:ascii="宋体" w:hAnsi="宋体" w:cs="宋体"/>
          <w:sz w:val="24"/>
          <w:szCs w:val="24"/>
        </w:rPr>
        <w:t>（1）电子投标文件可于递交投标文件截止时间前任意时段，登录“全国公共资源交易中心平台（陕西省·延安市）”（延安市公共资源交易平台）〖首页→电子交易平台→陕西政府采购交易系统→企业端〗，登录后上传加密后的电子投标文件。上传成功后，延安市公共资源交易平台政府采购系统将予以记录。</w:t>
      </w:r>
    </w:p>
    <w:p w14:paraId="6081AA23">
      <w:pPr>
        <w:spacing w:line="600" w:lineRule="exact"/>
        <w:ind w:firstLine="480" w:firstLineChars="200"/>
        <w:rPr>
          <w:rFonts w:hint="eastAsia" w:ascii="宋体" w:hAnsi="宋体" w:cs="宋体"/>
          <w:sz w:val="24"/>
          <w:szCs w:val="24"/>
        </w:rPr>
      </w:pPr>
      <w:r>
        <w:rPr>
          <w:rFonts w:hint="eastAsia" w:ascii="宋体" w:hAnsi="宋体" w:cs="宋体"/>
          <w:sz w:val="24"/>
          <w:szCs w:val="24"/>
        </w:rPr>
        <w:t>（2）纸质投标文件递交要求：正本壹份，副本贰份。</w:t>
      </w:r>
    </w:p>
    <w:p w14:paraId="1896E0B9">
      <w:pPr>
        <w:spacing w:line="600" w:lineRule="exact"/>
        <w:ind w:firstLine="480" w:firstLineChars="200"/>
        <w:rPr>
          <w:rFonts w:hint="eastAsia" w:ascii="宋体" w:hAnsi="宋体" w:cs="宋体"/>
          <w:sz w:val="24"/>
          <w:szCs w:val="24"/>
        </w:rPr>
      </w:pPr>
      <w:r>
        <w:rPr>
          <w:rFonts w:hint="eastAsia" w:ascii="宋体" w:hAnsi="宋体" w:cs="宋体"/>
          <w:sz w:val="24"/>
          <w:szCs w:val="24"/>
        </w:rPr>
        <w:t>注：纸质投标文件须留档保存，接受邮寄（纸质投标文件须与电子投标文件保持一致），开标结束后三日内邮寄到：</w:t>
      </w:r>
      <w:r>
        <w:rPr>
          <w:rFonts w:hint="eastAsia" w:ascii="宋体" w:hAnsi="宋体" w:cs="宋体"/>
          <w:sz w:val="24"/>
          <w:szCs w:val="24"/>
          <w:lang w:eastAsia="zh-CN"/>
        </w:rPr>
        <w:t>陕西省延安市宝塔区陕西省延安市宝塔区东方明珠4号楼27层</w:t>
      </w:r>
      <w:r>
        <w:rPr>
          <w:rFonts w:hint="eastAsia" w:ascii="宋体" w:hAnsi="宋体" w:cs="宋体"/>
          <w:sz w:val="24"/>
          <w:szCs w:val="24"/>
        </w:rPr>
        <w:t>，电话：</w:t>
      </w:r>
      <w:r>
        <w:rPr>
          <w:rFonts w:hint="eastAsia" w:ascii="宋体" w:hAnsi="宋体" w:cs="宋体"/>
          <w:sz w:val="24"/>
          <w:szCs w:val="24"/>
          <w:lang w:eastAsia="zh-CN"/>
        </w:rPr>
        <w:t>15691188082</w:t>
      </w:r>
      <w:r>
        <w:rPr>
          <w:rFonts w:hint="eastAsia" w:ascii="宋体" w:hAnsi="宋体" w:cs="宋体"/>
          <w:sz w:val="24"/>
          <w:szCs w:val="24"/>
        </w:rPr>
        <w:t>。</w:t>
      </w:r>
    </w:p>
    <w:p w14:paraId="13DC7FF3">
      <w:pPr>
        <w:spacing w:line="600" w:lineRule="exact"/>
        <w:rPr>
          <w:rFonts w:hint="eastAsia" w:ascii="宋体" w:hAnsi="宋体" w:cs="宋体"/>
          <w:b/>
          <w:bCs/>
          <w:sz w:val="24"/>
          <w:szCs w:val="24"/>
        </w:rPr>
      </w:pPr>
      <w:r>
        <w:rPr>
          <w:rFonts w:hint="eastAsia" w:ascii="宋体" w:hAnsi="宋体" w:cs="宋体"/>
          <w:b/>
          <w:bCs/>
          <w:sz w:val="24"/>
          <w:szCs w:val="24"/>
        </w:rPr>
        <w:t>4.2投标文件的修改与撤回</w:t>
      </w:r>
    </w:p>
    <w:p w14:paraId="7BC52B7E">
      <w:pPr>
        <w:spacing w:line="600" w:lineRule="exact"/>
        <w:ind w:firstLine="480" w:firstLineChars="200"/>
        <w:rPr>
          <w:rFonts w:hint="eastAsia" w:ascii="宋体" w:hAnsi="宋体" w:eastAsia="宋体" w:cs="宋体"/>
          <w:sz w:val="24"/>
          <w:szCs w:val="24"/>
        </w:rPr>
      </w:pPr>
      <w:r>
        <w:rPr>
          <w:rFonts w:hint="eastAsia" w:ascii="宋体" w:hAnsi="宋体" w:cs="宋体"/>
          <w:sz w:val="24"/>
          <w:szCs w:val="24"/>
        </w:rPr>
        <w:t>上传的电子投标文件有误或需要重新提交的，可先撤销已经上传的文件，然后重新上传新文件。</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Start w:id="284" w:name="_Toc23736"/>
      <w:bookmarkStart w:id="285" w:name="_Toc246996946"/>
      <w:bookmarkStart w:id="286" w:name="_Toc179632577"/>
      <w:bookmarkStart w:id="287" w:name="_Toc152042335"/>
      <w:bookmarkStart w:id="288" w:name="_Toc144974527"/>
      <w:bookmarkStart w:id="289" w:name="_Toc152045559"/>
      <w:bookmarkStart w:id="290" w:name="_Toc247085717"/>
      <w:bookmarkStart w:id="291" w:name="_Toc246996203"/>
      <w:bookmarkStart w:id="292" w:name="_Toc8495"/>
      <w:bookmarkStart w:id="293" w:name="_Toc27697"/>
    </w:p>
    <w:p w14:paraId="52C84CEA">
      <w:pPr>
        <w:pStyle w:val="3"/>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5.开标</w:t>
      </w:r>
      <w:bookmarkEnd w:id="284"/>
      <w:bookmarkEnd w:id="285"/>
      <w:bookmarkEnd w:id="286"/>
      <w:bookmarkEnd w:id="287"/>
      <w:bookmarkEnd w:id="288"/>
      <w:bookmarkEnd w:id="289"/>
      <w:bookmarkEnd w:id="290"/>
      <w:bookmarkEnd w:id="291"/>
      <w:bookmarkEnd w:id="292"/>
      <w:bookmarkEnd w:id="293"/>
    </w:p>
    <w:p w14:paraId="7150A99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94" w:name="_Toc11197"/>
      <w:bookmarkStart w:id="295" w:name="_Toc152045560"/>
      <w:bookmarkStart w:id="296" w:name="_Toc247085718"/>
      <w:bookmarkStart w:id="297" w:name="_Toc179632578"/>
      <w:bookmarkStart w:id="298" w:name="_Toc144974528"/>
      <w:bookmarkStart w:id="299" w:name="_Toc246996204"/>
      <w:bookmarkStart w:id="300" w:name="_Toc32417"/>
      <w:bookmarkStart w:id="301" w:name="_Toc152042336"/>
      <w:bookmarkStart w:id="302" w:name="_Toc19034"/>
      <w:bookmarkStart w:id="303" w:name="_Toc246996947"/>
      <w:r>
        <w:rPr>
          <w:rFonts w:hint="eastAsia" w:ascii="宋体" w:hAnsi="宋体" w:eastAsia="宋体" w:cs="宋体"/>
          <w:sz w:val="24"/>
          <w:szCs w:val="24"/>
        </w:rPr>
        <w:t>5.1 开标时间和地点</w:t>
      </w:r>
      <w:bookmarkEnd w:id="294"/>
      <w:bookmarkEnd w:id="295"/>
      <w:bookmarkEnd w:id="296"/>
      <w:bookmarkEnd w:id="297"/>
      <w:bookmarkEnd w:id="298"/>
      <w:bookmarkEnd w:id="299"/>
      <w:bookmarkEnd w:id="300"/>
      <w:bookmarkEnd w:id="301"/>
      <w:bookmarkEnd w:id="302"/>
      <w:bookmarkEnd w:id="303"/>
    </w:p>
    <w:p w14:paraId="045C374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投标人须知前附表规定的地点和时间公开开标，并邀请所有投标人的法定代表人或其委托代理人准时参加。</w:t>
      </w:r>
    </w:p>
    <w:p w14:paraId="1066599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04" w:name="_Toc246996948"/>
      <w:bookmarkStart w:id="305" w:name="_Toc144974529"/>
      <w:bookmarkStart w:id="306" w:name="_Toc179632579"/>
      <w:bookmarkStart w:id="307" w:name="_Toc3352"/>
      <w:bookmarkStart w:id="308" w:name="_Toc152042337"/>
      <w:bookmarkStart w:id="309" w:name="_Toc27426"/>
      <w:bookmarkStart w:id="310" w:name="_Toc152045561"/>
      <w:bookmarkStart w:id="311" w:name="_Toc20464"/>
      <w:bookmarkStart w:id="312" w:name="_Toc247085719"/>
      <w:bookmarkStart w:id="313" w:name="_Toc246996205"/>
      <w:r>
        <w:rPr>
          <w:rFonts w:hint="eastAsia" w:ascii="宋体" w:hAnsi="宋体" w:eastAsia="宋体" w:cs="宋体"/>
          <w:sz w:val="24"/>
          <w:szCs w:val="24"/>
        </w:rPr>
        <w:t>5.2 开标程序</w:t>
      </w:r>
      <w:bookmarkEnd w:id="304"/>
      <w:bookmarkEnd w:id="305"/>
      <w:bookmarkEnd w:id="306"/>
      <w:bookmarkEnd w:id="307"/>
      <w:bookmarkEnd w:id="308"/>
      <w:bookmarkEnd w:id="309"/>
      <w:bookmarkEnd w:id="310"/>
      <w:bookmarkEnd w:id="311"/>
      <w:bookmarkEnd w:id="312"/>
      <w:bookmarkEnd w:id="313"/>
    </w:p>
    <w:p w14:paraId="0F130A2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bookmarkStart w:id="314" w:name="_Toc5502"/>
      <w:bookmarkStart w:id="315" w:name="_Toc30701"/>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0756BEE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p w14:paraId="763D035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本项目采用“不见面开标”具体流程如下：</w:t>
      </w:r>
    </w:p>
    <w:p w14:paraId="6A1BE9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项目开标时，投标人使用CA锁登录交易中心网站不见面开标大厅，通过不见面开标大厅参加开标，使用不见面开标系统与招标人、招标代理机构现场工作人员进行互动交流、澄清答疑活动。提交投标文件截止时间前，招标代理机构、交易中心工作人员提前一小时进入不见面开标系统，投标人提前一小时进入该系统，进行在线查看互动区消息等。</w:t>
      </w:r>
    </w:p>
    <w:p w14:paraId="5232E9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、提交投标文件截止时间后，由主持人通过系统发出投标文件解密指令，投标人按规定时间自行实施远程解密，解密限定在规定时间内完成</w:t>
      </w:r>
      <w:r>
        <w:rPr>
          <w:rFonts w:hint="eastAsia" w:ascii="宋体" w:hAnsi="宋体" w:eastAsia="宋体" w:cs="宋体"/>
          <w:kern w:val="0"/>
          <w:sz w:val="24"/>
          <w:szCs w:val="24"/>
          <w:lang w:eastAsia="zh-CN"/>
        </w:rPr>
        <w:t>。</w:t>
      </w:r>
    </w:p>
    <w:p w14:paraId="061FB7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w:t>
      </w:r>
      <w:r>
        <w:rPr>
          <w:rFonts w:hint="eastAsia" w:ascii="宋体" w:hAnsi="宋体" w:eastAsia="宋体" w:cs="宋体"/>
          <w:kern w:val="0"/>
          <w:sz w:val="24"/>
          <w:szCs w:val="24"/>
        </w:rPr>
        <w:t>开标过程中，投标人应当重点关注不见面开标系统相关流程和互动区消息，并根据提醒及时进行投标文件在线解密等操作。</w:t>
      </w:r>
    </w:p>
    <w:p w14:paraId="7547F6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w:t>
      </w:r>
      <w:r>
        <w:rPr>
          <w:rFonts w:hint="eastAsia" w:ascii="宋体" w:hAnsi="宋体" w:eastAsia="宋体" w:cs="宋体"/>
          <w:kern w:val="0"/>
          <w:sz w:val="24"/>
          <w:szCs w:val="24"/>
        </w:rPr>
        <w:t>、项目进入投标文件在线解密阶段后，投标人须在规定的时限内对电子投标文件进行解密，逾期系统将拒绝操作。解密时所用CA锁应与加密投标文件时所用CA锁为同一锁，且在正常使用期内，否则将无法解密。</w:t>
      </w:r>
    </w:p>
    <w:p w14:paraId="77B8BB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w:t>
      </w:r>
      <w:r>
        <w:rPr>
          <w:rFonts w:hint="eastAsia" w:ascii="宋体" w:hAnsi="宋体" w:eastAsia="宋体" w:cs="宋体"/>
          <w:kern w:val="0"/>
          <w:sz w:val="24"/>
          <w:szCs w:val="24"/>
        </w:rPr>
        <w:t>、因投标人自身原因未能按时完成投标文件解密，视为投标人放弃该项目投标，其投标文件将被退回；因交易中心不见面开标系统原因，导致投标人无法按时完成投标文件解密的，交易中心可根据实际情况相应延迟解密时间或调整开标时间。</w:t>
      </w:r>
    </w:p>
    <w:p w14:paraId="31D3A3A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3.6</w:t>
      </w:r>
      <w:r>
        <w:rPr>
          <w:rFonts w:hint="eastAsia" w:ascii="宋体" w:hAnsi="宋体" w:eastAsia="宋体" w:cs="宋体"/>
          <w:kern w:val="0"/>
          <w:sz w:val="24"/>
          <w:szCs w:val="24"/>
        </w:rPr>
        <w:t>、开标过程中，参加在线开标的投标人代表视为投标人全权委托委托人，行使投标人权利与义务。投标人不得以不承认解密及互动发言人员的资格或身份等为借口否认投标行为。操作流程详见延安市公共资源交易中心不见面开标系统操作手册（投标人）。投标申请人应及时获取招标文件、澄清或修改文件以及答疑等相关文件，在提交投标文件截止时间前必须递交投标文件，否则按无效处理。</w:t>
      </w:r>
    </w:p>
    <w:p w14:paraId="269E86D0">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5.3投标文件的有效性</w:t>
      </w:r>
      <w:bookmarkEnd w:id="314"/>
      <w:bookmarkEnd w:id="315"/>
    </w:p>
    <w:p w14:paraId="1E0ADCC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5.3.1开标时，投标文件出现下列情况之一的，应当作为无效投标文件，不得进入评标：</w:t>
      </w:r>
    </w:p>
    <w:p w14:paraId="54FF48A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1</w:t>
      </w:r>
      <w:r>
        <w:rPr>
          <w:rFonts w:hint="eastAsia" w:ascii="宋体" w:hAnsi="宋体" w:eastAsia="宋体" w:cs="宋体"/>
          <w:sz w:val="24"/>
          <w:szCs w:val="24"/>
        </w:rPr>
        <w:t>本须知第3.1条规定的投标文件有关内容未按本须知第3.5.3条规定加盖投标人印章或未经法定代表人或其委托代理人签字或盖章的，由委托代理人签字或盖章的，但未随投标文件一起提交有效的“授权委托书”原件的；</w:t>
      </w:r>
    </w:p>
    <w:p w14:paraId="050630E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投标文件的关键内容字迹模糊，无法辨认的；</w:t>
      </w:r>
    </w:p>
    <w:p w14:paraId="35302C3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投标人未按照招标文件的要求提供投标保证金的；                   </w:t>
      </w:r>
    </w:p>
    <w:p w14:paraId="49A0929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4</w:t>
      </w:r>
      <w:r>
        <w:rPr>
          <w:rFonts w:hint="eastAsia" w:ascii="宋体" w:hAnsi="宋体" w:eastAsia="宋体" w:cs="宋体"/>
          <w:sz w:val="24"/>
          <w:szCs w:val="24"/>
        </w:rPr>
        <w:t>投标文件不符合本须知第3.1条规定，其组成缺项者；</w:t>
      </w:r>
    </w:p>
    <w:p w14:paraId="104B49C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开标大会在递交投标文件截止时间的同一时间举行，出席和参加大会的人员和代表，应在会议开始之前进行会议签到。</w:t>
      </w:r>
    </w:p>
    <w:p w14:paraId="668832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开标时，投标文件中出现下列情况，修正原则为。</w:t>
      </w:r>
    </w:p>
    <w:p w14:paraId="164FC83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a.投标报价的大写金额和小写不一致的，以大写金额为准；</w:t>
      </w:r>
    </w:p>
    <w:p w14:paraId="3C60060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b.单价金额小数点有明显错位的，以修改单价为准；</w:t>
      </w:r>
    </w:p>
    <w:p w14:paraId="018049B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c.多处内容交叉不符时，以评标委员会评审结果为准；</w:t>
      </w:r>
    </w:p>
    <w:p w14:paraId="4624A6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d.文字与图表不符时以文字为准。</w:t>
      </w:r>
    </w:p>
    <w:p w14:paraId="164FB40A">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16" w:name="_Toc21836"/>
      <w:bookmarkStart w:id="317" w:name="_Toc7178"/>
      <w:bookmarkStart w:id="318" w:name="_Toc24451"/>
      <w:r>
        <w:rPr>
          <w:rFonts w:hint="eastAsia" w:ascii="宋体" w:hAnsi="宋体" w:eastAsia="宋体" w:cs="宋体"/>
          <w:sz w:val="24"/>
          <w:szCs w:val="24"/>
        </w:rPr>
        <w:t>5.4开标异议</w:t>
      </w:r>
      <w:bookmarkEnd w:id="316"/>
      <w:bookmarkEnd w:id="317"/>
      <w:bookmarkEnd w:id="318"/>
    </w:p>
    <w:p w14:paraId="46A29B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val="en-US" w:eastAsia="zh-CN"/>
        </w:rPr>
      </w:pPr>
      <w:bookmarkStart w:id="319" w:name="_Toc247085720"/>
      <w:bookmarkStart w:id="320" w:name="_Toc152045562"/>
      <w:bookmarkStart w:id="321" w:name="_Toc179632580"/>
      <w:bookmarkStart w:id="322" w:name="_Toc16510"/>
      <w:bookmarkStart w:id="323" w:name="_Toc246996206"/>
      <w:bookmarkStart w:id="324" w:name="_Toc246996949"/>
      <w:bookmarkStart w:id="325" w:name="_Toc152042338"/>
      <w:bookmarkStart w:id="326" w:name="_Toc144974530"/>
      <w:bookmarkStart w:id="327" w:name="_Toc8409"/>
      <w:bookmarkStart w:id="328" w:name="_Toc19772"/>
      <w:r>
        <w:rPr>
          <w:rFonts w:hint="eastAsia" w:ascii="宋体" w:hAnsi="宋体" w:eastAsia="宋体" w:cs="宋体"/>
          <w:kern w:val="0"/>
          <w:sz w:val="24"/>
          <w:szCs w:val="24"/>
          <w:lang w:val="en-US" w:eastAsia="zh-CN"/>
        </w:rPr>
        <w:t>标人代表对开标过程和开标记录有疑义，以及认为开标现场采购人、采购代理机构相关工作人员有需要回避的情形，应在开标大厅当场提出询问或回避申请，若投标人在开标会议结束前，未提出疑义，视其对开标过程和开标记录无疑义。</w:t>
      </w:r>
    </w:p>
    <w:p w14:paraId="2CC7D42F">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6. 评标</w:t>
      </w:r>
      <w:bookmarkEnd w:id="319"/>
      <w:bookmarkEnd w:id="320"/>
      <w:bookmarkEnd w:id="321"/>
      <w:bookmarkEnd w:id="322"/>
      <w:bookmarkEnd w:id="323"/>
      <w:bookmarkEnd w:id="324"/>
      <w:bookmarkEnd w:id="325"/>
      <w:bookmarkEnd w:id="326"/>
      <w:bookmarkEnd w:id="327"/>
      <w:bookmarkEnd w:id="328"/>
    </w:p>
    <w:p w14:paraId="2B2E3930">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29" w:name="_Toc152045563"/>
      <w:bookmarkStart w:id="330" w:name="_Toc144974531"/>
      <w:bookmarkStart w:id="331" w:name="_Toc247085721"/>
      <w:bookmarkStart w:id="332" w:name="_Toc32310"/>
      <w:bookmarkStart w:id="333" w:name="_Toc246996950"/>
      <w:bookmarkStart w:id="334" w:name="_Toc179632581"/>
      <w:bookmarkStart w:id="335" w:name="_Toc152042339"/>
      <w:bookmarkStart w:id="336" w:name="_Toc17653"/>
      <w:bookmarkStart w:id="337" w:name="_Toc246996207"/>
      <w:bookmarkStart w:id="338" w:name="_Toc24650"/>
      <w:r>
        <w:rPr>
          <w:rFonts w:hint="eastAsia" w:ascii="宋体" w:hAnsi="宋体" w:eastAsia="宋体" w:cs="宋体"/>
          <w:sz w:val="24"/>
          <w:szCs w:val="24"/>
        </w:rPr>
        <w:t>6.1 评标委员会</w:t>
      </w:r>
      <w:bookmarkEnd w:id="329"/>
      <w:bookmarkEnd w:id="330"/>
      <w:bookmarkEnd w:id="331"/>
      <w:bookmarkEnd w:id="332"/>
      <w:bookmarkEnd w:id="333"/>
      <w:bookmarkEnd w:id="334"/>
      <w:bookmarkEnd w:id="335"/>
      <w:bookmarkEnd w:id="336"/>
      <w:bookmarkEnd w:id="337"/>
      <w:bookmarkEnd w:id="338"/>
    </w:p>
    <w:p w14:paraId="4CA81FF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6.1.1 </w:t>
      </w:r>
      <w:r>
        <w:rPr>
          <w:rFonts w:hint="eastAsia" w:ascii="宋体" w:hAnsi="宋体" w:eastAsia="宋体" w:cs="宋体"/>
          <w:sz w:val="24"/>
          <w:szCs w:val="24"/>
          <w:lang w:val="en-US" w:eastAsia="zh-CN"/>
        </w:rPr>
        <w:t>评标委员会由采购人代表和评审专家组成，成员人数应当为5人以上单数，其中评审专家不得少于成员总数的三分之二。</w:t>
      </w:r>
    </w:p>
    <w:p w14:paraId="1235CB4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14:paraId="2F756F0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（1）投标人或投标人主要负责人的近亲属；</w:t>
      </w:r>
    </w:p>
    <w:p w14:paraId="4E64BD0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（2）项目主管部门或者行政监督部门的人员；</w:t>
      </w:r>
    </w:p>
    <w:p w14:paraId="541BB800">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（3）与投标人有经济利益关系；</w:t>
      </w:r>
    </w:p>
    <w:p w14:paraId="3152A03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（4）曾因在招标、评标以及其他与招标投标有关活动中从事违法行为而受过行政处罚或刑事处罚的；</w:t>
      </w:r>
    </w:p>
    <w:p w14:paraId="66390F9C">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（5）与投标人有其他利害关系。</w:t>
      </w:r>
    </w:p>
    <w:p w14:paraId="1F4E13B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39" w:name="_Toc246996208"/>
      <w:bookmarkStart w:id="340" w:name="_Toc144974532"/>
      <w:bookmarkStart w:id="341" w:name="_Toc346"/>
      <w:bookmarkStart w:id="342" w:name="_Toc247085722"/>
      <w:bookmarkStart w:id="343" w:name="_Toc152045564"/>
      <w:bookmarkStart w:id="344" w:name="_Toc246996951"/>
      <w:bookmarkStart w:id="345" w:name="_Toc16516"/>
      <w:bookmarkStart w:id="346" w:name="_Toc390"/>
      <w:bookmarkStart w:id="347" w:name="_Toc152042340"/>
      <w:bookmarkStart w:id="348" w:name="_Toc179632582"/>
      <w:r>
        <w:rPr>
          <w:rFonts w:hint="eastAsia" w:ascii="宋体" w:hAnsi="宋体" w:eastAsia="宋体" w:cs="宋体"/>
          <w:sz w:val="24"/>
          <w:szCs w:val="24"/>
        </w:rPr>
        <w:t xml:space="preserve">6.2 </w:t>
      </w:r>
      <w:bookmarkEnd w:id="339"/>
      <w:bookmarkEnd w:id="340"/>
      <w:bookmarkEnd w:id="341"/>
      <w:bookmarkEnd w:id="342"/>
      <w:bookmarkEnd w:id="343"/>
      <w:bookmarkEnd w:id="344"/>
      <w:bookmarkEnd w:id="345"/>
      <w:bookmarkEnd w:id="346"/>
      <w:bookmarkEnd w:id="347"/>
      <w:bookmarkEnd w:id="348"/>
      <w:r>
        <w:rPr>
          <w:rFonts w:hint="eastAsia" w:ascii="宋体" w:hAnsi="宋体" w:eastAsia="宋体" w:cs="宋体"/>
          <w:sz w:val="24"/>
          <w:szCs w:val="24"/>
        </w:rPr>
        <w:t>评标委员会应当遵守并履行下列职责义务：</w:t>
      </w:r>
    </w:p>
    <w:p w14:paraId="2E6C413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a.遵纪守法，客观、公正、认真负责的履行职责，审查投标文件是否符合招标文件的要求，并作出评价；</w:t>
      </w:r>
    </w:p>
    <w:p w14:paraId="43391B6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b.要求投标人对投标文件有关事项作出解释或者澄清；</w:t>
      </w:r>
    </w:p>
    <w:p w14:paraId="03933BC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c.按照招标文件的要求和评标办法进行评标，推荐中标候选人名单；</w:t>
      </w:r>
    </w:p>
    <w:p w14:paraId="4DC069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d.配合招标组织机构答复投标人提出的质疑；</w:t>
      </w:r>
    </w:p>
    <w:p w14:paraId="58AD0B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评标委员会有权就投标文件中有疑义之处或前后表述不一致的问题，向投标人提出询问或澄清。投标人必须在评标委员会规定的时间内派技术和商务人员进行澄清，有关澄清的内容应以书面形式提交，并由投标人法定代表人或委托代理人签字确认。澄清时投标人只作说明和解释，不得借此对投标报价、优惠条件、售后服务等实质性内容做任何修改。</w:t>
      </w:r>
    </w:p>
    <w:p w14:paraId="5681FEA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f.评标委员会有权对开标、评标过程中出现的一切问题，根据相关法律法规，本着公平、公正的原则，提出处理意见，经采购人、招标组织机构同意后做出处理决定。</w:t>
      </w:r>
    </w:p>
    <w:p w14:paraId="2088ACE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g.向招标组织机构或有关部门报告非法干预评标工作的行为。</w:t>
      </w:r>
    </w:p>
    <w:p w14:paraId="0D98211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 评标保密工作</w:t>
      </w:r>
    </w:p>
    <w:p w14:paraId="7A2F2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 招标组织机构必须采取必要措施，保证评标工作在严格保密的情况下进行。任何单位和个人不得非法干预、影响评标方法的确定，以及评标过程和结果。</w:t>
      </w:r>
    </w:p>
    <w:p w14:paraId="4194DDB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3FBF309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 定标程序</w:t>
      </w:r>
    </w:p>
    <w:p w14:paraId="4ADFFF0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6.4.1 招标组织机构在评标工作结束后2个工作日内，将评标报告送采购人。</w:t>
      </w:r>
    </w:p>
    <w:p w14:paraId="362B438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6.4.2 采购人在收到评标报告后5个工作日内，按照评标报告中推荐的中标候选人顺序确定中标供应商，并函复招标组织机构。</w:t>
      </w:r>
    </w:p>
    <w:p w14:paraId="7B61C0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6.4.3 中标供应商确定之日发出中标通知书，并在省级以上人民政府财政部门指定的媒体上公告中标结果。</w:t>
      </w:r>
    </w:p>
    <w:p w14:paraId="6FC0C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6.4.4 中标供应商因不可抗力或者自身原因不能履行政府采购合同的，采购人可以与排序在中标供应商之后第一位的中标候选人签订政府采购合同，以此类推至第二位。</w:t>
      </w:r>
    </w:p>
    <w:p w14:paraId="06394788">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49" w:name="_Toc144974534"/>
      <w:bookmarkStart w:id="350" w:name="_Toc152045566"/>
      <w:bookmarkStart w:id="351" w:name="_Toc21695"/>
      <w:bookmarkStart w:id="352" w:name="_Toc152042342"/>
      <w:bookmarkStart w:id="353" w:name="_Toc246996953"/>
      <w:bookmarkStart w:id="354" w:name="_Toc179632584"/>
      <w:bookmarkStart w:id="355" w:name="_Toc247085724"/>
      <w:bookmarkStart w:id="356" w:name="_Toc246996210"/>
      <w:bookmarkStart w:id="357" w:name="_Toc19723"/>
      <w:bookmarkStart w:id="358" w:name="_Toc24420"/>
      <w:r>
        <w:rPr>
          <w:rFonts w:hint="eastAsia" w:ascii="宋体" w:hAnsi="宋体" w:eastAsia="宋体" w:cs="宋体"/>
          <w:sz w:val="24"/>
          <w:szCs w:val="24"/>
        </w:rPr>
        <w:t>7. 合同授予</w:t>
      </w:r>
      <w:bookmarkEnd w:id="349"/>
      <w:bookmarkEnd w:id="350"/>
      <w:bookmarkEnd w:id="351"/>
      <w:bookmarkEnd w:id="352"/>
      <w:bookmarkEnd w:id="353"/>
      <w:bookmarkEnd w:id="354"/>
      <w:bookmarkEnd w:id="355"/>
      <w:bookmarkEnd w:id="356"/>
      <w:bookmarkEnd w:id="357"/>
      <w:bookmarkEnd w:id="358"/>
    </w:p>
    <w:p w14:paraId="33E6505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59" w:name="_Toc246996211"/>
      <w:bookmarkStart w:id="360" w:name="_Toc23291"/>
      <w:bookmarkStart w:id="361" w:name="_Toc152045567"/>
      <w:bookmarkStart w:id="362" w:name="_Toc152042343"/>
      <w:bookmarkStart w:id="363" w:name="_Toc144974535"/>
      <w:bookmarkStart w:id="364" w:name="_Toc246996954"/>
      <w:bookmarkStart w:id="365" w:name="_Toc26031"/>
      <w:bookmarkStart w:id="366" w:name="_Toc461"/>
      <w:bookmarkStart w:id="367" w:name="_Toc247085725"/>
      <w:bookmarkStart w:id="368" w:name="_Toc179632585"/>
      <w:r>
        <w:rPr>
          <w:rFonts w:hint="eastAsia" w:ascii="宋体" w:hAnsi="宋体" w:eastAsia="宋体" w:cs="宋体"/>
          <w:sz w:val="24"/>
          <w:szCs w:val="24"/>
        </w:rPr>
        <w:t xml:space="preserve">7.1 </w:t>
      </w:r>
      <w:bookmarkEnd w:id="359"/>
      <w:bookmarkEnd w:id="360"/>
      <w:bookmarkEnd w:id="361"/>
      <w:bookmarkEnd w:id="362"/>
      <w:bookmarkEnd w:id="363"/>
      <w:bookmarkEnd w:id="364"/>
      <w:bookmarkEnd w:id="365"/>
      <w:bookmarkEnd w:id="366"/>
      <w:bookmarkEnd w:id="367"/>
      <w:bookmarkEnd w:id="368"/>
      <w:r>
        <w:rPr>
          <w:rFonts w:hint="eastAsia" w:ascii="宋体" w:hAnsi="宋体" w:eastAsia="宋体" w:cs="宋体"/>
          <w:sz w:val="24"/>
          <w:szCs w:val="24"/>
        </w:rPr>
        <w:t>签订合同</w:t>
      </w:r>
    </w:p>
    <w:p w14:paraId="10D66F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69" w:name="_Toc2601"/>
      <w:bookmarkStart w:id="370" w:name="_Toc19535"/>
      <w:bookmarkStart w:id="371" w:name="_Toc23618"/>
      <w:r>
        <w:rPr>
          <w:rFonts w:hint="eastAsia" w:ascii="宋体" w:hAnsi="宋体" w:eastAsia="宋体" w:cs="宋体"/>
          <w:sz w:val="24"/>
          <w:szCs w:val="24"/>
        </w:rPr>
        <w:t>7.1</w:t>
      </w:r>
      <w:r>
        <w:rPr>
          <w:rFonts w:hint="eastAsia" w:ascii="宋体" w:hAnsi="宋体" w:eastAsia="宋体" w:cs="宋体"/>
          <w:sz w:val="24"/>
          <w:szCs w:val="24"/>
          <w:lang w:val="en-US" w:eastAsia="zh-CN"/>
        </w:rPr>
        <w:t>.1</w:t>
      </w:r>
      <w:r>
        <w:rPr>
          <w:rFonts w:hint="eastAsia" w:ascii="宋体" w:hAnsi="宋体" w:eastAsia="宋体" w:cs="宋体"/>
          <w:sz w:val="24"/>
          <w:szCs w:val="24"/>
        </w:rPr>
        <w:t>合同将授予</w:t>
      </w:r>
      <w:r>
        <w:rPr>
          <w:rFonts w:hint="eastAsia" w:ascii="宋体" w:hAnsi="宋体" w:eastAsia="宋体" w:cs="宋体"/>
          <w:sz w:val="24"/>
          <w:szCs w:val="24"/>
          <w:lang w:val="en-US" w:eastAsia="zh-CN"/>
        </w:rPr>
        <w:t>由</w:t>
      </w:r>
      <w:r>
        <w:rPr>
          <w:rFonts w:hint="eastAsia" w:ascii="宋体" w:hAnsi="宋体" w:eastAsia="宋体" w:cs="宋体"/>
          <w:sz w:val="24"/>
          <w:szCs w:val="24"/>
        </w:rPr>
        <w:t>采购人出具的定标复函确认的供应商。排名第一的中标候选人放弃中标、 因不可抗力提出不能履行合同，或者招标文件规定应当提交履约保证金而在规定的期限内未能提交，或者被查实存在影响中标结果的违法行为等情形，不符合中标条件的，采购人可以按照评标委员会提出的中标候选人名单排序依次确定其他中标候选人为供应商。依次确定其他中标候选人与采购人预期差距较大，或者对采购人明显不利的，采购人可以重新招标。</w:t>
      </w:r>
    </w:p>
    <w:p w14:paraId="6C46C3F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2 采购人应尽量缩短采购合同签订时间，不晚于中标(成交)通知书发出之日起25日，鼓励在15日内按照采购文件确定的事项与中标(成交)供应商签订政府采购合同。采购人不得以自身原因等不合理理由拖延合同，根据磋商文件和成交供应商的磋商响应文件订立书面合同。成交供应商无正当理由拒签合同，采购人取消其成交资格，其磋商保证金不予退还。</w:t>
      </w:r>
    </w:p>
    <w:p w14:paraId="6194251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3招标组织机构应当督促采购人、中标供应商在规定的期限内完成合同签订工作，并对采购合同内容进行审核确认。</w:t>
      </w:r>
    </w:p>
    <w:p w14:paraId="282371A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1.4</w:t>
      </w:r>
      <w:r>
        <w:rPr>
          <w:rFonts w:hint="eastAsia" w:ascii="宋体" w:hAnsi="宋体" w:eastAsia="宋体" w:cs="宋体"/>
          <w:sz w:val="24"/>
          <w:szCs w:val="24"/>
        </w:rPr>
        <w:t>合同在执行过程中，确需修改、变更时，应当按照相应的审核批准程序办理。</w:t>
      </w:r>
    </w:p>
    <w:p w14:paraId="792435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1.5</w:t>
      </w:r>
      <w:r>
        <w:rPr>
          <w:rFonts w:hint="eastAsia" w:ascii="宋体" w:hAnsi="宋体" w:eastAsia="宋体" w:cs="宋体"/>
          <w:sz w:val="24"/>
          <w:szCs w:val="24"/>
        </w:rPr>
        <w:t>招标文件、投标文件、补充协议等为合同的组成部分，具有同等法律效力。</w:t>
      </w:r>
    </w:p>
    <w:p w14:paraId="05964081">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7.2 </w:t>
      </w:r>
      <w:bookmarkStart w:id="372" w:name="_Toc152042344"/>
      <w:bookmarkStart w:id="373" w:name="_Toc179632586"/>
      <w:bookmarkStart w:id="374" w:name="_Toc152045568"/>
      <w:bookmarkStart w:id="375" w:name="_Toc144974536"/>
      <w:bookmarkStart w:id="376" w:name="_Toc246996212"/>
      <w:bookmarkStart w:id="377" w:name="_Toc246996955"/>
      <w:bookmarkStart w:id="378" w:name="_Toc247085726"/>
      <w:r>
        <w:rPr>
          <w:rFonts w:hint="eastAsia" w:ascii="宋体" w:hAnsi="宋体" w:eastAsia="宋体" w:cs="宋体"/>
          <w:sz w:val="24"/>
          <w:szCs w:val="24"/>
        </w:rPr>
        <w:t>中标通知</w:t>
      </w:r>
      <w:bookmarkEnd w:id="369"/>
      <w:bookmarkEnd w:id="370"/>
      <w:bookmarkEnd w:id="371"/>
      <w:bookmarkEnd w:id="372"/>
      <w:bookmarkEnd w:id="373"/>
      <w:bookmarkEnd w:id="374"/>
      <w:bookmarkEnd w:id="375"/>
      <w:bookmarkEnd w:id="376"/>
      <w:bookmarkEnd w:id="377"/>
      <w:bookmarkEnd w:id="378"/>
    </w:p>
    <w:p w14:paraId="7B5F9D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在公告中标结果的同时，采购人或采购代理机构应当向中标人发出中标通知书</w:t>
      </w:r>
      <w:r>
        <w:rPr>
          <w:rFonts w:hint="eastAsia" w:ascii="宋体" w:hAnsi="宋体" w:eastAsia="宋体" w:cs="宋体"/>
          <w:sz w:val="24"/>
          <w:szCs w:val="24"/>
        </w:rPr>
        <w:t>，同时将中标结果通知未中标的投标人。</w:t>
      </w:r>
    </w:p>
    <w:p w14:paraId="7887AA2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7.3 履约</w:t>
      </w:r>
      <w:r>
        <w:rPr>
          <w:rFonts w:hint="eastAsia" w:ascii="宋体" w:hAnsi="宋体" w:eastAsia="宋体" w:cs="宋体"/>
          <w:sz w:val="24"/>
          <w:szCs w:val="24"/>
          <w:lang w:val="en-US" w:eastAsia="zh-CN"/>
        </w:rPr>
        <w:t>保证金</w:t>
      </w:r>
    </w:p>
    <w:p w14:paraId="7071B3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5881EA6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79" w:name="_Toc144974537"/>
      <w:bookmarkStart w:id="380" w:name="_Toc27185"/>
      <w:bookmarkStart w:id="381" w:name="_Toc152045569"/>
      <w:bookmarkStart w:id="382" w:name="_Toc246996956"/>
      <w:bookmarkStart w:id="383" w:name="_Toc32758"/>
      <w:bookmarkStart w:id="384" w:name="_Toc246996213"/>
      <w:bookmarkStart w:id="385" w:name="_Toc247085727"/>
      <w:bookmarkStart w:id="386" w:name="_Toc179632587"/>
      <w:bookmarkStart w:id="387" w:name="_Toc152042345"/>
      <w:bookmarkStart w:id="388" w:name="_Toc24057"/>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履约担保</w:t>
      </w:r>
      <w:bookmarkEnd w:id="379"/>
      <w:bookmarkEnd w:id="380"/>
      <w:bookmarkEnd w:id="381"/>
      <w:bookmarkEnd w:id="382"/>
      <w:bookmarkEnd w:id="383"/>
      <w:bookmarkEnd w:id="384"/>
      <w:bookmarkEnd w:id="385"/>
      <w:bookmarkEnd w:id="386"/>
      <w:bookmarkEnd w:id="387"/>
      <w:bookmarkEnd w:id="388"/>
    </w:p>
    <w:p w14:paraId="7C8B677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.1在签订合同前，中标人应按投标人须知前附表规定的担保形式或者事先经过采购人书面认可的履约担保格式向采购人提交履约担保。除投标人须知前附表另有规定外，履约担保金额为中标合同金额的</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0873E02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.2 中标人不能按本章第7.</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项要求提交履约担保的，视为放弃中标，其投标保证金不予退还，给采购人造成的损失超过投标保证金数额的，中标人还应当对超过部分予以赔偿。</w:t>
      </w:r>
    </w:p>
    <w:p w14:paraId="705C0EF1">
      <w:pPr>
        <w:pStyle w:val="3"/>
        <w:spacing w:before="0" w:after="0" w:line="600" w:lineRule="exact"/>
        <w:rPr>
          <w:rFonts w:hint="eastAsia" w:ascii="宋体" w:hAnsi="宋体" w:cs="宋体"/>
          <w:sz w:val="24"/>
          <w:szCs w:val="24"/>
        </w:rPr>
      </w:pPr>
      <w:bookmarkStart w:id="389" w:name="_Toc18338"/>
      <w:bookmarkStart w:id="390" w:name="_Toc15263"/>
      <w:bookmarkStart w:id="391" w:name="_Toc16299"/>
      <w:bookmarkStart w:id="392" w:name="_Toc19207"/>
      <w:bookmarkStart w:id="393" w:name="_Toc22515"/>
      <w:bookmarkStart w:id="394" w:name="_Toc31455"/>
      <w:r>
        <w:rPr>
          <w:rFonts w:hint="eastAsia" w:ascii="宋体" w:hAnsi="宋体" w:cs="宋体"/>
          <w:sz w:val="24"/>
          <w:szCs w:val="24"/>
        </w:rPr>
        <w:t>8. 纪律和监督</w:t>
      </w:r>
      <w:bookmarkEnd w:id="389"/>
      <w:bookmarkEnd w:id="390"/>
      <w:bookmarkEnd w:id="391"/>
    </w:p>
    <w:p w14:paraId="18EBBFCA">
      <w:pPr>
        <w:pStyle w:val="4"/>
        <w:spacing w:before="0" w:after="0" w:line="600" w:lineRule="exact"/>
        <w:rPr>
          <w:rFonts w:hint="eastAsia" w:ascii="宋体" w:hAnsi="宋体" w:cs="宋体"/>
          <w:sz w:val="24"/>
          <w:szCs w:val="24"/>
        </w:rPr>
      </w:pPr>
      <w:bookmarkStart w:id="395" w:name="_Toc11012"/>
      <w:bookmarkStart w:id="396" w:name="_Toc179632593"/>
      <w:bookmarkStart w:id="397" w:name="_Toc246996219"/>
      <w:bookmarkStart w:id="398" w:name="_Toc15654"/>
      <w:bookmarkStart w:id="399" w:name="_Toc246996962"/>
      <w:bookmarkStart w:id="400" w:name="_Toc9257"/>
      <w:bookmarkStart w:id="401" w:name="_Toc296590983"/>
      <w:bookmarkStart w:id="402" w:name="_Toc144974543"/>
      <w:bookmarkStart w:id="403" w:name="_Toc247085733"/>
      <w:bookmarkStart w:id="404" w:name="_Toc152045575"/>
      <w:bookmarkStart w:id="405" w:name="_Toc152042351"/>
      <w:r>
        <w:rPr>
          <w:rFonts w:hint="eastAsia" w:ascii="宋体" w:hAnsi="宋体" w:cs="宋体"/>
          <w:sz w:val="24"/>
          <w:szCs w:val="24"/>
        </w:rPr>
        <w:t>8.1 对采购人的纪律要求</w:t>
      </w:r>
      <w:bookmarkEnd w:id="395"/>
      <w:bookmarkEnd w:id="396"/>
      <w:bookmarkEnd w:id="397"/>
      <w:bookmarkEnd w:id="398"/>
      <w:bookmarkEnd w:id="399"/>
      <w:bookmarkEnd w:id="400"/>
      <w:bookmarkEnd w:id="401"/>
      <w:bookmarkEnd w:id="402"/>
      <w:bookmarkEnd w:id="403"/>
      <w:bookmarkEnd w:id="404"/>
      <w:bookmarkEnd w:id="405"/>
    </w:p>
    <w:p w14:paraId="314AEDCF">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采购人不得泄漏招标投标活动中应当保密的情况和资料，不得与投标人串通损害国家利益、社会公共利益或者他人合法权益。</w:t>
      </w:r>
    </w:p>
    <w:p w14:paraId="511615FE">
      <w:pPr>
        <w:pStyle w:val="4"/>
        <w:spacing w:before="0" w:after="0" w:line="600" w:lineRule="exact"/>
        <w:rPr>
          <w:rFonts w:hint="eastAsia" w:ascii="宋体" w:hAnsi="宋体" w:cs="宋体"/>
          <w:sz w:val="24"/>
          <w:szCs w:val="24"/>
        </w:rPr>
      </w:pPr>
      <w:bookmarkStart w:id="406" w:name="_Toc152042352"/>
      <w:bookmarkStart w:id="407" w:name="_Toc247085734"/>
      <w:bookmarkStart w:id="408" w:name="_Toc144974544"/>
      <w:bookmarkStart w:id="409" w:name="_Toc13979"/>
      <w:bookmarkStart w:id="410" w:name="_Toc152045576"/>
      <w:bookmarkStart w:id="411" w:name="_Toc27112"/>
      <w:bookmarkStart w:id="412" w:name="_Toc9119"/>
      <w:bookmarkStart w:id="413" w:name="_Toc246996963"/>
      <w:bookmarkStart w:id="414" w:name="_Toc179632594"/>
      <w:bookmarkStart w:id="415" w:name="_Toc246996220"/>
      <w:r>
        <w:rPr>
          <w:rFonts w:hint="eastAsia" w:ascii="宋体" w:hAnsi="宋体" w:cs="宋体"/>
          <w:sz w:val="24"/>
          <w:szCs w:val="24"/>
        </w:rPr>
        <w:t>8.2 对投标人的纪律要求</w:t>
      </w:r>
      <w:bookmarkEnd w:id="406"/>
      <w:bookmarkEnd w:id="407"/>
      <w:bookmarkEnd w:id="408"/>
      <w:bookmarkEnd w:id="409"/>
      <w:bookmarkEnd w:id="410"/>
      <w:bookmarkEnd w:id="411"/>
      <w:bookmarkEnd w:id="412"/>
      <w:bookmarkEnd w:id="413"/>
      <w:bookmarkEnd w:id="414"/>
      <w:bookmarkEnd w:id="415"/>
    </w:p>
    <w:p w14:paraId="05A81740">
      <w:pPr>
        <w:spacing w:line="600" w:lineRule="exact"/>
        <w:ind w:firstLine="480" w:firstLineChars="200"/>
        <w:rPr>
          <w:rFonts w:hint="eastAsia" w:ascii="宋体" w:hAnsi="宋体" w:cs="宋体"/>
          <w:sz w:val="24"/>
          <w:szCs w:val="24"/>
        </w:rPr>
      </w:pPr>
      <w:r>
        <w:rPr>
          <w:rFonts w:hint="eastAsia" w:ascii="宋体" w:hAnsi="宋体" w:cs="宋体"/>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F979A5F">
      <w:pPr>
        <w:pStyle w:val="4"/>
        <w:spacing w:before="0" w:after="0" w:line="600" w:lineRule="exact"/>
        <w:rPr>
          <w:rFonts w:hint="eastAsia" w:ascii="宋体" w:hAnsi="宋体" w:cs="宋体"/>
          <w:sz w:val="24"/>
          <w:szCs w:val="24"/>
        </w:rPr>
      </w:pPr>
      <w:bookmarkStart w:id="416" w:name="_Toc14763"/>
      <w:bookmarkStart w:id="417" w:name="_Toc246996964"/>
      <w:bookmarkStart w:id="418" w:name="_Toc24158"/>
      <w:bookmarkStart w:id="419" w:name="_Toc246996221"/>
      <w:bookmarkStart w:id="420" w:name="_Toc6639"/>
      <w:bookmarkStart w:id="421" w:name="_Toc144974545"/>
      <w:bookmarkStart w:id="422" w:name="_Toc179632595"/>
      <w:bookmarkStart w:id="423" w:name="_Toc152045577"/>
      <w:bookmarkStart w:id="424" w:name="_Toc247085735"/>
      <w:bookmarkStart w:id="425" w:name="_Toc152042353"/>
      <w:r>
        <w:rPr>
          <w:rFonts w:hint="eastAsia" w:ascii="宋体" w:hAnsi="宋体" w:cs="宋体"/>
          <w:sz w:val="24"/>
          <w:szCs w:val="24"/>
        </w:rPr>
        <w:t>8.3 对评标委员会成员的纪律要求</w:t>
      </w:r>
      <w:bookmarkEnd w:id="416"/>
      <w:bookmarkEnd w:id="417"/>
      <w:bookmarkEnd w:id="418"/>
      <w:bookmarkEnd w:id="419"/>
      <w:bookmarkEnd w:id="420"/>
      <w:bookmarkEnd w:id="421"/>
      <w:bookmarkEnd w:id="422"/>
      <w:bookmarkEnd w:id="423"/>
      <w:bookmarkEnd w:id="424"/>
      <w:bookmarkEnd w:id="425"/>
    </w:p>
    <w:p w14:paraId="5FB6782A">
      <w:pPr>
        <w:spacing w:line="600" w:lineRule="exact"/>
        <w:ind w:firstLine="480" w:firstLineChars="200"/>
        <w:rPr>
          <w:rFonts w:hint="eastAsia" w:ascii="宋体" w:hAnsi="宋体" w:cs="宋体"/>
          <w:sz w:val="24"/>
          <w:szCs w:val="24"/>
        </w:rPr>
      </w:pPr>
      <w:r>
        <w:rPr>
          <w:rFonts w:hint="eastAsia" w:ascii="宋体" w:hAnsi="宋体" w:cs="宋体"/>
          <w:sz w:val="24"/>
          <w:szCs w:val="24"/>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4DA47B56">
      <w:pPr>
        <w:pStyle w:val="4"/>
        <w:spacing w:before="0" w:after="0" w:line="600" w:lineRule="exact"/>
        <w:rPr>
          <w:rFonts w:hint="eastAsia" w:ascii="宋体" w:hAnsi="宋体" w:cs="宋体"/>
          <w:sz w:val="24"/>
          <w:szCs w:val="24"/>
        </w:rPr>
      </w:pPr>
      <w:bookmarkStart w:id="426" w:name="_Toc746"/>
      <w:bookmarkStart w:id="427" w:name="_Toc179632596"/>
      <w:bookmarkStart w:id="428" w:name="_Toc246996222"/>
      <w:bookmarkStart w:id="429" w:name="_Toc246996965"/>
      <w:bookmarkStart w:id="430" w:name="_Toc247085736"/>
      <w:bookmarkStart w:id="431" w:name="_Toc152042354"/>
      <w:bookmarkStart w:id="432" w:name="_Toc10721"/>
      <w:bookmarkStart w:id="433" w:name="_Toc18417"/>
      <w:bookmarkStart w:id="434" w:name="_Toc152045578"/>
      <w:bookmarkStart w:id="435" w:name="_Toc144974546"/>
      <w:r>
        <w:rPr>
          <w:rFonts w:hint="eastAsia" w:ascii="宋体" w:hAnsi="宋体" w:cs="宋体"/>
          <w:sz w:val="24"/>
          <w:szCs w:val="24"/>
        </w:rPr>
        <w:t>8.4 对与评标活动有关的工作人员的纪律要求</w:t>
      </w:r>
      <w:bookmarkEnd w:id="426"/>
      <w:bookmarkEnd w:id="427"/>
      <w:bookmarkEnd w:id="428"/>
      <w:bookmarkEnd w:id="429"/>
      <w:bookmarkEnd w:id="430"/>
      <w:bookmarkEnd w:id="431"/>
      <w:bookmarkEnd w:id="432"/>
      <w:bookmarkEnd w:id="433"/>
      <w:bookmarkEnd w:id="434"/>
    </w:p>
    <w:p w14:paraId="476A146E">
      <w:pPr>
        <w:spacing w:line="600" w:lineRule="exact"/>
        <w:ind w:firstLine="480" w:firstLineChars="200"/>
        <w:rPr>
          <w:rFonts w:hint="eastAsia" w:ascii="宋体" w:hAnsi="宋体" w:cs="宋体"/>
          <w:sz w:val="24"/>
          <w:szCs w:val="24"/>
        </w:rPr>
      </w:pPr>
      <w:bookmarkStart w:id="436" w:name="_Toc152042355"/>
      <w:r>
        <w:rPr>
          <w:rFonts w:hint="eastAsia" w:ascii="宋体" w:hAnsi="宋体" w:cs="宋体"/>
          <w:sz w:val="24"/>
          <w:szCs w:val="24"/>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36"/>
    </w:p>
    <w:p w14:paraId="55F15B59">
      <w:pPr>
        <w:pStyle w:val="4"/>
        <w:spacing w:before="0" w:after="0" w:line="600" w:lineRule="exact"/>
        <w:rPr>
          <w:rFonts w:hint="eastAsia" w:ascii="宋体" w:hAnsi="宋体" w:cs="宋体"/>
          <w:sz w:val="24"/>
          <w:szCs w:val="24"/>
        </w:rPr>
      </w:pPr>
      <w:bookmarkStart w:id="437" w:name="_Toc152045579"/>
      <w:bookmarkStart w:id="438" w:name="_Toc179632597"/>
      <w:bookmarkStart w:id="439" w:name="_Toc246996966"/>
      <w:bookmarkStart w:id="440" w:name="_Toc247085737"/>
      <w:bookmarkStart w:id="441" w:name="_Toc14107"/>
      <w:bookmarkStart w:id="442" w:name="_Toc22107"/>
      <w:bookmarkStart w:id="443" w:name="_Toc152042356"/>
      <w:bookmarkStart w:id="444" w:name="_Toc22014"/>
      <w:bookmarkStart w:id="445" w:name="_Toc246996223"/>
      <w:r>
        <w:rPr>
          <w:rFonts w:hint="eastAsia" w:ascii="宋体" w:hAnsi="宋体" w:cs="宋体"/>
          <w:sz w:val="24"/>
          <w:szCs w:val="24"/>
        </w:rPr>
        <w:t>8.5 投诉</w:t>
      </w:r>
      <w:bookmarkEnd w:id="435"/>
      <w:bookmarkEnd w:id="437"/>
      <w:bookmarkEnd w:id="438"/>
      <w:bookmarkEnd w:id="439"/>
      <w:bookmarkEnd w:id="440"/>
      <w:bookmarkEnd w:id="441"/>
      <w:bookmarkEnd w:id="442"/>
      <w:bookmarkEnd w:id="443"/>
      <w:bookmarkEnd w:id="444"/>
      <w:bookmarkEnd w:id="445"/>
    </w:p>
    <w:p w14:paraId="35714320">
      <w:pPr>
        <w:spacing w:line="600" w:lineRule="exact"/>
        <w:ind w:firstLine="480" w:firstLineChars="200"/>
        <w:rPr>
          <w:rFonts w:hint="eastAsia" w:ascii="宋体" w:hAnsi="宋体" w:cs="宋体"/>
          <w:sz w:val="24"/>
          <w:szCs w:val="24"/>
        </w:rPr>
      </w:pPr>
      <w:bookmarkStart w:id="446" w:name="_Toc6779"/>
      <w:bookmarkStart w:id="447" w:name="_Toc247085738"/>
      <w:bookmarkStart w:id="448" w:name="_Toc246996967"/>
      <w:bookmarkStart w:id="449" w:name="_Toc9155"/>
      <w:bookmarkStart w:id="450" w:name="_Toc179632598"/>
      <w:bookmarkStart w:id="451" w:name="_Toc152045580"/>
      <w:bookmarkStart w:id="452" w:name="_Toc144974547"/>
      <w:bookmarkStart w:id="453" w:name="_Toc24729"/>
      <w:bookmarkStart w:id="454" w:name="_Toc152042357"/>
      <w:bookmarkStart w:id="455" w:name="_Toc246996224"/>
      <w:r>
        <w:rPr>
          <w:rFonts w:hint="eastAsia" w:ascii="宋体" w:hAnsi="宋体" w:cs="宋体"/>
          <w:sz w:val="24"/>
          <w:szCs w:val="24"/>
        </w:rPr>
        <w:t>8.5.1供应商和其他利害关系人认为本次招标活动违反法律、法规和规章规定的，有权向有关行政监督部门投诉。</w:t>
      </w:r>
    </w:p>
    <w:p w14:paraId="087647BE">
      <w:pPr>
        <w:spacing w:line="600" w:lineRule="exact"/>
        <w:ind w:firstLine="480" w:firstLineChars="200"/>
        <w:rPr>
          <w:rFonts w:hint="eastAsia" w:ascii="宋体" w:hAnsi="宋体" w:cs="宋体"/>
          <w:sz w:val="24"/>
          <w:szCs w:val="24"/>
        </w:rPr>
      </w:pPr>
      <w:r>
        <w:rPr>
          <w:rFonts w:hint="eastAsia" w:ascii="宋体" w:hAnsi="宋体" w:cs="宋体"/>
          <w:sz w:val="24"/>
          <w:szCs w:val="24"/>
        </w:rPr>
        <w:t>8.5.2供应商的质疑和投诉，详见《中华人民共和国财政部令第94号--政府采购质疑和投诉办法》有关规定。</w:t>
      </w:r>
    </w:p>
    <w:p w14:paraId="4B8EF8CF">
      <w:pPr>
        <w:spacing w:line="600" w:lineRule="exact"/>
        <w:ind w:firstLine="480" w:firstLineChars="200"/>
        <w:rPr>
          <w:rFonts w:hint="eastAsia" w:ascii="宋体" w:hAnsi="宋体" w:cs="宋体"/>
          <w:sz w:val="24"/>
          <w:szCs w:val="24"/>
        </w:rPr>
      </w:pPr>
      <w:r>
        <w:rPr>
          <w:rFonts w:hint="eastAsia" w:ascii="宋体" w:hAnsi="宋体" w:cs="宋体"/>
          <w:sz w:val="24"/>
          <w:szCs w:val="24"/>
        </w:rPr>
        <w:t>8.5.3投诉人不得以投诉为名排挤竞争对手，不得进行虚假、恶意投诉，阻碍招标投标活动的正常进行。</w:t>
      </w:r>
    </w:p>
    <w:p w14:paraId="3424C281">
      <w:pPr>
        <w:pStyle w:val="4"/>
        <w:spacing w:before="0" w:after="0" w:line="600" w:lineRule="exact"/>
        <w:rPr>
          <w:rFonts w:hint="eastAsia" w:ascii="宋体" w:hAnsi="宋体" w:cs="宋体"/>
          <w:sz w:val="24"/>
          <w:szCs w:val="24"/>
        </w:rPr>
      </w:pPr>
      <w:r>
        <w:rPr>
          <w:rFonts w:hint="eastAsia" w:ascii="宋体" w:hAnsi="宋体" w:cs="宋体"/>
          <w:sz w:val="24"/>
          <w:szCs w:val="24"/>
        </w:rPr>
        <w:t>8.6评标过程的监控</w:t>
      </w:r>
    </w:p>
    <w:p w14:paraId="55FB601E">
      <w:pPr>
        <w:spacing w:line="600" w:lineRule="exact"/>
        <w:ind w:firstLine="480" w:firstLineChars="200"/>
        <w:rPr>
          <w:rFonts w:hint="eastAsia" w:ascii="宋体" w:hAnsi="宋体" w:cs="宋体"/>
          <w:sz w:val="24"/>
          <w:szCs w:val="24"/>
        </w:rPr>
      </w:pPr>
      <w:r>
        <w:rPr>
          <w:rFonts w:hint="eastAsia" w:ascii="宋体" w:hAnsi="宋体" w:cs="宋体"/>
          <w:sz w:val="24"/>
          <w:szCs w:val="24"/>
        </w:rPr>
        <w:t>本项目评标过程实行全程录音、录像监控，供应商在评标过程中所进行的试图影响评标结果的不公正活动，可能导致其投标被拒绝。</w:t>
      </w:r>
    </w:p>
    <w:p w14:paraId="6B9CC836">
      <w:pPr>
        <w:pStyle w:val="4"/>
        <w:spacing w:before="0" w:after="0" w:line="600" w:lineRule="exact"/>
        <w:rPr>
          <w:rFonts w:hint="eastAsia" w:ascii="宋体" w:hAnsi="宋体" w:cs="宋体"/>
          <w:sz w:val="24"/>
          <w:szCs w:val="24"/>
        </w:rPr>
      </w:pPr>
      <w:r>
        <w:rPr>
          <w:rFonts w:hint="eastAsia" w:ascii="宋体" w:hAnsi="宋体" w:cs="宋体"/>
          <w:sz w:val="24"/>
          <w:szCs w:val="24"/>
        </w:rPr>
        <w:t>8.7质疑</w:t>
      </w:r>
    </w:p>
    <w:p w14:paraId="70582C8F">
      <w:pPr>
        <w:spacing w:line="600" w:lineRule="exact"/>
        <w:ind w:firstLine="480" w:firstLineChars="200"/>
        <w:rPr>
          <w:rFonts w:hint="eastAsia" w:ascii="宋体" w:hAnsi="宋体" w:cs="宋体"/>
          <w:sz w:val="24"/>
          <w:szCs w:val="24"/>
        </w:rPr>
      </w:pPr>
      <w:r>
        <w:rPr>
          <w:rFonts w:hint="eastAsia" w:ascii="宋体" w:hAnsi="宋体" w:cs="宋体"/>
          <w:sz w:val="24"/>
          <w:szCs w:val="24"/>
        </w:rPr>
        <w:t>8.7.1供应商对采购事项有疑问的，应当按照《政府采购质疑和投诉办法》规定，以书面形式向采购人或代理机构提出，经法定代表人签字并加盖公章。</w:t>
      </w:r>
    </w:p>
    <w:p w14:paraId="7CF6B31F">
      <w:pPr>
        <w:spacing w:line="600" w:lineRule="exact"/>
        <w:ind w:firstLine="480" w:firstLineChars="200"/>
        <w:rPr>
          <w:rFonts w:hint="eastAsia" w:ascii="宋体" w:hAnsi="宋体" w:cs="宋体"/>
          <w:sz w:val="24"/>
          <w:szCs w:val="24"/>
        </w:rPr>
      </w:pPr>
      <w:r>
        <w:rPr>
          <w:rFonts w:hint="eastAsia" w:ascii="宋体" w:hAnsi="宋体" w:cs="宋体"/>
          <w:sz w:val="24"/>
          <w:szCs w:val="24"/>
        </w:rPr>
        <w:t>8.7.2供应商认为招标文件、采购过程、中标或者成交结果使自己的权益受到损害的，可以在知道或者应知其权益受到损害之日起7个工作日内，以书面形式向采购人、采购代理机构提出质疑。</w:t>
      </w:r>
    </w:p>
    <w:p w14:paraId="52282A5D">
      <w:pPr>
        <w:spacing w:line="600" w:lineRule="exact"/>
        <w:ind w:firstLine="480" w:firstLineChars="200"/>
        <w:rPr>
          <w:rFonts w:hint="eastAsia" w:ascii="宋体" w:hAnsi="宋体" w:cs="宋体"/>
          <w:sz w:val="24"/>
          <w:szCs w:val="24"/>
        </w:rPr>
      </w:pPr>
      <w:r>
        <w:rPr>
          <w:rFonts w:hint="eastAsia" w:ascii="宋体" w:hAnsi="宋体" w:cs="宋体"/>
          <w:sz w:val="24"/>
          <w:szCs w:val="24"/>
        </w:rPr>
        <w:t>8.7.3供应商对招标文件条款或技术参数有异议的，应当在开标前通过澄清或修改程序提出。供应商已经参与开标，并于开标后对招标文件提出质疑的，其质疑应当被视为无效质疑。在法定质疑期内对招标文件只能是一次性提出针对同一采购程序环节的质疑。</w:t>
      </w:r>
    </w:p>
    <w:p w14:paraId="6662DC33">
      <w:pPr>
        <w:spacing w:line="600" w:lineRule="exact"/>
        <w:ind w:firstLine="480" w:firstLineChars="200"/>
        <w:rPr>
          <w:rFonts w:hint="eastAsia" w:ascii="宋体" w:hAnsi="宋体" w:cs="宋体"/>
          <w:sz w:val="24"/>
          <w:szCs w:val="24"/>
        </w:rPr>
      </w:pPr>
      <w:r>
        <w:rPr>
          <w:rFonts w:hint="eastAsia" w:ascii="宋体" w:hAnsi="宋体" w:cs="宋体"/>
          <w:sz w:val="24"/>
          <w:szCs w:val="24"/>
        </w:rPr>
        <w:t>8.7.4提出质疑的供应商（以下简称质疑供应商）应当是参与所质疑项目采购活动的供应商。潜在供应商已依法获取其可质疑的招标文件的，可以对该文件提出质疑。</w:t>
      </w:r>
    </w:p>
    <w:p w14:paraId="50ABDAE2">
      <w:pPr>
        <w:spacing w:line="600" w:lineRule="exact"/>
        <w:ind w:firstLine="480" w:firstLineChars="200"/>
        <w:rPr>
          <w:rFonts w:hint="eastAsia" w:ascii="宋体" w:hAnsi="宋体" w:cs="宋体"/>
          <w:sz w:val="24"/>
          <w:szCs w:val="24"/>
        </w:rPr>
      </w:pPr>
      <w:r>
        <w:rPr>
          <w:rFonts w:hint="eastAsia" w:ascii="宋体" w:hAnsi="宋体" w:cs="宋体"/>
          <w:sz w:val="24"/>
          <w:szCs w:val="24"/>
        </w:rPr>
        <w:t>8.7.5对招标文件提出质疑的，应当在获取招标文件或者招标文件公告期限届满之日起7个工作日内提出。</w:t>
      </w:r>
    </w:p>
    <w:p w14:paraId="61285561">
      <w:pPr>
        <w:spacing w:line="600" w:lineRule="exact"/>
        <w:ind w:firstLine="480" w:firstLineChars="200"/>
        <w:rPr>
          <w:rFonts w:hint="eastAsia" w:ascii="宋体" w:hAnsi="宋体" w:cs="宋体"/>
          <w:sz w:val="24"/>
          <w:szCs w:val="24"/>
        </w:rPr>
      </w:pPr>
      <w:r>
        <w:rPr>
          <w:rFonts w:hint="eastAsia" w:ascii="宋体" w:hAnsi="宋体" w:cs="宋体"/>
          <w:sz w:val="24"/>
          <w:szCs w:val="24"/>
        </w:rPr>
        <w:t>8.7.6供应商提出质疑应当提交质疑函（质疑函范本见附件</w:t>
      </w:r>
      <w:r>
        <w:rPr>
          <w:rFonts w:hint="eastAsia" w:ascii="宋体" w:hAnsi="宋体" w:cs="宋体"/>
          <w:b/>
          <w:bCs/>
          <w:sz w:val="24"/>
          <w:szCs w:val="24"/>
        </w:rPr>
        <w:t>①</w:t>
      </w:r>
      <w:r>
        <w:rPr>
          <w:rFonts w:hint="eastAsia" w:ascii="宋体" w:hAnsi="宋体" w:cs="宋体"/>
          <w:sz w:val="24"/>
          <w:szCs w:val="24"/>
        </w:rPr>
        <w:t>）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4888C70D">
      <w:pPr>
        <w:spacing w:line="600" w:lineRule="exact"/>
        <w:ind w:firstLine="480" w:firstLineChars="200"/>
        <w:rPr>
          <w:rFonts w:hint="eastAsia" w:ascii="宋体" w:hAnsi="宋体" w:cs="宋体"/>
          <w:sz w:val="24"/>
          <w:szCs w:val="24"/>
        </w:rPr>
      </w:pPr>
      <w:r>
        <w:rPr>
          <w:rFonts w:hint="eastAsia" w:ascii="宋体" w:hAnsi="宋体" w:cs="宋体"/>
          <w:sz w:val="24"/>
          <w:szCs w:val="24"/>
        </w:rPr>
        <w:t>8.7.7有下列情形之一的，属于无效质疑，代理机构可不予受理：</w:t>
      </w:r>
    </w:p>
    <w:p w14:paraId="72DFF5C4">
      <w:pPr>
        <w:spacing w:line="600" w:lineRule="exact"/>
        <w:ind w:firstLine="480" w:firstLineChars="200"/>
        <w:rPr>
          <w:rFonts w:hint="eastAsia" w:ascii="宋体" w:hAnsi="宋体" w:cs="宋体"/>
          <w:sz w:val="24"/>
          <w:szCs w:val="24"/>
        </w:rPr>
      </w:pPr>
      <w:r>
        <w:rPr>
          <w:rFonts w:hint="eastAsia" w:ascii="宋体" w:hAnsi="宋体" w:cs="宋体"/>
          <w:sz w:val="24"/>
          <w:szCs w:val="24"/>
        </w:rPr>
        <w:t>（1）未在有效期限内提出质疑的；</w:t>
      </w:r>
    </w:p>
    <w:p w14:paraId="52DD76FC">
      <w:pPr>
        <w:spacing w:line="600" w:lineRule="exact"/>
        <w:ind w:firstLine="480" w:firstLineChars="200"/>
        <w:rPr>
          <w:rFonts w:hint="eastAsia" w:ascii="宋体" w:hAnsi="宋体" w:cs="宋体"/>
          <w:sz w:val="24"/>
          <w:szCs w:val="24"/>
        </w:rPr>
      </w:pPr>
      <w:r>
        <w:rPr>
          <w:rFonts w:hint="eastAsia" w:ascii="宋体" w:hAnsi="宋体" w:cs="宋体"/>
          <w:sz w:val="24"/>
          <w:szCs w:val="24"/>
        </w:rPr>
        <w:t>（2）质疑未以书面形式提出的；</w:t>
      </w:r>
    </w:p>
    <w:p w14:paraId="193CCB63">
      <w:pPr>
        <w:spacing w:line="600" w:lineRule="exact"/>
        <w:ind w:firstLine="480" w:firstLineChars="200"/>
        <w:rPr>
          <w:rFonts w:hint="eastAsia" w:ascii="宋体" w:hAnsi="宋体" w:cs="宋体"/>
          <w:sz w:val="24"/>
          <w:szCs w:val="24"/>
        </w:rPr>
      </w:pPr>
      <w:r>
        <w:rPr>
          <w:rFonts w:hint="eastAsia" w:ascii="宋体" w:hAnsi="宋体" w:cs="宋体"/>
          <w:sz w:val="24"/>
          <w:szCs w:val="24"/>
        </w:rPr>
        <w:t>（3）所提交材料未明示属于质疑材料的；</w:t>
      </w:r>
    </w:p>
    <w:p w14:paraId="33EAD521">
      <w:pPr>
        <w:spacing w:line="600" w:lineRule="exact"/>
        <w:ind w:firstLine="480" w:firstLineChars="200"/>
        <w:rPr>
          <w:rFonts w:hint="eastAsia" w:ascii="宋体" w:hAnsi="宋体" w:cs="宋体"/>
          <w:sz w:val="24"/>
          <w:szCs w:val="24"/>
        </w:rPr>
      </w:pPr>
      <w:r>
        <w:rPr>
          <w:rFonts w:hint="eastAsia" w:ascii="宋体" w:hAnsi="宋体" w:cs="宋体"/>
          <w:sz w:val="24"/>
          <w:szCs w:val="24"/>
        </w:rPr>
        <w:t>（4）质疑书没有法定代表人签署本人姓名或印盖本人姓名章并加盖供应商公章；质疑书由参加采购项目的授权代表签署本人姓名或印盖本人姓名章的，没有法定代表人的特别授权；质疑书加盖合同专用章的；</w:t>
      </w:r>
    </w:p>
    <w:p w14:paraId="2FE44BA3">
      <w:pPr>
        <w:spacing w:line="600" w:lineRule="exact"/>
        <w:ind w:firstLine="480" w:firstLineChars="200"/>
        <w:rPr>
          <w:rFonts w:hint="eastAsia" w:ascii="宋体" w:hAnsi="宋体" w:cs="宋体"/>
          <w:sz w:val="24"/>
          <w:szCs w:val="24"/>
        </w:rPr>
      </w:pPr>
      <w:r>
        <w:rPr>
          <w:rFonts w:hint="eastAsia" w:ascii="宋体" w:hAnsi="宋体" w:cs="宋体"/>
          <w:sz w:val="24"/>
          <w:szCs w:val="24"/>
        </w:rPr>
        <w:t>（5）质疑书未提供有效联系人或联系方式的；</w:t>
      </w:r>
    </w:p>
    <w:p w14:paraId="5962401B">
      <w:pPr>
        <w:spacing w:line="600" w:lineRule="exact"/>
        <w:ind w:firstLine="480" w:firstLineChars="200"/>
        <w:rPr>
          <w:rFonts w:hint="eastAsia" w:ascii="宋体" w:hAnsi="宋体" w:cs="宋体"/>
          <w:sz w:val="24"/>
          <w:szCs w:val="24"/>
        </w:rPr>
      </w:pPr>
      <w:r>
        <w:rPr>
          <w:rFonts w:hint="eastAsia" w:ascii="宋体" w:hAnsi="宋体" w:cs="宋体"/>
          <w:sz w:val="24"/>
          <w:szCs w:val="24"/>
        </w:rPr>
        <w:t>（6）质疑事项已经进入投诉或者诉讼程序的；</w:t>
      </w:r>
    </w:p>
    <w:p w14:paraId="3D6ECA12">
      <w:pPr>
        <w:spacing w:line="600" w:lineRule="exact"/>
        <w:ind w:firstLine="480" w:firstLineChars="200"/>
        <w:rPr>
          <w:rFonts w:hint="eastAsia" w:ascii="宋体" w:hAnsi="宋体" w:cs="宋体"/>
          <w:sz w:val="24"/>
          <w:szCs w:val="24"/>
        </w:rPr>
      </w:pPr>
      <w:r>
        <w:rPr>
          <w:rFonts w:hint="eastAsia" w:ascii="宋体" w:hAnsi="宋体" w:cs="宋体"/>
          <w:sz w:val="24"/>
          <w:szCs w:val="24"/>
        </w:rPr>
        <w:t>（7）其它不符合受理条件的情形。</w:t>
      </w:r>
    </w:p>
    <w:p w14:paraId="3322687F">
      <w:pPr>
        <w:spacing w:line="600" w:lineRule="exact"/>
        <w:ind w:firstLine="480" w:firstLineChars="200"/>
        <w:rPr>
          <w:rFonts w:hint="eastAsia" w:ascii="宋体" w:hAnsi="宋体" w:cs="宋体"/>
          <w:sz w:val="24"/>
          <w:szCs w:val="24"/>
        </w:rPr>
      </w:pPr>
      <w:r>
        <w:rPr>
          <w:rFonts w:hint="eastAsia" w:ascii="宋体" w:hAnsi="宋体" w:cs="宋体"/>
          <w:sz w:val="24"/>
          <w:szCs w:val="24"/>
        </w:rPr>
        <w:t>8.7.8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68B956FC">
      <w:pPr>
        <w:spacing w:line="600" w:lineRule="exact"/>
        <w:ind w:firstLine="480" w:firstLineChars="200"/>
        <w:rPr>
          <w:rFonts w:hint="eastAsia" w:ascii="宋体" w:hAnsi="宋体" w:cs="宋体"/>
          <w:sz w:val="24"/>
          <w:szCs w:val="24"/>
        </w:rPr>
      </w:pPr>
      <w:r>
        <w:rPr>
          <w:rFonts w:hint="eastAsia" w:ascii="宋体" w:hAnsi="宋体" w:cs="宋体"/>
          <w:sz w:val="24"/>
          <w:szCs w:val="24"/>
        </w:rPr>
        <w:t>8.7.9供应商对评审过程、中标或者成交结果提出质疑的，采购人、采购代理机构可以组织原评标委员会、竞争性谈判小组、询价小组或者竞争性磋商小组协助答复质疑。</w:t>
      </w:r>
    </w:p>
    <w:p w14:paraId="0C628AEA">
      <w:pPr>
        <w:spacing w:line="600" w:lineRule="exact"/>
        <w:ind w:firstLine="480" w:firstLineChars="200"/>
        <w:rPr>
          <w:rFonts w:hint="eastAsia" w:ascii="宋体" w:hAnsi="宋体" w:cs="宋体"/>
          <w:sz w:val="24"/>
          <w:szCs w:val="24"/>
        </w:rPr>
      </w:pPr>
      <w:r>
        <w:rPr>
          <w:rFonts w:hint="eastAsia" w:ascii="宋体" w:hAnsi="宋体" w:cs="宋体"/>
          <w:sz w:val="24"/>
          <w:szCs w:val="24"/>
        </w:rPr>
        <w:t>8.7.10质疑人有下列情形之一的，代理机构应驳回质疑：</w:t>
      </w:r>
    </w:p>
    <w:p w14:paraId="7ECA4B82">
      <w:pPr>
        <w:spacing w:line="600" w:lineRule="exact"/>
        <w:ind w:firstLine="480" w:firstLineChars="200"/>
        <w:rPr>
          <w:rFonts w:hint="eastAsia" w:ascii="宋体" w:hAnsi="宋体" w:cs="宋体"/>
          <w:sz w:val="24"/>
          <w:szCs w:val="24"/>
        </w:rPr>
      </w:pPr>
      <w:r>
        <w:rPr>
          <w:rFonts w:hint="eastAsia" w:ascii="宋体" w:hAnsi="宋体" w:cs="宋体"/>
          <w:sz w:val="24"/>
          <w:szCs w:val="24"/>
        </w:rPr>
        <w:t>（1）质疑缺乏事实和法律依据的；</w:t>
      </w:r>
    </w:p>
    <w:p w14:paraId="3E1D7D61">
      <w:pPr>
        <w:spacing w:line="600" w:lineRule="exact"/>
        <w:ind w:firstLine="480" w:firstLineChars="200"/>
        <w:rPr>
          <w:rFonts w:hint="eastAsia" w:ascii="宋体" w:hAnsi="宋体" w:cs="宋体"/>
          <w:sz w:val="24"/>
          <w:szCs w:val="24"/>
        </w:rPr>
      </w:pPr>
      <w:r>
        <w:rPr>
          <w:rFonts w:hint="eastAsia" w:ascii="宋体" w:hAnsi="宋体" w:cs="宋体"/>
          <w:sz w:val="24"/>
          <w:szCs w:val="24"/>
        </w:rPr>
        <w:t>（2）质疑人捏造事实、提供虚假材料，或在一定期限内多次质疑而无实据的；</w:t>
      </w:r>
    </w:p>
    <w:p w14:paraId="2E294D5F">
      <w:pPr>
        <w:spacing w:line="600" w:lineRule="exact"/>
        <w:ind w:firstLine="480" w:firstLineChars="200"/>
        <w:rPr>
          <w:rFonts w:hint="eastAsia" w:ascii="宋体" w:hAnsi="宋体" w:cs="宋体"/>
          <w:sz w:val="24"/>
          <w:szCs w:val="24"/>
        </w:rPr>
      </w:pPr>
      <w:r>
        <w:rPr>
          <w:rFonts w:hint="eastAsia" w:ascii="宋体" w:hAnsi="宋体" w:cs="宋体"/>
          <w:sz w:val="24"/>
          <w:szCs w:val="24"/>
        </w:rPr>
        <w:t>（3）质疑已经处理并答复后，质疑人就同一事项又提起质疑且未提供新的有效证据的；</w:t>
      </w:r>
    </w:p>
    <w:p w14:paraId="43A29D57">
      <w:pPr>
        <w:spacing w:line="600" w:lineRule="exact"/>
        <w:ind w:firstLine="480" w:firstLineChars="200"/>
        <w:rPr>
          <w:rFonts w:hint="eastAsia" w:ascii="宋体" w:hAnsi="宋体" w:cs="宋体"/>
          <w:sz w:val="24"/>
          <w:szCs w:val="24"/>
        </w:rPr>
      </w:pPr>
      <w:r>
        <w:rPr>
          <w:rFonts w:hint="eastAsia" w:ascii="宋体" w:hAnsi="宋体" w:cs="宋体"/>
          <w:sz w:val="24"/>
          <w:szCs w:val="24"/>
        </w:rPr>
        <w:t>（4）其他根据相关法律、法规应当予以驳回的情形。</w:t>
      </w:r>
    </w:p>
    <w:p w14:paraId="6271B75B">
      <w:pPr>
        <w:spacing w:line="600" w:lineRule="exact"/>
        <w:ind w:firstLine="480" w:firstLineChars="200"/>
        <w:rPr>
          <w:rFonts w:hint="eastAsia" w:ascii="宋体" w:hAnsi="宋体" w:cs="宋体"/>
          <w:sz w:val="24"/>
          <w:szCs w:val="24"/>
        </w:rPr>
      </w:pPr>
      <w:r>
        <w:rPr>
          <w:rFonts w:hint="eastAsia" w:ascii="宋体" w:hAnsi="宋体" w:cs="宋体"/>
          <w:sz w:val="24"/>
          <w:szCs w:val="24"/>
        </w:rPr>
        <w:t>8.7.11供应商进行虚假和恶意质疑的，代理机构可以提请有关部门将其列入不良记录名单，在一至三年内禁止参加政府采购活动，并将处理决定在相关政府采购媒体上公布。</w:t>
      </w:r>
    </w:p>
    <w:p w14:paraId="7952E976">
      <w:pPr>
        <w:spacing w:line="600" w:lineRule="exact"/>
        <w:ind w:firstLine="480" w:firstLineChars="200"/>
        <w:rPr>
          <w:rFonts w:hint="eastAsia" w:ascii="宋体" w:hAnsi="宋体" w:cs="宋体"/>
          <w:sz w:val="24"/>
          <w:szCs w:val="24"/>
        </w:rPr>
      </w:pPr>
      <w:r>
        <w:rPr>
          <w:rFonts w:hint="eastAsia" w:ascii="宋体" w:hAnsi="宋体" w:cs="宋体"/>
          <w:sz w:val="24"/>
          <w:szCs w:val="24"/>
        </w:rPr>
        <w:t>8.7.12采购人、采购代理机构认为供应商质疑不成立，或者成立但未对中标、成交结果构成影响的，继续开展采购活动；认为供应商质疑成立且影响或者可能影响中标、成交结果的，按照下列情况处理：</w:t>
      </w:r>
    </w:p>
    <w:p w14:paraId="5AA9CE41">
      <w:pPr>
        <w:spacing w:line="600" w:lineRule="exact"/>
        <w:ind w:firstLine="480" w:firstLineChars="200"/>
        <w:rPr>
          <w:rFonts w:hint="eastAsia" w:ascii="宋体" w:hAnsi="宋体" w:cs="宋体"/>
          <w:sz w:val="24"/>
          <w:szCs w:val="24"/>
        </w:rPr>
      </w:pPr>
      <w:r>
        <w:rPr>
          <w:rFonts w:hint="eastAsia" w:ascii="宋体" w:hAnsi="宋体" w:cs="宋体"/>
          <w:sz w:val="24"/>
          <w:szCs w:val="24"/>
        </w:rPr>
        <w:t>（一）对招标文件提出的质疑，依法通过澄清或者修改可以继续开展采购活动的，澄清或者修改招标文件后继续开展采购活动；否则应当修改招标文件后重新开展采购活动。</w:t>
      </w:r>
    </w:p>
    <w:p w14:paraId="4619753B">
      <w:pPr>
        <w:spacing w:line="600" w:lineRule="exact"/>
        <w:ind w:firstLine="480" w:firstLineChars="200"/>
        <w:rPr>
          <w:rFonts w:hint="eastAsia" w:ascii="宋体" w:hAnsi="宋体" w:cs="宋体"/>
          <w:sz w:val="24"/>
          <w:szCs w:val="24"/>
        </w:rPr>
      </w:pPr>
      <w:r>
        <w:rPr>
          <w:rFonts w:hint="eastAsia" w:ascii="宋体" w:hAnsi="宋体" w:cs="宋体"/>
          <w:sz w:val="24"/>
          <w:szCs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2850F7A8">
      <w:pPr>
        <w:spacing w:line="600" w:lineRule="exact"/>
        <w:ind w:firstLine="480" w:firstLineChars="200"/>
        <w:rPr>
          <w:rFonts w:hint="eastAsia" w:ascii="宋体" w:hAnsi="宋体" w:cs="宋体"/>
          <w:sz w:val="24"/>
          <w:szCs w:val="24"/>
        </w:rPr>
      </w:pPr>
      <w:r>
        <w:rPr>
          <w:rFonts w:hint="eastAsia" w:ascii="宋体" w:hAnsi="宋体" w:cs="宋体"/>
          <w:sz w:val="24"/>
          <w:szCs w:val="24"/>
        </w:rPr>
        <w:t>质疑答复导致中标、成交结果改变的，采购人或者采购代理机构应当将有关情况书面报告本级财政部门。</w:t>
      </w:r>
    </w:p>
    <w:p w14:paraId="71E1789F">
      <w:pPr>
        <w:spacing w:line="600" w:lineRule="exact"/>
        <w:ind w:firstLine="480" w:firstLineChars="200"/>
        <w:rPr>
          <w:rFonts w:hint="eastAsia" w:ascii="宋体" w:hAnsi="宋体" w:cs="宋体"/>
          <w:sz w:val="24"/>
          <w:szCs w:val="24"/>
        </w:rPr>
      </w:pPr>
      <w:r>
        <w:rPr>
          <w:rFonts w:hint="eastAsia" w:ascii="宋体" w:hAnsi="宋体" w:cs="宋体"/>
          <w:sz w:val="24"/>
          <w:szCs w:val="24"/>
        </w:rPr>
        <w:t>8.7.13质疑供应商对采购人、采购代理机构的答复不满意，或者采购人、采购代理机构未在规定时间内作出答复的，可以在答复期满后15个工作日内向本办法第六条规定的财政部门提起投诉（投诉书范本见附件</w:t>
      </w:r>
      <w:r>
        <w:rPr>
          <w:rFonts w:hint="eastAsia" w:ascii="宋体" w:hAnsi="宋体" w:cs="宋体"/>
          <w:b/>
          <w:bCs/>
          <w:sz w:val="24"/>
          <w:szCs w:val="24"/>
        </w:rPr>
        <w:t>②</w:t>
      </w:r>
      <w:r>
        <w:rPr>
          <w:rFonts w:hint="eastAsia" w:ascii="宋体" w:hAnsi="宋体" w:cs="宋体"/>
          <w:sz w:val="24"/>
          <w:szCs w:val="24"/>
        </w:rPr>
        <w:t>）。</w:t>
      </w:r>
    </w:p>
    <w:p w14:paraId="0397EFA7">
      <w:pPr>
        <w:spacing w:line="600" w:lineRule="exact"/>
        <w:ind w:firstLine="480" w:firstLineChars="200"/>
        <w:rPr>
          <w:rFonts w:hint="eastAsia" w:ascii="宋体" w:hAnsi="宋体" w:cs="宋体"/>
          <w:sz w:val="24"/>
          <w:szCs w:val="24"/>
        </w:rPr>
        <w:sectPr>
          <w:footerReference r:id="rId9" w:type="first"/>
          <w:footerReference r:id="rId8"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cols w:space="720" w:num="1"/>
          <w:titlePg/>
          <w:docGrid w:linePitch="312" w:charSpace="0"/>
        </w:sectPr>
      </w:pPr>
    </w:p>
    <w:p w14:paraId="54F79B86">
      <w:pPr>
        <w:spacing w:line="600" w:lineRule="exact"/>
        <w:rPr>
          <w:rFonts w:hint="eastAsia" w:ascii="宋体" w:hAnsi="宋体" w:cs="宋体"/>
          <w:b/>
          <w:bCs/>
          <w:sz w:val="24"/>
          <w:szCs w:val="24"/>
        </w:rPr>
      </w:pPr>
      <w:r>
        <w:rPr>
          <w:rFonts w:hint="eastAsia" w:ascii="宋体" w:hAnsi="宋体" w:cs="宋体"/>
          <w:b/>
          <w:bCs/>
          <w:sz w:val="24"/>
          <w:szCs w:val="24"/>
        </w:rPr>
        <w:t>附件①</w:t>
      </w:r>
    </w:p>
    <w:p w14:paraId="49610BE9">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质疑函范本</w:t>
      </w:r>
    </w:p>
    <w:p w14:paraId="3A9D91B4">
      <w:pPr>
        <w:pStyle w:val="11"/>
        <w:rPr>
          <w:rFonts w:hint="eastAsia"/>
        </w:rPr>
      </w:pPr>
    </w:p>
    <w:p w14:paraId="0E8B41DA">
      <w:pPr>
        <w:spacing w:line="600" w:lineRule="exact"/>
        <w:ind w:firstLine="480" w:firstLineChars="200"/>
        <w:rPr>
          <w:rFonts w:hint="eastAsia" w:ascii="宋体" w:hAnsi="宋体" w:cs="宋体"/>
          <w:sz w:val="24"/>
          <w:szCs w:val="24"/>
        </w:rPr>
      </w:pPr>
      <w:r>
        <w:rPr>
          <w:rFonts w:hint="eastAsia" w:ascii="宋体" w:hAnsi="宋体" w:cs="宋体"/>
          <w:sz w:val="24"/>
          <w:szCs w:val="24"/>
        </w:rPr>
        <w:t>一、质疑供应商基本信息</w:t>
      </w:r>
    </w:p>
    <w:p w14:paraId="013837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质疑供应商：                                        </w:t>
      </w:r>
    </w:p>
    <w:p w14:paraId="454FC0D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555C00B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6E57CF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联系人：                      </w:t>
      </w:r>
    </w:p>
    <w:p w14:paraId="2D264769">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6C1691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0BD3E24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585354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40100DC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51A6DF8">
      <w:pPr>
        <w:spacing w:line="600" w:lineRule="exact"/>
        <w:ind w:firstLine="480" w:firstLineChars="200"/>
        <w:rPr>
          <w:rFonts w:hint="eastAsia" w:ascii="宋体" w:hAnsi="宋体" w:cs="宋体"/>
          <w:sz w:val="24"/>
          <w:szCs w:val="24"/>
        </w:rPr>
      </w:pPr>
      <w:r>
        <w:rPr>
          <w:rFonts w:hint="eastAsia" w:ascii="宋体" w:hAnsi="宋体" w:cs="宋体"/>
          <w:sz w:val="24"/>
          <w:szCs w:val="24"/>
        </w:rPr>
        <w:t>二、质疑项目基本情况</w:t>
      </w:r>
    </w:p>
    <w:p w14:paraId="1EED2C4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质疑项目的名称：                                      </w:t>
      </w:r>
    </w:p>
    <w:p w14:paraId="402B1E4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质疑项目的编号：                                      </w:t>
      </w:r>
    </w:p>
    <w:p w14:paraId="0A20010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3AF88C5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招标文件获取日期：                                    </w:t>
      </w:r>
    </w:p>
    <w:p w14:paraId="5D8A660E">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三、质疑事项具体内容</w:t>
      </w:r>
    </w:p>
    <w:p w14:paraId="62EF444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质疑事项1：                                         </w:t>
      </w:r>
    </w:p>
    <w:p w14:paraId="054345D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1B69ADB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1591EC82">
      <w:pPr>
        <w:spacing w:line="600" w:lineRule="exact"/>
        <w:ind w:firstLine="480" w:firstLineChars="200"/>
        <w:rPr>
          <w:rFonts w:hint="eastAsia" w:ascii="宋体" w:hAnsi="宋体" w:cs="宋体"/>
          <w:sz w:val="24"/>
          <w:szCs w:val="24"/>
        </w:rPr>
      </w:pPr>
      <w:r>
        <w:rPr>
          <w:rFonts w:hint="eastAsia" w:ascii="宋体" w:hAnsi="宋体" w:cs="宋体"/>
          <w:sz w:val="24"/>
          <w:szCs w:val="24"/>
        </w:rPr>
        <w:t>质疑事项2</w:t>
      </w:r>
    </w:p>
    <w:p w14:paraId="2ECDCDB5">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293534C6">
      <w:pPr>
        <w:spacing w:line="600" w:lineRule="exact"/>
        <w:ind w:firstLine="480" w:firstLineChars="200"/>
        <w:rPr>
          <w:rFonts w:hint="eastAsia" w:ascii="宋体" w:hAnsi="宋体" w:cs="宋体"/>
          <w:sz w:val="24"/>
          <w:szCs w:val="24"/>
        </w:rPr>
      </w:pPr>
      <w:r>
        <w:rPr>
          <w:rFonts w:hint="eastAsia" w:ascii="宋体" w:hAnsi="宋体" w:cs="宋体"/>
          <w:sz w:val="24"/>
          <w:szCs w:val="24"/>
        </w:rPr>
        <w:t>四、与质疑事项相关的质疑请求</w:t>
      </w:r>
    </w:p>
    <w:p w14:paraId="148F4FE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0B8ED18C">
      <w:pPr>
        <w:spacing w:line="600" w:lineRule="exact"/>
        <w:ind w:firstLine="480" w:firstLineChars="200"/>
        <w:rPr>
          <w:rFonts w:hint="eastAsia" w:ascii="宋体" w:hAnsi="宋体" w:cs="宋体"/>
          <w:sz w:val="24"/>
          <w:szCs w:val="24"/>
        </w:rPr>
      </w:pPr>
    </w:p>
    <w:p w14:paraId="49DB7924">
      <w:pPr>
        <w:spacing w:line="600" w:lineRule="exact"/>
        <w:ind w:firstLine="3360" w:firstLineChars="1400"/>
        <w:rPr>
          <w:rFonts w:hint="eastAsia" w:ascii="宋体" w:hAnsi="宋体" w:cs="宋体"/>
          <w:sz w:val="24"/>
          <w:szCs w:val="24"/>
        </w:rPr>
      </w:pPr>
      <w:r>
        <w:rPr>
          <w:rFonts w:hint="eastAsia" w:ascii="宋体" w:hAnsi="宋体" w:cs="宋体"/>
          <w:sz w:val="24"/>
          <w:szCs w:val="24"/>
        </w:rPr>
        <w:t xml:space="preserve">                </w:t>
      </w:r>
    </w:p>
    <w:p w14:paraId="04A82E1F">
      <w:pPr>
        <w:spacing w:line="600" w:lineRule="exact"/>
        <w:ind w:firstLine="3360" w:firstLineChars="1400"/>
        <w:rPr>
          <w:rFonts w:hint="eastAsia" w:ascii="宋体" w:hAnsi="宋体" w:cs="宋体"/>
          <w:sz w:val="24"/>
          <w:szCs w:val="24"/>
        </w:rPr>
      </w:pPr>
    </w:p>
    <w:p w14:paraId="12BD4A39">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 公           章：   </w:t>
      </w:r>
    </w:p>
    <w:p w14:paraId="02829A66">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签字(签字或盖章)：                    </w:t>
      </w:r>
    </w:p>
    <w:p w14:paraId="3E8D32A8">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日            期：    </w:t>
      </w:r>
    </w:p>
    <w:p w14:paraId="37A17F7F">
      <w:pPr>
        <w:spacing w:line="600" w:lineRule="exact"/>
        <w:ind w:firstLine="480" w:firstLineChars="200"/>
        <w:rPr>
          <w:rFonts w:hint="eastAsia" w:ascii="宋体" w:hAnsi="宋体" w:cs="宋体"/>
          <w:sz w:val="24"/>
          <w:szCs w:val="24"/>
        </w:rPr>
      </w:pPr>
    </w:p>
    <w:p w14:paraId="1A003234">
      <w:pPr>
        <w:spacing w:line="600" w:lineRule="exact"/>
        <w:ind w:firstLine="480" w:firstLineChars="200"/>
        <w:rPr>
          <w:rFonts w:hint="eastAsia" w:ascii="宋体" w:hAnsi="宋体" w:cs="宋体"/>
          <w:sz w:val="24"/>
          <w:szCs w:val="24"/>
        </w:rPr>
      </w:pPr>
    </w:p>
    <w:p w14:paraId="228C6954">
      <w:pPr>
        <w:spacing w:line="600" w:lineRule="exact"/>
        <w:ind w:firstLine="480" w:firstLineChars="200"/>
        <w:rPr>
          <w:rFonts w:hint="eastAsia" w:ascii="宋体" w:hAnsi="宋体" w:cs="宋体"/>
          <w:sz w:val="24"/>
          <w:szCs w:val="24"/>
        </w:rPr>
      </w:pPr>
    </w:p>
    <w:p w14:paraId="5071943E">
      <w:pPr>
        <w:spacing w:line="600" w:lineRule="exact"/>
        <w:ind w:firstLine="480" w:firstLineChars="200"/>
        <w:rPr>
          <w:rFonts w:hint="eastAsia" w:ascii="宋体" w:hAnsi="宋体" w:cs="宋体"/>
          <w:sz w:val="24"/>
          <w:szCs w:val="24"/>
        </w:rPr>
      </w:pPr>
    </w:p>
    <w:p w14:paraId="7852C4F3">
      <w:pPr>
        <w:spacing w:line="600" w:lineRule="exact"/>
        <w:ind w:firstLine="480" w:firstLineChars="200"/>
        <w:rPr>
          <w:rFonts w:hint="eastAsia" w:ascii="宋体" w:hAnsi="宋体" w:cs="宋体"/>
          <w:sz w:val="24"/>
          <w:szCs w:val="24"/>
        </w:rPr>
      </w:pPr>
    </w:p>
    <w:p w14:paraId="0FC28D01">
      <w:pPr>
        <w:spacing w:line="600" w:lineRule="exact"/>
        <w:ind w:firstLine="480" w:firstLineChars="200"/>
        <w:rPr>
          <w:rFonts w:hint="eastAsia" w:ascii="宋体" w:hAnsi="宋体" w:cs="宋体"/>
          <w:sz w:val="24"/>
          <w:szCs w:val="24"/>
        </w:rPr>
      </w:pPr>
    </w:p>
    <w:p w14:paraId="03090986">
      <w:pPr>
        <w:spacing w:line="600" w:lineRule="exact"/>
        <w:ind w:firstLine="480" w:firstLineChars="200"/>
        <w:rPr>
          <w:rFonts w:hint="eastAsia" w:ascii="宋体" w:hAnsi="宋体" w:cs="宋体"/>
          <w:sz w:val="24"/>
          <w:szCs w:val="24"/>
        </w:rPr>
      </w:pPr>
    </w:p>
    <w:p w14:paraId="1530F21B">
      <w:pPr>
        <w:spacing w:line="600" w:lineRule="exact"/>
        <w:ind w:firstLine="480" w:firstLineChars="200"/>
        <w:rPr>
          <w:rFonts w:hint="eastAsia" w:ascii="宋体" w:hAnsi="宋体" w:cs="宋体"/>
          <w:sz w:val="24"/>
          <w:szCs w:val="24"/>
        </w:rPr>
      </w:pPr>
    </w:p>
    <w:p w14:paraId="7537C88C">
      <w:pPr>
        <w:spacing w:line="600" w:lineRule="exact"/>
        <w:ind w:firstLine="480" w:firstLineChars="200"/>
        <w:rPr>
          <w:rFonts w:hint="eastAsia" w:ascii="宋体" w:hAnsi="宋体" w:cs="宋体"/>
          <w:sz w:val="24"/>
          <w:szCs w:val="24"/>
        </w:rPr>
      </w:pPr>
    </w:p>
    <w:p w14:paraId="13D15D43">
      <w:pPr>
        <w:spacing w:line="600" w:lineRule="exact"/>
        <w:ind w:firstLine="480" w:firstLineChars="200"/>
        <w:rPr>
          <w:rFonts w:hint="eastAsia" w:ascii="宋体" w:hAnsi="宋体" w:cs="宋体"/>
          <w:sz w:val="24"/>
          <w:szCs w:val="24"/>
        </w:rPr>
      </w:pPr>
    </w:p>
    <w:p w14:paraId="6F73D926">
      <w:pPr>
        <w:spacing w:line="600" w:lineRule="exact"/>
        <w:ind w:firstLine="480" w:firstLineChars="200"/>
        <w:rPr>
          <w:rFonts w:hint="eastAsia" w:ascii="宋体" w:hAnsi="宋体" w:cs="宋体"/>
          <w:sz w:val="24"/>
          <w:szCs w:val="24"/>
        </w:rPr>
      </w:pPr>
    </w:p>
    <w:p w14:paraId="5558D0FE">
      <w:pPr>
        <w:spacing w:line="600" w:lineRule="exact"/>
        <w:ind w:firstLine="480" w:firstLineChars="200"/>
        <w:rPr>
          <w:rFonts w:hint="eastAsia" w:ascii="宋体" w:hAnsi="宋体" w:cs="宋体"/>
          <w:sz w:val="24"/>
          <w:szCs w:val="24"/>
        </w:rPr>
      </w:pPr>
    </w:p>
    <w:p w14:paraId="52EAEE40">
      <w:pPr>
        <w:pStyle w:val="11"/>
        <w:rPr>
          <w:rFonts w:hint="eastAsia"/>
        </w:rPr>
      </w:pPr>
    </w:p>
    <w:p w14:paraId="1356B741">
      <w:pPr>
        <w:spacing w:line="600" w:lineRule="exact"/>
        <w:ind w:firstLine="480" w:firstLineChars="200"/>
        <w:rPr>
          <w:rFonts w:hint="eastAsia" w:ascii="宋体" w:hAnsi="宋体" w:cs="宋体"/>
          <w:sz w:val="24"/>
          <w:szCs w:val="24"/>
        </w:rPr>
      </w:pPr>
    </w:p>
    <w:p w14:paraId="40B3898F">
      <w:pPr>
        <w:spacing w:line="600" w:lineRule="exact"/>
        <w:rPr>
          <w:rFonts w:hint="eastAsia" w:ascii="宋体" w:hAnsi="宋体" w:cs="宋体"/>
          <w:sz w:val="24"/>
          <w:szCs w:val="24"/>
        </w:rPr>
      </w:pPr>
      <w:r>
        <w:rPr>
          <w:rFonts w:hint="eastAsia" w:ascii="宋体" w:hAnsi="宋体" w:cs="宋体"/>
          <w:sz w:val="24"/>
          <w:szCs w:val="24"/>
        </w:rPr>
        <w:t>质疑函制作说明：</w:t>
      </w:r>
    </w:p>
    <w:p w14:paraId="46B07DAC">
      <w:pPr>
        <w:spacing w:line="600" w:lineRule="exact"/>
        <w:ind w:firstLine="480" w:firstLineChars="200"/>
        <w:rPr>
          <w:rFonts w:hint="eastAsia" w:ascii="宋体" w:hAnsi="宋体" w:cs="宋体"/>
          <w:sz w:val="24"/>
          <w:szCs w:val="24"/>
        </w:rPr>
      </w:pPr>
      <w:r>
        <w:rPr>
          <w:rFonts w:hint="eastAsia" w:ascii="宋体" w:hAnsi="宋体" w:cs="宋体"/>
          <w:sz w:val="24"/>
          <w:szCs w:val="24"/>
        </w:rPr>
        <w:t>1.供应商提出质疑时，应提交质疑函和必要的证明材料。</w:t>
      </w:r>
    </w:p>
    <w:p w14:paraId="53F6EAB4">
      <w:pPr>
        <w:spacing w:line="600" w:lineRule="exact"/>
        <w:ind w:firstLine="480" w:firstLineChars="200"/>
        <w:rPr>
          <w:rFonts w:hint="eastAsia"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20807B">
      <w:pPr>
        <w:spacing w:line="600" w:lineRule="exact"/>
        <w:ind w:firstLine="480" w:firstLineChars="200"/>
        <w:rPr>
          <w:rFonts w:hint="eastAsia" w:ascii="宋体" w:hAnsi="宋体" w:cs="宋体"/>
          <w:sz w:val="24"/>
          <w:szCs w:val="24"/>
        </w:rPr>
      </w:pPr>
      <w:r>
        <w:rPr>
          <w:rFonts w:hint="eastAsia" w:ascii="宋体" w:hAnsi="宋体" w:cs="宋体"/>
          <w:sz w:val="24"/>
          <w:szCs w:val="24"/>
        </w:rPr>
        <w:t>3.质疑供应商若对项目的某一分包进行质疑，质疑函中应列明具体分包号。</w:t>
      </w:r>
    </w:p>
    <w:p w14:paraId="0262FA83">
      <w:pPr>
        <w:spacing w:line="600" w:lineRule="exact"/>
        <w:ind w:firstLine="480" w:firstLineChars="200"/>
        <w:rPr>
          <w:rFonts w:hint="eastAsia" w:ascii="宋体" w:hAnsi="宋体" w:cs="宋体"/>
          <w:sz w:val="24"/>
          <w:szCs w:val="24"/>
        </w:rPr>
      </w:pPr>
      <w:r>
        <w:rPr>
          <w:rFonts w:hint="eastAsia" w:ascii="宋体" w:hAnsi="宋体" w:cs="宋体"/>
          <w:sz w:val="24"/>
          <w:szCs w:val="24"/>
        </w:rPr>
        <w:t>4.质疑函的质疑事项应具体、明确，并有必要的事实依据和法律依据。</w:t>
      </w:r>
    </w:p>
    <w:p w14:paraId="1CE62740">
      <w:pPr>
        <w:spacing w:line="600" w:lineRule="exact"/>
        <w:ind w:firstLine="480" w:firstLineChars="200"/>
        <w:rPr>
          <w:rFonts w:hint="eastAsia" w:ascii="宋体" w:hAnsi="宋体" w:cs="宋体"/>
          <w:sz w:val="24"/>
          <w:szCs w:val="24"/>
        </w:rPr>
      </w:pPr>
      <w:r>
        <w:rPr>
          <w:rFonts w:hint="eastAsia" w:ascii="宋体" w:hAnsi="宋体" w:cs="宋体"/>
          <w:sz w:val="24"/>
          <w:szCs w:val="24"/>
        </w:rPr>
        <w:t>5.质疑函的质疑请求应与质疑事项相关。</w:t>
      </w:r>
    </w:p>
    <w:p w14:paraId="5C9E3BD6">
      <w:pPr>
        <w:spacing w:line="600" w:lineRule="exact"/>
        <w:ind w:firstLine="480" w:firstLineChars="200"/>
        <w:rPr>
          <w:rFonts w:hint="eastAsia"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14:paraId="3F5F4B62">
      <w:pPr>
        <w:spacing w:line="600" w:lineRule="exact"/>
        <w:ind w:firstLine="480" w:firstLineChars="200"/>
        <w:rPr>
          <w:rFonts w:hint="eastAsia"/>
        </w:rPr>
      </w:pPr>
      <w:r>
        <w:rPr>
          <w:rFonts w:hint="eastAsia" w:ascii="宋体" w:hAnsi="宋体" w:cs="宋体"/>
          <w:sz w:val="24"/>
          <w:szCs w:val="24"/>
        </w:rPr>
        <w:br w:type="page"/>
      </w:r>
      <w:r>
        <w:rPr>
          <w:rFonts w:hint="eastAsia" w:ascii="宋体" w:hAnsi="宋体" w:cs="宋体"/>
          <w:b/>
          <w:bCs/>
          <w:sz w:val="24"/>
          <w:szCs w:val="24"/>
        </w:rPr>
        <w:t>附件②</w:t>
      </w:r>
    </w:p>
    <w:p w14:paraId="0DC7D3E0">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投诉书范本</w:t>
      </w:r>
    </w:p>
    <w:p w14:paraId="445E73A6">
      <w:pPr>
        <w:spacing w:line="600" w:lineRule="exact"/>
        <w:ind w:firstLine="562" w:firstLineChars="200"/>
        <w:jc w:val="center"/>
        <w:rPr>
          <w:rFonts w:hint="eastAsia" w:ascii="宋体" w:hAnsi="宋体" w:cs="宋体"/>
          <w:b/>
          <w:bCs/>
          <w:sz w:val="28"/>
          <w:szCs w:val="28"/>
        </w:rPr>
      </w:pPr>
    </w:p>
    <w:p w14:paraId="55B800EB">
      <w:pPr>
        <w:spacing w:line="600" w:lineRule="exact"/>
        <w:ind w:firstLine="480" w:firstLineChars="200"/>
        <w:rPr>
          <w:rFonts w:hint="eastAsia" w:ascii="宋体" w:hAnsi="宋体" w:cs="宋体"/>
          <w:sz w:val="24"/>
          <w:szCs w:val="24"/>
        </w:rPr>
      </w:pPr>
      <w:r>
        <w:rPr>
          <w:rFonts w:hint="eastAsia" w:ascii="宋体" w:hAnsi="宋体" w:cs="宋体"/>
          <w:sz w:val="24"/>
          <w:szCs w:val="24"/>
        </w:rPr>
        <w:t>一、投诉相关主体基本情况</w:t>
      </w:r>
    </w:p>
    <w:p w14:paraId="5CE04CD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投诉人：                                               </w:t>
      </w:r>
    </w:p>
    <w:p w14:paraId="4C95666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72A5B21">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eastAsia="zh-CN"/>
        </w:rPr>
        <w:t>吗</w:t>
      </w:r>
      <w:r>
        <w:rPr>
          <w:rFonts w:hint="eastAsia" w:ascii="宋体" w:hAnsi="宋体" w:cs="宋体"/>
          <w:sz w:val="24"/>
          <w:szCs w:val="24"/>
        </w:rPr>
        <w:t xml:space="preserve">编：            </w:t>
      </w:r>
    </w:p>
    <w:p w14:paraId="6D19441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法定代表人/主要负责人：                                </w:t>
      </w:r>
    </w:p>
    <w:p w14:paraId="78E3FAF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23BB78A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61D9D95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6FFEE5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71BB506B">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572C171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被投诉人1：                                            </w:t>
      </w:r>
    </w:p>
    <w:p w14:paraId="42CEFB3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589AB56">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19EB0018">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1125A77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402AE10B">
      <w:pPr>
        <w:spacing w:line="600" w:lineRule="exact"/>
        <w:ind w:firstLine="480" w:firstLineChars="200"/>
        <w:rPr>
          <w:rFonts w:hint="eastAsia" w:ascii="宋体" w:hAnsi="宋体" w:cs="宋体"/>
          <w:sz w:val="24"/>
          <w:szCs w:val="24"/>
        </w:rPr>
      </w:pPr>
      <w:r>
        <w:rPr>
          <w:rFonts w:hint="eastAsia" w:ascii="宋体" w:hAnsi="宋体" w:cs="宋体"/>
          <w:sz w:val="24"/>
          <w:szCs w:val="24"/>
        </w:rPr>
        <w:t>被投诉人2</w:t>
      </w:r>
    </w:p>
    <w:p w14:paraId="786D1407">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4B9A8F9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相关供应商：                                           </w:t>
      </w:r>
    </w:p>
    <w:p w14:paraId="52DDBA7F">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6D94119A">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76DED243">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07B10AD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7D43340">
      <w:pPr>
        <w:spacing w:line="600" w:lineRule="exact"/>
        <w:ind w:firstLine="480" w:firstLineChars="200"/>
        <w:rPr>
          <w:rFonts w:hint="eastAsia" w:ascii="宋体" w:hAnsi="宋体" w:cs="宋体"/>
          <w:sz w:val="24"/>
          <w:szCs w:val="24"/>
        </w:rPr>
      </w:pPr>
      <w:r>
        <w:rPr>
          <w:rFonts w:hint="eastAsia" w:ascii="宋体" w:hAnsi="宋体" w:cs="宋体"/>
          <w:sz w:val="24"/>
          <w:szCs w:val="24"/>
        </w:rPr>
        <w:t>二、投诉项目基本情况</w:t>
      </w:r>
    </w:p>
    <w:p w14:paraId="2110129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采购项目名称：                                         </w:t>
      </w:r>
    </w:p>
    <w:p w14:paraId="5219A83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采购项目编号：                                        </w:t>
      </w:r>
    </w:p>
    <w:p w14:paraId="6DEC7C4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407039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代理机构名称：                                         </w:t>
      </w:r>
    </w:p>
    <w:p w14:paraId="190C55F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招标文件公告:是/否     </w:t>
      </w:r>
    </w:p>
    <w:p w14:paraId="7B08DBD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49001BB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采购结果公告:是/否     </w:t>
      </w:r>
    </w:p>
    <w:p w14:paraId="7ACA3D6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609E98C6">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三、质疑基本情况</w:t>
      </w:r>
    </w:p>
    <w:p w14:paraId="36472188">
      <w:pPr>
        <w:spacing w:line="600" w:lineRule="exact"/>
        <w:ind w:firstLine="480" w:firstLineChars="200"/>
        <w:rPr>
          <w:rFonts w:hint="eastAsia" w:ascii="宋体" w:hAnsi="宋体" w:cs="宋体"/>
          <w:sz w:val="24"/>
          <w:szCs w:val="24"/>
        </w:rPr>
      </w:pPr>
      <w:r>
        <w:rPr>
          <w:rFonts w:hint="eastAsia" w:ascii="宋体" w:hAnsi="宋体" w:cs="宋体"/>
          <w:sz w:val="24"/>
          <w:szCs w:val="24"/>
        </w:rPr>
        <w:t>投诉人于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日,向</w:t>
      </w:r>
      <w:r>
        <w:rPr>
          <w:rFonts w:hint="eastAsia" w:ascii="宋体" w:hAnsi="宋体" w:cs="宋体"/>
          <w:sz w:val="24"/>
          <w:szCs w:val="24"/>
          <w:u w:val="single"/>
        </w:rPr>
        <w:t xml:space="preserve">          </w:t>
      </w:r>
      <w:r>
        <w:rPr>
          <w:rFonts w:hint="eastAsia" w:ascii="宋体" w:hAnsi="宋体" w:cs="宋体"/>
          <w:sz w:val="24"/>
          <w:szCs w:val="24"/>
        </w:rPr>
        <w:t>提出质疑，质疑事项为：</w:t>
      </w:r>
      <w:r>
        <w:rPr>
          <w:rFonts w:hint="eastAsia" w:ascii="宋体" w:hAnsi="宋体" w:cs="宋体"/>
          <w:sz w:val="24"/>
          <w:szCs w:val="24"/>
          <w:u w:val="single"/>
        </w:rPr>
        <w:t xml:space="preserve">            </w:t>
      </w:r>
      <w:r>
        <w:rPr>
          <w:rFonts w:hint="eastAsia" w:ascii="宋体" w:hAnsi="宋体" w:cs="宋体"/>
          <w:sz w:val="24"/>
          <w:szCs w:val="24"/>
        </w:rPr>
        <w:t xml:space="preserve">                    </w:t>
      </w:r>
    </w:p>
    <w:p w14:paraId="0CA43014">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采购人/代理机构于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日,就质疑事项作出了答复/没有在法定期限内作出答复。</w:t>
      </w:r>
    </w:p>
    <w:p w14:paraId="635F266A">
      <w:pPr>
        <w:spacing w:line="600" w:lineRule="exact"/>
        <w:ind w:firstLine="480" w:firstLineChars="200"/>
        <w:rPr>
          <w:rFonts w:hint="eastAsia" w:ascii="宋体" w:hAnsi="宋体" w:cs="宋体"/>
          <w:sz w:val="24"/>
          <w:szCs w:val="24"/>
        </w:rPr>
      </w:pPr>
      <w:r>
        <w:rPr>
          <w:rFonts w:hint="eastAsia" w:ascii="宋体" w:hAnsi="宋体" w:cs="宋体"/>
          <w:sz w:val="24"/>
          <w:szCs w:val="24"/>
        </w:rPr>
        <w:t>四、投诉事项具体内容</w:t>
      </w:r>
    </w:p>
    <w:p w14:paraId="17CC14B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投诉事项 1：                                       </w:t>
      </w:r>
    </w:p>
    <w:p w14:paraId="6F20B3B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2645527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490003DF">
      <w:pPr>
        <w:spacing w:line="600" w:lineRule="exact"/>
        <w:ind w:firstLine="480" w:firstLineChars="200"/>
        <w:rPr>
          <w:rFonts w:hint="eastAsia" w:ascii="宋体" w:hAnsi="宋体" w:cs="宋体"/>
          <w:sz w:val="24"/>
          <w:szCs w:val="24"/>
        </w:rPr>
      </w:pPr>
      <w:r>
        <w:rPr>
          <w:rFonts w:hint="eastAsia" w:ascii="宋体" w:hAnsi="宋体" w:cs="宋体"/>
          <w:sz w:val="24"/>
          <w:szCs w:val="24"/>
        </w:rPr>
        <w:t>投诉事项2</w:t>
      </w:r>
    </w:p>
    <w:p w14:paraId="20F4DC2F">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1AC2EC43">
      <w:pPr>
        <w:pStyle w:val="11"/>
        <w:rPr>
          <w:rFonts w:hint="eastAsia" w:ascii="宋体" w:hAnsi="宋体" w:cs="宋体"/>
          <w:sz w:val="24"/>
          <w:szCs w:val="24"/>
        </w:rPr>
      </w:pPr>
    </w:p>
    <w:p w14:paraId="7D8247D7">
      <w:pPr>
        <w:pStyle w:val="11"/>
        <w:rPr>
          <w:rFonts w:hint="eastAsia" w:ascii="宋体" w:hAnsi="宋体" w:cs="宋体"/>
          <w:sz w:val="24"/>
          <w:szCs w:val="24"/>
        </w:rPr>
      </w:pPr>
    </w:p>
    <w:p w14:paraId="28FD10CE">
      <w:pPr>
        <w:pStyle w:val="11"/>
        <w:rPr>
          <w:rFonts w:hint="eastAsia" w:ascii="宋体" w:hAnsi="宋体" w:cs="宋体"/>
          <w:sz w:val="24"/>
          <w:szCs w:val="24"/>
        </w:rPr>
      </w:pPr>
    </w:p>
    <w:p w14:paraId="5E0DCD6C">
      <w:pPr>
        <w:spacing w:line="600" w:lineRule="exact"/>
        <w:ind w:firstLine="480" w:firstLineChars="200"/>
        <w:rPr>
          <w:rFonts w:hint="eastAsia" w:ascii="宋体" w:hAnsi="宋体" w:cs="宋体"/>
          <w:sz w:val="24"/>
          <w:szCs w:val="24"/>
        </w:rPr>
      </w:pPr>
      <w:r>
        <w:rPr>
          <w:rFonts w:hint="eastAsia" w:ascii="宋体" w:hAnsi="宋体" w:cs="宋体"/>
          <w:sz w:val="24"/>
          <w:szCs w:val="24"/>
        </w:rPr>
        <w:t>五、与投诉事项相关的投诉请求</w:t>
      </w:r>
    </w:p>
    <w:p w14:paraId="1C06FD5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58A6E4E7">
      <w:pPr>
        <w:spacing w:line="600" w:lineRule="exact"/>
        <w:ind w:firstLine="480" w:firstLineChars="200"/>
        <w:rPr>
          <w:rFonts w:hint="eastAsia" w:ascii="宋体" w:hAnsi="宋体" w:cs="宋体"/>
          <w:sz w:val="24"/>
          <w:szCs w:val="24"/>
        </w:rPr>
      </w:pPr>
    </w:p>
    <w:p w14:paraId="6DE4EE3F">
      <w:pPr>
        <w:spacing w:line="600" w:lineRule="exact"/>
        <w:ind w:firstLine="480" w:firstLineChars="200"/>
        <w:rPr>
          <w:rFonts w:hint="eastAsia" w:ascii="宋体" w:hAnsi="宋体" w:cs="宋体"/>
          <w:sz w:val="24"/>
          <w:szCs w:val="24"/>
        </w:rPr>
      </w:pPr>
    </w:p>
    <w:p w14:paraId="4A931FD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w:t>
      </w:r>
    </w:p>
    <w:p w14:paraId="52E9B18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公            章：   </w:t>
      </w:r>
    </w:p>
    <w:p w14:paraId="16757FBF">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签字(签字或盖章)：                     </w:t>
      </w:r>
    </w:p>
    <w:p w14:paraId="019B1521">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日            期：                </w:t>
      </w:r>
    </w:p>
    <w:p w14:paraId="0289C4F2">
      <w:pPr>
        <w:pStyle w:val="4"/>
        <w:spacing w:before="0" w:after="0" w:line="600" w:lineRule="exact"/>
        <w:rPr>
          <w:rFonts w:hint="eastAsia" w:ascii="宋体" w:hAnsi="宋体" w:cs="宋体"/>
          <w:sz w:val="24"/>
          <w:szCs w:val="24"/>
        </w:rPr>
      </w:pPr>
    </w:p>
    <w:p w14:paraId="375CF53A">
      <w:pPr>
        <w:spacing w:line="600" w:lineRule="exact"/>
        <w:ind w:firstLine="480" w:firstLineChars="200"/>
        <w:rPr>
          <w:rFonts w:hint="eastAsia" w:ascii="宋体" w:hAnsi="宋体" w:cs="宋体"/>
          <w:sz w:val="24"/>
          <w:szCs w:val="24"/>
        </w:rPr>
      </w:pPr>
    </w:p>
    <w:p w14:paraId="60A5DE4A">
      <w:pPr>
        <w:spacing w:line="600" w:lineRule="exact"/>
        <w:ind w:firstLine="480" w:firstLineChars="200"/>
        <w:rPr>
          <w:rFonts w:hint="eastAsia" w:ascii="宋体" w:hAnsi="宋体" w:cs="宋体"/>
          <w:sz w:val="24"/>
          <w:szCs w:val="24"/>
        </w:rPr>
      </w:pPr>
    </w:p>
    <w:p w14:paraId="63074555">
      <w:pPr>
        <w:spacing w:line="600" w:lineRule="exact"/>
        <w:ind w:firstLine="480" w:firstLineChars="200"/>
        <w:rPr>
          <w:rFonts w:hint="eastAsia" w:ascii="宋体" w:hAnsi="宋体" w:cs="宋体"/>
          <w:sz w:val="24"/>
          <w:szCs w:val="24"/>
        </w:rPr>
      </w:pPr>
    </w:p>
    <w:p w14:paraId="38B264C0">
      <w:pPr>
        <w:spacing w:line="600" w:lineRule="exact"/>
        <w:ind w:firstLine="480" w:firstLineChars="200"/>
        <w:rPr>
          <w:rFonts w:hint="eastAsia" w:ascii="宋体" w:hAnsi="宋体" w:cs="宋体"/>
          <w:sz w:val="24"/>
          <w:szCs w:val="24"/>
        </w:rPr>
      </w:pPr>
    </w:p>
    <w:p w14:paraId="30D7F019">
      <w:pPr>
        <w:spacing w:line="600" w:lineRule="exact"/>
        <w:ind w:firstLine="480" w:firstLineChars="200"/>
        <w:rPr>
          <w:rFonts w:hint="eastAsia" w:ascii="宋体" w:hAnsi="宋体" w:cs="宋体"/>
          <w:sz w:val="24"/>
          <w:szCs w:val="24"/>
        </w:rPr>
      </w:pPr>
    </w:p>
    <w:p w14:paraId="74412851">
      <w:pPr>
        <w:spacing w:line="600" w:lineRule="exact"/>
        <w:ind w:firstLine="480" w:firstLineChars="200"/>
        <w:rPr>
          <w:rFonts w:hint="eastAsia" w:ascii="宋体" w:hAnsi="宋体" w:cs="宋体"/>
          <w:sz w:val="24"/>
          <w:szCs w:val="24"/>
        </w:rPr>
      </w:pPr>
    </w:p>
    <w:p w14:paraId="14AE16A0">
      <w:pPr>
        <w:spacing w:line="600" w:lineRule="exact"/>
        <w:ind w:firstLine="480" w:firstLineChars="200"/>
        <w:rPr>
          <w:rFonts w:hint="eastAsia" w:ascii="宋体" w:hAnsi="宋体" w:cs="宋体"/>
          <w:sz w:val="24"/>
          <w:szCs w:val="24"/>
        </w:rPr>
      </w:pPr>
    </w:p>
    <w:p w14:paraId="74D0475B">
      <w:pPr>
        <w:spacing w:line="600" w:lineRule="exact"/>
        <w:ind w:firstLine="480" w:firstLineChars="200"/>
        <w:rPr>
          <w:rFonts w:hint="eastAsia" w:ascii="宋体" w:hAnsi="宋体" w:cs="宋体"/>
          <w:sz w:val="24"/>
          <w:szCs w:val="24"/>
        </w:rPr>
      </w:pPr>
    </w:p>
    <w:p w14:paraId="66FE4DD4">
      <w:pPr>
        <w:spacing w:line="600" w:lineRule="exact"/>
        <w:ind w:firstLine="480" w:firstLineChars="200"/>
        <w:rPr>
          <w:rFonts w:hint="eastAsia" w:ascii="宋体" w:hAnsi="宋体" w:cs="宋体"/>
          <w:sz w:val="24"/>
          <w:szCs w:val="24"/>
        </w:rPr>
      </w:pPr>
    </w:p>
    <w:p w14:paraId="0AA3027A">
      <w:pPr>
        <w:spacing w:line="600" w:lineRule="exact"/>
        <w:ind w:firstLine="480" w:firstLineChars="200"/>
        <w:rPr>
          <w:rFonts w:hint="eastAsia" w:ascii="宋体" w:hAnsi="宋体" w:cs="宋体"/>
          <w:sz w:val="24"/>
          <w:szCs w:val="24"/>
        </w:rPr>
      </w:pPr>
    </w:p>
    <w:p w14:paraId="1F1FEB79">
      <w:pPr>
        <w:spacing w:line="600" w:lineRule="exact"/>
        <w:ind w:firstLine="480" w:firstLineChars="200"/>
        <w:rPr>
          <w:rFonts w:hint="eastAsia" w:ascii="宋体" w:hAnsi="宋体" w:cs="宋体"/>
          <w:sz w:val="24"/>
          <w:szCs w:val="24"/>
        </w:rPr>
      </w:pPr>
    </w:p>
    <w:p w14:paraId="1A269997">
      <w:pPr>
        <w:spacing w:line="600" w:lineRule="exact"/>
        <w:ind w:firstLine="480" w:firstLineChars="200"/>
        <w:rPr>
          <w:rFonts w:hint="eastAsia" w:ascii="宋体" w:hAnsi="宋体" w:cs="宋体"/>
          <w:sz w:val="24"/>
          <w:szCs w:val="24"/>
        </w:rPr>
      </w:pPr>
    </w:p>
    <w:p w14:paraId="4D83F2A9">
      <w:pPr>
        <w:spacing w:line="600" w:lineRule="exact"/>
        <w:ind w:firstLine="480" w:firstLineChars="200"/>
        <w:rPr>
          <w:rFonts w:hint="eastAsia" w:ascii="宋体" w:hAnsi="宋体" w:cs="宋体"/>
          <w:sz w:val="24"/>
          <w:szCs w:val="24"/>
        </w:rPr>
      </w:pPr>
    </w:p>
    <w:p w14:paraId="7899E1A7">
      <w:pPr>
        <w:spacing w:line="600" w:lineRule="exact"/>
        <w:rPr>
          <w:rFonts w:hint="eastAsia" w:ascii="宋体" w:hAnsi="宋体" w:cs="宋体"/>
          <w:sz w:val="24"/>
          <w:szCs w:val="24"/>
        </w:rPr>
      </w:pPr>
    </w:p>
    <w:p w14:paraId="29A3C670">
      <w:pPr>
        <w:spacing w:line="600" w:lineRule="exact"/>
        <w:rPr>
          <w:rFonts w:hint="eastAsia" w:ascii="宋体" w:hAnsi="宋体" w:cs="宋体"/>
          <w:sz w:val="24"/>
          <w:szCs w:val="24"/>
        </w:rPr>
      </w:pPr>
      <w:r>
        <w:rPr>
          <w:rFonts w:hint="eastAsia" w:ascii="宋体" w:hAnsi="宋体" w:cs="宋体"/>
          <w:sz w:val="24"/>
          <w:szCs w:val="24"/>
        </w:rPr>
        <w:t>投诉书制作说明：</w:t>
      </w:r>
    </w:p>
    <w:p w14:paraId="12D0B038">
      <w:pPr>
        <w:spacing w:line="600" w:lineRule="exact"/>
        <w:ind w:firstLine="480" w:firstLineChars="200"/>
        <w:rPr>
          <w:rFonts w:hint="eastAsia" w:ascii="宋体" w:hAnsi="宋体" w:cs="宋体"/>
          <w:sz w:val="24"/>
          <w:szCs w:val="24"/>
        </w:rPr>
      </w:pPr>
      <w:r>
        <w:rPr>
          <w:rFonts w:hint="eastAsia" w:ascii="宋体" w:hAnsi="宋体" w:cs="宋体"/>
          <w:sz w:val="24"/>
          <w:szCs w:val="24"/>
        </w:rPr>
        <w:t>1.投诉人提起投诉时，应当提交投诉书和必要的证明材料，并按照被投诉人和与投诉事项有关的供应商数量提供投诉书副本。</w:t>
      </w:r>
    </w:p>
    <w:p w14:paraId="6DE3E054">
      <w:pPr>
        <w:spacing w:line="600" w:lineRule="exact"/>
        <w:ind w:firstLine="480" w:firstLineChars="200"/>
        <w:rPr>
          <w:rFonts w:hint="eastAsia" w:ascii="宋体" w:hAnsi="宋体" w:cs="宋体"/>
          <w:sz w:val="24"/>
          <w:szCs w:val="24"/>
        </w:rPr>
      </w:pPr>
      <w:r>
        <w:rPr>
          <w:rFonts w:hint="eastAsia" w:ascii="宋体" w:hAnsi="宋体" w:cs="宋体"/>
          <w:sz w:val="24"/>
          <w:szCs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E80E1E2">
      <w:pPr>
        <w:spacing w:line="600" w:lineRule="exact"/>
        <w:ind w:firstLine="480" w:firstLineChars="200"/>
        <w:rPr>
          <w:rFonts w:hint="eastAsia" w:ascii="宋体" w:hAnsi="宋体" w:cs="宋体"/>
          <w:sz w:val="24"/>
          <w:szCs w:val="24"/>
        </w:rPr>
      </w:pPr>
      <w:r>
        <w:rPr>
          <w:rFonts w:hint="eastAsia" w:ascii="宋体" w:hAnsi="宋体" w:cs="宋体"/>
          <w:sz w:val="24"/>
          <w:szCs w:val="24"/>
        </w:rPr>
        <w:t>3.投诉人若对项目的某一分包进行投诉，投诉书应列明具体分包号。</w:t>
      </w:r>
    </w:p>
    <w:p w14:paraId="4A0ACBA2">
      <w:pPr>
        <w:spacing w:line="600" w:lineRule="exact"/>
        <w:ind w:firstLine="480" w:firstLineChars="200"/>
        <w:rPr>
          <w:rFonts w:hint="eastAsia" w:ascii="宋体" w:hAnsi="宋体" w:cs="宋体"/>
          <w:sz w:val="24"/>
          <w:szCs w:val="24"/>
        </w:rPr>
      </w:pPr>
      <w:r>
        <w:rPr>
          <w:rFonts w:hint="eastAsia" w:ascii="宋体" w:hAnsi="宋体" w:cs="宋体"/>
          <w:sz w:val="24"/>
          <w:szCs w:val="24"/>
        </w:rPr>
        <w:t>4.投诉书应简要列明质疑事项，质疑函、质疑答复等作为附件材料提供。</w:t>
      </w:r>
    </w:p>
    <w:p w14:paraId="568CDF56">
      <w:pPr>
        <w:spacing w:line="600" w:lineRule="exact"/>
        <w:ind w:firstLine="480" w:firstLineChars="200"/>
        <w:rPr>
          <w:rFonts w:hint="eastAsia" w:ascii="宋体" w:hAnsi="宋体" w:cs="宋体"/>
          <w:sz w:val="24"/>
          <w:szCs w:val="24"/>
        </w:rPr>
      </w:pPr>
      <w:r>
        <w:rPr>
          <w:rFonts w:hint="eastAsia" w:ascii="宋体" w:hAnsi="宋体" w:cs="宋体"/>
          <w:sz w:val="24"/>
          <w:szCs w:val="24"/>
        </w:rPr>
        <w:t>5.投诉书的投诉事项应具体、明确，并有必要的事实依据和法律依据。</w:t>
      </w:r>
    </w:p>
    <w:p w14:paraId="23BEDF06">
      <w:pPr>
        <w:spacing w:line="600" w:lineRule="exact"/>
        <w:ind w:firstLine="480" w:firstLineChars="200"/>
        <w:rPr>
          <w:rFonts w:hint="eastAsia" w:ascii="宋体" w:hAnsi="宋体" w:cs="宋体"/>
          <w:sz w:val="24"/>
          <w:szCs w:val="24"/>
        </w:rPr>
      </w:pPr>
      <w:r>
        <w:rPr>
          <w:rFonts w:hint="eastAsia" w:ascii="宋体" w:hAnsi="宋体" w:cs="宋体"/>
          <w:sz w:val="24"/>
          <w:szCs w:val="24"/>
        </w:rPr>
        <w:t>6.投诉书的投诉请求应与投诉事项相关。</w:t>
      </w:r>
    </w:p>
    <w:p w14:paraId="0562D109">
      <w:pPr>
        <w:spacing w:line="600" w:lineRule="exact"/>
        <w:ind w:firstLine="480" w:firstLineChars="200"/>
        <w:rPr>
          <w:rFonts w:hint="eastAsia" w:ascii="宋体" w:hAnsi="宋体" w:cs="宋体"/>
          <w:sz w:val="24"/>
          <w:szCs w:val="24"/>
        </w:rPr>
      </w:pPr>
      <w:r>
        <w:rPr>
          <w:rFonts w:hint="eastAsia" w:ascii="宋体" w:hAnsi="宋体" w:cs="宋体"/>
          <w:sz w:val="24"/>
          <w:szCs w:val="24"/>
        </w:rPr>
        <w:t>7.投诉人为自然人的，投诉书应当由本人签字；投诉人为法人或者其他组织的，投诉书应当由法定代表人、主要负责人，或者其授权代表签字或者盖章，并加盖公章。</w:t>
      </w:r>
    </w:p>
    <w:p w14:paraId="21CB239C">
      <w:pPr>
        <w:pStyle w:val="3"/>
        <w:spacing w:before="0" w:after="0" w:line="600" w:lineRule="exact"/>
        <w:rPr>
          <w:rFonts w:hint="eastAsia" w:ascii="宋体" w:hAnsi="宋体" w:cs="宋体"/>
          <w:sz w:val="24"/>
          <w:szCs w:val="24"/>
        </w:rPr>
      </w:pPr>
    </w:p>
    <w:p w14:paraId="3303C189">
      <w:pPr>
        <w:spacing w:line="600" w:lineRule="exact"/>
        <w:rPr>
          <w:rFonts w:hint="eastAsia" w:ascii="宋体" w:hAnsi="宋体" w:cs="宋体"/>
          <w:sz w:val="24"/>
          <w:szCs w:val="24"/>
        </w:rPr>
      </w:pPr>
    </w:p>
    <w:p w14:paraId="0E51ABAB">
      <w:pPr>
        <w:pStyle w:val="3"/>
        <w:spacing w:before="0" w:after="0" w:line="600" w:lineRule="exact"/>
        <w:rPr>
          <w:rFonts w:hint="eastAsia" w:ascii="宋体" w:hAnsi="宋体" w:cs="宋体"/>
          <w:sz w:val="24"/>
          <w:szCs w:val="24"/>
        </w:rPr>
      </w:pPr>
    </w:p>
    <w:p w14:paraId="3B3F4A6D">
      <w:pPr>
        <w:spacing w:line="600" w:lineRule="exact"/>
        <w:rPr>
          <w:rFonts w:hint="eastAsia" w:ascii="宋体" w:hAnsi="宋体" w:cs="宋体"/>
          <w:sz w:val="24"/>
          <w:szCs w:val="24"/>
        </w:rPr>
      </w:pPr>
    </w:p>
    <w:p w14:paraId="4E3E883B">
      <w:pPr>
        <w:pStyle w:val="3"/>
        <w:spacing w:before="0" w:after="0" w:line="600" w:lineRule="exact"/>
        <w:rPr>
          <w:rFonts w:hint="eastAsia" w:ascii="宋体" w:hAnsi="宋体" w:cs="宋体"/>
          <w:sz w:val="24"/>
          <w:szCs w:val="24"/>
        </w:rPr>
      </w:pPr>
    </w:p>
    <w:p w14:paraId="6BB915DD">
      <w:pPr>
        <w:spacing w:line="600" w:lineRule="exact"/>
        <w:rPr>
          <w:rFonts w:hint="eastAsia" w:ascii="宋体" w:hAnsi="宋体" w:cs="宋体"/>
          <w:sz w:val="24"/>
          <w:szCs w:val="24"/>
        </w:rPr>
      </w:pPr>
    </w:p>
    <w:p w14:paraId="5DF1C1C1">
      <w:pPr>
        <w:pStyle w:val="3"/>
        <w:spacing w:before="0" w:after="0" w:line="600" w:lineRule="exact"/>
        <w:jc w:val="both"/>
        <w:rPr>
          <w:rFonts w:hint="eastAsia" w:ascii="宋体" w:hAnsi="宋体" w:cs="宋体"/>
          <w:sz w:val="24"/>
          <w:szCs w:val="24"/>
        </w:rPr>
      </w:pPr>
    </w:p>
    <w:p w14:paraId="334D5532">
      <w:pPr>
        <w:spacing w:line="600" w:lineRule="exact"/>
        <w:rPr>
          <w:rFonts w:hint="eastAsia" w:ascii="宋体" w:hAnsi="宋体" w:cs="宋体"/>
          <w:sz w:val="24"/>
          <w:szCs w:val="24"/>
        </w:rPr>
      </w:pPr>
    </w:p>
    <w:p w14:paraId="131ED8FB">
      <w:pPr>
        <w:spacing w:line="600" w:lineRule="exact"/>
        <w:rPr>
          <w:rFonts w:hint="eastAsia" w:ascii="宋体" w:hAnsi="宋体" w:cs="宋体"/>
          <w:sz w:val="24"/>
          <w:szCs w:val="24"/>
        </w:rPr>
      </w:pPr>
    </w:p>
    <w:p w14:paraId="7019FFA7">
      <w:pPr>
        <w:spacing w:line="600" w:lineRule="exact"/>
        <w:rPr>
          <w:rFonts w:hint="eastAsia" w:ascii="宋体" w:hAnsi="宋体" w:cs="宋体"/>
          <w:sz w:val="24"/>
          <w:szCs w:val="24"/>
        </w:rPr>
      </w:pPr>
    </w:p>
    <w:p w14:paraId="1415DBF3">
      <w:pPr>
        <w:spacing w:line="600" w:lineRule="exact"/>
        <w:rPr>
          <w:rFonts w:hint="eastAsia" w:ascii="宋体" w:hAnsi="宋体" w:cs="宋体"/>
          <w:sz w:val="24"/>
          <w:szCs w:val="24"/>
        </w:rPr>
      </w:pPr>
    </w:p>
    <w:p w14:paraId="639886EC">
      <w:pPr>
        <w:pStyle w:val="3"/>
        <w:numPr>
          <w:ilvl w:val="0"/>
          <w:numId w:val="3"/>
        </w:numPr>
        <w:spacing w:before="0" w:after="0" w:line="600" w:lineRule="exact"/>
        <w:jc w:val="left"/>
        <w:rPr>
          <w:rFonts w:hint="eastAsia" w:ascii="宋体" w:hAnsi="宋体" w:cs="宋体"/>
          <w:sz w:val="24"/>
          <w:szCs w:val="24"/>
        </w:rPr>
      </w:pPr>
      <w:r>
        <w:rPr>
          <w:rFonts w:hint="eastAsia" w:ascii="宋体" w:hAnsi="宋体" w:cs="宋体"/>
          <w:sz w:val="24"/>
          <w:szCs w:val="24"/>
        </w:rPr>
        <w:t>需要补充的其他内容</w:t>
      </w:r>
      <w:bookmarkEnd w:id="446"/>
      <w:bookmarkEnd w:id="447"/>
      <w:bookmarkEnd w:id="448"/>
      <w:bookmarkEnd w:id="449"/>
      <w:bookmarkEnd w:id="450"/>
      <w:bookmarkEnd w:id="451"/>
      <w:bookmarkEnd w:id="452"/>
      <w:bookmarkEnd w:id="453"/>
      <w:bookmarkEnd w:id="454"/>
      <w:bookmarkEnd w:id="455"/>
    </w:p>
    <w:p w14:paraId="08DB04C5">
      <w:pPr>
        <w:spacing w:line="600" w:lineRule="exact"/>
        <w:ind w:firstLine="480" w:firstLineChars="200"/>
        <w:rPr>
          <w:rFonts w:hint="eastAsia" w:ascii="宋体" w:hAnsi="宋体" w:cs="宋体"/>
          <w:sz w:val="24"/>
          <w:szCs w:val="24"/>
        </w:rPr>
      </w:pPr>
      <w:r>
        <w:rPr>
          <w:rFonts w:hint="eastAsia" w:ascii="宋体" w:hAnsi="宋体" w:cs="宋体"/>
          <w:sz w:val="24"/>
          <w:szCs w:val="24"/>
        </w:rPr>
        <w:t>9.1投标截止时，实际参加投标人不足三家的或在评标阶段有效投标人不足三家，除采购任务取消外，招标单位上报政府采购管理部门批准，按照以下原则处理：</w:t>
      </w:r>
    </w:p>
    <w:p w14:paraId="3A392D6E">
      <w:pPr>
        <w:spacing w:line="600" w:lineRule="exact"/>
        <w:ind w:firstLine="480" w:firstLineChars="200"/>
        <w:rPr>
          <w:rFonts w:hint="eastAsia" w:ascii="宋体" w:hAnsi="宋体" w:cs="宋体"/>
          <w:sz w:val="24"/>
          <w:szCs w:val="24"/>
        </w:rPr>
      </w:pPr>
      <w:r>
        <w:rPr>
          <w:rFonts w:hint="eastAsia" w:ascii="宋体" w:hAnsi="宋体" w:cs="宋体"/>
          <w:sz w:val="24"/>
          <w:szCs w:val="24"/>
        </w:rPr>
        <w:t>a.招标文件没有不合理条款的，招标公告时间及程序符合规定的，同意采用竞争性谈判方式；</w:t>
      </w:r>
    </w:p>
    <w:p w14:paraId="30324DF9">
      <w:pPr>
        <w:spacing w:line="600" w:lineRule="exact"/>
        <w:ind w:firstLine="480" w:firstLineChars="200"/>
        <w:rPr>
          <w:rFonts w:hint="eastAsia" w:ascii="宋体" w:hAnsi="宋体" w:cs="宋体"/>
          <w:sz w:val="24"/>
          <w:szCs w:val="24"/>
        </w:rPr>
      </w:pPr>
      <w:r>
        <w:rPr>
          <w:rFonts w:hint="eastAsia" w:ascii="宋体" w:hAnsi="宋体" w:cs="宋体"/>
          <w:sz w:val="24"/>
          <w:szCs w:val="24"/>
        </w:rPr>
        <w:t>b.招标文件存在不合理条款的，招标公告时间及程序不符合规定的，责成招标单位依法重新招标;</w:t>
      </w:r>
    </w:p>
    <w:p w14:paraId="41BB0CE6">
      <w:pPr>
        <w:spacing w:line="600" w:lineRule="exact"/>
        <w:ind w:firstLine="480" w:firstLineChars="200"/>
        <w:rPr>
          <w:rFonts w:hint="eastAsia" w:ascii="宋体" w:hAnsi="宋体" w:cs="宋体"/>
          <w:sz w:val="24"/>
          <w:szCs w:val="24"/>
        </w:rPr>
      </w:pPr>
      <w:r>
        <w:rPr>
          <w:rFonts w:hint="eastAsia" w:ascii="宋体" w:hAnsi="宋体" w:cs="宋体"/>
          <w:sz w:val="24"/>
          <w:szCs w:val="24"/>
        </w:rPr>
        <w:t>9.2转为竞争性谈判方式，评标委员会将自行转为竞争性谈判小组，谈判文件以招标文件为基础，若有重大变动，以书面形式通知参加谈判的全体谈判响应单位；</w:t>
      </w:r>
    </w:p>
    <w:p w14:paraId="54B3384E">
      <w:pPr>
        <w:spacing w:line="600" w:lineRule="exact"/>
        <w:ind w:firstLine="480" w:firstLineChars="200"/>
        <w:rPr>
          <w:rFonts w:hint="eastAsia" w:ascii="宋体" w:hAnsi="宋体" w:cs="宋体"/>
          <w:sz w:val="24"/>
          <w:szCs w:val="24"/>
        </w:rPr>
      </w:pPr>
      <w:r>
        <w:rPr>
          <w:rFonts w:hint="eastAsia" w:ascii="宋体" w:hAnsi="宋体" w:cs="宋体"/>
          <w:sz w:val="24"/>
          <w:szCs w:val="24"/>
        </w:rPr>
        <w:t>9.3转为竞争性谈判方式的，在谈判过程中将采取二次报价的形式，各投标单位的开标报价为第一次报价，谈判后参与竞争性谈判的各单位进行第二次报价。</w:t>
      </w:r>
    </w:p>
    <w:p w14:paraId="539275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5C96AF3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17866067">
      <w:pPr>
        <w:pStyle w:val="2"/>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sectPr>
          <w:footerReference r:id="rId11" w:type="first"/>
          <w:footerReference r:id="rId10" w:type="default"/>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CCEDC3">
      <w:pPr>
        <w:pStyle w:val="2"/>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8"/>
          <w:szCs w:val="28"/>
        </w:rPr>
      </w:pPr>
      <w:bookmarkStart w:id="456" w:name="_Toc22717"/>
      <w:bookmarkStart w:id="457" w:name="_Toc1751"/>
      <w:bookmarkStart w:id="458" w:name="_Toc4838"/>
      <w:r>
        <w:rPr>
          <w:rFonts w:hint="eastAsia" w:ascii="宋体" w:hAnsi="宋体" w:eastAsia="宋体" w:cs="宋体"/>
          <w:sz w:val="28"/>
          <w:szCs w:val="28"/>
        </w:rPr>
        <w:t>第三章  投标人资格证明文件及审核</w:t>
      </w:r>
      <w:bookmarkEnd w:id="456"/>
      <w:bookmarkEnd w:id="457"/>
      <w:bookmarkEnd w:id="458"/>
    </w:p>
    <w:p w14:paraId="70924CDC">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一、供应商须</w:t>
      </w:r>
      <w:r>
        <w:rPr>
          <w:rFonts w:hint="eastAsia" w:ascii="宋体" w:hAnsi="宋体" w:eastAsia="宋体" w:cs="宋体"/>
          <w:b/>
          <w:color w:val="auto"/>
          <w:sz w:val="24"/>
          <w:szCs w:val="24"/>
          <w:lang w:val="en-US" w:eastAsia="zh-CN"/>
        </w:rPr>
        <w:t>提供</w:t>
      </w:r>
      <w:r>
        <w:rPr>
          <w:rFonts w:hint="eastAsia" w:ascii="宋体" w:hAnsi="宋体" w:eastAsia="宋体" w:cs="宋体"/>
          <w:b/>
          <w:color w:val="auto"/>
          <w:sz w:val="24"/>
          <w:szCs w:val="24"/>
        </w:rPr>
        <w:t>下列资格证明文件</w:t>
      </w:r>
      <w:r>
        <w:rPr>
          <w:rFonts w:hint="eastAsia" w:ascii="宋体" w:hAnsi="宋体" w:eastAsia="宋体" w:cs="宋体"/>
          <w:b/>
          <w:color w:val="auto"/>
          <w:sz w:val="24"/>
          <w:szCs w:val="24"/>
          <w:lang w:val="en-US" w:eastAsia="zh-CN"/>
        </w:rPr>
        <w:t>并</w:t>
      </w:r>
      <w:r>
        <w:rPr>
          <w:rFonts w:hint="eastAsia" w:ascii="宋体" w:hAnsi="宋体" w:eastAsia="宋体" w:cs="宋体"/>
          <w:b/>
          <w:color w:val="auto"/>
          <w:sz w:val="24"/>
          <w:szCs w:val="24"/>
        </w:rPr>
        <w:t>加盖公章。</w:t>
      </w:r>
    </w:p>
    <w:p w14:paraId="5E52CC7A">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（1）基本资格条件：符合《中华人民共和国政府采购法》第二十二条的规定；</w:t>
      </w:r>
    </w:p>
    <w:p w14:paraId="31E4FDF2">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（2）特定资格条件：</w:t>
      </w:r>
    </w:p>
    <w:p w14:paraId="5ADB5D80">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具有独立承担民事责任能力的法人、其他组织或自然人，法人或其他组织提供营业执照（事业单位法人证书），自然人提供身份证明。</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1.提供经年检有效的“三证合一”的营业执照（附2024年度或2025年度报告书）；</w:t>
      </w:r>
    </w:p>
    <w:p w14:paraId="644180C9">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cs="宋体"/>
          <w:b w:val="0"/>
          <w:bCs w:val="0"/>
          <w:color w:val="000000"/>
          <w:spacing w:val="0"/>
          <w:sz w:val="24"/>
          <w:szCs w:val="24"/>
          <w:lang w:val="en-US" w:eastAsia="zh-CN"/>
        </w:rPr>
      </w:pPr>
      <w:r>
        <w:rPr>
          <w:rFonts w:hint="eastAsia" w:ascii="宋体" w:hAnsi="宋体" w:cs="宋体"/>
          <w:b w:val="0"/>
          <w:bCs w:val="0"/>
          <w:color w:val="000000"/>
          <w:spacing w:val="0"/>
          <w:sz w:val="24"/>
          <w:szCs w:val="24"/>
          <w:lang w:val="en-US" w:eastAsia="zh-CN"/>
        </w:rPr>
        <w:t>2.银行开户许可证或开户行基本信息；</w:t>
      </w:r>
    </w:p>
    <w:p w14:paraId="61C6CF34">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cs="宋体"/>
          <w:b w:val="0"/>
          <w:bCs w:val="0"/>
          <w:color w:val="000000"/>
          <w:spacing w:val="0"/>
          <w:sz w:val="24"/>
          <w:szCs w:val="24"/>
          <w:lang w:val="en-US" w:eastAsia="zh-CN"/>
        </w:rPr>
      </w:pPr>
      <w:r>
        <w:rPr>
          <w:rFonts w:hint="eastAsia" w:ascii="宋体" w:hAnsi="宋体" w:cs="宋体"/>
          <w:b w:val="0"/>
          <w:bCs w:val="0"/>
          <w:color w:val="000000"/>
          <w:spacing w:val="0"/>
          <w:sz w:val="24"/>
          <w:szCs w:val="24"/>
          <w:lang w:val="en-US" w:eastAsia="zh-CN"/>
        </w:rPr>
        <w:t>3.法定代表人授权委托书及被授权人身份证（法定代表人直接参加时，只须出示法定代表人身份证)；</w:t>
      </w:r>
    </w:p>
    <w:p w14:paraId="72D2596A">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cs="宋体"/>
          <w:b w:val="0"/>
          <w:bCs w:val="0"/>
          <w:color w:val="000000"/>
          <w:spacing w:val="0"/>
          <w:sz w:val="24"/>
          <w:szCs w:val="24"/>
          <w:lang w:val="en-US" w:eastAsia="zh-CN"/>
        </w:rPr>
      </w:pPr>
      <w:r>
        <w:rPr>
          <w:rFonts w:hint="eastAsia" w:ascii="宋体" w:hAnsi="宋体" w:cs="宋体"/>
          <w:b w:val="0"/>
          <w:bCs w:val="0"/>
          <w:color w:val="000000"/>
          <w:spacing w:val="0"/>
          <w:sz w:val="24"/>
          <w:szCs w:val="24"/>
          <w:lang w:val="en-US" w:eastAsia="zh-CN"/>
        </w:rPr>
        <w:t>4.投标人具备交通运输部工程质量监督机构颁发的公路工程综合甲级资质和省级及以上行政主管部门颁发的合格有效的检验检测机构资质认定证书(CMA)；</w:t>
      </w:r>
    </w:p>
    <w:p w14:paraId="2106BFE9">
      <w:pPr>
        <w:keepNext w:val="0"/>
        <w:keepLines w:val="0"/>
        <w:pageBreakBefore w:val="0"/>
        <w:widowControl w:val="0"/>
        <w:kinsoku/>
        <w:wordWrap/>
        <w:overflowPunct w:val="0"/>
        <w:topLinePunct w:val="0"/>
        <w:autoSpaceDE/>
        <w:autoSpaceDN/>
        <w:bidi w:val="0"/>
        <w:adjustRightInd/>
        <w:snapToGrid/>
        <w:spacing w:line="600" w:lineRule="exact"/>
        <w:ind w:left="479" w:leftChars="228" w:firstLine="0" w:firstLineChars="0"/>
        <w:textAlignment w:val="auto"/>
        <w:rPr>
          <w:rFonts w:hint="eastAsia" w:ascii="宋体" w:hAnsi="宋体" w:cs="宋体"/>
          <w:b w:val="0"/>
          <w:bCs w:val="0"/>
          <w:color w:val="000000"/>
          <w:spacing w:val="0"/>
          <w:sz w:val="24"/>
          <w:szCs w:val="24"/>
          <w:lang w:val="en-US" w:eastAsia="zh-CN"/>
        </w:rPr>
      </w:pPr>
      <w:r>
        <w:rPr>
          <w:rFonts w:hint="eastAsia" w:ascii="宋体" w:hAnsi="宋体" w:cs="宋体"/>
          <w:b w:val="0"/>
          <w:bCs w:val="0"/>
          <w:color w:val="000000"/>
          <w:spacing w:val="0"/>
          <w:sz w:val="24"/>
          <w:szCs w:val="24"/>
          <w:lang w:val="en-US" w:eastAsia="zh-CN"/>
        </w:rPr>
        <w:t>5.项目负责人具备交通运输部门颁发的公路工程试验检测工程师资格，或人社部和交通运输职业资格中心联合核发的公路水运工程试验检测师(桥梁隧道工程专业)资格，并具有高级及以上专业技术职称；</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6.税收缴纳证明：提供2025年01月至今已缴纳的至少一个月的纳税证明或完税证明（不限税种），依法免税的单位应提供相关证明材料；</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10.提供参加政府采购活动前3年内经营活动中无重大违法记录声明；</w:t>
      </w:r>
    </w:p>
    <w:p w14:paraId="272D3C01">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cs="宋体"/>
          <w:b w:val="0"/>
          <w:bCs w:val="0"/>
          <w:color w:val="000000"/>
          <w:spacing w:val="0"/>
          <w:sz w:val="24"/>
          <w:szCs w:val="24"/>
          <w:lang w:val="en-US" w:eastAsia="zh-CN"/>
        </w:rPr>
      </w:pPr>
      <w:r>
        <w:rPr>
          <w:rFonts w:hint="eastAsia" w:ascii="宋体" w:hAnsi="宋体" w:cs="宋体"/>
          <w:b w:val="0"/>
          <w:bCs w:val="0"/>
          <w:color w:val="000000"/>
          <w:spacing w:val="0"/>
          <w:sz w:val="24"/>
          <w:szCs w:val="24"/>
          <w:lang w:val="en-US" w:eastAsia="zh-CN"/>
        </w:rPr>
        <w:t>11.投标保证金缴纳凭证；</w:t>
      </w:r>
    </w:p>
    <w:p w14:paraId="1A35EC47">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cs="宋体"/>
          <w:b w:val="0"/>
          <w:bCs w:val="0"/>
          <w:color w:val="000000"/>
          <w:spacing w:val="0"/>
          <w:sz w:val="24"/>
          <w:szCs w:val="24"/>
          <w:lang w:val="en-US" w:eastAsia="zh-CN"/>
        </w:rPr>
        <w:t>12.本项目不接受联合体投标。</w:t>
      </w:r>
    </w:p>
    <w:p w14:paraId="7D0ED189">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3）有关资格证明文件的特别提示</w:t>
      </w:r>
    </w:p>
    <w:p w14:paraId="7ADD7B08">
      <w:pPr>
        <w:pageBreakBefore w:val="0"/>
        <w:wordWrap/>
        <w:overflowPunct w:val="0"/>
        <w:topLinePunct w:val="0"/>
        <w:autoSpaceDE/>
        <w:autoSpaceDN/>
        <w:bidi w:val="0"/>
        <w:adjustRightInd/>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a.上列资格证明文件为必备资格条件，缺项或者符合性、有效性、合法性审核不合格的，自动丧失投标资格。</w:t>
      </w:r>
    </w:p>
    <w:p w14:paraId="5CED308A">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二、投标文件审核方法</w:t>
      </w:r>
    </w:p>
    <w:p w14:paraId="5C3A4322">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1.投标文件的初审</w:t>
      </w:r>
    </w:p>
    <w:p w14:paraId="4EE89121">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1.1资格性检查：依据法律法规和招标文件的规定，对投标文件中的资格证明、投标保证金等进行审查，以确定投标单位是否具备投标资格。</w:t>
      </w:r>
    </w:p>
    <w:p w14:paraId="517BDC9A">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1.2 符合性检查：依据招标文件的规定，对投标文件的有效性、完整性、</w:t>
      </w:r>
      <w:r>
        <w:rPr>
          <w:rFonts w:hint="eastAsia" w:ascii="宋体" w:hAnsi="宋体" w:eastAsia="宋体" w:cs="宋体"/>
          <w:sz w:val="24"/>
          <w:szCs w:val="24"/>
        </w:rPr>
        <w:t>投标方案进行审查，以确定其是否对招标文件的实质性要求作出响应。</w:t>
      </w:r>
    </w:p>
    <w:p w14:paraId="7A16DC9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1.2.1.投标文件的完整性。投标文件构成是否有重大缺项，是否按照招标文件要求的格式编写投标文件。</w:t>
      </w:r>
    </w:p>
    <w:p w14:paraId="0CC6BAD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1.2.2.投标文件的有效性。投标文件的签署、加盖印章是否合格、有效；提供的各种证明文件、数据、资料是否真实、有效。</w:t>
      </w:r>
    </w:p>
    <w:p w14:paraId="3F4CCE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1.2.3.投标文件的响应性。投标有效期是否符合招标文件要求；是否满足本次投标的特殊要求；投标方案是否有重大缺漏项；投标产品的技术规格是否有重大偏离；商务响应条款是否有重大偏离；对合同中规定的双方的权利和义务是否做出了实质性修改。</w:t>
      </w:r>
    </w:p>
    <w:p w14:paraId="0C2478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1.3.报价是否超过采购预算。</w:t>
      </w:r>
    </w:p>
    <w:p w14:paraId="4ACF141C">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2.供应商或其投标文件有下列情形之一的，否决其投标：</w:t>
      </w:r>
    </w:p>
    <w:p w14:paraId="3601FDA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（1）投标报价明显低于成本形成不正当竞争的；</w:t>
      </w:r>
    </w:p>
    <w:p w14:paraId="71C5A7D6">
      <w:pPr>
        <w:keepNext w:val="0"/>
        <w:keepLines w:val="0"/>
        <w:pageBreakBefore w:val="0"/>
        <w:widowControl w:val="0"/>
        <w:kinsoku/>
        <w:wordWrap/>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）投标文件的语言、计量单位、报价货币、知识产权、投标有效期等不符合招标文件规定；</w:t>
      </w:r>
    </w:p>
    <w:p w14:paraId="4831C4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）未按招标文件规定要求签署、盖章的；无投标有效期或有效期达不到招标文件要求的，不符合招标文件规定且影响整个投标文件有效性和采购活动公平竞争的；</w:t>
      </w:r>
    </w:p>
    <w:p w14:paraId="3CE1E1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）响应技术标准明显不符合采购项目的要求；</w:t>
      </w:r>
    </w:p>
    <w:p w14:paraId="3FEE388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）附有采购人不能接受的条件或者不符合招标文件规定的其他实质性要求，商务条款偏离的；</w:t>
      </w:r>
    </w:p>
    <w:p w14:paraId="58E0073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）未按照招标文件要求编制，内容严重缺失的。</w:t>
      </w:r>
    </w:p>
    <w:p w14:paraId="7C602B3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）投标人单位未经过正常渠道领取招标文件，或投标人名称与领取招标文件时登记的投标单位名称不符的；</w:t>
      </w:r>
    </w:p>
    <w:p w14:paraId="6BAB6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）未按规定交纳投标保证金的；</w:t>
      </w:r>
    </w:p>
    <w:p w14:paraId="688C317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）投标文件未按照投标文件格式及内容要求填写的；</w:t>
      </w:r>
    </w:p>
    <w:p w14:paraId="64277E7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）投标人针对同一项目递交两份或多份内容不同的投标文件，未书面声明哪一份是有效的或出现选择性报价的；</w:t>
      </w:r>
    </w:p>
    <w:p w14:paraId="5046329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）附有采购人、招标组织机构不能接受的条款和商务响应方面（</w:t>
      </w:r>
      <w:r>
        <w:rPr>
          <w:rFonts w:hint="eastAsia" w:ascii="宋体" w:hAnsi="宋体" w:eastAsia="宋体" w:cs="宋体"/>
          <w:sz w:val="24"/>
          <w:szCs w:val="24"/>
          <w:lang w:eastAsia="zh-CN"/>
        </w:rPr>
        <w:t>服务期</w:t>
      </w:r>
      <w:r>
        <w:rPr>
          <w:rFonts w:hint="eastAsia" w:ascii="宋体" w:hAnsi="宋体" w:eastAsia="宋体" w:cs="宋体"/>
          <w:sz w:val="24"/>
          <w:szCs w:val="24"/>
        </w:rPr>
        <w:t>、履约验收）与投标文件要求不一致的；</w:t>
      </w:r>
    </w:p>
    <w:p w14:paraId="024CB32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）在政府采购或其它重大项目履约过程中有不良记录，不能按期履约的；</w:t>
      </w:r>
    </w:p>
    <w:p w14:paraId="1415521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）投标报价与市场价偏离较大，低于成本，形成不正当竞争的；</w:t>
      </w:r>
    </w:p>
    <w:p w14:paraId="3B166DE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）有重大缺漏项的；</w:t>
      </w:r>
    </w:p>
    <w:p w14:paraId="5532715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）以他人名义进行投标的；</w:t>
      </w:r>
    </w:p>
    <w:p w14:paraId="53CD5E65">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）投标人无法定代表人授权书或其授权书的有效性不符合招标文件规定的；</w:t>
      </w:r>
    </w:p>
    <w:p w14:paraId="5ABAE7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）投标人有串通投标、弄虚作假、行贿等违法行为的；</w:t>
      </w:r>
    </w:p>
    <w:p w14:paraId="645DDA6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）照抄或复印招标文件技术及商务要求的、手写的、未按规定签署的投标文件的；</w:t>
      </w:r>
    </w:p>
    <w:p w14:paraId="098EB81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）投标文件的实质性内容未使用中文表述，意思表述不明确，前后矛盾或者使用计量单位不符合招标文件要求；</w:t>
      </w:r>
    </w:p>
    <w:p w14:paraId="1F7DA03F">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）投标文件的关键内容字迹模糊、无法辨认的，或者投标文件中经修正的内容字迹模糊难以辨认或者修改处未按规定签名盖章的；</w:t>
      </w:r>
    </w:p>
    <w:p w14:paraId="57FA07B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）未实质性响应或者擅自改变招标文件要求的；</w:t>
      </w:r>
    </w:p>
    <w:p w14:paraId="1C26B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）投标报价超出最高限价或者超出采购预算，采购人不能支付的；</w:t>
      </w:r>
    </w:p>
    <w:p w14:paraId="22CC4C8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）参数出现负偏离；</w:t>
      </w:r>
    </w:p>
    <w:p w14:paraId="1DFC86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24</w:t>
      </w:r>
      <w:r>
        <w:rPr>
          <w:rFonts w:hint="eastAsia" w:ascii="宋体" w:hAnsi="宋体" w:eastAsia="宋体" w:cs="宋体"/>
          <w:sz w:val="24"/>
          <w:szCs w:val="24"/>
          <w:lang w:eastAsia="zh-CN"/>
        </w:rPr>
        <w:t>）中小企业声明函未按要求填写，或填写信息有误的。</w:t>
      </w:r>
    </w:p>
    <w:p w14:paraId="0DFB406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）法律法规规定其他投标无效情形的。</w:t>
      </w:r>
    </w:p>
    <w:p w14:paraId="546BB53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澄清有关问题。对投标文件中含义不明确、同类问题表述不一致或者有明显文字和计算错误的内容，评审小组可以要求供应商作出必要的澄清、说明或者纠正。供应商的澄清、说明或者补正应当采用书面形式，由其授权代理人签字，但不得改变投标文件的实质性内容，如澄清、补正、说明的内容与投标文件内容有重大相悖或矛盾，将被认定为无效标。</w:t>
      </w:r>
    </w:p>
    <w:p w14:paraId="3E04FD72">
      <w:pPr>
        <w:spacing w:line="360" w:lineRule="auto"/>
        <w:rPr>
          <w:rFonts w:hint="eastAsia" w:ascii="宋体" w:hAnsi="宋体" w:eastAsia="宋体" w:cs="宋体"/>
          <w:sz w:val="28"/>
          <w:szCs w:val="28"/>
        </w:rPr>
      </w:pPr>
    </w:p>
    <w:p w14:paraId="39F28EDA">
      <w:pPr>
        <w:pStyle w:val="11"/>
        <w:jc w:val="center"/>
        <w:rPr>
          <w:rFonts w:hint="eastAsia"/>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CA5074C">
      <w:pPr>
        <w:pStyle w:val="2"/>
        <w:spacing w:line="240" w:lineRule="auto"/>
        <w:jc w:val="center"/>
        <w:rPr>
          <w:rFonts w:hint="eastAsia" w:ascii="宋体" w:hAnsi="宋体" w:eastAsia="宋体" w:cs="宋体"/>
          <w:sz w:val="28"/>
          <w:szCs w:val="28"/>
        </w:rPr>
      </w:pPr>
      <w:bookmarkStart w:id="459" w:name="_Toc26899"/>
      <w:bookmarkStart w:id="460" w:name="_Toc28084"/>
      <w:bookmarkStart w:id="461" w:name="_Toc5895"/>
      <w:bookmarkStart w:id="462" w:name="_Toc1706"/>
      <w:bookmarkStart w:id="463" w:name="_Toc23160"/>
      <w:bookmarkStart w:id="464" w:name="_Toc18123"/>
      <w:bookmarkStart w:id="465" w:name="_Toc28077"/>
      <w:r>
        <w:rPr>
          <w:rFonts w:hint="eastAsia" w:ascii="宋体" w:hAnsi="宋体" w:cs="宋体"/>
          <w:sz w:val="28"/>
          <w:szCs w:val="28"/>
          <w:lang w:val="en-US" w:eastAsia="zh-CN"/>
        </w:rPr>
        <w:t xml:space="preserve"> </w:t>
      </w:r>
      <w:r>
        <w:rPr>
          <w:rFonts w:hint="eastAsia" w:ascii="宋体" w:hAnsi="宋体" w:eastAsia="宋体" w:cs="宋体"/>
          <w:sz w:val="28"/>
          <w:szCs w:val="28"/>
        </w:rPr>
        <w:t>第四章</w:t>
      </w:r>
      <w:bookmarkEnd w:id="38"/>
      <w:bookmarkEnd w:id="39"/>
      <w:bookmarkEnd w:id="40"/>
      <w:bookmarkEnd w:id="392"/>
      <w:bookmarkStart w:id="466" w:name="_Toc12522"/>
      <w:bookmarkStart w:id="467" w:name="_Toc31157"/>
      <w:bookmarkStart w:id="468" w:name="_Toc25838"/>
      <w:bookmarkStart w:id="469" w:name="_Toc10057"/>
      <w:bookmarkStart w:id="470" w:name="_Toc6477"/>
      <w:bookmarkStart w:id="471" w:name="_Toc28261"/>
      <w:bookmarkStart w:id="472" w:name="_Toc13365"/>
      <w:r>
        <w:rPr>
          <w:rFonts w:hint="eastAsia" w:ascii="宋体" w:hAnsi="宋体" w:eastAsia="宋体" w:cs="宋体"/>
          <w:sz w:val="28"/>
          <w:szCs w:val="28"/>
        </w:rPr>
        <w:t xml:space="preserve">  评标办法前附表及评标办法</w:t>
      </w:r>
      <w:bookmarkEnd w:id="393"/>
      <w:bookmarkEnd w:id="394"/>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5CCD809C">
      <w:pPr>
        <w:rPr>
          <w:rFonts w:hint="eastAsia" w:ascii="宋体" w:hAnsi="宋体" w:eastAsia="宋体" w:cs="宋体"/>
          <w:sz w:val="28"/>
          <w:szCs w:val="28"/>
        </w:rPr>
      </w:pPr>
    </w:p>
    <w:p w14:paraId="2EC8DEE4">
      <w:pPr>
        <w:jc w:val="center"/>
        <w:rPr>
          <w:rFonts w:hint="eastAsia" w:ascii="宋体" w:hAnsi="宋体" w:eastAsia="宋体" w:cs="宋体"/>
          <w:b/>
          <w:bCs/>
          <w:sz w:val="28"/>
          <w:szCs w:val="28"/>
        </w:rPr>
      </w:pPr>
      <w:bookmarkStart w:id="473" w:name="_Toc30830"/>
      <w:bookmarkStart w:id="474" w:name="_Toc14581"/>
      <w:bookmarkStart w:id="475" w:name="_Toc24633"/>
      <w:bookmarkStart w:id="476" w:name="_Toc31853"/>
      <w:bookmarkStart w:id="477" w:name="_Toc20147"/>
      <w:bookmarkStart w:id="478" w:name="_Toc6699"/>
      <w:bookmarkStart w:id="479" w:name="_Toc13909"/>
      <w:bookmarkStart w:id="480" w:name="_Toc29466"/>
      <w:bookmarkStart w:id="481" w:name="_Toc7528"/>
      <w:bookmarkStart w:id="482" w:name="_Toc22441"/>
      <w:bookmarkStart w:id="483" w:name="_Toc29124"/>
      <w:bookmarkStart w:id="484" w:name="_Toc16362"/>
      <w:bookmarkStart w:id="485" w:name="_Toc17672"/>
      <w:bookmarkStart w:id="486" w:name="_Toc14732"/>
      <w:r>
        <w:rPr>
          <w:rFonts w:hint="eastAsia" w:ascii="宋体" w:hAnsi="宋体" w:eastAsia="宋体" w:cs="宋体"/>
          <w:b/>
          <w:bCs/>
          <w:sz w:val="28"/>
          <w:szCs w:val="28"/>
        </w:rPr>
        <w:t>评标办法前附表</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bookmarkEnd w:id="41"/>
    <w:tbl>
      <w:tblPr>
        <w:tblStyle w:val="35"/>
        <w:tblW w:w="9957" w:type="dxa"/>
        <w:tblInd w:w="-4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7"/>
        <w:gridCol w:w="960"/>
        <w:gridCol w:w="3224"/>
        <w:gridCol w:w="4856"/>
      </w:tblGrid>
      <w:tr w14:paraId="6155E1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trPr>
        <w:tc>
          <w:tcPr>
            <w:tcW w:w="1877" w:type="dxa"/>
            <w:gridSpan w:val="2"/>
            <w:tcBorders>
              <w:tl2br w:val="nil"/>
              <w:tr2bl w:val="nil"/>
            </w:tcBorders>
            <w:noWrap w:val="0"/>
            <w:vAlign w:val="center"/>
          </w:tcPr>
          <w:p w14:paraId="0F9C40FB">
            <w:pPr>
              <w:spacing w:line="360" w:lineRule="auto"/>
              <w:jc w:val="center"/>
              <w:rPr>
                <w:rFonts w:hint="eastAsia" w:ascii="宋体" w:hAnsi="宋体" w:eastAsia="宋体" w:cs="宋体"/>
                <w:b/>
                <w:color w:val="000000"/>
                <w:sz w:val="24"/>
                <w:szCs w:val="24"/>
              </w:rPr>
            </w:pPr>
            <w:bookmarkStart w:id="487" w:name="_Toc145989485"/>
            <w:bookmarkStart w:id="488" w:name="_Toc221523517"/>
            <w:bookmarkStart w:id="489" w:name="_Toc169940988"/>
            <w:bookmarkStart w:id="490" w:name="_Toc112236889"/>
            <w:bookmarkStart w:id="491" w:name="_Toc132684599"/>
            <w:bookmarkStart w:id="492" w:name="_Toc123211617"/>
            <w:bookmarkStart w:id="493" w:name="_Toc225592722"/>
            <w:bookmarkStart w:id="494" w:name="_Toc905"/>
            <w:bookmarkStart w:id="495" w:name="_Toc5306"/>
            <w:bookmarkStart w:id="496" w:name="_Toc19476"/>
            <w:r>
              <w:rPr>
                <w:rFonts w:hint="eastAsia" w:ascii="宋体" w:hAnsi="宋体" w:eastAsia="宋体" w:cs="宋体"/>
                <w:b/>
                <w:color w:val="000000"/>
                <w:sz w:val="24"/>
                <w:szCs w:val="24"/>
              </w:rPr>
              <w:t>条款号</w:t>
            </w:r>
          </w:p>
        </w:tc>
        <w:tc>
          <w:tcPr>
            <w:tcW w:w="3224" w:type="dxa"/>
            <w:tcBorders>
              <w:tl2br w:val="nil"/>
              <w:tr2bl w:val="nil"/>
            </w:tcBorders>
            <w:noWrap w:val="0"/>
            <w:vAlign w:val="center"/>
          </w:tcPr>
          <w:p w14:paraId="2D0503BA">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4856" w:type="dxa"/>
            <w:tcBorders>
              <w:tl2br w:val="nil"/>
              <w:tr2bl w:val="nil"/>
            </w:tcBorders>
            <w:noWrap w:val="0"/>
            <w:vAlign w:val="center"/>
          </w:tcPr>
          <w:p w14:paraId="5C7E6C71">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编列内容</w:t>
            </w:r>
          </w:p>
        </w:tc>
      </w:tr>
      <w:tr w14:paraId="6DC1D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1877" w:type="dxa"/>
            <w:gridSpan w:val="2"/>
            <w:tcBorders>
              <w:tl2br w:val="nil"/>
              <w:tr2bl w:val="nil"/>
            </w:tcBorders>
            <w:noWrap w:val="0"/>
            <w:vAlign w:val="center"/>
          </w:tcPr>
          <w:p w14:paraId="7C67F72B">
            <w:pPr>
              <w:spacing w:line="360" w:lineRule="auto"/>
              <w:jc w:val="center"/>
              <w:rPr>
                <w:rFonts w:hint="eastAsia" w:ascii="宋体" w:hAnsi="宋体" w:eastAsia="宋体" w:cs="宋体"/>
                <w:b/>
                <w:color w:val="000000"/>
                <w:sz w:val="24"/>
                <w:szCs w:val="24"/>
              </w:rPr>
            </w:pPr>
            <w:bookmarkStart w:id="497" w:name="_Toc343511683"/>
            <w:r>
              <w:rPr>
                <w:rFonts w:hint="eastAsia" w:ascii="宋体" w:hAnsi="宋体" w:eastAsia="宋体" w:cs="宋体"/>
                <w:b/>
                <w:color w:val="000000"/>
                <w:sz w:val="24"/>
                <w:szCs w:val="24"/>
              </w:rPr>
              <w:t>条款号</w:t>
            </w:r>
            <w:bookmarkEnd w:id="497"/>
          </w:p>
        </w:tc>
        <w:tc>
          <w:tcPr>
            <w:tcW w:w="3224" w:type="dxa"/>
            <w:tcBorders>
              <w:tl2br w:val="nil"/>
              <w:tr2bl w:val="nil"/>
            </w:tcBorders>
            <w:noWrap w:val="0"/>
            <w:vAlign w:val="center"/>
          </w:tcPr>
          <w:p w14:paraId="7313D216">
            <w:pPr>
              <w:spacing w:line="360" w:lineRule="auto"/>
              <w:jc w:val="center"/>
              <w:rPr>
                <w:rFonts w:hint="eastAsia" w:ascii="宋体" w:hAnsi="宋体" w:eastAsia="宋体" w:cs="宋体"/>
                <w:b/>
                <w:color w:val="000000"/>
                <w:sz w:val="24"/>
                <w:szCs w:val="24"/>
              </w:rPr>
            </w:pPr>
            <w:bookmarkStart w:id="498" w:name="_Toc343511684"/>
            <w:r>
              <w:rPr>
                <w:rFonts w:hint="eastAsia" w:ascii="宋体" w:hAnsi="宋体" w:eastAsia="宋体" w:cs="宋体"/>
                <w:b/>
                <w:color w:val="000000"/>
                <w:sz w:val="24"/>
                <w:szCs w:val="24"/>
              </w:rPr>
              <w:t>评审因素</w:t>
            </w:r>
            <w:bookmarkEnd w:id="498"/>
          </w:p>
        </w:tc>
        <w:tc>
          <w:tcPr>
            <w:tcW w:w="4856" w:type="dxa"/>
            <w:tcBorders>
              <w:tl2br w:val="nil"/>
              <w:tr2bl w:val="nil"/>
            </w:tcBorders>
            <w:noWrap w:val="0"/>
            <w:vAlign w:val="center"/>
          </w:tcPr>
          <w:p w14:paraId="7E9D401D">
            <w:pPr>
              <w:spacing w:line="360" w:lineRule="auto"/>
              <w:jc w:val="center"/>
              <w:rPr>
                <w:rFonts w:hint="eastAsia" w:ascii="宋体" w:hAnsi="宋体" w:eastAsia="宋体" w:cs="宋体"/>
                <w:b/>
                <w:color w:val="000000"/>
                <w:sz w:val="24"/>
                <w:szCs w:val="24"/>
              </w:rPr>
            </w:pPr>
            <w:bookmarkStart w:id="499" w:name="_Toc343511685"/>
            <w:r>
              <w:rPr>
                <w:rFonts w:hint="eastAsia" w:ascii="宋体" w:hAnsi="宋体" w:eastAsia="宋体" w:cs="宋体"/>
                <w:b/>
                <w:color w:val="000000"/>
                <w:sz w:val="24"/>
                <w:szCs w:val="24"/>
              </w:rPr>
              <w:t>评审标准</w:t>
            </w:r>
            <w:bookmarkEnd w:id="499"/>
          </w:p>
        </w:tc>
      </w:tr>
      <w:tr w14:paraId="1ACEF3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917" w:type="dxa"/>
            <w:vMerge w:val="restart"/>
            <w:tcBorders>
              <w:tl2br w:val="nil"/>
              <w:tr2bl w:val="nil"/>
            </w:tcBorders>
            <w:noWrap w:val="0"/>
            <w:vAlign w:val="center"/>
          </w:tcPr>
          <w:p w14:paraId="2496BE09">
            <w:pPr>
              <w:spacing w:line="360" w:lineRule="auto"/>
              <w:jc w:val="center"/>
              <w:rPr>
                <w:rFonts w:hint="eastAsia" w:ascii="宋体" w:hAnsi="宋体" w:eastAsia="宋体" w:cs="宋体"/>
                <w:color w:val="000000"/>
                <w:sz w:val="24"/>
                <w:szCs w:val="24"/>
              </w:rPr>
            </w:pPr>
            <w:bookmarkStart w:id="500" w:name="_Toc343511686"/>
            <w:r>
              <w:rPr>
                <w:rFonts w:hint="eastAsia" w:ascii="宋体" w:hAnsi="宋体" w:eastAsia="宋体" w:cs="宋体"/>
                <w:color w:val="000000"/>
                <w:sz w:val="24"/>
                <w:szCs w:val="24"/>
              </w:rPr>
              <w:t>2.1.1</w:t>
            </w:r>
            <w:bookmarkEnd w:id="500"/>
          </w:p>
        </w:tc>
        <w:tc>
          <w:tcPr>
            <w:tcW w:w="960" w:type="dxa"/>
            <w:vMerge w:val="restart"/>
            <w:tcBorders>
              <w:tl2br w:val="nil"/>
              <w:tr2bl w:val="nil"/>
            </w:tcBorders>
            <w:noWrap w:val="0"/>
            <w:vAlign w:val="center"/>
          </w:tcPr>
          <w:p w14:paraId="015AD023">
            <w:pPr>
              <w:spacing w:line="360" w:lineRule="auto"/>
              <w:jc w:val="center"/>
              <w:rPr>
                <w:rFonts w:hint="eastAsia" w:ascii="宋体" w:hAnsi="宋体" w:eastAsia="宋体" w:cs="宋体"/>
                <w:color w:val="000000"/>
                <w:sz w:val="24"/>
                <w:szCs w:val="24"/>
              </w:rPr>
            </w:pPr>
            <w:bookmarkStart w:id="501" w:name="_Toc343511687"/>
            <w:r>
              <w:rPr>
                <w:rFonts w:hint="eastAsia" w:ascii="宋体" w:hAnsi="宋体" w:eastAsia="宋体" w:cs="宋体"/>
                <w:color w:val="000000"/>
                <w:sz w:val="24"/>
                <w:szCs w:val="24"/>
              </w:rPr>
              <w:t>形式</w:t>
            </w:r>
          </w:p>
          <w:p w14:paraId="303E44A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性评审</w:t>
            </w:r>
          </w:p>
          <w:p w14:paraId="40286B7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标准</w:t>
            </w:r>
            <w:bookmarkEnd w:id="501"/>
          </w:p>
        </w:tc>
        <w:tc>
          <w:tcPr>
            <w:tcW w:w="3224" w:type="dxa"/>
            <w:tcBorders>
              <w:tl2br w:val="nil"/>
              <w:tr2bl w:val="nil"/>
            </w:tcBorders>
            <w:noWrap w:val="0"/>
            <w:vAlign w:val="center"/>
          </w:tcPr>
          <w:p w14:paraId="6A3860A7">
            <w:pPr>
              <w:spacing w:line="360" w:lineRule="auto"/>
              <w:jc w:val="center"/>
              <w:rPr>
                <w:rFonts w:hint="eastAsia" w:ascii="宋体" w:hAnsi="宋体" w:eastAsia="宋体" w:cs="宋体"/>
                <w:color w:val="000000"/>
                <w:sz w:val="24"/>
                <w:szCs w:val="24"/>
              </w:rPr>
            </w:pPr>
            <w:bookmarkStart w:id="502" w:name="_Toc343511688"/>
            <w:r>
              <w:rPr>
                <w:rFonts w:hint="eastAsia" w:ascii="宋体" w:hAnsi="宋体" w:eastAsia="宋体" w:cs="宋体"/>
                <w:color w:val="000000"/>
                <w:sz w:val="24"/>
                <w:szCs w:val="24"/>
              </w:rPr>
              <w:t>投标人名称</w:t>
            </w:r>
            <w:bookmarkEnd w:id="502"/>
          </w:p>
        </w:tc>
        <w:tc>
          <w:tcPr>
            <w:tcW w:w="4856" w:type="dxa"/>
            <w:tcBorders>
              <w:tl2br w:val="nil"/>
              <w:tr2bl w:val="nil"/>
            </w:tcBorders>
            <w:noWrap w:val="0"/>
            <w:vAlign w:val="center"/>
          </w:tcPr>
          <w:p w14:paraId="2773F871">
            <w:pPr>
              <w:spacing w:line="360" w:lineRule="auto"/>
              <w:rPr>
                <w:rFonts w:hint="eastAsia" w:ascii="宋体" w:hAnsi="宋体" w:eastAsia="宋体" w:cs="宋体"/>
                <w:color w:val="000000"/>
                <w:sz w:val="24"/>
                <w:szCs w:val="24"/>
              </w:rPr>
            </w:pPr>
            <w:bookmarkStart w:id="503" w:name="_Toc343511689"/>
            <w:r>
              <w:rPr>
                <w:rFonts w:hint="eastAsia" w:ascii="宋体" w:hAnsi="宋体" w:eastAsia="宋体" w:cs="宋体"/>
                <w:color w:val="000000"/>
                <w:sz w:val="24"/>
                <w:szCs w:val="24"/>
              </w:rPr>
              <w:t>与营业执照一致</w:t>
            </w:r>
            <w:bookmarkEnd w:id="503"/>
          </w:p>
        </w:tc>
      </w:tr>
      <w:tr w14:paraId="35F37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917" w:type="dxa"/>
            <w:vMerge w:val="continue"/>
            <w:tcBorders>
              <w:tl2br w:val="nil"/>
              <w:tr2bl w:val="nil"/>
            </w:tcBorders>
            <w:noWrap w:val="0"/>
            <w:vAlign w:val="center"/>
          </w:tcPr>
          <w:p w14:paraId="4C7C7D57">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141BCFC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4E75E98C">
            <w:pPr>
              <w:spacing w:line="360" w:lineRule="auto"/>
              <w:jc w:val="center"/>
              <w:rPr>
                <w:rFonts w:hint="eastAsia" w:ascii="宋体" w:hAnsi="宋体" w:eastAsia="宋体" w:cs="宋体"/>
                <w:color w:val="000000"/>
                <w:sz w:val="24"/>
                <w:szCs w:val="24"/>
              </w:rPr>
            </w:pPr>
            <w:bookmarkStart w:id="504" w:name="_Toc343511690"/>
            <w:r>
              <w:rPr>
                <w:rFonts w:hint="eastAsia" w:ascii="宋体" w:hAnsi="宋体" w:eastAsia="宋体" w:cs="宋体"/>
                <w:color w:val="000000"/>
                <w:sz w:val="24"/>
                <w:szCs w:val="24"/>
              </w:rPr>
              <w:t>投标函签字盖章</w:t>
            </w:r>
            <w:bookmarkEnd w:id="504"/>
          </w:p>
        </w:tc>
        <w:tc>
          <w:tcPr>
            <w:tcW w:w="4856" w:type="dxa"/>
            <w:tcBorders>
              <w:tl2br w:val="nil"/>
              <w:tr2bl w:val="nil"/>
            </w:tcBorders>
            <w:noWrap w:val="0"/>
            <w:vAlign w:val="center"/>
          </w:tcPr>
          <w:p w14:paraId="5D3189A0">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符合第二章“投标人须知”第3.5款规定</w:t>
            </w:r>
          </w:p>
        </w:tc>
      </w:tr>
      <w:tr w14:paraId="0FDA5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rPr>
        <w:tc>
          <w:tcPr>
            <w:tcW w:w="917" w:type="dxa"/>
            <w:vMerge w:val="continue"/>
            <w:tcBorders>
              <w:tl2br w:val="nil"/>
              <w:tr2bl w:val="nil"/>
            </w:tcBorders>
            <w:noWrap w:val="0"/>
            <w:vAlign w:val="center"/>
          </w:tcPr>
          <w:p w14:paraId="5FA63EA5">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1B743A4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BAE1522">
            <w:pPr>
              <w:spacing w:line="360" w:lineRule="auto"/>
              <w:jc w:val="center"/>
              <w:rPr>
                <w:rFonts w:hint="eastAsia" w:ascii="宋体" w:hAnsi="宋体" w:eastAsia="宋体" w:cs="宋体"/>
                <w:color w:val="000000"/>
                <w:sz w:val="24"/>
                <w:szCs w:val="24"/>
              </w:rPr>
            </w:pPr>
            <w:bookmarkStart w:id="505" w:name="_Toc343511692"/>
            <w:r>
              <w:rPr>
                <w:rFonts w:hint="eastAsia" w:ascii="宋体" w:hAnsi="宋体" w:eastAsia="宋体" w:cs="宋体"/>
                <w:color w:val="000000"/>
                <w:sz w:val="24"/>
                <w:szCs w:val="24"/>
              </w:rPr>
              <w:t>投标文件格式</w:t>
            </w:r>
            <w:bookmarkEnd w:id="505"/>
          </w:p>
        </w:tc>
        <w:tc>
          <w:tcPr>
            <w:tcW w:w="4856" w:type="dxa"/>
            <w:tcBorders>
              <w:tl2br w:val="nil"/>
              <w:tr2bl w:val="nil"/>
            </w:tcBorders>
            <w:noWrap w:val="0"/>
            <w:vAlign w:val="center"/>
          </w:tcPr>
          <w:p w14:paraId="69DFDEFD">
            <w:pPr>
              <w:spacing w:line="360" w:lineRule="auto"/>
              <w:rPr>
                <w:rFonts w:hint="eastAsia" w:ascii="宋体" w:hAnsi="宋体" w:eastAsia="宋体" w:cs="宋体"/>
                <w:color w:val="000000"/>
                <w:sz w:val="24"/>
                <w:szCs w:val="24"/>
              </w:rPr>
            </w:pPr>
            <w:bookmarkStart w:id="506" w:name="_Toc343511693"/>
            <w:r>
              <w:rPr>
                <w:rFonts w:hint="eastAsia" w:ascii="宋体" w:hAnsi="宋体" w:eastAsia="宋体" w:cs="宋体"/>
                <w:color w:val="000000"/>
                <w:sz w:val="24"/>
                <w:szCs w:val="24"/>
              </w:rPr>
              <w:t>符合第六章“投标文件格式”的要求</w:t>
            </w:r>
            <w:bookmarkEnd w:id="506"/>
          </w:p>
        </w:tc>
      </w:tr>
      <w:tr w14:paraId="23F534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trPr>
        <w:tc>
          <w:tcPr>
            <w:tcW w:w="917" w:type="dxa"/>
            <w:vMerge w:val="continue"/>
            <w:tcBorders>
              <w:tl2br w:val="nil"/>
              <w:tr2bl w:val="nil"/>
            </w:tcBorders>
            <w:noWrap w:val="0"/>
            <w:vAlign w:val="center"/>
          </w:tcPr>
          <w:p w14:paraId="0AC58762">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03E0FF8D">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380F7DD">
            <w:pPr>
              <w:spacing w:line="360" w:lineRule="auto"/>
              <w:jc w:val="center"/>
              <w:rPr>
                <w:rFonts w:hint="eastAsia" w:ascii="宋体" w:hAnsi="宋体" w:eastAsia="宋体" w:cs="宋体"/>
                <w:color w:val="000000"/>
                <w:sz w:val="24"/>
                <w:szCs w:val="24"/>
              </w:rPr>
            </w:pPr>
            <w:bookmarkStart w:id="507" w:name="_Toc343511694"/>
            <w:r>
              <w:rPr>
                <w:rFonts w:hint="eastAsia" w:ascii="宋体" w:hAnsi="宋体" w:eastAsia="宋体" w:cs="宋体"/>
                <w:color w:val="000000"/>
                <w:sz w:val="24"/>
                <w:szCs w:val="24"/>
              </w:rPr>
              <w:t>报价唯一</w:t>
            </w:r>
            <w:bookmarkEnd w:id="507"/>
          </w:p>
        </w:tc>
        <w:tc>
          <w:tcPr>
            <w:tcW w:w="4856" w:type="dxa"/>
            <w:tcBorders>
              <w:tl2br w:val="nil"/>
              <w:tr2bl w:val="nil"/>
            </w:tcBorders>
            <w:noWrap w:val="0"/>
            <w:vAlign w:val="center"/>
          </w:tcPr>
          <w:p w14:paraId="7CCA2F59">
            <w:pPr>
              <w:spacing w:line="360" w:lineRule="auto"/>
              <w:rPr>
                <w:rFonts w:hint="eastAsia" w:ascii="宋体" w:hAnsi="宋体" w:eastAsia="宋体" w:cs="宋体"/>
                <w:color w:val="000000"/>
                <w:sz w:val="24"/>
                <w:szCs w:val="24"/>
              </w:rPr>
            </w:pPr>
            <w:bookmarkStart w:id="508" w:name="_Toc343511695"/>
            <w:r>
              <w:rPr>
                <w:rFonts w:hint="eastAsia" w:ascii="宋体" w:hAnsi="宋体" w:eastAsia="宋体" w:cs="宋体"/>
                <w:color w:val="000000"/>
                <w:sz w:val="24"/>
                <w:szCs w:val="24"/>
              </w:rPr>
              <w:t>只能有一个有效报价</w:t>
            </w:r>
            <w:bookmarkEnd w:id="508"/>
          </w:p>
        </w:tc>
      </w:tr>
      <w:tr w14:paraId="119D9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917" w:type="dxa"/>
            <w:vMerge w:val="restart"/>
            <w:tcBorders>
              <w:tl2br w:val="nil"/>
              <w:tr2bl w:val="nil"/>
            </w:tcBorders>
            <w:noWrap w:val="0"/>
            <w:vAlign w:val="center"/>
          </w:tcPr>
          <w:p w14:paraId="78761DCC">
            <w:pPr>
              <w:spacing w:line="360" w:lineRule="auto"/>
              <w:jc w:val="center"/>
              <w:rPr>
                <w:rFonts w:hint="eastAsia" w:ascii="宋体" w:hAnsi="宋体" w:eastAsia="宋体" w:cs="宋体"/>
                <w:color w:val="000000"/>
                <w:sz w:val="24"/>
                <w:szCs w:val="24"/>
              </w:rPr>
            </w:pPr>
            <w:bookmarkStart w:id="509" w:name="_Toc343511710"/>
            <w:r>
              <w:rPr>
                <w:rFonts w:hint="eastAsia" w:ascii="宋体" w:hAnsi="宋体" w:eastAsia="宋体" w:cs="宋体"/>
                <w:color w:val="000000"/>
                <w:sz w:val="24"/>
                <w:szCs w:val="24"/>
              </w:rPr>
              <w:t>2.1.</w:t>
            </w:r>
            <w:bookmarkEnd w:id="509"/>
            <w:r>
              <w:rPr>
                <w:rFonts w:hint="eastAsia" w:ascii="宋体" w:hAnsi="宋体" w:eastAsia="宋体" w:cs="宋体"/>
                <w:color w:val="000000"/>
                <w:sz w:val="24"/>
                <w:szCs w:val="24"/>
              </w:rPr>
              <w:t>2</w:t>
            </w:r>
          </w:p>
        </w:tc>
        <w:tc>
          <w:tcPr>
            <w:tcW w:w="960" w:type="dxa"/>
            <w:vMerge w:val="restart"/>
            <w:tcBorders>
              <w:tl2br w:val="nil"/>
              <w:tr2bl w:val="nil"/>
            </w:tcBorders>
            <w:noWrap w:val="0"/>
            <w:vAlign w:val="center"/>
          </w:tcPr>
          <w:p w14:paraId="347D9D05">
            <w:pPr>
              <w:spacing w:line="360" w:lineRule="auto"/>
              <w:jc w:val="center"/>
              <w:rPr>
                <w:rFonts w:hint="eastAsia" w:ascii="宋体" w:hAnsi="宋体" w:eastAsia="宋体" w:cs="宋体"/>
                <w:color w:val="000000"/>
                <w:sz w:val="24"/>
                <w:szCs w:val="24"/>
              </w:rPr>
            </w:pPr>
            <w:bookmarkStart w:id="510" w:name="_Toc343511711"/>
            <w:r>
              <w:rPr>
                <w:rFonts w:hint="eastAsia" w:ascii="宋体" w:hAnsi="宋体" w:eastAsia="宋体" w:cs="宋体"/>
                <w:color w:val="000000"/>
                <w:sz w:val="24"/>
                <w:szCs w:val="24"/>
              </w:rPr>
              <w:t>响应性</w:t>
            </w:r>
            <w:bookmarkEnd w:id="510"/>
            <w:bookmarkStart w:id="511" w:name="_Toc343511712"/>
            <w:r>
              <w:rPr>
                <w:rFonts w:hint="eastAsia" w:ascii="宋体" w:hAnsi="宋体" w:eastAsia="宋体" w:cs="宋体"/>
                <w:color w:val="000000"/>
                <w:sz w:val="24"/>
                <w:szCs w:val="24"/>
              </w:rPr>
              <w:t>评审</w:t>
            </w:r>
            <w:bookmarkEnd w:id="511"/>
            <w:bookmarkStart w:id="512" w:name="_Toc343511713"/>
            <w:r>
              <w:rPr>
                <w:rFonts w:hint="eastAsia" w:ascii="宋体" w:hAnsi="宋体" w:eastAsia="宋体" w:cs="宋体"/>
                <w:color w:val="000000"/>
                <w:sz w:val="24"/>
                <w:szCs w:val="24"/>
              </w:rPr>
              <w:t>标准</w:t>
            </w:r>
            <w:bookmarkEnd w:id="512"/>
          </w:p>
        </w:tc>
        <w:tc>
          <w:tcPr>
            <w:tcW w:w="3224" w:type="dxa"/>
            <w:tcBorders>
              <w:tl2br w:val="nil"/>
              <w:tr2bl w:val="nil"/>
            </w:tcBorders>
            <w:noWrap w:val="0"/>
            <w:vAlign w:val="center"/>
          </w:tcPr>
          <w:p w14:paraId="5F982963">
            <w:pPr>
              <w:spacing w:line="360" w:lineRule="auto"/>
              <w:jc w:val="center"/>
              <w:rPr>
                <w:rFonts w:hint="eastAsia" w:ascii="宋体" w:hAnsi="宋体" w:eastAsia="宋体" w:cs="宋体"/>
                <w:color w:val="000000"/>
                <w:sz w:val="24"/>
                <w:szCs w:val="24"/>
              </w:rPr>
            </w:pPr>
            <w:bookmarkStart w:id="513" w:name="_Toc343511714"/>
            <w:r>
              <w:rPr>
                <w:rFonts w:hint="eastAsia" w:ascii="宋体" w:hAnsi="宋体" w:eastAsia="宋体" w:cs="宋体"/>
                <w:color w:val="000000"/>
                <w:sz w:val="24"/>
                <w:szCs w:val="24"/>
              </w:rPr>
              <w:t>投标报价</w:t>
            </w:r>
            <w:bookmarkEnd w:id="513"/>
          </w:p>
        </w:tc>
        <w:tc>
          <w:tcPr>
            <w:tcW w:w="4856" w:type="dxa"/>
            <w:tcBorders>
              <w:tl2br w:val="nil"/>
              <w:tr2bl w:val="nil"/>
            </w:tcBorders>
            <w:noWrap w:val="0"/>
            <w:vAlign w:val="center"/>
          </w:tcPr>
          <w:p w14:paraId="7F05CF71">
            <w:pPr>
              <w:spacing w:line="360" w:lineRule="auto"/>
              <w:rPr>
                <w:rFonts w:hint="eastAsia" w:ascii="宋体" w:hAnsi="宋体" w:eastAsia="宋体" w:cs="宋体"/>
                <w:color w:val="000000"/>
                <w:sz w:val="24"/>
                <w:szCs w:val="24"/>
              </w:rPr>
            </w:pPr>
            <w:bookmarkStart w:id="514" w:name="_Toc343511715"/>
            <w:r>
              <w:rPr>
                <w:rFonts w:hint="eastAsia" w:ascii="宋体" w:hAnsi="宋体" w:eastAsia="宋体" w:cs="宋体"/>
                <w:color w:val="000000"/>
                <w:sz w:val="24"/>
                <w:szCs w:val="24"/>
              </w:rPr>
              <w:t>符合第二章“投标人须知”第3.2项规定</w:t>
            </w:r>
            <w:bookmarkEnd w:id="514"/>
          </w:p>
        </w:tc>
      </w:tr>
      <w:tr w14:paraId="72628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917" w:type="dxa"/>
            <w:vMerge w:val="continue"/>
            <w:tcBorders>
              <w:tl2br w:val="nil"/>
              <w:tr2bl w:val="nil"/>
            </w:tcBorders>
            <w:noWrap w:val="0"/>
            <w:vAlign w:val="center"/>
          </w:tcPr>
          <w:p w14:paraId="59EB252D">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5656043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6EF8A99F">
            <w:pPr>
              <w:spacing w:line="360" w:lineRule="auto"/>
              <w:jc w:val="center"/>
              <w:rPr>
                <w:rFonts w:hint="eastAsia" w:ascii="宋体" w:hAnsi="宋体" w:eastAsia="宋体" w:cs="宋体"/>
                <w:color w:val="000000"/>
                <w:sz w:val="24"/>
                <w:szCs w:val="24"/>
              </w:rPr>
            </w:pPr>
            <w:bookmarkStart w:id="515" w:name="_Toc343511716"/>
            <w:r>
              <w:rPr>
                <w:rFonts w:hint="eastAsia" w:ascii="宋体" w:hAnsi="宋体" w:eastAsia="宋体" w:cs="宋体"/>
                <w:color w:val="000000"/>
                <w:sz w:val="24"/>
                <w:szCs w:val="24"/>
              </w:rPr>
              <w:t>投标内容</w:t>
            </w:r>
            <w:bookmarkEnd w:id="515"/>
          </w:p>
        </w:tc>
        <w:tc>
          <w:tcPr>
            <w:tcW w:w="4856" w:type="dxa"/>
            <w:tcBorders>
              <w:tl2br w:val="nil"/>
              <w:tr2bl w:val="nil"/>
            </w:tcBorders>
            <w:noWrap w:val="0"/>
            <w:vAlign w:val="center"/>
          </w:tcPr>
          <w:p w14:paraId="07C510E5">
            <w:pPr>
              <w:spacing w:line="360" w:lineRule="auto"/>
              <w:rPr>
                <w:rFonts w:hint="eastAsia" w:ascii="宋体" w:hAnsi="宋体" w:eastAsia="宋体" w:cs="宋体"/>
                <w:color w:val="000000"/>
                <w:sz w:val="24"/>
                <w:szCs w:val="24"/>
              </w:rPr>
            </w:pPr>
            <w:bookmarkStart w:id="516" w:name="_Toc343511717"/>
            <w:r>
              <w:rPr>
                <w:rFonts w:hint="eastAsia" w:ascii="宋体" w:hAnsi="宋体" w:eastAsia="宋体" w:cs="宋体"/>
                <w:color w:val="000000"/>
                <w:sz w:val="24"/>
                <w:szCs w:val="24"/>
              </w:rPr>
              <w:t>符合第二章“投标人须知”第3.1.2项规定</w:t>
            </w:r>
            <w:bookmarkEnd w:id="516"/>
          </w:p>
        </w:tc>
      </w:tr>
      <w:tr w14:paraId="41698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917" w:type="dxa"/>
            <w:vMerge w:val="continue"/>
            <w:tcBorders>
              <w:tl2br w:val="nil"/>
              <w:tr2bl w:val="nil"/>
            </w:tcBorders>
            <w:noWrap w:val="0"/>
            <w:vAlign w:val="center"/>
          </w:tcPr>
          <w:p w14:paraId="305A3296">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0504792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886340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4856" w:type="dxa"/>
            <w:tcBorders>
              <w:tl2br w:val="nil"/>
              <w:tr2bl w:val="nil"/>
            </w:tcBorders>
            <w:noWrap w:val="0"/>
            <w:vAlign w:val="center"/>
          </w:tcPr>
          <w:p w14:paraId="34D9477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符合第二章“投标人须知”第1.3.2项规定</w:t>
            </w:r>
          </w:p>
        </w:tc>
      </w:tr>
      <w:tr w14:paraId="15F77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917" w:type="dxa"/>
            <w:vMerge w:val="continue"/>
            <w:tcBorders>
              <w:tl2br w:val="nil"/>
              <w:tr2bl w:val="nil"/>
            </w:tcBorders>
            <w:noWrap w:val="0"/>
            <w:vAlign w:val="center"/>
          </w:tcPr>
          <w:p w14:paraId="02BB9424">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258B7B17">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0ED9C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4856" w:type="dxa"/>
            <w:tcBorders>
              <w:tl2br w:val="nil"/>
              <w:tr2bl w:val="nil"/>
            </w:tcBorders>
            <w:noWrap w:val="0"/>
            <w:vAlign w:val="center"/>
          </w:tcPr>
          <w:p w14:paraId="0EF649D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符合第二章“投标人须知”第3.3.1项规定</w:t>
            </w:r>
          </w:p>
        </w:tc>
      </w:tr>
      <w:tr w14:paraId="0532B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1877" w:type="dxa"/>
            <w:gridSpan w:val="2"/>
            <w:tcBorders>
              <w:tl2br w:val="nil"/>
              <w:tr2bl w:val="nil"/>
            </w:tcBorders>
            <w:noWrap w:val="0"/>
            <w:vAlign w:val="center"/>
          </w:tcPr>
          <w:p w14:paraId="265CD36A">
            <w:pPr>
              <w:spacing w:line="360" w:lineRule="auto"/>
              <w:jc w:val="center"/>
              <w:rPr>
                <w:rFonts w:hint="eastAsia" w:ascii="宋体" w:hAnsi="宋体" w:eastAsia="宋体" w:cs="宋体"/>
                <w:b/>
                <w:color w:val="000000"/>
                <w:sz w:val="24"/>
                <w:szCs w:val="24"/>
              </w:rPr>
            </w:pPr>
            <w:bookmarkStart w:id="517" w:name="_Toc343511732"/>
            <w:r>
              <w:rPr>
                <w:rFonts w:hint="eastAsia" w:ascii="宋体" w:hAnsi="宋体" w:eastAsia="宋体" w:cs="宋体"/>
                <w:b/>
                <w:color w:val="000000"/>
                <w:sz w:val="24"/>
                <w:szCs w:val="24"/>
              </w:rPr>
              <w:t>条款号</w:t>
            </w:r>
            <w:bookmarkEnd w:id="517"/>
          </w:p>
        </w:tc>
        <w:tc>
          <w:tcPr>
            <w:tcW w:w="3224" w:type="dxa"/>
            <w:tcBorders>
              <w:tl2br w:val="nil"/>
              <w:tr2bl w:val="nil"/>
            </w:tcBorders>
            <w:noWrap w:val="0"/>
            <w:vAlign w:val="center"/>
          </w:tcPr>
          <w:p w14:paraId="3F3FDDAF">
            <w:pPr>
              <w:spacing w:line="360" w:lineRule="auto"/>
              <w:jc w:val="center"/>
              <w:rPr>
                <w:rFonts w:hint="eastAsia" w:ascii="宋体" w:hAnsi="宋体" w:eastAsia="宋体" w:cs="宋体"/>
                <w:color w:val="000000"/>
                <w:sz w:val="24"/>
                <w:szCs w:val="24"/>
              </w:rPr>
            </w:pPr>
            <w:bookmarkStart w:id="518" w:name="_Toc343511733"/>
            <w:r>
              <w:rPr>
                <w:rFonts w:hint="eastAsia" w:ascii="宋体" w:hAnsi="宋体" w:eastAsia="宋体" w:cs="宋体"/>
                <w:color w:val="000000"/>
                <w:sz w:val="24"/>
                <w:szCs w:val="24"/>
              </w:rPr>
              <w:t>条款内容</w:t>
            </w:r>
            <w:bookmarkEnd w:id="518"/>
          </w:p>
        </w:tc>
        <w:tc>
          <w:tcPr>
            <w:tcW w:w="4856" w:type="dxa"/>
            <w:tcBorders>
              <w:tl2br w:val="nil"/>
              <w:tr2bl w:val="nil"/>
            </w:tcBorders>
            <w:noWrap w:val="0"/>
            <w:vAlign w:val="center"/>
          </w:tcPr>
          <w:p w14:paraId="0DBF4319">
            <w:pPr>
              <w:spacing w:line="360" w:lineRule="auto"/>
              <w:rPr>
                <w:rFonts w:hint="eastAsia" w:ascii="宋体" w:hAnsi="宋体" w:eastAsia="宋体" w:cs="宋体"/>
                <w:b/>
                <w:color w:val="000000"/>
                <w:sz w:val="24"/>
                <w:szCs w:val="24"/>
              </w:rPr>
            </w:pPr>
            <w:bookmarkStart w:id="519" w:name="_Toc343511734"/>
            <w:r>
              <w:rPr>
                <w:rFonts w:hint="eastAsia" w:ascii="宋体" w:hAnsi="宋体" w:eastAsia="宋体" w:cs="宋体"/>
                <w:b/>
                <w:color w:val="000000"/>
                <w:sz w:val="24"/>
                <w:szCs w:val="24"/>
              </w:rPr>
              <w:t>编列内容</w:t>
            </w:r>
            <w:bookmarkEnd w:id="519"/>
          </w:p>
        </w:tc>
      </w:tr>
      <w:tr w14:paraId="40C8C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3" w:hRule="atLeast"/>
        </w:trPr>
        <w:tc>
          <w:tcPr>
            <w:tcW w:w="1877" w:type="dxa"/>
            <w:gridSpan w:val="2"/>
            <w:tcBorders>
              <w:tl2br w:val="nil"/>
              <w:tr2bl w:val="nil"/>
            </w:tcBorders>
            <w:noWrap w:val="0"/>
            <w:vAlign w:val="center"/>
          </w:tcPr>
          <w:p w14:paraId="7165568A">
            <w:pPr>
              <w:spacing w:line="360" w:lineRule="auto"/>
              <w:jc w:val="center"/>
              <w:rPr>
                <w:rFonts w:hint="eastAsia" w:ascii="宋体" w:hAnsi="宋体" w:eastAsia="宋体" w:cs="宋体"/>
                <w:color w:val="000000"/>
                <w:sz w:val="24"/>
                <w:szCs w:val="24"/>
              </w:rPr>
            </w:pPr>
            <w:bookmarkStart w:id="520" w:name="_Toc343511735"/>
            <w:r>
              <w:rPr>
                <w:rFonts w:hint="eastAsia" w:ascii="宋体" w:hAnsi="宋体" w:eastAsia="宋体" w:cs="宋体"/>
                <w:color w:val="000000"/>
                <w:sz w:val="24"/>
                <w:szCs w:val="24"/>
              </w:rPr>
              <w:t>2.2.1</w:t>
            </w:r>
            <w:bookmarkEnd w:id="520"/>
          </w:p>
        </w:tc>
        <w:tc>
          <w:tcPr>
            <w:tcW w:w="3224" w:type="dxa"/>
            <w:tcBorders>
              <w:tl2br w:val="nil"/>
              <w:tr2bl w:val="nil"/>
            </w:tcBorders>
            <w:noWrap w:val="0"/>
            <w:vAlign w:val="center"/>
          </w:tcPr>
          <w:p w14:paraId="17984F80">
            <w:pPr>
              <w:spacing w:line="360" w:lineRule="auto"/>
              <w:jc w:val="center"/>
              <w:rPr>
                <w:rFonts w:hint="eastAsia" w:ascii="宋体" w:hAnsi="宋体" w:eastAsia="宋体" w:cs="宋体"/>
                <w:color w:val="000000"/>
                <w:sz w:val="24"/>
                <w:szCs w:val="24"/>
              </w:rPr>
            </w:pPr>
            <w:bookmarkStart w:id="521" w:name="_Toc343511736"/>
            <w:r>
              <w:rPr>
                <w:rFonts w:hint="eastAsia" w:ascii="宋体" w:hAnsi="宋体" w:eastAsia="宋体" w:cs="宋体"/>
                <w:color w:val="000000"/>
                <w:sz w:val="24"/>
                <w:szCs w:val="24"/>
              </w:rPr>
              <w:t>分值构成</w:t>
            </w:r>
            <w:bookmarkEnd w:id="521"/>
          </w:p>
          <w:p w14:paraId="16300A58">
            <w:pPr>
              <w:spacing w:line="360" w:lineRule="auto"/>
              <w:jc w:val="center"/>
              <w:rPr>
                <w:rFonts w:hint="eastAsia" w:ascii="宋体" w:hAnsi="宋体" w:eastAsia="宋体" w:cs="宋体"/>
                <w:color w:val="000000"/>
                <w:sz w:val="24"/>
                <w:szCs w:val="24"/>
              </w:rPr>
            </w:pPr>
            <w:bookmarkStart w:id="522" w:name="_Toc343511737"/>
            <w:r>
              <w:rPr>
                <w:rFonts w:hint="eastAsia" w:ascii="宋体" w:hAnsi="宋体" w:eastAsia="宋体" w:cs="宋体"/>
                <w:color w:val="000000"/>
                <w:sz w:val="24"/>
                <w:szCs w:val="24"/>
              </w:rPr>
              <w:t>(总分100分)</w:t>
            </w:r>
            <w:bookmarkEnd w:id="522"/>
          </w:p>
        </w:tc>
        <w:tc>
          <w:tcPr>
            <w:tcW w:w="4856" w:type="dxa"/>
            <w:tcBorders>
              <w:tl2br w:val="nil"/>
              <w:tr2bl w:val="nil"/>
            </w:tcBorders>
            <w:noWrap w:val="0"/>
            <w:vAlign w:val="center"/>
          </w:tcPr>
          <w:p w14:paraId="42A990E7">
            <w:pPr>
              <w:spacing w:line="360" w:lineRule="auto"/>
              <w:rPr>
                <w:rFonts w:hint="eastAsia" w:ascii="宋体" w:hAnsi="宋体" w:eastAsia="宋体" w:cs="宋体"/>
                <w:color w:val="000000"/>
                <w:sz w:val="24"/>
                <w:szCs w:val="24"/>
              </w:rPr>
            </w:pPr>
            <w:bookmarkStart w:id="523" w:name="_Toc343511738"/>
            <w:bookmarkStart w:id="524" w:name="_Toc343511739"/>
            <w:r>
              <w:rPr>
                <w:rFonts w:hint="eastAsia" w:ascii="宋体" w:hAnsi="宋体" w:eastAsia="宋体" w:cs="宋体"/>
                <w:color w:val="000000"/>
                <w:sz w:val="24"/>
                <w:szCs w:val="24"/>
              </w:rPr>
              <w:t>1.投标报价评审：</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p w14:paraId="4A0505D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2.技术部分评审：</w:t>
            </w:r>
            <w:r>
              <w:rPr>
                <w:rFonts w:hint="eastAsia" w:ascii="宋体" w:hAnsi="宋体" w:eastAsia="宋体" w:cs="宋体"/>
                <w:color w:val="000000"/>
                <w:sz w:val="24"/>
                <w:szCs w:val="24"/>
                <w:lang w:val="en-US" w:eastAsia="zh-CN"/>
              </w:rPr>
              <w:t>6</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分</w:t>
            </w:r>
          </w:p>
          <w:p w14:paraId="225995C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3.商务部分评审：</w:t>
            </w:r>
            <w:r>
              <w:rPr>
                <w:rFonts w:hint="eastAsia" w:ascii="宋体" w:hAnsi="宋体" w:eastAsia="宋体" w:cs="宋体"/>
                <w:color w:val="000000"/>
                <w:sz w:val="24"/>
                <w:szCs w:val="24"/>
                <w:lang w:val="en-US" w:eastAsia="zh-CN"/>
              </w:rPr>
              <w:t>2</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分</w:t>
            </w:r>
            <w:bookmarkEnd w:id="523"/>
            <w:bookmarkEnd w:id="524"/>
          </w:p>
        </w:tc>
      </w:tr>
    </w:tbl>
    <w:p w14:paraId="4CD56F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sz w:val="28"/>
          <w:szCs w:val="28"/>
        </w:rPr>
        <w:br w:type="page"/>
      </w:r>
      <w:bookmarkStart w:id="525" w:name="_Toc144974567"/>
      <w:bookmarkStart w:id="526" w:name="_Toc397585168"/>
      <w:bookmarkStart w:id="527" w:name="_Toc152045600"/>
      <w:bookmarkStart w:id="528" w:name="_Toc395711818"/>
      <w:bookmarkStart w:id="529" w:name="_Toc394320899"/>
      <w:bookmarkStart w:id="530" w:name="_Toc490171551"/>
      <w:bookmarkStart w:id="531" w:name="_Toc397410470"/>
      <w:bookmarkStart w:id="532" w:name="_Toc247085758"/>
      <w:bookmarkStart w:id="533" w:name="_Toc361406430"/>
      <w:bookmarkStart w:id="534" w:name="_Toc397585237"/>
      <w:bookmarkStart w:id="535" w:name="_Toc179632618"/>
      <w:bookmarkStart w:id="536" w:name="_Toc456197086"/>
      <w:bookmarkStart w:id="537" w:name="_Toc490171392"/>
      <w:bookmarkStart w:id="538" w:name="_Toc361406351"/>
      <w:bookmarkStart w:id="539" w:name="_Toc152042377"/>
      <w:bookmarkStart w:id="540" w:name="_Toc246996986"/>
      <w:bookmarkStart w:id="541" w:name="_Toc397410657"/>
      <w:bookmarkStart w:id="542" w:name="_Toc246996243"/>
      <w:bookmarkStart w:id="543" w:name="_Toc343511762"/>
      <w:r>
        <w:rPr>
          <w:rFonts w:hint="eastAsia" w:ascii="宋体" w:hAnsi="宋体" w:eastAsia="宋体" w:cs="宋体"/>
          <w:color w:val="000000"/>
          <w:sz w:val="24"/>
          <w:szCs w:val="24"/>
          <w:lang w:val="en-US" w:eastAsia="zh-CN"/>
        </w:rPr>
        <w:t>延安市公路建设工程管理处延安北高速出入口区域路网交通改善工程建设过程服务项目</w:t>
      </w:r>
      <w:r>
        <w:rPr>
          <w:rFonts w:hint="eastAsia" w:ascii="宋体" w:hAnsi="宋体" w:eastAsia="宋体" w:cs="宋体"/>
          <w:color w:val="000000"/>
          <w:sz w:val="24"/>
          <w:szCs w:val="24"/>
        </w:rPr>
        <w:t>招标文件由</w:t>
      </w:r>
      <w:r>
        <w:rPr>
          <w:rFonts w:hint="eastAsia" w:ascii="宋体" w:hAnsi="宋体" w:cs="宋体"/>
          <w:color w:val="000000"/>
          <w:sz w:val="24"/>
          <w:szCs w:val="24"/>
          <w:lang w:eastAsia="zh-CN"/>
        </w:rPr>
        <w:t>陕西新招项目管理有限公司</w:t>
      </w:r>
      <w:r>
        <w:rPr>
          <w:rFonts w:hint="eastAsia" w:ascii="宋体" w:hAnsi="宋体" w:eastAsia="宋体" w:cs="宋体"/>
          <w:color w:val="000000"/>
          <w:sz w:val="24"/>
          <w:szCs w:val="24"/>
        </w:rPr>
        <w:t>根据采购人提出的采购要求和商务要求编制，经采购人审定后发售。</w:t>
      </w:r>
    </w:p>
    <w:p w14:paraId="5DD1841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 评标方法</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45BDF0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44" w:name="_Toc343511763"/>
      <w:r>
        <w:rPr>
          <w:rFonts w:hint="eastAsia" w:ascii="宋体" w:hAnsi="宋体" w:eastAsia="宋体" w:cs="宋体"/>
          <w:color w:val="000000"/>
          <w:sz w:val="24"/>
          <w:szCs w:val="24"/>
        </w:rPr>
        <w:t>1.1评标原则</w:t>
      </w:r>
    </w:p>
    <w:p w14:paraId="193E751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（1）公平、公正、科学、择优；</w:t>
      </w:r>
    </w:p>
    <w:p w14:paraId="700532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合理、方案可行；</w:t>
      </w:r>
    </w:p>
    <w:p w14:paraId="1A02A04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（3）价格合理，且不低于成本价；</w:t>
      </w:r>
    </w:p>
    <w:p w14:paraId="10F32DB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（4）禁止不正当竞争。</w:t>
      </w:r>
    </w:p>
    <w:p w14:paraId="6EB2CA6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 本次评标采用综合评分法。</w:t>
      </w:r>
    </w:p>
    <w:p w14:paraId="13D461F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评标委员会对满足招标文件实质性要求的投标文件，按照本章第2.2款规定的评分标准进行打分。</w:t>
      </w:r>
      <w:bookmarkEnd w:id="544"/>
      <w:r>
        <w:rPr>
          <w:rFonts w:hint="eastAsia" w:ascii="宋体" w:hAnsi="宋体" w:eastAsia="宋体" w:cs="宋体"/>
          <w:color w:val="000000"/>
          <w:sz w:val="24"/>
          <w:szCs w:val="24"/>
        </w:rPr>
        <w:t>评标委员会对投标人在投标文件中提出的质量、</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、投标价格、技术部分、商务部分等能否最大限度地满足招标文件的要求进行评审、赋分，向采购人推荐前三名中标候选投标人，标明排列顺序。</w:t>
      </w:r>
    </w:p>
    <w:p w14:paraId="33600DD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1.3在评标过程中，投标人对采购人和评标委员会施加影响的任何行为，都将导致其投标资格被取消。</w:t>
      </w:r>
    </w:p>
    <w:p w14:paraId="6E2CB916">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45" w:name="_Toc397410471"/>
      <w:bookmarkStart w:id="546" w:name="_Toc152042378"/>
      <w:bookmarkStart w:id="547" w:name="_Toc361406352"/>
      <w:bookmarkStart w:id="548" w:name="_Toc361406431"/>
      <w:bookmarkStart w:id="549" w:name="_Toc152045601"/>
      <w:bookmarkStart w:id="550" w:name="_Toc397410658"/>
      <w:bookmarkStart w:id="551" w:name="_Toc490171552"/>
      <w:bookmarkStart w:id="552" w:name="_Toc490171393"/>
      <w:bookmarkStart w:id="553" w:name="_Toc246996244"/>
      <w:bookmarkStart w:id="554" w:name="_Toc395711819"/>
      <w:bookmarkStart w:id="555" w:name="_Toc246996987"/>
      <w:bookmarkStart w:id="556" w:name="_Toc397585169"/>
      <w:bookmarkStart w:id="557" w:name="_Toc456197087"/>
      <w:bookmarkStart w:id="558" w:name="_Toc397585238"/>
      <w:bookmarkStart w:id="559" w:name="_Toc179632619"/>
      <w:bookmarkStart w:id="560" w:name="_Toc394320900"/>
      <w:bookmarkStart w:id="561" w:name="_Toc144974568"/>
      <w:bookmarkStart w:id="562" w:name="_Toc247085759"/>
      <w:bookmarkStart w:id="563" w:name="_Toc343511764"/>
      <w:r>
        <w:rPr>
          <w:rFonts w:hint="eastAsia" w:ascii="宋体" w:hAnsi="宋体" w:eastAsia="宋体" w:cs="宋体"/>
          <w:b/>
          <w:color w:val="000000"/>
          <w:sz w:val="24"/>
          <w:szCs w:val="24"/>
        </w:rPr>
        <w:t>2. 评审标准</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499349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64" w:name="_Toc152042379"/>
      <w:bookmarkStart w:id="565" w:name="_Toc246996245"/>
      <w:bookmarkStart w:id="566" w:name="_Toc397410472"/>
      <w:bookmarkStart w:id="567" w:name="_Toc144974569"/>
      <w:bookmarkStart w:id="568" w:name="_Toc490171394"/>
      <w:bookmarkStart w:id="569" w:name="_Toc361406353"/>
      <w:bookmarkStart w:id="570" w:name="_Toc247085760"/>
      <w:bookmarkStart w:id="571" w:name="_Toc343511765"/>
      <w:bookmarkStart w:id="572" w:name="_Toc394320901"/>
      <w:bookmarkStart w:id="573" w:name="_Toc152045602"/>
      <w:bookmarkStart w:id="574" w:name="_Toc395711820"/>
      <w:bookmarkStart w:id="575" w:name="_Toc246996988"/>
      <w:bookmarkStart w:id="576" w:name="_Toc361406432"/>
      <w:bookmarkStart w:id="577" w:name="_Toc456197088"/>
      <w:bookmarkStart w:id="578" w:name="_Toc397585170"/>
      <w:bookmarkStart w:id="579" w:name="_Toc397410659"/>
      <w:bookmarkStart w:id="580" w:name="_Toc397585239"/>
      <w:bookmarkStart w:id="581" w:name="_Toc490171553"/>
      <w:bookmarkStart w:id="582" w:name="_Toc179632620"/>
      <w:r>
        <w:rPr>
          <w:rFonts w:hint="eastAsia" w:ascii="宋体" w:hAnsi="宋体" w:eastAsia="宋体" w:cs="宋体"/>
          <w:b/>
          <w:color w:val="000000"/>
          <w:sz w:val="24"/>
          <w:szCs w:val="24"/>
        </w:rPr>
        <w:t>2.1 初步评审标准</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AC268A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3" w:name="_Toc343511766"/>
      <w:r>
        <w:rPr>
          <w:rFonts w:hint="eastAsia" w:ascii="宋体" w:hAnsi="宋体" w:eastAsia="宋体" w:cs="宋体"/>
          <w:color w:val="000000"/>
          <w:sz w:val="24"/>
          <w:szCs w:val="24"/>
        </w:rPr>
        <w:t>2.1.1 形式评审标准：见评标办法前附表。</w:t>
      </w:r>
      <w:bookmarkEnd w:id="583"/>
    </w:p>
    <w:p w14:paraId="5FB676A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4" w:name="_Toc343511767"/>
      <w:r>
        <w:rPr>
          <w:rFonts w:hint="eastAsia" w:ascii="宋体" w:hAnsi="宋体" w:eastAsia="宋体" w:cs="宋体"/>
          <w:color w:val="000000"/>
          <w:sz w:val="24"/>
          <w:szCs w:val="24"/>
        </w:rPr>
        <w:t>2.1.2</w:t>
      </w:r>
      <w:bookmarkEnd w:id="584"/>
      <w:bookmarkStart w:id="585" w:name="_Toc343511768"/>
      <w:r>
        <w:rPr>
          <w:rFonts w:hint="eastAsia" w:ascii="宋体" w:hAnsi="宋体" w:eastAsia="宋体" w:cs="宋体"/>
          <w:color w:val="000000"/>
          <w:sz w:val="24"/>
          <w:szCs w:val="24"/>
        </w:rPr>
        <w:t>响应性评审标准：见评标办法前附表。</w:t>
      </w:r>
      <w:bookmarkEnd w:id="585"/>
    </w:p>
    <w:p w14:paraId="4AC1257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86" w:name="_Toc394320902"/>
      <w:bookmarkStart w:id="587" w:name="_Toc490171395"/>
      <w:bookmarkStart w:id="588" w:name="_Toc361406433"/>
      <w:bookmarkStart w:id="589" w:name="_Toc397585171"/>
      <w:bookmarkStart w:id="590" w:name="_Toc397585240"/>
      <w:bookmarkStart w:id="591" w:name="_Toc361406354"/>
      <w:bookmarkStart w:id="592" w:name="_Toc152045603"/>
      <w:bookmarkStart w:id="593" w:name="_Toc152042380"/>
      <w:bookmarkStart w:id="594" w:name="_Toc246996246"/>
      <w:bookmarkStart w:id="595" w:name="_Toc343511769"/>
      <w:bookmarkStart w:id="596" w:name="_Toc247085761"/>
      <w:bookmarkStart w:id="597" w:name="_Toc144974570"/>
      <w:bookmarkStart w:id="598" w:name="_Toc397410473"/>
      <w:bookmarkStart w:id="599" w:name="_Toc456197089"/>
      <w:bookmarkStart w:id="600" w:name="_Toc395711821"/>
      <w:bookmarkStart w:id="601" w:name="_Toc246996989"/>
      <w:bookmarkStart w:id="602" w:name="_Toc179632621"/>
      <w:bookmarkStart w:id="603" w:name="_Toc397410660"/>
      <w:bookmarkStart w:id="604" w:name="_Toc490171554"/>
      <w:r>
        <w:rPr>
          <w:rFonts w:hint="eastAsia" w:ascii="宋体" w:hAnsi="宋体" w:eastAsia="宋体" w:cs="宋体"/>
          <w:b/>
          <w:color w:val="000000"/>
          <w:sz w:val="24"/>
          <w:szCs w:val="24"/>
        </w:rPr>
        <w:t>2.2 分值构成与评分标准</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5CC361D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05" w:name="_Toc343511770"/>
      <w:r>
        <w:rPr>
          <w:rFonts w:hint="eastAsia" w:ascii="宋体" w:hAnsi="宋体" w:eastAsia="宋体" w:cs="宋体"/>
          <w:color w:val="000000"/>
          <w:sz w:val="24"/>
          <w:szCs w:val="24"/>
        </w:rPr>
        <w:t>2.2.1 分值构成</w:t>
      </w:r>
      <w:bookmarkEnd w:id="605"/>
      <w:r>
        <w:rPr>
          <w:rFonts w:hint="eastAsia" w:ascii="宋体" w:hAnsi="宋体" w:eastAsia="宋体" w:cs="宋体"/>
          <w:color w:val="000000"/>
          <w:sz w:val="24"/>
          <w:szCs w:val="24"/>
        </w:rPr>
        <w:t>：见评标办法前附表。</w:t>
      </w:r>
    </w:p>
    <w:p w14:paraId="122873D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06" w:name="_Toc490171396"/>
      <w:bookmarkStart w:id="607" w:name="_Toc397585241"/>
      <w:bookmarkStart w:id="608" w:name="_Toc179632622"/>
      <w:bookmarkStart w:id="609" w:name="_Toc397410474"/>
      <w:bookmarkStart w:id="610" w:name="_Toc152042381"/>
      <w:bookmarkStart w:id="611" w:name="_Toc394320903"/>
      <w:bookmarkStart w:id="612" w:name="_Toc144974571"/>
      <w:bookmarkStart w:id="613" w:name="_Toc247085762"/>
      <w:bookmarkStart w:id="614" w:name="_Toc152045604"/>
      <w:bookmarkStart w:id="615" w:name="_Toc361406355"/>
      <w:bookmarkStart w:id="616" w:name="_Toc490171555"/>
      <w:bookmarkStart w:id="617" w:name="_Toc456197090"/>
      <w:bookmarkStart w:id="618" w:name="_Toc397585172"/>
      <w:bookmarkStart w:id="619" w:name="_Toc397410661"/>
      <w:bookmarkStart w:id="620" w:name="_Toc246996990"/>
      <w:bookmarkStart w:id="621" w:name="_Toc395711822"/>
      <w:bookmarkStart w:id="622" w:name="_Toc343511776"/>
      <w:bookmarkStart w:id="623" w:name="_Toc246996247"/>
      <w:bookmarkStart w:id="624" w:name="_Toc361406434"/>
      <w:r>
        <w:rPr>
          <w:rFonts w:hint="eastAsia" w:ascii="宋体" w:hAnsi="宋体" w:eastAsia="宋体" w:cs="宋体"/>
          <w:b/>
          <w:color w:val="000000"/>
          <w:sz w:val="24"/>
          <w:szCs w:val="24"/>
        </w:rPr>
        <w:t>3. 评标程序</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27B6DC2C">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25" w:name="_Toc343511777"/>
      <w:bookmarkStart w:id="626" w:name="_Toc246996248"/>
      <w:bookmarkStart w:id="627" w:name="_Toc490171397"/>
      <w:bookmarkStart w:id="628" w:name="_Toc456197091"/>
      <w:bookmarkStart w:id="629" w:name="_Toc152042382"/>
      <w:bookmarkStart w:id="630" w:name="_Toc490171556"/>
      <w:bookmarkStart w:id="631" w:name="_Toc361406356"/>
      <w:bookmarkStart w:id="632" w:name="_Toc152045605"/>
      <w:bookmarkStart w:id="633" w:name="_Toc397410662"/>
      <w:bookmarkStart w:id="634" w:name="_Toc246996991"/>
      <w:bookmarkStart w:id="635" w:name="_Toc361406435"/>
      <w:bookmarkStart w:id="636" w:name="_Toc394320904"/>
      <w:bookmarkStart w:id="637" w:name="_Toc179632623"/>
      <w:bookmarkStart w:id="638" w:name="_Toc395711823"/>
      <w:bookmarkStart w:id="639" w:name="_Toc144974572"/>
      <w:bookmarkStart w:id="640" w:name="_Toc397585173"/>
      <w:bookmarkStart w:id="641" w:name="_Toc247085763"/>
      <w:bookmarkStart w:id="642" w:name="_Toc397410475"/>
      <w:bookmarkStart w:id="643" w:name="_Toc397585242"/>
      <w:r>
        <w:rPr>
          <w:rFonts w:hint="eastAsia" w:ascii="宋体" w:hAnsi="宋体" w:eastAsia="宋体" w:cs="宋体"/>
          <w:b/>
          <w:color w:val="000000"/>
          <w:sz w:val="24"/>
          <w:szCs w:val="24"/>
        </w:rPr>
        <w:t>3.1 初步评审</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4362840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4" w:name="_Toc343511778"/>
      <w:r>
        <w:rPr>
          <w:rFonts w:hint="eastAsia" w:ascii="宋体" w:hAnsi="宋体" w:eastAsia="宋体" w:cs="宋体"/>
          <w:color w:val="000000"/>
          <w:sz w:val="24"/>
          <w:szCs w:val="24"/>
        </w:rPr>
        <w:t>3.1.1评标委员会依据本章第2.1款规定的标准对投标文件进行初步评审。有一项不符合评审标准的，评标委员会应当否决其投标。</w:t>
      </w:r>
      <w:bookmarkEnd w:id="644"/>
    </w:p>
    <w:p w14:paraId="1ADE7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5" w:name="_Toc343511779"/>
      <w:r>
        <w:rPr>
          <w:rFonts w:hint="eastAsia" w:ascii="宋体" w:hAnsi="宋体" w:eastAsia="宋体" w:cs="宋体"/>
          <w:color w:val="000000"/>
          <w:sz w:val="24"/>
          <w:szCs w:val="24"/>
        </w:rPr>
        <w:t>3.1.2 投标人有以下情形之一的，评标委员会应当否决其投标：</w:t>
      </w:r>
      <w:bookmarkEnd w:id="645"/>
    </w:p>
    <w:p w14:paraId="764B7B3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6" w:name="_Toc343511780"/>
      <w:r>
        <w:rPr>
          <w:rFonts w:hint="eastAsia" w:ascii="宋体" w:hAnsi="宋体" w:eastAsia="宋体" w:cs="宋体"/>
          <w:color w:val="000000"/>
          <w:sz w:val="24"/>
          <w:szCs w:val="24"/>
        </w:rPr>
        <w:t>（1）第二章“投标人须知”第1.4.2项、第1.4.3项规定的任何一种情形的；</w:t>
      </w:r>
      <w:bookmarkEnd w:id="646"/>
    </w:p>
    <w:p w14:paraId="0234642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7" w:name="_Toc343511781"/>
      <w:r>
        <w:rPr>
          <w:rFonts w:hint="eastAsia" w:ascii="宋体" w:hAnsi="宋体" w:eastAsia="宋体" w:cs="宋体"/>
          <w:color w:val="000000"/>
          <w:sz w:val="24"/>
          <w:szCs w:val="24"/>
        </w:rPr>
        <w:t>（2）串通投标或弄虚作假或有其他违法行为的；</w:t>
      </w:r>
      <w:bookmarkEnd w:id="647"/>
    </w:p>
    <w:p w14:paraId="75BB814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8" w:name="_Toc343511784"/>
      <w:r>
        <w:rPr>
          <w:rFonts w:hint="eastAsia" w:ascii="宋体" w:hAnsi="宋体" w:eastAsia="宋体" w:cs="宋体"/>
          <w:color w:val="000000"/>
          <w:sz w:val="24"/>
          <w:szCs w:val="24"/>
        </w:rPr>
        <w:t>（3）不按评标委员会要求澄清、说明或补正的。</w:t>
      </w:r>
      <w:bookmarkEnd w:id="648"/>
    </w:p>
    <w:p w14:paraId="05C67F1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3.1.3评标过程如需询标须有监管人员在场，询标不得改变投标文件的实质性内容，不得扣留和传播任何涉及投标人商业秘密的询标资料，询标结果以投标人确认的文字资料为准。</w:t>
      </w:r>
    </w:p>
    <w:p w14:paraId="4C6F912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49" w:name="_Toc361406436"/>
      <w:bookmarkStart w:id="650" w:name="_Toc490171557"/>
      <w:bookmarkStart w:id="651" w:name="_Toc343511788"/>
      <w:bookmarkStart w:id="652" w:name="_Toc397585243"/>
      <w:bookmarkStart w:id="653" w:name="_Toc397585174"/>
      <w:bookmarkStart w:id="654" w:name="_Toc152042384"/>
      <w:bookmarkStart w:id="655" w:name="_Toc394320905"/>
      <w:bookmarkStart w:id="656" w:name="_Toc395711824"/>
      <w:bookmarkStart w:id="657" w:name="_Toc179632624"/>
      <w:bookmarkStart w:id="658" w:name="_Toc361406357"/>
      <w:bookmarkStart w:id="659" w:name="_Toc144974573"/>
      <w:bookmarkStart w:id="660" w:name="_Toc246996249"/>
      <w:bookmarkStart w:id="661" w:name="_Toc152045606"/>
      <w:bookmarkStart w:id="662" w:name="_Toc456197092"/>
      <w:bookmarkStart w:id="663" w:name="_Toc246996992"/>
      <w:bookmarkStart w:id="664" w:name="_Toc397410663"/>
      <w:bookmarkStart w:id="665" w:name="_Toc490171398"/>
      <w:bookmarkStart w:id="666" w:name="_Toc247085764"/>
      <w:bookmarkStart w:id="667" w:name="_Toc397410476"/>
      <w:r>
        <w:rPr>
          <w:rFonts w:hint="eastAsia" w:ascii="宋体" w:hAnsi="宋体" w:eastAsia="宋体" w:cs="宋体"/>
          <w:b/>
          <w:color w:val="000000"/>
          <w:sz w:val="24"/>
          <w:szCs w:val="24"/>
        </w:rPr>
        <w:t>3.2 详细评审</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5BF899E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68" w:name="_Toc343511789"/>
      <w:r>
        <w:rPr>
          <w:rFonts w:hint="eastAsia" w:ascii="宋体" w:hAnsi="宋体" w:eastAsia="宋体" w:cs="宋体"/>
          <w:b/>
          <w:color w:val="000000"/>
          <w:sz w:val="24"/>
          <w:szCs w:val="24"/>
        </w:rPr>
        <w:t>3.2.1评审内容及步骤</w:t>
      </w:r>
      <w:bookmarkEnd w:id="668"/>
    </w:p>
    <w:p w14:paraId="6906A0E3">
      <w:pPr>
        <w:pStyle w:val="13"/>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69" w:name="_Toc343511790"/>
      <w:r>
        <w:rPr>
          <w:rFonts w:hint="eastAsia" w:ascii="宋体" w:hAnsi="宋体" w:eastAsia="宋体" w:cs="宋体"/>
          <w:color w:val="000000"/>
          <w:sz w:val="24"/>
          <w:szCs w:val="24"/>
        </w:rPr>
        <w:t>评标前</w:t>
      </w:r>
      <w:r>
        <w:rPr>
          <w:rFonts w:hint="eastAsia" w:cs="宋体"/>
          <w:color w:val="000000"/>
          <w:sz w:val="24"/>
          <w:szCs w:val="24"/>
          <w:lang w:val="en-US" w:eastAsia="zh-CN"/>
        </w:rPr>
        <w:t>采购人</w:t>
      </w:r>
      <w:r>
        <w:rPr>
          <w:rFonts w:hint="eastAsia" w:ascii="宋体" w:hAnsi="宋体" w:eastAsia="宋体" w:cs="宋体"/>
          <w:color w:val="000000"/>
          <w:sz w:val="24"/>
          <w:szCs w:val="24"/>
        </w:rPr>
        <w:t>需先对投标人投标文件中的资格证明文件进行资格</w:t>
      </w:r>
      <w:r>
        <w:rPr>
          <w:rFonts w:hint="eastAsia" w:cs="宋体"/>
          <w:color w:val="000000"/>
          <w:sz w:val="24"/>
          <w:szCs w:val="24"/>
          <w:lang w:val="en-US" w:eastAsia="zh-CN"/>
        </w:rPr>
        <w:t>性</w:t>
      </w:r>
      <w:r>
        <w:rPr>
          <w:rFonts w:hint="eastAsia" w:ascii="宋体" w:hAnsi="宋体" w:eastAsia="宋体" w:cs="宋体"/>
          <w:color w:val="000000"/>
          <w:sz w:val="24"/>
          <w:szCs w:val="24"/>
        </w:rPr>
        <w:t>审查，然后评标委员会再对通过资格审查复核和符合性评审的投标人进行技术、商务部分的进行量化打分。</w:t>
      </w:r>
      <w:bookmarkEnd w:id="669"/>
    </w:p>
    <w:p w14:paraId="2337F0E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70" w:name="_Toc343511791"/>
      <w:r>
        <w:rPr>
          <w:rFonts w:hint="eastAsia" w:ascii="宋体" w:hAnsi="宋体" w:eastAsia="宋体" w:cs="宋体"/>
          <w:b/>
          <w:color w:val="000000"/>
          <w:sz w:val="24"/>
          <w:szCs w:val="24"/>
        </w:rPr>
        <w:t>3.2.2技术部分、商务部分的评审：</w:t>
      </w:r>
      <w:bookmarkEnd w:id="670"/>
    </w:p>
    <w:p w14:paraId="436F252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71" w:name="_Toc343511792"/>
      <w:r>
        <w:rPr>
          <w:rFonts w:hint="eastAsia" w:ascii="宋体" w:hAnsi="宋体" w:eastAsia="宋体" w:cs="宋体"/>
          <w:color w:val="000000"/>
          <w:sz w:val="24"/>
          <w:szCs w:val="24"/>
        </w:rPr>
        <w:t>评标委员会依据投标人提交的投标文件，对投标文件的技术部分和商务部分进行详细评审</w:t>
      </w:r>
      <w:bookmarkEnd w:id="671"/>
      <w:bookmarkStart w:id="672" w:name="_Toc343511793"/>
      <w:r>
        <w:rPr>
          <w:rFonts w:hint="eastAsia" w:ascii="宋体" w:hAnsi="宋体" w:eastAsia="宋体" w:cs="宋体"/>
          <w:color w:val="000000"/>
          <w:sz w:val="24"/>
          <w:szCs w:val="24"/>
        </w:rPr>
        <w:t>。与项目相关的一些要求任何一项有严重错误或漏项者，则视为不合格，不再参与评标，其他缺项漏项者得0分。</w:t>
      </w:r>
    </w:p>
    <w:p w14:paraId="43BD0C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评分细则如下：</w:t>
      </w:r>
    </w:p>
    <w:p w14:paraId="65198FF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评价和比较以投标文件为依据，从“投标价格”、“技术部分评审”、“商务部分评审”三个方面进行评审并按照百分制进行赋分。</w:t>
      </w:r>
    </w:p>
    <w:p w14:paraId="2791A15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p>
    <w:p w14:paraId="6F0756B7">
      <w:pPr>
        <w:rPr>
          <w:rFonts w:hint="eastAsia"/>
        </w:rPr>
      </w:pPr>
    </w:p>
    <w:bookmarkEnd w:id="672"/>
    <w:tbl>
      <w:tblPr>
        <w:tblStyle w:val="35"/>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037"/>
        <w:gridCol w:w="2332"/>
        <w:gridCol w:w="4501"/>
      </w:tblGrid>
      <w:tr w14:paraId="567D8F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1" w:hRule="atLeast"/>
          <w:jc w:val="center"/>
        </w:trPr>
        <w:tc>
          <w:tcPr>
            <w:tcW w:w="2037" w:type="dxa"/>
            <w:tcBorders>
              <w:bottom w:val="single" w:color="auto" w:sz="4" w:space="0"/>
              <w:right w:val="single" w:color="auto" w:sz="4" w:space="0"/>
            </w:tcBorders>
            <w:noWrap w:val="0"/>
            <w:vAlign w:val="center"/>
          </w:tcPr>
          <w:p w14:paraId="523C7D42">
            <w:pPr>
              <w:spacing w:line="480" w:lineRule="auto"/>
              <w:ind w:firstLine="420"/>
              <w:jc w:val="center"/>
              <w:rPr>
                <w:rFonts w:hint="eastAsia" w:ascii="宋体" w:hAnsi="宋体" w:eastAsia="宋体" w:cs="宋体"/>
                <w:color w:val="auto"/>
                <w:sz w:val="24"/>
                <w:szCs w:val="24"/>
              </w:rPr>
            </w:pPr>
            <w:bookmarkStart w:id="673" w:name="_Toc343511818"/>
            <w:r>
              <w:rPr>
                <w:rFonts w:hint="eastAsia" w:ascii="宋体" w:hAnsi="宋体" w:eastAsia="宋体" w:cs="宋体"/>
                <w:color w:val="auto"/>
                <w:sz w:val="24"/>
                <w:szCs w:val="24"/>
              </w:rPr>
              <w:t>类别</w:t>
            </w:r>
          </w:p>
        </w:tc>
        <w:tc>
          <w:tcPr>
            <w:tcW w:w="2332" w:type="dxa"/>
            <w:tcBorders>
              <w:left w:val="nil"/>
              <w:bottom w:val="single" w:color="auto" w:sz="4" w:space="0"/>
              <w:right w:val="single" w:color="auto" w:sz="4" w:space="0"/>
            </w:tcBorders>
            <w:noWrap w:val="0"/>
            <w:vAlign w:val="center"/>
          </w:tcPr>
          <w:p w14:paraId="3FF3044C">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评审因素及分值</w:t>
            </w:r>
          </w:p>
        </w:tc>
        <w:tc>
          <w:tcPr>
            <w:tcW w:w="4501" w:type="dxa"/>
            <w:tcBorders>
              <w:left w:val="nil"/>
              <w:bottom w:val="single" w:color="auto" w:sz="4" w:space="0"/>
            </w:tcBorders>
            <w:noWrap w:val="0"/>
            <w:vAlign w:val="center"/>
          </w:tcPr>
          <w:p w14:paraId="676A4194">
            <w:pPr>
              <w:spacing w:line="480" w:lineRule="auto"/>
              <w:ind w:firstLine="42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评分细则</w:t>
            </w:r>
          </w:p>
        </w:tc>
      </w:tr>
      <w:tr w14:paraId="555312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41" w:hRule="atLeast"/>
          <w:jc w:val="center"/>
        </w:trPr>
        <w:tc>
          <w:tcPr>
            <w:tcW w:w="2037" w:type="dxa"/>
            <w:vMerge w:val="restart"/>
            <w:tcBorders>
              <w:right w:val="single" w:color="auto" w:sz="4" w:space="0"/>
            </w:tcBorders>
            <w:noWrap w:val="0"/>
            <w:vAlign w:val="center"/>
          </w:tcPr>
          <w:p w14:paraId="256D89A7">
            <w:pPr>
              <w:numPr>
                <w:ilvl w:val="0"/>
                <w:numId w:val="0"/>
              </w:num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一、技术投标方案</w:t>
            </w:r>
          </w:p>
          <w:p w14:paraId="7A982679">
            <w:pPr>
              <w:numPr>
                <w:ilvl w:val="0"/>
                <w:numId w:val="0"/>
              </w:num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63</w:t>
            </w:r>
            <w:r>
              <w:rPr>
                <w:rFonts w:hint="eastAsia" w:ascii="宋体" w:hAnsi="宋体" w:eastAsia="宋体" w:cs="宋体"/>
                <w:color w:val="auto"/>
                <w:sz w:val="24"/>
                <w:szCs w:val="24"/>
              </w:rPr>
              <w:t>分）</w:t>
            </w:r>
          </w:p>
        </w:tc>
        <w:tc>
          <w:tcPr>
            <w:tcW w:w="2332" w:type="dxa"/>
            <w:tcBorders>
              <w:top w:val="single" w:color="auto" w:sz="4" w:space="0"/>
              <w:left w:val="nil"/>
              <w:right w:val="single" w:color="auto" w:sz="4" w:space="0"/>
            </w:tcBorders>
            <w:noWrap w:val="0"/>
            <w:vAlign w:val="center"/>
          </w:tcPr>
          <w:p w14:paraId="2E700023">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服务方案</w:t>
            </w:r>
          </w:p>
          <w:p w14:paraId="6E331A6D">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7CC9699B">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一、评审内容</w:t>
            </w:r>
          </w:p>
          <w:p w14:paraId="7E239981">
            <w:pPr>
              <w:spacing w:line="480" w:lineRule="auto"/>
              <w:ind w:firstLine="480" w:firstLineChars="200"/>
              <w:jc w:val="left"/>
              <w:rPr>
                <w:rFonts w:ascii="宋体" w:hAnsi="宋体" w:cs="宋体"/>
                <w:b/>
                <w:bCs/>
                <w:color w:val="000000"/>
                <w:sz w:val="24"/>
                <w:szCs w:val="24"/>
              </w:rPr>
            </w:pPr>
            <w:r>
              <w:rPr>
                <w:rFonts w:hint="eastAsia" w:ascii="宋体" w:hAnsi="宋体" w:cs="宋体"/>
                <w:b w:val="0"/>
                <w:bCs w:val="0"/>
                <w:color w:val="000000"/>
                <w:sz w:val="24"/>
                <w:szCs w:val="24"/>
                <w:lang w:val="en-US" w:eastAsia="zh-CN"/>
              </w:rPr>
              <w:t>投标人根据本项目特点提出服务方案，内容包括：①总体服务实施方案②</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方案内容</w:t>
            </w:r>
            <w:r>
              <w:rPr>
                <w:rFonts w:hint="eastAsia" w:ascii="宋体" w:hAnsi="宋体" w:cs="宋体"/>
                <w:b w:val="0"/>
                <w:bCs w:val="0"/>
                <w:color w:val="000000"/>
                <w:sz w:val="24"/>
                <w:szCs w:val="24"/>
                <w:lang w:val="en-US" w:eastAsia="zh-CN"/>
              </w:rPr>
              <w:t>③技术方案</w:t>
            </w:r>
            <w:r>
              <w:rPr>
                <w:rFonts w:hint="eastAsia" w:ascii="宋体" w:hAnsi="宋体" w:eastAsia="宋体" w:cs="宋体"/>
                <w:b w:val="0"/>
                <w:bCs w:val="0"/>
                <w:color w:val="000000"/>
                <w:sz w:val="24"/>
                <w:szCs w:val="24"/>
                <w:lang w:val="en-US" w:eastAsia="zh-CN"/>
              </w:rPr>
              <w:t>④</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理念</w:t>
            </w:r>
            <w:r>
              <w:rPr>
                <w:rFonts w:hint="eastAsia" w:ascii="宋体" w:hAnsi="宋体" w:eastAsia="宋体" w:cs="宋体"/>
                <w:b w:val="0"/>
                <w:bCs w:val="0"/>
                <w:color w:val="000000"/>
                <w:sz w:val="24"/>
                <w:szCs w:val="24"/>
                <w:lang w:val="en-US" w:eastAsia="zh-CN"/>
              </w:rPr>
              <w:t>⑤</w:t>
            </w:r>
            <w:r>
              <w:rPr>
                <w:rFonts w:hint="eastAsia" w:ascii="宋体" w:hAnsi="宋体" w:cs="宋体"/>
                <w:b w:val="0"/>
                <w:bCs w:val="0"/>
                <w:color w:val="000000"/>
                <w:sz w:val="24"/>
                <w:szCs w:val="24"/>
                <w:lang w:val="en-US" w:eastAsia="zh-CN"/>
              </w:rPr>
              <w:t>关键点、重难点分析。</w:t>
            </w:r>
            <w:r>
              <w:rPr>
                <w:rFonts w:hint="eastAsia" w:ascii="宋体" w:hAnsi="宋体" w:cs="宋体"/>
                <w:b/>
                <w:bCs/>
                <w:color w:val="000000"/>
                <w:sz w:val="24"/>
                <w:szCs w:val="24"/>
              </w:rPr>
              <w:br w:type="textWrapping"/>
            </w:r>
            <w:r>
              <w:rPr>
                <w:rFonts w:hint="eastAsia" w:ascii="宋体" w:hAnsi="宋体" w:cs="宋体"/>
                <w:b/>
                <w:bCs/>
                <w:color w:val="000000"/>
                <w:sz w:val="24"/>
                <w:szCs w:val="24"/>
              </w:rPr>
              <w:t>二、评审标准</w:t>
            </w:r>
          </w:p>
          <w:p w14:paraId="3190213E">
            <w:pPr>
              <w:spacing w:line="480" w:lineRule="auto"/>
              <w:ind w:firstLine="480" w:firstLineChars="200"/>
              <w:jc w:val="left"/>
              <w:rPr>
                <w:rFonts w:hint="eastAsia" w:ascii="宋体" w:hAnsi="宋体" w:cs="宋体"/>
                <w:color w:val="000000"/>
                <w:sz w:val="24"/>
                <w:szCs w:val="24"/>
                <w:lang w:val="zh-CN" w:eastAsia="zh-CN"/>
              </w:rPr>
            </w:pPr>
            <w:r>
              <w:rPr>
                <w:rFonts w:hint="eastAsia" w:ascii="宋体" w:hAnsi="宋体" w:cs="宋体"/>
                <w:color w:val="000000"/>
                <w:sz w:val="24"/>
                <w:szCs w:val="24"/>
              </w:rPr>
              <w:t>1.完整性：切合本项目实际情况，方案内容全面，有详细描述及其他内容的补充；</w:t>
            </w:r>
            <w:r>
              <w:rPr>
                <w:rFonts w:hint="eastAsia" w:ascii="宋体" w:hAnsi="宋体" w:cs="宋体"/>
                <w:color w:val="000000"/>
                <w:sz w:val="24"/>
                <w:szCs w:val="24"/>
              </w:rPr>
              <w:br w:type="textWrapping"/>
            </w:r>
            <w:r>
              <w:rPr>
                <w:rFonts w:hint="eastAsia" w:ascii="宋体" w:hAnsi="宋体" w:cs="宋体"/>
                <w:color w:val="000000"/>
                <w:sz w:val="24"/>
                <w:szCs w:val="24"/>
              </w:rPr>
              <w:t xml:space="preserve">    2.合理性：方案分析符合项目实际特点，合理、恰当；</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3</w:t>
            </w:r>
            <w:r>
              <w:rPr>
                <w:rFonts w:hint="eastAsia" w:ascii="宋体" w:hAnsi="宋体" w:cs="宋体"/>
                <w:color w:val="000000"/>
                <w:sz w:val="24"/>
                <w:szCs w:val="24"/>
                <w:lang w:val="zh-CN" w:eastAsia="zh-CN"/>
              </w:rPr>
              <w:t>.科学性：切合本项目实际情况，叙述清楚，符合客观实际情况；</w:t>
            </w:r>
          </w:p>
          <w:p w14:paraId="626BB9A0">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30</w:t>
            </w:r>
            <w:r>
              <w:rPr>
                <w:rFonts w:hint="eastAsia" w:ascii="宋体" w:hAnsi="宋体" w:cs="宋体"/>
                <w:b/>
                <w:bCs/>
                <w:color w:val="000000"/>
                <w:sz w:val="24"/>
                <w:szCs w:val="24"/>
              </w:rPr>
              <w:t>分）</w:t>
            </w:r>
          </w:p>
          <w:p w14:paraId="02CCAC98">
            <w:pPr>
              <w:spacing w:line="480" w:lineRule="auto"/>
              <w:ind w:firstLine="480" w:firstLineChars="200"/>
              <w:jc w:val="left"/>
              <w:rPr>
                <w:rFonts w:ascii="宋体" w:hAnsi="宋体" w:cs="宋体"/>
                <w:color w:val="000000"/>
                <w:sz w:val="24"/>
                <w:szCs w:val="24"/>
              </w:rPr>
            </w:pPr>
            <w:r>
              <w:rPr>
                <w:rFonts w:hint="eastAsia" w:ascii="宋体" w:hAnsi="宋体" w:cs="宋体"/>
                <w:sz w:val="24"/>
                <w:lang w:val="zh-CN" w:eastAsia="zh-CN"/>
              </w:rPr>
              <w:t>①</w:t>
            </w:r>
            <w:r>
              <w:rPr>
                <w:rFonts w:hint="eastAsia" w:ascii="宋体" w:hAnsi="宋体" w:cs="宋体"/>
                <w:b w:val="0"/>
                <w:bCs w:val="0"/>
                <w:color w:val="000000"/>
                <w:sz w:val="24"/>
                <w:szCs w:val="24"/>
                <w:lang w:val="en-US" w:eastAsia="zh-CN"/>
              </w:rPr>
              <w:t>总体服务实施方案</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4A9D6A97">
            <w:pPr>
              <w:spacing w:line="48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②</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内容</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5F082C73">
            <w:pPr>
              <w:spacing w:line="480" w:lineRule="auto"/>
              <w:ind w:firstLine="480" w:firstLineChars="200"/>
              <w:jc w:val="left"/>
              <w:rPr>
                <w:rFonts w:hint="eastAsia" w:ascii="宋体" w:hAnsi="宋体" w:cs="宋体"/>
                <w:color w:val="000000"/>
                <w:sz w:val="24"/>
                <w:szCs w:val="24"/>
              </w:rPr>
            </w:pPr>
            <w:r>
              <w:rPr>
                <w:rFonts w:hint="eastAsia" w:ascii="宋体" w:hAnsi="宋体" w:cs="宋体"/>
                <w:b w:val="0"/>
                <w:bCs w:val="0"/>
                <w:color w:val="000000"/>
                <w:sz w:val="24"/>
                <w:szCs w:val="24"/>
                <w:lang w:val="en-US" w:eastAsia="zh-CN"/>
              </w:rPr>
              <w:t>③技术方案</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793CA616">
            <w:pPr>
              <w:spacing w:line="48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val="en-US" w:eastAsia="zh-CN"/>
              </w:rPr>
              <w:t>④</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理念</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4968B46A">
            <w:pPr>
              <w:spacing w:line="360" w:lineRule="auto"/>
              <w:jc w:val="left"/>
              <w:rPr>
                <w:rFonts w:hint="eastAsia" w:ascii="宋体" w:hAnsi="宋体" w:eastAsia="宋体" w:cs="宋体"/>
                <w:color w:val="auto"/>
                <w:sz w:val="24"/>
                <w:szCs w:val="24"/>
                <w:lang w:val="en-US" w:eastAsia="zh-CN"/>
              </w:rPr>
            </w:pPr>
            <w:r>
              <w:rPr>
                <w:rFonts w:hint="eastAsia" w:ascii="宋体" w:hAnsi="宋体" w:cs="宋体"/>
                <w:color w:val="000000"/>
                <w:sz w:val="24"/>
                <w:szCs w:val="24"/>
                <w:lang w:val="en-US" w:eastAsia="zh-CN"/>
              </w:rPr>
              <w:t>⑤关键点、重难点分析</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62146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1614B416">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346BDCCF">
            <w:pPr>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进度安排及保障措施</w:t>
            </w: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6344BA6A">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一、评审内容</w:t>
            </w:r>
          </w:p>
          <w:p w14:paraId="261C5BED">
            <w:pPr>
              <w:spacing w:line="480" w:lineRule="auto"/>
              <w:ind w:firstLine="480" w:firstLineChars="200"/>
              <w:jc w:val="lef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投标人根据本项目特点提出</w:t>
            </w:r>
            <w:r>
              <w:rPr>
                <w:rFonts w:hint="eastAsia" w:ascii="宋体" w:hAnsi="宋体" w:eastAsia="宋体" w:cs="宋体"/>
                <w:b w:val="0"/>
                <w:bCs/>
                <w:color w:val="auto"/>
                <w:kern w:val="0"/>
                <w:sz w:val="24"/>
                <w:szCs w:val="24"/>
                <w:highlight w:val="none"/>
                <w:lang w:val="zh-CN" w:eastAsia="zh-CN" w:bidi="ar-SA"/>
              </w:rPr>
              <w:t>进度计划安排合理，进度</w:t>
            </w:r>
            <w:r>
              <w:rPr>
                <w:rFonts w:hint="eastAsia" w:ascii="宋体" w:hAnsi="宋体" w:eastAsia="宋体" w:cs="宋体"/>
                <w:b w:val="0"/>
                <w:bCs/>
                <w:color w:val="auto"/>
                <w:kern w:val="0"/>
                <w:sz w:val="24"/>
                <w:szCs w:val="24"/>
                <w:highlight w:val="none"/>
                <w:lang w:val="en-US" w:eastAsia="zh-CN" w:bidi="ar-SA"/>
              </w:rPr>
              <w:t>及保障</w:t>
            </w:r>
            <w:r>
              <w:rPr>
                <w:rFonts w:hint="eastAsia" w:ascii="宋体" w:hAnsi="宋体" w:eastAsia="宋体" w:cs="宋体"/>
                <w:b w:val="0"/>
                <w:bCs/>
                <w:color w:val="auto"/>
                <w:kern w:val="0"/>
                <w:sz w:val="24"/>
                <w:szCs w:val="24"/>
                <w:highlight w:val="none"/>
                <w:lang w:val="zh-CN" w:eastAsia="zh-CN" w:bidi="ar-SA"/>
              </w:rPr>
              <w:t>措施，</w:t>
            </w:r>
            <w:r>
              <w:rPr>
                <w:rFonts w:hint="eastAsia" w:ascii="宋体" w:hAnsi="宋体" w:cs="宋体"/>
                <w:b w:val="0"/>
                <w:bCs w:val="0"/>
                <w:color w:val="000000"/>
                <w:sz w:val="24"/>
                <w:szCs w:val="24"/>
                <w:lang w:val="en-US" w:eastAsia="zh-CN"/>
              </w:rPr>
              <w:t>内容包括：</w:t>
            </w:r>
            <w:r>
              <w:rPr>
                <w:rFonts w:hint="eastAsia" w:ascii="宋体" w:hAnsi="宋体" w:eastAsia="宋体" w:cs="宋体"/>
                <w:b w:val="0"/>
                <w:bCs/>
                <w:color w:val="auto"/>
                <w:kern w:val="0"/>
                <w:sz w:val="24"/>
                <w:szCs w:val="24"/>
                <w:highlight w:val="none"/>
                <w:lang w:val="en-US" w:eastAsia="zh-CN" w:bidi="ar-SA"/>
              </w:rPr>
              <w:t>包括①进度安排和保障措施②质量保障和检查措施③保密制度和措施④安全保障措施及风险防控措施；</w:t>
            </w:r>
          </w:p>
          <w:p w14:paraId="3E89C0F2">
            <w:pPr>
              <w:spacing w:line="480" w:lineRule="auto"/>
              <w:jc w:val="left"/>
              <w:rPr>
                <w:rFonts w:hint="eastAsia" w:ascii="宋体" w:hAnsi="宋体" w:cs="宋体"/>
                <w:color w:val="000000"/>
                <w:sz w:val="24"/>
                <w:szCs w:val="24"/>
                <w:lang w:val="zh-CN" w:eastAsia="zh-CN"/>
              </w:rPr>
            </w:pPr>
            <w:r>
              <w:rPr>
                <w:rFonts w:hint="eastAsia" w:ascii="宋体" w:hAnsi="宋体" w:cs="宋体"/>
                <w:b/>
                <w:bCs/>
                <w:color w:val="000000"/>
                <w:sz w:val="24"/>
                <w:szCs w:val="24"/>
              </w:rPr>
              <w:t>二、评审标准</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1</w:t>
            </w:r>
            <w:r>
              <w:rPr>
                <w:rFonts w:hint="eastAsia" w:ascii="宋体" w:hAnsi="宋体" w:cs="宋体"/>
                <w:color w:val="000000"/>
                <w:sz w:val="24"/>
                <w:szCs w:val="24"/>
              </w:rPr>
              <w:t>.合理性：方案分析符合项目实际特点，合理、恰当；</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2</w:t>
            </w:r>
            <w:r>
              <w:rPr>
                <w:rFonts w:hint="eastAsia" w:ascii="宋体" w:hAnsi="宋体" w:cs="宋体"/>
                <w:color w:val="000000"/>
                <w:sz w:val="24"/>
                <w:szCs w:val="24"/>
                <w:lang w:val="zh-CN" w:eastAsia="zh-CN"/>
              </w:rPr>
              <w:t>.针对性：切合本项目实际情况，根据招标文件要求提出针对本项目实际操作性强的措施方案。</w:t>
            </w:r>
          </w:p>
          <w:p w14:paraId="3D923C45">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rPr>
              <w:t>分）</w:t>
            </w:r>
          </w:p>
          <w:p w14:paraId="112B8ECC">
            <w:pPr>
              <w:spacing w:line="480" w:lineRule="auto"/>
              <w:ind w:firstLine="480" w:firstLineChars="200"/>
              <w:jc w:val="left"/>
              <w:rPr>
                <w:rFonts w:ascii="宋体" w:hAnsi="宋体" w:cs="宋体"/>
                <w:color w:val="000000"/>
                <w:sz w:val="24"/>
                <w:szCs w:val="24"/>
              </w:rPr>
            </w:pPr>
            <w:r>
              <w:rPr>
                <w:rFonts w:hint="eastAsia" w:ascii="宋体" w:hAnsi="宋体" w:cs="宋体"/>
                <w:sz w:val="24"/>
                <w:lang w:val="zh-CN" w:eastAsia="zh-CN"/>
              </w:rPr>
              <w:t>①进度安排和保障措施</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4A797EAB">
            <w:pPr>
              <w:spacing w:line="48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②</w:t>
            </w:r>
            <w:r>
              <w:rPr>
                <w:rFonts w:hint="eastAsia" w:ascii="宋体" w:hAnsi="宋体" w:eastAsia="宋体" w:cs="宋体"/>
                <w:b w:val="0"/>
                <w:bCs/>
                <w:color w:val="auto"/>
                <w:kern w:val="0"/>
                <w:sz w:val="24"/>
                <w:szCs w:val="24"/>
                <w:highlight w:val="none"/>
                <w:lang w:val="en-US" w:eastAsia="zh-CN" w:bidi="ar-SA"/>
              </w:rPr>
              <w:t>质量保障和检查措施</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554A7F7E">
            <w:pPr>
              <w:keepNext w:val="0"/>
              <w:keepLines w:val="0"/>
              <w:pageBreakBefore w:val="0"/>
              <w:numPr>
                <w:ilvl w:val="0"/>
                <w:numId w:val="0"/>
              </w:numPr>
              <w:kinsoku/>
              <w:wordWrap/>
              <w:overflowPunct/>
              <w:topLinePunct w:val="0"/>
              <w:bidi w:val="0"/>
              <w:adjustRightInd/>
              <w:snapToGrid/>
              <w:spacing w:line="480" w:lineRule="auto"/>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③保密制度和措施</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40459BAF">
            <w:pPr>
              <w:spacing w:line="360" w:lineRule="auto"/>
              <w:jc w:val="left"/>
              <w:rPr>
                <w:rFonts w:hint="eastAsia" w:ascii="宋体" w:hAnsi="宋体" w:eastAsia="宋体" w:cs="Times New Roman"/>
                <w:color w:val="auto"/>
                <w:kern w:val="2"/>
                <w:sz w:val="30"/>
                <w:szCs w:val="20"/>
                <w:lang w:val="en-US" w:eastAsia="zh-CN" w:bidi="ar-SA"/>
              </w:rPr>
            </w:pPr>
            <w:r>
              <w:rPr>
                <w:rFonts w:hint="eastAsia" w:ascii="宋体" w:hAnsi="宋体" w:eastAsia="宋体" w:cs="宋体"/>
                <w:color w:val="000000"/>
                <w:sz w:val="24"/>
                <w:szCs w:val="24"/>
                <w:lang w:val="en-US" w:eastAsia="zh-CN"/>
              </w:rPr>
              <w:t>④安全保障措施及风险防控措施：</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29E8D4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73CF9C06">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384C6FC4">
            <w:pPr>
              <w:spacing w:line="48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应急预案</w:t>
            </w:r>
          </w:p>
          <w:p w14:paraId="271410EB">
            <w:pPr>
              <w:spacing w:line="480" w:lineRule="auto"/>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（满分6分）</w:t>
            </w:r>
          </w:p>
        </w:tc>
        <w:tc>
          <w:tcPr>
            <w:tcW w:w="4501" w:type="dxa"/>
            <w:tcBorders>
              <w:top w:val="single" w:color="auto" w:sz="4" w:space="0"/>
              <w:left w:val="nil"/>
              <w:bottom w:val="single" w:color="auto" w:sz="4" w:space="0"/>
            </w:tcBorders>
            <w:noWrap w:val="0"/>
            <w:vAlign w:val="center"/>
          </w:tcPr>
          <w:p w14:paraId="4C4A6CE4">
            <w:pPr>
              <w:keepNext w:val="0"/>
              <w:keepLines w:val="0"/>
              <w:pageBreakBefore w:val="0"/>
              <w:widowControl w:val="0"/>
              <w:numPr>
                <w:ilvl w:val="0"/>
                <w:numId w:val="0"/>
              </w:numPr>
              <w:kinsoku/>
              <w:wordWrap/>
              <w:overflowPunct/>
              <w:topLinePunct w:val="0"/>
              <w:bidi w:val="0"/>
              <w:adjustRightInd/>
              <w:snapToGrid/>
              <w:spacing w:line="48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snapToGrid w:val="0"/>
                <w:kern w:val="0"/>
                <w:sz w:val="24"/>
                <w:szCs w:val="24"/>
                <w:lang w:val="en-US" w:eastAsia="zh-CN"/>
              </w:rPr>
              <w:t>一、评审内容</w:t>
            </w:r>
          </w:p>
          <w:p w14:paraId="7C40B2BE">
            <w:pPr>
              <w:keepNext w:val="0"/>
              <w:keepLines w:val="0"/>
              <w:pageBreakBefore w:val="0"/>
              <w:numPr>
                <w:ilvl w:val="0"/>
                <w:numId w:val="0"/>
              </w:numPr>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snapToGrid w:val="0"/>
                <w:kern w:val="0"/>
                <w:sz w:val="24"/>
                <w:szCs w:val="24"/>
                <w:lang w:val="en-US" w:eastAsia="zh-CN"/>
              </w:rPr>
            </w:pPr>
            <w:r>
              <w:rPr>
                <w:rFonts w:hint="eastAsia" w:ascii="宋体" w:hAnsi="宋体" w:cs="宋体"/>
                <w:b w:val="0"/>
                <w:bCs w:val="0"/>
                <w:color w:val="000000"/>
                <w:sz w:val="24"/>
                <w:szCs w:val="24"/>
                <w:lang w:val="en-US" w:eastAsia="zh-CN"/>
              </w:rPr>
              <w:t>投标人</w:t>
            </w:r>
            <w:r>
              <w:rPr>
                <w:rFonts w:hint="eastAsia" w:ascii="宋体" w:hAnsi="宋体" w:eastAsia="宋体" w:cs="宋体"/>
                <w:color w:val="000000"/>
                <w:sz w:val="24"/>
                <w:szCs w:val="24"/>
                <w:lang w:val="en-US" w:eastAsia="zh-CN"/>
              </w:rPr>
              <w:t>根据本项目特点，提供应急预案内容包括：①</w:t>
            </w:r>
            <w:r>
              <w:rPr>
                <w:rFonts w:hint="eastAsia" w:ascii="宋体" w:hAnsi="宋体" w:eastAsia="宋体" w:cs="宋体"/>
                <w:kern w:val="2"/>
                <w:sz w:val="24"/>
                <w:szCs w:val="24"/>
                <w:highlight w:val="none"/>
                <w:lang w:val="en-US" w:eastAsia="zh-CN" w:bidi="ar-SA"/>
              </w:rPr>
              <w:t>应急预案内容完整性</w:t>
            </w:r>
            <w:r>
              <w:rPr>
                <w:rFonts w:hint="eastAsia" w:ascii="宋体" w:hAnsi="宋体" w:eastAsia="宋体" w:cs="宋体"/>
                <w:color w:val="000000"/>
                <w:sz w:val="24"/>
                <w:szCs w:val="24"/>
                <w:lang w:val="en-US" w:eastAsia="zh-CN"/>
              </w:rPr>
              <w:t>②</w:t>
            </w:r>
            <w:r>
              <w:rPr>
                <w:rFonts w:hint="eastAsia" w:ascii="宋体" w:hAnsi="宋体" w:eastAsia="宋体" w:cs="宋体"/>
                <w:kern w:val="2"/>
                <w:sz w:val="24"/>
                <w:szCs w:val="24"/>
                <w:highlight w:val="none"/>
                <w:lang w:val="en-US" w:eastAsia="zh-CN" w:bidi="ar-SA"/>
              </w:rPr>
              <w:t>应急预案控制措施</w:t>
            </w:r>
            <w:r>
              <w:rPr>
                <w:rFonts w:hint="eastAsia" w:ascii="宋体" w:hAnsi="宋体" w:eastAsia="宋体" w:cs="宋体"/>
                <w:color w:val="000000"/>
                <w:sz w:val="24"/>
                <w:szCs w:val="24"/>
                <w:lang w:val="en-US" w:eastAsia="zh-CN"/>
              </w:rPr>
              <w:t>③</w:t>
            </w:r>
            <w:r>
              <w:rPr>
                <w:rFonts w:hint="eastAsia" w:ascii="宋体" w:hAnsi="宋体" w:eastAsia="宋体" w:cs="宋体"/>
                <w:kern w:val="2"/>
                <w:sz w:val="24"/>
                <w:szCs w:val="24"/>
                <w:highlight w:val="none"/>
                <w:lang w:val="en-US" w:eastAsia="zh-CN" w:bidi="ar-SA"/>
              </w:rPr>
              <w:t>应急预案的可操作性</w:t>
            </w:r>
            <w:r>
              <w:rPr>
                <w:rFonts w:hint="eastAsia" w:ascii="宋体" w:hAnsi="宋体" w:eastAsia="宋体" w:cs="宋体"/>
                <w:b w:val="0"/>
                <w:bCs w:val="0"/>
                <w:snapToGrid w:val="0"/>
                <w:kern w:val="0"/>
                <w:sz w:val="24"/>
                <w:szCs w:val="24"/>
                <w:lang w:val="en-US" w:eastAsia="zh-CN"/>
              </w:rPr>
              <w:t>。</w:t>
            </w:r>
          </w:p>
          <w:p w14:paraId="43A6624A">
            <w:pPr>
              <w:keepNext w:val="0"/>
              <w:keepLines w:val="0"/>
              <w:pageBreakBefore w:val="0"/>
              <w:widowControl w:val="0"/>
              <w:numPr>
                <w:ilvl w:val="0"/>
                <w:numId w:val="0"/>
              </w:numPr>
              <w:kinsoku/>
              <w:wordWrap/>
              <w:overflowPunct/>
              <w:topLinePunct w:val="0"/>
              <w:bidi w:val="0"/>
              <w:adjustRightInd/>
              <w:snapToGrid/>
              <w:spacing w:line="480" w:lineRule="auto"/>
              <w:jc w:val="both"/>
              <w:textAlignment w:val="auto"/>
              <w:rPr>
                <w:rFonts w:hint="eastAsia" w:ascii="宋体" w:hAnsi="宋体" w:eastAsia="宋体" w:cs="宋体"/>
                <w:b/>
                <w:bCs/>
                <w:snapToGrid w:val="0"/>
                <w:kern w:val="0"/>
                <w:sz w:val="24"/>
                <w:szCs w:val="24"/>
                <w:lang w:val="zh-CN" w:eastAsia="zh-CN"/>
              </w:rPr>
            </w:pPr>
            <w:r>
              <w:rPr>
                <w:rFonts w:hint="eastAsia" w:ascii="宋体" w:hAnsi="宋体" w:eastAsia="宋体" w:cs="宋体"/>
                <w:b/>
                <w:bCs/>
                <w:snapToGrid w:val="0"/>
                <w:kern w:val="0"/>
                <w:sz w:val="24"/>
                <w:szCs w:val="24"/>
                <w:lang w:val="zh-CN" w:eastAsia="zh-CN"/>
              </w:rPr>
              <w:t>二、评审标准</w:t>
            </w:r>
          </w:p>
          <w:p w14:paraId="4AC8B736">
            <w:pPr>
              <w:keepNext w:val="0"/>
              <w:keepLines w:val="0"/>
              <w:pageBreakBefore w:val="0"/>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zh-CN" w:eastAsia="zh-CN" w:bidi="ar-SA"/>
              </w:rPr>
              <w:t>.科学性：切合本项目实际情况，叙述清楚，符合客观实际情况；</w:t>
            </w:r>
          </w:p>
          <w:p w14:paraId="6F9E2D70">
            <w:pPr>
              <w:keepNext w:val="0"/>
              <w:keepLines w:val="0"/>
              <w:pageBreakBefore w:val="0"/>
              <w:widowControl w:val="0"/>
              <w:kinsoku/>
              <w:wordWrap/>
              <w:overflowPunct/>
              <w:topLinePunct w:val="0"/>
              <w:bidi w:val="0"/>
              <w:adjustRightInd/>
              <w:snapToGrid/>
              <w:spacing w:line="480" w:lineRule="auto"/>
              <w:ind w:firstLine="480" w:firstLineChars="200"/>
              <w:jc w:val="both"/>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lang w:val="zh-CN" w:eastAsia="zh-CN" w:bidi="ar-SA"/>
              </w:rPr>
              <w:t>.</w:t>
            </w:r>
            <w:r>
              <w:rPr>
                <w:rFonts w:hint="eastAsia" w:ascii="宋体" w:hAnsi="宋体" w:eastAsia="宋体" w:cs="宋体"/>
                <w:color w:val="000000"/>
                <w:sz w:val="24"/>
                <w:szCs w:val="24"/>
                <w:lang w:val="zh-CN" w:eastAsia="zh-CN"/>
              </w:rPr>
              <w:t>针对性：切合本项目实际情况，根据招标文件要求提出针对本项目实际操作性强的措施方案。</w:t>
            </w:r>
          </w:p>
          <w:p w14:paraId="1D3CB89D">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6</w:t>
            </w:r>
            <w:r>
              <w:rPr>
                <w:rFonts w:hint="eastAsia" w:ascii="宋体" w:hAnsi="宋体" w:cs="宋体"/>
                <w:b/>
                <w:bCs/>
                <w:color w:val="000000"/>
                <w:sz w:val="24"/>
                <w:szCs w:val="24"/>
              </w:rPr>
              <w:t>分）</w:t>
            </w:r>
          </w:p>
          <w:p w14:paraId="1F4A9FBD">
            <w:pPr>
              <w:spacing w:line="480" w:lineRule="auto"/>
              <w:ind w:firstLine="480" w:firstLineChars="200"/>
              <w:jc w:val="left"/>
              <w:rPr>
                <w:rFonts w:hint="eastAsia" w:ascii="宋体" w:hAnsi="宋体" w:cs="宋体"/>
                <w:color w:val="000000"/>
                <w:sz w:val="24"/>
                <w:szCs w:val="24"/>
              </w:rPr>
            </w:pPr>
            <w:r>
              <w:rPr>
                <w:rFonts w:hint="eastAsia" w:ascii="宋体" w:hAnsi="宋体" w:cs="宋体"/>
                <w:sz w:val="24"/>
                <w:lang w:val="zh-CN" w:eastAsia="zh-CN"/>
              </w:rPr>
              <w:t>①</w:t>
            </w:r>
            <w:r>
              <w:rPr>
                <w:rFonts w:hint="eastAsia" w:ascii="宋体" w:hAnsi="宋体" w:eastAsia="宋体" w:cs="宋体"/>
                <w:kern w:val="2"/>
                <w:sz w:val="24"/>
                <w:szCs w:val="24"/>
                <w:highlight w:val="none"/>
                <w:lang w:val="en-US" w:eastAsia="zh-CN" w:bidi="ar-SA"/>
              </w:rPr>
              <w:t>应急预案内容完整性</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p>
          <w:p w14:paraId="54FBDC66">
            <w:pPr>
              <w:spacing w:line="480" w:lineRule="auto"/>
              <w:ind w:firstLine="480" w:firstLineChars="200"/>
              <w:jc w:val="left"/>
              <w:rPr>
                <w:rFonts w:hint="eastAsia" w:ascii="宋体" w:hAnsi="宋体" w:cs="宋体"/>
                <w:color w:val="000000"/>
                <w:sz w:val="24"/>
                <w:szCs w:val="24"/>
              </w:rPr>
            </w:pPr>
            <w:r>
              <w:rPr>
                <w:rFonts w:hint="eastAsia" w:ascii="宋体" w:hAnsi="宋体" w:cs="宋体"/>
                <w:sz w:val="24"/>
                <w:lang w:val="zh-CN" w:eastAsia="zh-CN"/>
              </w:rPr>
              <w:t>②</w:t>
            </w:r>
            <w:r>
              <w:rPr>
                <w:rFonts w:hint="eastAsia" w:ascii="宋体" w:hAnsi="宋体" w:eastAsia="宋体" w:cs="宋体"/>
                <w:kern w:val="2"/>
                <w:sz w:val="24"/>
                <w:szCs w:val="24"/>
                <w:highlight w:val="none"/>
                <w:lang w:val="en-US" w:eastAsia="zh-CN" w:bidi="ar-SA"/>
              </w:rPr>
              <w:t>应急预案控制措施</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p>
          <w:p w14:paraId="61812921">
            <w:pPr>
              <w:spacing w:line="48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③</w:t>
            </w:r>
            <w:r>
              <w:rPr>
                <w:rFonts w:hint="eastAsia" w:ascii="宋体" w:hAnsi="宋体" w:eastAsia="宋体" w:cs="宋体"/>
                <w:b w:val="0"/>
                <w:bCs w:val="0"/>
                <w:kern w:val="2"/>
                <w:sz w:val="24"/>
                <w:szCs w:val="24"/>
                <w:highlight w:val="none"/>
                <w:lang w:val="en-US" w:eastAsia="zh-CN" w:bidi="ar-SA"/>
              </w:rPr>
              <w:t>应急预案的可操作性</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7AEE0D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59FD88A9">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756D708C">
            <w:pPr>
              <w:pStyle w:val="34"/>
              <w:spacing w:line="480" w:lineRule="auto"/>
              <w:jc w:val="both"/>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项目团队</w:t>
            </w:r>
          </w:p>
          <w:p w14:paraId="70C66790">
            <w:pPr>
              <w:pStyle w:val="34"/>
              <w:spacing w:line="480" w:lineRule="auto"/>
              <w:ind w:left="0" w:leftChars="0" w:firstLine="240" w:firstLineChars="1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（满分</w:t>
            </w:r>
            <w:r>
              <w:rPr>
                <w:rFonts w:hint="eastAsia" w:cs="宋体"/>
                <w:color w:val="auto"/>
                <w:sz w:val="24"/>
                <w:szCs w:val="24"/>
                <w:lang w:val="en-US" w:eastAsia="zh-CN"/>
              </w:rPr>
              <w:t>15</w:t>
            </w:r>
            <w:r>
              <w:rPr>
                <w:rFonts w:hint="eastAsia" w:ascii="宋体" w:hAnsi="宋体" w:eastAsia="宋体" w:cs="宋体"/>
                <w:color w:val="auto"/>
                <w:sz w:val="24"/>
                <w:szCs w:val="24"/>
                <w:lang w:val="en-US" w:eastAsia="zh-CN"/>
              </w:rPr>
              <w:t>分）</w:t>
            </w:r>
          </w:p>
        </w:tc>
        <w:tc>
          <w:tcPr>
            <w:tcW w:w="4501" w:type="dxa"/>
            <w:tcBorders>
              <w:top w:val="single" w:color="auto" w:sz="4" w:space="0"/>
              <w:left w:val="nil"/>
              <w:bottom w:val="single" w:color="auto" w:sz="4" w:space="0"/>
            </w:tcBorders>
            <w:noWrap w:val="0"/>
            <w:vAlign w:val="center"/>
          </w:tcPr>
          <w:p w14:paraId="7E9B3276">
            <w:pPr>
              <w:spacing w:line="480" w:lineRule="auto"/>
              <w:ind w:firstLine="480" w:firstLineChars="20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1、拟派项目负责人：具备</w:t>
            </w:r>
            <w:r>
              <w:rPr>
                <w:rFonts w:hint="eastAsia" w:ascii="宋体" w:hAnsi="宋体" w:cs="宋体"/>
                <w:sz w:val="24"/>
                <w:szCs w:val="24"/>
                <w:lang w:val="en-US" w:eastAsia="zh-CN"/>
              </w:rPr>
              <w:t>相关</w:t>
            </w:r>
            <w:r>
              <w:rPr>
                <w:rFonts w:hint="eastAsia" w:ascii="宋体" w:hAnsi="宋体" w:eastAsia="宋体" w:cs="宋体"/>
                <w:b w:val="0"/>
                <w:bCs w:val="0"/>
                <w:color w:val="000000"/>
                <w:sz w:val="24"/>
                <w:szCs w:val="24"/>
                <w:lang w:val="en-US" w:eastAsia="zh-CN"/>
              </w:rPr>
              <w:t>专业高级及以上职称</w:t>
            </w:r>
            <w:r>
              <w:rPr>
                <w:rFonts w:hint="eastAsia" w:ascii="宋体" w:hAnsi="宋体" w:cs="宋体"/>
                <w:b w:val="0"/>
                <w:bCs w:val="0"/>
                <w:color w:val="000000"/>
                <w:sz w:val="24"/>
                <w:szCs w:val="24"/>
                <w:lang w:val="en-US" w:eastAsia="zh-CN"/>
              </w:rPr>
              <w:t>和本科学历以上</w:t>
            </w:r>
            <w:r>
              <w:rPr>
                <w:rFonts w:hint="eastAsia" w:ascii="宋体" w:hAnsi="宋体" w:eastAsia="宋体" w:cs="宋体"/>
                <w:b w:val="0"/>
                <w:bCs w:val="0"/>
                <w:color w:val="000000"/>
                <w:sz w:val="24"/>
                <w:szCs w:val="24"/>
                <w:lang w:val="en-US" w:eastAsia="zh-CN"/>
              </w:rPr>
              <w:t>得3分，</w:t>
            </w:r>
            <w:r>
              <w:rPr>
                <w:rFonts w:hint="eastAsia" w:ascii="宋体" w:hAnsi="宋体" w:cs="宋体"/>
                <w:b w:val="0"/>
                <w:bCs w:val="0"/>
                <w:color w:val="000000"/>
                <w:sz w:val="24"/>
                <w:szCs w:val="24"/>
                <w:lang w:val="en-US" w:eastAsia="zh-CN"/>
              </w:rPr>
              <w:t>大专学历以上</w:t>
            </w:r>
            <w:r>
              <w:rPr>
                <w:rFonts w:hint="eastAsia" w:ascii="宋体" w:hAnsi="宋体" w:eastAsia="宋体" w:cs="宋体"/>
                <w:b w:val="0"/>
                <w:bCs w:val="0"/>
                <w:color w:val="000000"/>
                <w:sz w:val="24"/>
                <w:szCs w:val="24"/>
                <w:lang w:val="en-US" w:eastAsia="zh-CN"/>
              </w:rPr>
              <w:t xml:space="preserve">得 1 分，否则本分项不得分。 </w:t>
            </w:r>
            <w:r>
              <w:rPr>
                <w:rFonts w:hint="eastAsia" w:ascii="宋体" w:hAnsi="宋体" w:eastAsia="宋体" w:cs="宋体"/>
                <w:b/>
                <w:bCs/>
                <w:color w:val="000000"/>
                <w:sz w:val="24"/>
                <w:szCs w:val="24"/>
                <w:lang w:val="en-US" w:eastAsia="zh-CN"/>
              </w:rPr>
              <w:t>注：须提供项目负责人身份证复印件、</w:t>
            </w:r>
            <w:r>
              <w:rPr>
                <w:rFonts w:hint="eastAsia" w:ascii="宋体" w:hAnsi="宋体" w:cs="宋体"/>
                <w:b/>
                <w:bCs/>
                <w:color w:val="000000"/>
                <w:sz w:val="24"/>
                <w:szCs w:val="24"/>
                <w:lang w:val="en-US" w:eastAsia="zh-CN"/>
              </w:rPr>
              <w:t>资格证、</w:t>
            </w:r>
            <w:r>
              <w:rPr>
                <w:rFonts w:hint="eastAsia" w:ascii="宋体" w:hAnsi="宋体" w:eastAsia="宋体" w:cs="宋体"/>
                <w:b/>
                <w:bCs/>
                <w:color w:val="000000"/>
                <w:sz w:val="24"/>
                <w:szCs w:val="24"/>
                <w:lang w:val="en-US" w:eastAsia="zh-CN"/>
              </w:rPr>
              <w:t>职称证书复印件及相关证明材料；</w:t>
            </w:r>
            <w:r>
              <w:rPr>
                <w:rFonts w:hint="eastAsia" w:ascii="宋体" w:hAnsi="宋体" w:cs="宋体"/>
                <w:b/>
                <w:bCs/>
                <w:snapToGrid w:val="0"/>
                <w:kern w:val="0"/>
                <w:sz w:val="24"/>
                <w:szCs w:val="24"/>
                <w:lang w:val="zh-CN"/>
              </w:rPr>
              <w:t>提供在本单位</w:t>
            </w:r>
            <w:r>
              <w:rPr>
                <w:rFonts w:hint="eastAsia" w:ascii="宋体" w:hAnsi="宋体" w:cs="宋体"/>
                <w:b/>
                <w:bCs/>
                <w:snapToGrid w:val="0"/>
                <w:kern w:val="0"/>
                <w:sz w:val="24"/>
                <w:szCs w:val="24"/>
                <w:lang w:val="en-US" w:eastAsia="zh-CN"/>
              </w:rPr>
              <w:t>的</w:t>
            </w:r>
            <w:r>
              <w:rPr>
                <w:rFonts w:hint="eastAsia" w:ascii="宋体" w:hAnsi="宋体" w:cs="宋体"/>
                <w:b/>
                <w:bCs/>
                <w:snapToGrid w:val="0"/>
                <w:kern w:val="0"/>
                <w:sz w:val="24"/>
                <w:szCs w:val="24"/>
                <w:lang w:val="zh-CN"/>
              </w:rPr>
              <w:t>劳动合同。</w:t>
            </w:r>
          </w:p>
          <w:p w14:paraId="2ADD0E26">
            <w:pPr>
              <w:spacing w:line="480" w:lineRule="auto"/>
              <w:ind w:firstLine="480" w:firstLineChars="200"/>
              <w:jc w:val="left"/>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2、针对本项目提供详细的人员配备情况，满分12分。</w:t>
            </w:r>
          </w:p>
          <w:p w14:paraId="2726B344">
            <w:pPr>
              <w:keepNext w:val="0"/>
              <w:keepLines w:val="0"/>
              <w:pageBreakBefore w:val="0"/>
              <w:widowControl w:val="0"/>
              <w:numPr>
                <w:ilvl w:val="0"/>
                <w:numId w:val="0"/>
              </w:numPr>
              <w:kinsoku/>
              <w:wordWrap/>
              <w:overflowPunct/>
              <w:topLinePunct w:val="0"/>
              <w:bidi w:val="0"/>
              <w:adjustRightInd/>
              <w:snapToGrid/>
              <w:spacing w:line="480" w:lineRule="auto"/>
              <w:jc w:val="left"/>
              <w:textAlignment w:val="auto"/>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一、评审内容</w:t>
            </w:r>
          </w:p>
          <w:p w14:paraId="4AEC31B8">
            <w:pPr>
              <w:keepNext w:val="0"/>
              <w:keepLines w:val="0"/>
              <w:pageBreakBefore w:val="0"/>
              <w:widowControl w:val="0"/>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包括但不限于：①针对本项目的人员配备方案及管理方案，人员配备数量充足；②人员组织结构合理，有明确的岗位职责及培训方案。</w:t>
            </w:r>
          </w:p>
          <w:p w14:paraId="7580D963">
            <w:pPr>
              <w:keepNext w:val="0"/>
              <w:keepLines w:val="0"/>
              <w:pageBreakBefore w:val="0"/>
              <w:widowControl w:val="0"/>
              <w:kinsoku/>
              <w:wordWrap/>
              <w:overflowPunct/>
              <w:topLinePunct w:val="0"/>
              <w:bidi w:val="0"/>
              <w:adjustRightInd/>
              <w:snapToGrid/>
              <w:spacing w:line="480" w:lineRule="auto"/>
              <w:ind w:firstLine="482" w:firstLineChars="200"/>
              <w:jc w:val="left"/>
              <w:textAlignment w:val="auto"/>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二、评审标准</w:t>
            </w:r>
          </w:p>
          <w:p w14:paraId="0B6D053F">
            <w:pPr>
              <w:keepNext w:val="0"/>
              <w:keepLines w:val="0"/>
              <w:pageBreakBefore w:val="0"/>
              <w:widowControl w:val="0"/>
              <w:kinsoku/>
              <w:wordWrap/>
              <w:overflowPunct/>
              <w:topLinePunct w:val="0"/>
              <w:bidi w:val="0"/>
              <w:adjustRightInd/>
              <w:snapToGrid/>
              <w:spacing w:line="480" w:lineRule="auto"/>
              <w:ind w:firstLine="480" w:firstLineChars="200"/>
              <w:jc w:val="left"/>
              <w:textAlignment w:val="auto"/>
              <w:rPr>
                <w:rFonts w:hint="default"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1.完整性：切合本项目实际情况，方案内容齐全，详细描述及其他内容的补充；</w:t>
            </w:r>
          </w:p>
          <w:p w14:paraId="7B2A0FC7">
            <w:pPr>
              <w:keepNext w:val="0"/>
              <w:keepLines w:val="0"/>
              <w:pageBreakBefore w:val="0"/>
              <w:widowControl w:val="0"/>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2.专业性：结合项目实际情况，具有一定的专业知识，经验丰富，技术性高的人员。</w:t>
            </w:r>
          </w:p>
          <w:p w14:paraId="7F061967">
            <w:pPr>
              <w:spacing w:line="480" w:lineRule="auto"/>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三、赋分标准（满分12分）</w:t>
            </w:r>
          </w:p>
          <w:p w14:paraId="5B9839DF">
            <w:pPr>
              <w:spacing w:line="48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①针对本项目的人员配备方案及管理方案，人员配备数量充足：每完全满足一个评审标准得3分，满分6分；</w:t>
            </w:r>
          </w:p>
          <w:p w14:paraId="6E4E59F5">
            <w:pPr>
              <w:numPr>
                <w:ilvl w:val="0"/>
                <w:numId w:val="0"/>
              </w:numPr>
              <w:spacing w:line="480" w:lineRule="auto"/>
              <w:ind w:left="0" w:leftChars="0" w:firstLine="480" w:firstLineChars="200"/>
              <w:jc w:val="left"/>
              <w:rPr>
                <w:rFonts w:hint="eastAsia" w:ascii="宋体" w:hAnsi="宋体" w:eastAsia="宋体" w:cs="宋体"/>
                <w:color w:val="auto"/>
                <w:kern w:val="2"/>
                <w:sz w:val="24"/>
                <w:lang w:val="zh-CN" w:eastAsia="zh-CN" w:bidi="ar-SA"/>
              </w:rPr>
            </w:pPr>
            <w:r>
              <w:rPr>
                <w:rFonts w:hint="eastAsia" w:ascii="宋体" w:hAnsi="宋体" w:eastAsia="宋体" w:cs="宋体"/>
                <w:color w:val="000000"/>
                <w:sz w:val="24"/>
                <w:szCs w:val="24"/>
                <w:lang w:val="en-US" w:eastAsia="zh-CN"/>
              </w:rPr>
              <w:t>②人员组织结构合理，有明确的岗位职责及培训方案：每完全满足一个评审标准得3分，满分6分</w:t>
            </w:r>
            <w:r>
              <w:rPr>
                <w:rFonts w:hint="eastAsia" w:ascii="宋体" w:hAnsi="宋体" w:cs="宋体"/>
                <w:color w:val="000000"/>
                <w:sz w:val="24"/>
                <w:szCs w:val="24"/>
                <w:lang w:val="en-US" w:eastAsia="zh-CN"/>
              </w:rPr>
              <w:t>。</w:t>
            </w:r>
          </w:p>
        </w:tc>
      </w:tr>
      <w:tr w14:paraId="02076C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2037" w:type="dxa"/>
            <w:vMerge w:val="restart"/>
            <w:tcBorders>
              <w:top w:val="single" w:color="auto" w:sz="4" w:space="0"/>
              <w:right w:val="single" w:color="auto" w:sz="4" w:space="0"/>
            </w:tcBorders>
            <w:noWrap w:val="0"/>
            <w:vAlign w:val="center"/>
          </w:tcPr>
          <w:p w14:paraId="061EE12F">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商务投标方案</w:t>
            </w:r>
          </w:p>
          <w:p w14:paraId="667E4D96">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27</w:t>
            </w:r>
            <w:r>
              <w:rPr>
                <w:rFonts w:hint="eastAsia" w:ascii="宋体" w:hAnsi="宋体" w:eastAsia="宋体" w:cs="宋体"/>
                <w:color w:val="auto"/>
                <w:sz w:val="24"/>
                <w:szCs w:val="24"/>
              </w:rPr>
              <w:t>分）</w:t>
            </w:r>
          </w:p>
        </w:tc>
        <w:tc>
          <w:tcPr>
            <w:tcW w:w="2332" w:type="dxa"/>
            <w:tcBorders>
              <w:top w:val="single" w:color="auto" w:sz="4" w:space="0"/>
              <w:left w:val="nil"/>
              <w:bottom w:val="single" w:color="auto" w:sz="4" w:space="0"/>
              <w:right w:val="single" w:color="auto" w:sz="4" w:space="0"/>
            </w:tcBorders>
            <w:noWrap w:val="0"/>
            <w:vAlign w:val="center"/>
          </w:tcPr>
          <w:p w14:paraId="43F65B2A">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业绩证明</w:t>
            </w:r>
          </w:p>
          <w:p w14:paraId="7F9DBAB9">
            <w:pPr>
              <w:spacing w:line="48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51E5A194">
            <w:pPr>
              <w:spacing w:line="480" w:lineRule="auto"/>
              <w:ind w:firstLine="42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投标人</w:t>
            </w:r>
            <w:r>
              <w:rPr>
                <w:rFonts w:hint="eastAsia" w:ascii="宋体" w:hAnsi="宋体" w:eastAsia="宋体" w:cs="宋体"/>
                <w:color w:val="000000"/>
                <w:sz w:val="24"/>
                <w:szCs w:val="24"/>
                <w:lang w:val="en-US" w:eastAsia="zh-CN"/>
              </w:rPr>
              <w:t>提供2022年</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月1日及以后具有类似项目的业绩，投标文件中附有说明其业绩证明材料（以合同或中标通知书为准），每个业绩计2分，最高8分。</w:t>
            </w:r>
          </w:p>
          <w:p w14:paraId="7F3FD4E9">
            <w:pPr>
              <w:numPr>
                <w:ilvl w:val="0"/>
                <w:numId w:val="0"/>
              </w:numPr>
              <w:spacing w:line="480" w:lineRule="auto"/>
              <w:ind w:left="0" w:leftChars="0" w:firstLine="482" w:firstLineChars="200"/>
              <w:jc w:val="left"/>
              <w:rPr>
                <w:rFonts w:hint="eastAsia" w:ascii="宋体" w:hAnsi="宋体" w:eastAsia="宋体" w:cs="宋体"/>
                <w:color w:val="auto"/>
                <w:sz w:val="24"/>
                <w:szCs w:val="24"/>
                <w:lang w:val="en-US" w:eastAsia="zh-CN"/>
              </w:rPr>
            </w:pPr>
            <w:r>
              <w:rPr>
                <w:rFonts w:hint="eastAsia" w:ascii="宋体" w:hAnsi="宋体" w:eastAsia="宋体" w:cs="宋体"/>
                <w:b/>
                <w:bCs/>
                <w:color w:val="000000"/>
                <w:sz w:val="24"/>
                <w:szCs w:val="24"/>
                <w:lang w:val="en-US" w:eastAsia="zh-CN"/>
              </w:rPr>
              <w:t>上述业绩的合同或中标通知书复印件加盖单位公章附在投标文件中。</w:t>
            </w:r>
          </w:p>
        </w:tc>
      </w:tr>
      <w:tr w14:paraId="2D2F74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2037" w:type="dxa"/>
            <w:vMerge w:val="continue"/>
            <w:tcBorders>
              <w:right w:val="single" w:color="auto" w:sz="4" w:space="0"/>
            </w:tcBorders>
            <w:noWrap w:val="0"/>
            <w:vAlign w:val="center"/>
          </w:tcPr>
          <w:p w14:paraId="014D6418">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0014CA6A">
            <w:pPr>
              <w:pStyle w:val="34"/>
              <w:spacing w:line="480" w:lineRule="auto"/>
              <w:ind w:left="0" w:lef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合理化建议</w:t>
            </w:r>
          </w:p>
          <w:p w14:paraId="5E976B1B">
            <w:pPr>
              <w:pStyle w:val="34"/>
              <w:spacing w:line="480" w:lineRule="auto"/>
              <w:ind w:left="0" w:leftChars="0"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满分</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4501" w:type="dxa"/>
            <w:tcBorders>
              <w:top w:val="single" w:color="auto" w:sz="4" w:space="0"/>
              <w:left w:val="nil"/>
              <w:bottom w:val="single" w:color="auto" w:sz="4" w:space="0"/>
            </w:tcBorders>
            <w:noWrap w:val="0"/>
            <w:vAlign w:val="center"/>
          </w:tcPr>
          <w:p w14:paraId="0AB39469">
            <w:pPr>
              <w:numPr>
                <w:ilvl w:val="0"/>
                <w:numId w:val="0"/>
              </w:numPr>
              <w:spacing w:line="480" w:lineRule="auto"/>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cs="宋体"/>
                <w:b w:val="0"/>
                <w:bCs w:val="0"/>
                <w:color w:val="000000"/>
                <w:sz w:val="24"/>
                <w:szCs w:val="24"/>
                <w:lang w:val="en-US" w:eastAsia="zh-CN"/>
              </w:rPr>
              <w:t>投标人</w:t>
            </w:r>
            <w:r>
              <w:rPr>
                <w:rFonts w:hint="eastAsia" w:ascii="宋体" w:hAnsi="宋体" w:eastAsia="宋体" w:cs="宋体"/>
                <w:b w:val="0"/>
                <w:bCs w:val="0"/>
                <w:color w:val="auto"/>
                <w:kern w:val="0"/>
                <w:sz w:val="24"/>
                <w:szCs w:val="24"/>
                <w:highlight w:val="none"/>
                <w:lang w:val="zh-CN" w:eastAsia="zh-CN" w:bidi="ar-SA"/>
              </w:rPr>
              <w:t>针对本项目提出合理化建议，每提供一条符合本项目的合理性建议得</w:t>
            </w: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zh-CN" w:eastAsia="zh-CN" w:bidi="ar-SA"/>
              </w:rPr>
              <w:t>分，最多得</w:t>
            </w:r>
            <w:r>
              <w:rPr>
                <w:rFonts w:hint="eastAsia" w:ascii="宋体" w:hAnsi="宋体" w:eastAsia="宋体" w:cs="宋体"/>
                <w:b w:val="0"/>
                <w:bCs w:val="0"/>
                <w:color w:val="auto"/>
                <w:kern w:val="0"/>
                <w:sz w:val="24"/>
                <w:szCs w:val="24"/>
                <w:highlight w:val="none"/>
                <w:lang w:val="en-US" w:eastAsia="zh-CN" w:bidi="ar-SA"/>
              </w:rPr>
              <w:t>4</w:t>
            </w:r>
            <w:r>
              <w:rPr>
                <w:rFonts w:hint="eastAsia" w:ascii="宋体" w:hAnsi="宋体" w:eastAsia="宋体" w:cs="宋体"/>
                <w:b w:val="0"/>
                <w:bCs w:val="0"/>
                <w:color w:val="auto"/>
                <w:kern w:val="0"/>
                <w:sz w:val="24"/>
                <w:szCs w:val="24"/>
                <w:highlight w:val="none"/>
                <w:lang w:val="zh-CN" w:eastAsia="zh-CN" w:bidi="ar-SA"/>
              </w:rPr>
              <w:t>分。</w:t>
            </w:r>
          </w:p>
        </w:tc>
      </w:tr>
      <w:tr w14:paraId="6BF3E1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2037" w:type="dxa"/>
            <w:vMerge w:val="continue"/>
            <w:tcBorders>
              <w:bottom w:val="single" w:color="auto" w:sz="4" w:space="0"/>
              <w:right w:val="single" w:color="auto" w:sz="4" w:space="0"/>
            </w:tcBorders>
            <w:noWrap w:val="0"/>
            <w:vAlign w:val="center"/>
          </w:tcPr>
          <w:p w14:paraId="531DC325">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2FF2537A">
            <w:pPr>
              <w:pStyle w:val="34"/>
              <w:spacing w:line="480" w:lineRule="auto"/>
              <w:ind w:left="479" w:leftChars="228" w:firstLine="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售后服务</w:t>
            </w:r>
          </w:p>
          <w:p w14:paraId="5C8808C9">
            <w:pPr>
              <w:pStyle w:val="34"/>
              <w:spacing w:line="480" w:lineRule="auto"/>
              <w:ind w:left="479" w:leftChars="114" w:hanging="240" w:hangingChars="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（满分</w:t>
            </w:r>
            <w:r>
              <w:rPr>
                <w:rFonts w:hint="eastAsia" w:cs="宋体"/>
                <w:color w:val="auto"/>
                <w:sz w:val="24"/>
                <w:szCs w:val="24"/>
                <w:lang w:val="en-US" w:eastAsia="zh-CN"/>
              </w:rPr>
              <w:t>15</w:t>
            </w:r>
            <w:r>
              <w:rPr>
                <w:rFonts w:hint="eastAsia" w:ascii="宋体" w:hAnsi="宋体" w:cs="宋体"/>
                <w:color w:val="auto"/>
                <w:sz w:val="24"/>
                <w:szCs w:val="24"/>
                <w:lang w:val="en-US" w:eastAsia="zh-CN"/>
              </w:rPr>
              <w:t>分）</w:t>
            </w:r>
          </w:p>
        </w:tc>
        <w:tc>
          <w:tcPr>
            <w:tcW w:w="4501" w:type="dxa"/>
            <w:tcBorders>
              <w:top w:val="single" w:color="auto" w:sz="4" w:space="0"/>
              <w:left w:val="nil"/>
              <w:bottom w:val="single" w:color="auto" w:sz="4" w:space="0"/>
            </w:tcBorders>
            <w:noWrap w:val="0"/>
            <w:vAlign w:val="center"/>
          </w:tcPr>
          <w:p w14:paraId="74EA7F14">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一、评审内容</w:t>
            </w:r>
          </w:p>
          <w:p w14:paraId="783D72B8">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snapToGrid w:val="0"/>
                <w:kern w:val="0"/>
                <w:sz w:val="24"/>
                <w:szCs w:val="24"/>
                <w:lang w:val="en-US" w:eastAsia="zh-CN"/>
              </w:rPr>
            </w:pPr>
            <w:r>
              <w:rPr>
                <w:rFonts w:hint="eastAsia" w:ascii="宋体" w:hAnsi="宋体" w:eastAsia="宋体" w:cs="宋体"/>
                <w:b w:val="0"/>
                <w:bCs w:val="0"/>
                <w:snapToGrid w:val="0"/>
                <w:kern w:val="0"/>
                <w:sz w:val="24"/>
                <w:szCs w:val="24"/>
              </w:rPr>
              <w:t>根据项目实际需求</w:t>
            </w:r>
            <w:r>
              <w:rPr>
                <w:rFonts w:hint="eastAsia" w:ascii="宋体" w:hAnsi="宋体" w:eastAsia="宋体" w:cs="宋体"/>
                <w:b w:val="0"/>
                <w:bCs w:val="0"/>
                <w:snapToGrid w:val="0"/>
                <w:kern w:val="0"/>
                <w:sz w:val="24"/>
                <w:szCs w:val="24"/>
                <w:lang w:eastAsia="zh-CN"/>
              </w:rPr>
              <w:t>，</w:t>
            </w:r>
            <w:r>
              <w:rPr>
                <w:rFonts w:hint="eastAsia" w:ascii="宋体" w:hAnsi="宋体" w:eastAsia="宋体" w:cs="宋体"/>
                <w:b w:val="0"/>
                <w:bCs w:val="0"/>
                <w:snapToGrid w:val="0"/>
                <w:kern w:val="0"/>
                <w:sz w:val="24"/>
                <w:szCs w:val="24"/>
                <w:lang w:val="en-US" w:eastAsia="zh-CN"/>
              </w:rPr>
              <w:t>提供</w:t>
            </w:r>
            <w:r>
              <w:rPr>
                <w:rFonts w:hint="eastAsia" w:ascii="宋体" w:hAnsi="宋体" w:eastAsia="宋体" w:cs="宋体"/>
                <w:b w:val="0"/>
                <w:bCs w:val="0"/>
                <w:snapToGrid w:val="0"/>
                <w:kern w:val="0"/>
                <w:sz w:val="24"/>
                <w:szCs w:val="24"/>
              </w:rPr>
              <w:t>针对本项目</w:t>
            </w:r>
            <w:r>
              <w:rPr>
                <w:rFonts w:hint="eastAsia" w:ascii="宋体" w:hAnsi="宋体" w:eastAsia="宋体" w:cs="宋体"/>
                <w:b w:val="0"/>
                <w:bCs w:val="0"/>
                <w:snapToGrid w:val="0"/>
                <w:kern w:val="0"/>
                <w:sz w:val="24"/>
                <w:szCs w:val="24"/>
                <w:lang w:val="en-US" w:eastAsia="zh-CN"/>
              </w:rPr>
              <w:t>的</w:t>
            </w:r>
            <w:r>
              <w:rPr>
                <w:rFonts w:hint="eastAsia" w:ascii="宋体" w:hAnsi="宋体" w:eastAsia="宋体" w:cs="宋体"/>
                <w:b w:val="0"/>
                <w:bCs w:val="0"/>
                <w:snapToGrid w:val="0"/>
                <w:kern w:val="0"/>
                <w:sz w:val="24"/>
                <w:szCs w:val="24"/>
              </w:rPr>
              <w:t>售后服务方案，</w:t>
            </w:r>
            <w:r>
              <w:rPr>
                <w:rFonts w:hint="eastAsia" w:ascii="宋体" w:hAnsi="宋体" w:eastAsia="宋体" w:cs="宋体"/>
                <w:b w:val="0"/>
                <w:bCs w:val="0"/>
                <w:snapToGrid w:val="0"/>
                <w:kern w:val="0"/>
                <w:sz w:val="24"/>
                <w:szCs w:val="24"/>
                <w:lang w:val="en-US" w:eastAsia="zh-CN"/>
              </w:rPr>
              <w:t>内容包括①服务承诺②后续服务响应时间、响应速度及响应方式。</w:t>
            </w:r>
          </w:p>
          <w:p w14:paraId="760356C6">
            <w:pPr>
              <w:keepNext w:val="0"/>
              <w:keepLines w:val="0"/>
              <w:pageBreakBefore w:val="0"/>
              <w:widowControl w:val="0"/>
              <w:kinsoku/>
              <w:wordWrap/>
              <w:overflowPunct/>
              <w:topLinePunct w:val="0"/>
              <w:bidi w:val="0"/>
              <w:adjustRightInd/>
              <w:snapToGrid/>
              <w:spacing w:line="48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二、评审标准</w:t>
            </w:r>
          </w:p>
          <w:p w14:paraId="70DE4FB2">
            <w:pPr>
              <w:pStyle w:val="95"/>
              <w:keepNext w:val="0"/>
              <w:keepLines w:val="0"/>
              <w:pageBreakBefore w:val="0"/>
              <w:widowControl w:val="0"/>
              <w:kinsoku/>
              <w:wordWrap/>
              <w:overflowPunct/>
              <w:topLinePunct w:val="0"/>
              <w:autoSpaceDE/>
              <w:autoSpaceDN/>
              <w:bidi w:val="0"/>
              <w:adjustRightInd/>
              <w:snapToGrid/>
              <w:spacing w:before="72" w:line="480" w:lineRule="auto"/>
              <w:ind w:left="107" w:right="99"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完整性：切合本项目实际情况，方案内容齐</w:t>
            </w:r>
            <w:r>
              <w:rPr>
                <w:rFonts w:hint="eastAsia" w:ascii="宋体" w:hAnsi="宋体" w:eastAsia="宋体" w:cs="宋体"/>
                <w:spacing w:val="-10"/>
                <w:sz w:val="24"/>
                <w:szCs w:val="24"/>
              </w:rPr>
              <w:t>全，有详细描述及其他内</w:t>
            </w:r>
            <w:r>
              <w:rPr>
                <w:rFonts w:hint="eastAsia" w:ascii="宋体" w:hAnsi="宋体" w:eastAsia="宋体" w:cs="宋体"/>
                <w:spacing w:val="-2"/>
                <w:sz w:val="24"/>
                <w:szCs w:val="24"/>
              </w:rPr>
              <w:t>容的补充；</w:t>
            </w:r>
          </w:p>
          <w:p w14:paraId="1313D9FF">
            <w:pPr>
              <w:pStyle w:val="95"/>
              <w:keepNext w:val="0"/>
              <w:keepLines w:val="0"/>
              <w:pageBreakBefore w:val="0"/>
              <w:widowControl w:val="0"/>
              <w:kinsoku/>
              <w:wordWrap/>
              <w:overflowPunct/>
              <w:topLinePunct w:val="0"/>
              <w:autoSpaceDE/>
              <w:autoSpaceDN/>
              <w:bidi w:val="0"/>
              <w:adjustRightInd/>
              <w:snapToGrid/>
              <w:spacing w:line="480" w:lineRule="auto"/>
              <w:ind w:left="107" w:right="102"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科学性：切合本项目实际情况，叙述清楚，符合客观实际情况；</w:t>
            </w:r>
          </w:p>
          <w:p w14:paraId="4687D765">
            <w:pPr>
              <w:pStyle w:val="95"/>
              <w:keepNext w:val="0"/>
              <w:keepLines w:val="0"/>
              <w:pageBreakBefore w:val="0"/>
              <w:widowControl w:val="0"/>
              <w:kinsoku/>
              <w:wordWrap/>
              <w:overflowPunct/>
              <w:topLinePunct w:val="0"/>
              <w:autoSpaceDE/>
              <w:autoSpaceDN/>
              <w:bidi w:val="0"/>
              <w:adjustRightInd/>
              <w:snapToGrid/>
              <w:spacing w:line="480" w:lineRule="auto"/>
              <w:ind w:left="107" w:right="-29"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合理性：方案内容符合项目实际特点，合理、</w:t>
            </w:r>
            <w:r>
              <w:rPr>
                <w:rFonts w:hint="eastAsia" w:ascii="宋体" w:hAnsi="宋体" w:eastAsia="宋体" w:cs="宋体"/>
                <w:spacing w:val="-4"/>
                <w:sz w:val="24"/>
                <w:szCs w:val="24"/>
              </w:rPr>
              <w:t>恰当；</w:t>
            </w:r>
          </w:p>
          <w:p w14:paraId="0435B966">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15</w:t>
            </w:r>
            <w:r>
              <w:rPr>
                <w:rFonts w:hint="eastAsia" w:ascii="宋体" w:hAnsi="宋体" w:cs="宋体"/>
                <w:b/>
                <w:bCs/>
                <w:color w:val="000000"/>
                <w:sz w:val="24"/>
                <w:szCs w:val="24"/>
              </w:rPr>
              <w:t>分）</w:t>
            </w:r>
          </w:p>
          <w:p w14:paraId="7D1AC5C4">
            <w:pPr>
              <w:spacing w:line="480" w:lineRule="auto"/>
              <w:ind w:firstLine="480" w:firstLineChars="200"/>
              <w:jc w:val="left"/>
              <w:rPr>
                <w:rFonts w:ascii="宋体" w:hAnsi="宋体" w:cs="宋体"/>
                <w:color w:val="000000"/>
                <w:sz w:val="24"/>
                <w:szCs w:val="24"/>
              </w:rPr>
            </w:pPr>
            <w:r>
              <w:rPr>
                <w:rFonts w:hint="eastAsia" w:ascii="宋体" w:hAnsi="宋体" w:cs="宋体"/>
                <w:sz w:val="24"/>
                <w:lang w:val="zh-CN" w:eastAsia="zh-CN"/>
              </w:rPr>
              <w:t>①</w:t>
            </w:r>
            <w:r>
              <w:rPr>
                <w:rFonts w:hint="eastAsia" w:ascii="宋体" w:hAnsi="宋体" w:cs="宋体"/>
                <w:sz w:val="24"/>
                <w:lang w:val="en-US" w:eastAsia="zh-CN"/>
              </w:rPr>
              <w:t>服务承诺</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7.5</w:t>
            </w:r>
            <w:r>
              <w:rPr>
                <w:rFonts w:hint="eastAsia" w:ascii="宋体" w:hAnsi="宋体" w:cs="宋体"/>
                <w:color w:val="000000"/>
                <w:sz w:val="24"/>
                <w:szCs w:val="24"/>
              </w:rPr>
              <w:t>分；</w:t>
            </w:r>
          </w:p>
          <w:p w14:paraId="2A65B60A">
            <w:pPr>
              <w:spacing w:line="480" w:lineRule="auto"/>
              <w:ind w:firstLine="480" w:firstLineChars="200"/>
              <w:jc w:val="left"/>
              <w:rPr>
                <w:rFonts w:hint="eastAsia" w:ascii="宋体" w:hAnsi="宋体" w:eastAsia="宋体" w:cs="宋体"/>
                <w:b/>
                <w:bCs/>
                <w:color w:val="auto"/>
                <w:sz w:val="24"/>
                <w:szCs w:val="24"/>
                <w:lang w:val="en-US" w:eastAsia="zh-CN"/>
              </w:rPr>
            </w:pPr>
            <w:r>
              <w:rPr>
                <w:rFonts w:hint="eastAsia" w:ascii="宋体" w:hAnsi="宋体" w:cs="宋体"/>
                <w:color w:val="000000"/>
                <w:sz w:val="24"/>
                <w:szCs w:val="24"/>
              </w:rPr>
              <w:t>②</w:t>
            </w:r>
            <w:r>
              <w:rPr>
                <w:rFonts w:hint="eastAsia" w:ascii="宋体" w:hAnsi="宋体" w:cs="宋体"/>
                <w:color w:val="000000"/>
                <w:sz w:val="24"/>
                <w:szCs w:val="24"/>
                <w:lang w:val="en-US" w:eastAsia="zh-CN"/>
              </w:rPr>
              <w:t>后续服务响应时间、响应速度及响应方式</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7.5</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53E669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7" w:hRule="atLeast"/>
          <w:jc w:val="center"/>
        </w:trPr>
        <w:tc>
          <w:tcPr>
            <w:tcW w:w="2037" w:type="dxa"/>
            <w:tcBorders>
              <w:top w:val="single" w:color="auto" w:sz="4" w:space="0"/>
              <w:right w:val="single" w:color="auto" w:sz="4" w:space="0"/>
            </w:tcBorders>
            <w:noWrap w:val="0"/>
            <w:vAlign w:val="center"/>
          </w:tcPr>
          <w:p w14:paraId="4F6AE231">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投标报价</w:t>
            </w:r>
          </w:p>
          <w:p w14:paraId="00F8FDE4">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2332" w:type="dxa"/>
            <w:tcBorders>
              <w:top w:val="single" w:color="auto" w:sz="4" w:space="0"/>
              <w:left w:val="nil"/>
              <w:right w:val="single" w:color="auto" w:sz="4" w:space="0"/>
            </w:tcBorders>
            <w:noWrap w:val="0"/>
            <w:vAlign w:val="center"/>
          </w:tcPr>
          <w:p w14:paraId="28A60F0C">
            <w:pPr>
              <w:spacing w:line="480" w:lineRule="auto"/>
              <w:ind w:firstLine="42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p w14:paraId="03FC64E8">
            <w:pPr>
              <w:spacing w:line="48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4501" w:type="dxa"/>
            <w:tcBorders>
              <w:top w:val="single" w:color="auto" w:sz="4" w:space="0"/>
              <w:left w:val="nil"/>
            </w:tcBorders>
            <w:noWrap w:val="0"/>
            <w:vAlign w:val="center"/>
          </w:tcPr>
          <w:p w14:paraId="5E64C46B">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满足招标文件要求且投标报价最低的投标报价为评标基准价，其价格分为满分。但最低报价并非唯一的中标评判因素。</w:t>
            </w:r>
          </w:p>
          <w:p w14:paraId="590CCC0E">
            <w:pPr>
              <w:spacing w:line="480" w:lineRule="auto"/>
              <w:ind w:firstLine="480" w:firstLineChars="200"/>
              <w:jc w:val="left"/>
              <w:rPr>
                <w:rFonts w:hint="eastAsia"/>
                <w:b/>
                <w:bCs/>
                <w:color w:val="auto"/>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其他投标人的价格分统一按照下列公式计算：投标报价得分＝（评标基准价/投标报价）×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p>
        </w:tc>
      </w:tr>
    </w:tbl>
    <w:p w14:paraId="087DC6BE">
      <w:pPr>
        <w:spacing w:line="360" w:lineRule="auto"/>
        <w:rPr>
          <w:rFonts w:hint="eastAsia" w:ascii="宋体" w:hAnsi="宋体" w:eastAsia="宋体" w:cs="宋体"/>
          <w:b/>
          <w:color w:val="000000"/>
          <w:sz w:val="24"/>
          <w:szCs w:val="24"/>
        </w:rPr>
      </w:pPr>
    </w:p>
    <w:p w14:paraId="53F0E073">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3.2.3确定投标人的有效报价：</w:t>
      </w:r>
    </w:p>
    <w:p w14:paraId="7A5EFFAB">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经初审合格的投标文件，其投标报价为有效投标报价。</w:t>
      </w:r>
    </w:p>
    <w:p w14:paraId="153C6816">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3.2.4确定评标基准价：</w:t>
      </w:r>
    </w:p>
    <w:p w14:paraId="681E7576">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sz w:val="24"/>
          <w:szCs w:val="24"/>
        </w:rPr>
      </w:pPr>
      <w:r>
        <w:rPr>
          <w:rFonts w:hint="eastAsia" w:ascii="宋体" w:hAnsi="宋体" w:eastAsia="宋体" w:cs="宋体"/>
          <w:bCs/>
          <w:color w:val="000000"/>
          <w:sz w:val="24"/>
          <w:szCs w:val="24"/>
        </w:rPr>
        <w:t>满足招标文件要求且报价最低的为评标基准价。</w:t>
      </w:r>
    </w:p>
    <w:p w14:paraId="35F44488">
      <w:pPr>
        <w:keepNext w:val="0"/>
        <w:keepLines w:val="0"/>
        <w:pageBreakBefore w:val="0"/>
        <w:widowControl w:val="0"/>
        <w:tabs>
          <w:tab w:val="left" w:pos="6060"/>
        </w:tabs>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4" w:name="_Toc343511794"/>
      <w:r>
        <w:rPr>
          <w:rFonts w:hint="eastAsia" w:ascii="宋体" w:hAnsi="宋体" w:eastAsia="宋体" w:cs="宋体"/>
          <w:b/>
          <w:color w:val="000000"/>
          <w:sz w:val="24"/>
          <w:szCs w:val="24"/>
        </w:rPr>
        <w:t>3.2.5投标报价评审：</w:t>
      </w:r>
      <w:bookmarkEnd w:id="674"/>
      <w:r>
        <w:rPr>
          <w:rFonts w:hint="eastAsia" w:ascii="宋体" w:hAnsi="宋体" w:eastAsia="宋体" w:cs="宋体"/>
          <w:b/>
          <w:color w:val="000000"/>
          <w:sz w:val="24"/>
          <w:szCs w:val="24"/>
        </w:rPr>
        <w:t>（总分为</w:t>
      </w: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0分）</w:t>
      </w:r>
    </w:p>
    <w:p w14:paraId="70849721">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5" w:name="_Toc343511804"/>
      <w:r>
        <w:rPr>
          <w:rFonts w:hint="eastAsia" w:ascii="宋体" w:hAnsi="宋体" w:eastAsia="宋体" w:cs="宋体"/>
          <w:b/>
          <w:color w:val="000000"/>
          <w:sz w:val="24"/>
          <w:szCs w:val="24"/>
        </w:rPr>
        <w:t>3.2.6汇总上述技术部分和商务部分及投标报价得分，按综合得分由高到低的顺序排序。</w:t>
      </w:r>
      <w:bookmarkEnd w:id="675"/>
    </w:p>
    <w:p w14:paraId="50AD85D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6" w:name="_Toc343511805"/>
      <w:r>
        <w:rPr>
          <w:rFonts w:hint="eastAsia" w:ascii="宋体" w:hAnsi="宋体" w:eastAsia="宋体" w:cs="宋体"/>
          <w:b/>
          <w:color w:val="000000"/>
          <w:sz w:val="24"/>
          <w:szCs w:val="24"/>
        </w:rPr>
        <w:t>3.2.7确定中标投标人：</w:t>
      </w:r>
      <w:bookmarkEnd w:id="676"/>
    </w:p>
    <w:p w14:paraId="6F917F32">
      <w:pPr>
        <w:keepNext w:val="0"/>
        <w:keepLines w:val="0"/>
        <w:pageBreakBefore w:val="0"/>
        <w:widowControl w:val="0"/>
        <w:kinsoku/>
        <w:wordWrap/>
        <w:topLinePunct w:val="0"/>
        <w:autoSpaceDE/>
        <w:autoSpaceDN/>
        <w:bidi w:val="0"/>
        <w:adjustRightInd/>
        <w:spacing w:line="600" w:lineRule="exact"/>
        <w:ind w:firstLine="472" w:firstLineChars="196"/>
        <w:rPr>
          <w:rFonts w:hint="eastAsia" w:ascii="宋体" w:hAnsi="宋体" w:eastAsia="宋体" w:cs="宋体"/>
          <w:color w:val="000000"/>
          <w:sz w:val="24"/>
          <w:szCs w:val="24"/>
        </w:rPr>
      </w:pPr>
      <w:bookmarkStart w:id="677" w:name="_Toc343511806"/>
      <w:bookmarkStart w:id="678" w:name="_Toc343511807"/>
      <w:r>
        <w:rPr>
          <w:rFonts w:hint="eastAsia" w:ascii="宋体" w:hAnsi="宋体" w:eastAsia="宋体" w:cs="宋体"/>
          <w:b/>
          <w:bCs/>
          <w:color w:val="000000"/>
          <w:sz w:val="24"/>
          <w:szCs w:val="24"/>
          <w:u w:val="single"/>
        </w:rPr>
        <w:t>综合得分</w:t>
      </w:r>
      <w:r>
        <w:rPr>
          <w:rFonts w:hint="eastAsia" w:ascii="宋体" w:hAnsi="宋体" w:eastAsia="宋体" w:cs="宋体"/>
          <w:b/>
          <w:color w:val="000000"/>
          <w:sz w:val="24"/>
          <w:szCs w:val="24"/>
          <w:u w:val="single"/>
        </w:rPr>
        <w:t>排序第一的投标人为中标候选投标人即为中标投标人。中标投标人投标报价为中标价即为合同价</w:t>
      </w:r>
      <w:r>
        <w:rPr>
          <w:rFonts w:hint="eastAsia" w:ascii="宋体" w:hAnsi="宋体" w:eastAsia="宋体" w:cs="宋体"/>
          <w:color w:val="000000"/>
          <w:sz w:val="24"/>
          <w:szCs w:val="24"/>
        </w:rPr>
        <w:t>。</w:t>
      </w:r>
      <w:bookmarkEnd w:id="677"/>
    </w:p>
    <w:p w14:paraId="31AD082A">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当确定的中标投标人放弃中标或不能够履行投标文件承诺的条款，中标投标人按排名顺序依次递补。</w:t>
      </w:r>
      <w:bookmarkEnd w:id="678"/>
    </w:p>
    <w:p w14:paraId="69A71012">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9" w:name="_Toc343511808"/>
      <w:r>
        <w:rPr>
          <w:rFonts w:hint="eastAsia" w:ascii="宋体" w:hAnsi="宋体" w:eastAsia="宋体" w:cs="宋体"/>
          <w:b/>
          <w:color w:val="000000"/>
          <w:sz w:val="24"/>
          <w:szCs w:val="24"/>
        </w:rPr>
        <w:t>3.2.8其他情况：</w:t>
      </w:r>
      <w:bookmarkEnd w:id="679"/>
    </w:p>
    <w:p w14:paraId="583D29D1">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0" w:name="_Toc343511810"/>
      <w:r>
        <w:rPr>
          <w:rFonts w:hint="eastAsia" w:ascii="宋体" w:hAnsi="宋体" w:eastAsia="宋体" w:cs="宋体"/>
          <w:bCs/>
          <w:color w:val="000000"/>
          <w:sz w:val="24"/>
          <w:szCs w:val="24"/>
        </w:rPr>
        <w:t>综合得分并列时，比较投标报价，此分项得分高者排序靠前；若投标报价得分仍相同，比较投标人技术标得分；如仍相同，则由评委无记名投票，以得票高低确定排序先后。</w:t>
      </w:r>
    </w:p>
    <w:p w14:paraId="3BBA3C40">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评标中采用插入法计算保留小数点后两位，第三位四舍五入。</w:t>
      </w:r>
      <w:bookmarkEnd w:id="680"/>
    </w:p>
    <w:p w14:paraId="3AAF225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1" w:name="_Toc343511811"/>
      <w:r>
        <w:rPr>
          <w:rFonts w:hint="eastAsia" w:ascii="宋体" w:hAnsi="宋体" w:eastAsia="宋体" w:cs="宋体"/>
          <w:bCs/>
          <w:color w:val="000000"/>
          <w:sz w:val="24"/>
          <w:szCs w:val="24"/>
        </w:rPr>
        <w:t>本办法由采购人负责解释，未尽事宜执行有关规定</w:t>
      </w:r>
      <w:bookmarkEnd w:id="681"/>
    </w:p>
    <w:p w14:paraId="5A72F4E7">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82" w:name="_Toc144974575"/>
      <w:bookmarkStart w:id="683" w:name="_Toc152042385"/>
      <w:bookmarkStart w:id="684" w:name="_Toc397410477"/>
      <w:bookmarkStart w:id="685" w:name="_Toc397410664"/>
      <w:bookmarkStart w:id="686" w:name="_Toc343511812"/>
      <w:bookmarkStart w:id="687" w:name="_Toc490171558"/>
      <w:bookmarkStart w:id="688" w:name="_Toc246996993"/>
      <w:bookmarkStart w:id="689" w:name="_Toc179632625"/>
      <w:bookmarkStart w:id="690" w:name="_Toc361406358"/>
      <w:bookmarkStart w:id="691" w:name="_Toc361406437"/>
      <w:bookmarkStart w:id="692" w:name="_Toc247085765"/>
      <w:bookmarkStart w:id="693" w:name="_Toc490171399"/>
      <w:bookmarkStart w:id="694" w:name="_Toc397585244"/>
      <w:bookmarkStart w:id="695" w:name="_Toc397585175"/>
      <w:bookmarkStart w:id="696" w:name="_Toc152045607"/>
      <w:bookmarkStart w:id="697" w:name="_Toc246996250"/>
      <w:bookmarkStart w:id="698" w:name="_Toc456197093"/>
      <w:bookmarkStart w:id="699" w:name="_Toc395711825"/>
      <w:bookmarkStart w:id="700" w:name="_Toc394320906"/>
      <w:r>
        <w:rPr>
          <w:rFonts w:hint="eastAsia" w:ascii="宋体" w:hAnsi="宋体" w:eastAsia="宋体" w:cs="宋体"/>
          <w:b/>
          <w:color w:val="000000"/>
          <w:sz w:val="24"/>
          <w:szCs w:val="24"/>
        </w:rPr>
        <w:t>3.3 投标文件的澄清</w:t>
      </w:r>
      <w:bookmarkEnd w:id="682"/>
      <w:r>
        <w:rPr>
          <w:rFonts w:hint="eastAsia" w:ascii="宋体" w:hAnsi="宋体" w:eastAsia="宋体" w:cs="宋体"/>
          <w:b/>
          <w:color w:val="000000"/>
          <w:sz w:val="24"/>
          <w:szCs w:val="24"/>
        </w:rPr>
        <w:t>和补正</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322979CB">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1" w:name="_Toc343511813"/>
      <w:r>
        <w:rPr>
          <w:rFonts w:hint="eastAsia" w:ascii="宋体" w:hAnsi="宋体" w:eastAsia="宋体" w:cs="宋体"/>
          <w:color w:val="000000"/>
          <w:sz w:val="24"/>
          <w:szCs w:val="24"/>
        </w:rPr>
        <w:t>3.3.1在评标过程中，评标委员会可以书面形式要求投标人对所提交投标文件中不明确的内容进行书面澄清或说明，或者对细微偏差进行补正。评标委员会不接受投标人主动提出的澄清、说明或补正。</w:t>
      </w:r>
      <w:bookmarkEnd w:id="701"/>
    </w:p>
    <w:p w14:paraId="1F3ADB4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2" w:name="_Toc343511814"/>
      <w:r>
        <w:rPr>
          <w:rFonts w:hint="eastAsia" w:ascii="宋体" w:hAnsi="宋体" w:eastAsia="宋体" w:cs="宋体"/>
          <w:color w:val="000000"/>
          <w:sz w:val="24"/>
          <w:szCs w:val="24"/>
        </w:rPr>
        <w:t>3.3.2 澄清、说明和补正不得改变投标文件的实质性内容（算术性错误修正的除外）。投标人的书面澄清、说明和补正属于投标文件的组成部分。</w:t>
      </w:r>
      <w:bookmarkEnd w:id="702"/>
    </w:p>
    <w:p w14:paraId="7C7F7336">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3" w:name="_Toc343511815"/>
      <w:r>
        <w:rPr>
          <w:rFonts w:hint="eastAsia" w:ascii="宋体" w:hAnsi="宋体" w:eastAsia="宋体" w:cs="宋体"/>
          <w:color w:val="000000"/>
          <w:sz w:val="24"/>
          <w:szCs w:val="24"/>
        </w:rPr>
        <w:t>3.3.3 评标委员会对投标人提交的澄清、说明或补正有疑问的，可以要求投标人进一步澄清、说明或补正，直至满足评标委员会的要求。</w:t>
      </w:r>
      <w:bookmarkEnd w:id="703"/>
    </w:p>
    <w:p w14:paraId="20A19F5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704" w:name="_Toc490171559"/>
      <w:bookmarkStart w:id="705" w:name="_Toc490171400"/>
      <w:bookmarkStart w:id="706" w:name="_Toc456197094"/>
      <w:bookmarkStart w:id="707" w:name="_Toc144974576"/>
      <w:bookmarkStart w:id="708" w:name="_Toc247085766"/>
      <w:bookmarkStart w:id="709" w:name="_Toc397410665"/>
      <w:bookmarkStart w:id="710" w:name="_Toc397585245"/>
      <w:bookmarkStart w:id="711" w:name="_Toc152045608"/>
      <w:bookmarkStart w:id="712" w:name="_Toc394320907"/>
      <w:bookmarkStart w:id="713" w:name="_Toc152042386"/>
      <w:bookmarkStart w:id="714" w:name="_Toc179632626"/>
      <w:bookmarkStart w:id="715" w:name="_Toc397410478"/>
      <w:bookmarkStart w:id="716" w:name="_Toc246996994"/>
      <w:bookmarkStart w:id="717" w:name="_Toc395711826"/>
      <w:bookmarkStart w:id="718" w:name="_Toc361406359"/>
      <w:bookmarkStart w:id="719" w:name="_Toc343511816"/>
      <w:bookmarkStart w:id="720" w:name="_Toc246996251"/>
      <w:bookmarkStart w:id="721" w:name="_Toc361406438"/>
      <w:bookmarkStart w:id="722" w:name="_Toc397585176"/>
      <w:r>
        <w:rPr>
          <w:rFonts w:hint="eastAsia" w:ascii="宋体" w:hAnsi="宋体" w:eastAsia="宋体" w:cs="宋体"/>
          <w:b/>
          <w:color w:val="000000"/>
          <w:sz w:val="24"/>
          <w:szCs w:val="24"/>
        </w:rPr>
        <w:t>3.4 评标结果</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385D85E">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23" w:name="_Toc343511817"/>
      <w:r>
        <w:rPr>
          <w:rFonts w:hint="eastAsia" w:ascii="宋体" w:hAnsi="宋体" w:eastAsia="宋体" w:cs="宋体"/>
          <w:color w:val="000000"/>
          <w:sz w:val="24"/>
          <w:szCs w:val="24"/>
        </w:rPr>
        <w:t>3.4.1评标委员会按照得分由高到低的顺序推荐前三名为</w:t>
      </w:r>
      <w:bookmarkEnd w:id="723"/>
      <w:r>
        <w:rPr>
          <w:rFonts w:hint="eastAsia" w:ascii="宋体" w:hAnsi="宋体" w:eastAsia="宋体" w:cs="宋体"/>
          <w:color w:val="000000"/>
          <w:sz w:val="24"/>
          <w:szCs w:val="24"/>
        </w:rPr>
        <w:t>中标候选投标人。</w:t>
      </w:r>
    </w:p>
    <w:p w14:paraId="1C3A7543">
      <w:pPr>
        <w:keepNext w:val="0"/>
        <w:keepLines w:val="0"/>
        <w:pageBreakBefore w:val="0"/>
        <w:widowControl w:val="0"/>
        <w:kinsoku/>
        <w:wordWrap/>
        <w:topLinePunct w:val="0"/>
        <w:autoSpaceDE/>
        <w:autoSpaceDN/>
        <w:bidi w:val="0"/>
        <w:adjustRightInd/>
        <w:spacing w:line="600" w:lineRule="exact"/>
        <w:ind w:firstLine="420"/>
        <w:rPr>
          <w:rFonts w:hint="eastAsia" w:ascii="宋体" w:hAnsi="宋体" w:eastAsia="宋体" w:cs="宋体"/>
          <w:dstrike/>
          <w:color w:val="000000"/>
          <w:sz w:val="24"/>
          <w:szCs w:val="24"/>
        </w:rPr>
      </w:pPr>
      <w:r>
        <w:rPr>
          <w:rFonts w:hint="eastAsia" w:ascii="宋体" w:hAnsi="宋体" w:eastAsia="宋体" w:cs="宋体"/>
          <w:color w:val="000000"/>
          <w:sz w:val="24"/>
          <w:szCs w:val="24"/>
        </w:rPr>
        <w:t>3.4.2 评标委员会完成评标后，应当向采购人提交书面评标报告。</w:t>
      </w:r>
    </w:p>
    <w:bookmarkEnd w:id="487"/>
    <w:bookmarkEnd w:id="488"/>
    <w:bookmarkEnd w:id="489"/>
    <w:bookmarkEnd w:id="490"/>
    <w:bookmarkEnd w:id="491"/>
    <w:bookmarkEnd w:id="492"/>
    <w:bookmarkEnd w:id="493"/>
    <w:bookmarkEnd w:id="673"/>
    <w:p w14:paraId="2EA9EB6A">
      <w:pPr>
        <w:spacing w:line="600" w:lineRule="exact"/>
        <w:ind w:firstLine="482" w:firstLineChars="200"/>
        <w:rPr>
          <w:rFonts w:hint="eastAsia" w:ascii="宋体" w:hAnsi="宋体" w:cs="宋体"/>
          <w:b/>
          <w:color w:val="000000"/>
          <w:sz w:val="24"/>
          <w:szCs w:val="24"/>
        </w:rPr>
      </w:pPr>
      <w:bookmarkStart w:id="724" w:name="_Toc24896"/>
      <w:bookmarkStart w:id="725" w:name="_Toc1441"/>
      <w:bookmarkStart w:id="726" w:name="_Toc30173"/>
      <w:bookmarkStart w:id="727" w:name="_Toc22517"/>
      <w:bookmarkStart w:id="728" w:name="_Toc526842116"/>
      <w:r>
        <w:rPr>
          <w:rFonts w:hint="eastAsia" w:ascii="宋体" w:hAnsi="宋体" w:cs="宋体"/>
          <w:b/>
          <w:color w:val="000000"/>
          <w:sz w:val="24"/>
          <w:szCs w:val="24"/>
        </w:rPr>
        <w:t>4.需要落实的政府采购政策</w:t>
      </w:r>
      <w:bookmarkEnd w:id="724"/>
      <w:bookmarkEnd w:id="725"/>
      <w:bookmarkEnd w:id="726"/>
      <w:bookmarkEnd w:id="727"/>
    </w:p>
    <w:p w14:paraId="67CFA254">
      <w:pPr>
        <w:tabs>
          <w:tab w:val="left" w:pos="1575"/>
        </w:tabs>
        <w:overflowPunct w:val="0"/>
        <w:spacing w:line="600" w:lineRule="exact"/>
        <w:ind w:firstLine="482" w:firstLineChars="200"/>
        <w:rPr>
          <w:rFonts w:hint="eastAsia" w:ascii="宋体" w:hAnsi="宋体" w:cs="宋体"/>
          <w:b/>
          <w:sz w:val="24"/>
          <w:szCs w:val="24"/>
        </w:rPr>
      </w:pPr>
      <w:bookmarkStart w:id="729" w:name="_Toc27288"/>
      <w:bookmarkStart w:id="730" w:name="_Toc6400"/>
      <w:bookmarkStart w:id="731" w:name="_Toc18527"/>
      <w:bookmarkStart w:id="732" w:name="_Toc23303"/>
      <w:bookmarkStart w:id="733" w:name="_Toc5624"/>
      <w:r>
        <w:rPr>
          <w:rFonts w:hint="eastAsia" w:ascii="宋体" w:hAnsi="宋体" w:cs="宋体"/>
          <w:b/>
          <w:sz w:val="24"/>
          <w:szCs w:val="24"/>
        </w:rPr>
        <w:t>1.《政府采购促进中小企业发展管理办法》的通知（财库〔2020〕46号）</w:t>
      </w:r>
      <w:bookmarkEnd w:id="729"/>
      <w:bookmarkEnd w:id="730"/>
      <w:r>
        <w:rPr>
          <w:rFonts w:hint="eastAsia" w:ascii="宋体" w:hAnsi="宋体" w:cs="宋体"/>
          <w:b/>
          <w:sz w:val="24"/>
          <w:szCs w:val="24"/>
        </w:rPr>
        <w:t>。</w:t>
      </w:r>
      <w:bookmarkEnd w:id="731"/>
      <w:bookmarkEnd w:id="732"/>
      <w:bookmarkEnd w:id="733"/>
    </w:p>
    <w:p w14:paraId="555899F4">
      <w:pPr>
        <w:tabs>
          <w:tab w:val="left" w:pos="1575"/>
        </w:tabs>
        <w:overflowPunct w:val="0"/>
        <w:spacing w:line="600" w:lineRule="exact"/>
        <w:ind w:firstLine="480" w:firstLineChars="200"/>
        <w:rPr>
          <w:rFonts w:hint="eastAsia" w:ascii="宋体" w:hAnsi="宋体" w:cs="宋体"/>
          <w:bCs/>
          <w:sz w:val="24"/>
          <w:szCs w:val="24"/>
        </w:rPr>
      </w:pPr>
      <w:bookmarkStart w:id="734" w:name="_Toc10056"/>
      <w:bookmarkStart w:id="735" w:name="_Toc26075"/>
      <w:bookmarkStart w:id="736" w:name="_Toc28308"/>
      <w:bookmarkStart w:id="737" w:name="_Toc2618"/>
      <w:bookmarkStart w:id="738" w:name="_Toc15061"/>
      <w:r>
        <w:rPr>
          <w:rFonts w:hint="eastAsia" w:ascii="宋体" w:hAnsi="宋体" w:cs="宋体"/>
          <w:bCs/>
          <w:sz w:val="24"/>
          <w:szCs w:val="24"/>
        </w:rPr>
        <w:t>在政府采购活动中，供应商提供的货物、工程或者服务符合下列情形的，享受《办法》规定的中小企业扶持政策:</w:t>
      </w:r>
      <w:bookmarkEnd w:id="734"/>
      <w:bookmarkEnd w:id="735"/>
      <w:bookmarkEnd w:id="736"/>
      <w:bookmarkEnd w:id="737"/>
      <w:bookmarkEnd w:id="738"/>
    </w:p>
    <w:p w14:paraId="605CCB89">
      <w:pPr>
        <w:tabs>
          <w:tab w:val="left" w:pos="1575"/>
        </w:tabs>
        <w:overflowPunct w:val="0"/>
        <w:spacing w:line="600" w:lineRule="exact"/>
        <w:ind w:firstLine="480" w:firstLineChars="200"/>
        <w:rPr>
          <w:rFonts w:hint="eastAsia" w:ascii="宋体" w:hAnsi="宋体" w:cs="宋体"/>
          <w:bCs/>
          <w:sz w:val="24"/>
          <w:szCs w:val="24"/>
        </w:rPr>
      </w:pPr>
      <w:bookmarkStart w:id="739" w:name="_Toc13553"/>
      <w:bookmarkStart w:id="740" w:name="_Toc29610"/>
      <w:bookmarkStart w:id="741" w:name="_Toc12926"/>
      <w:bookmarkStart w:id="742" w:name="_Toc13145"/>
      <w:bookmarkStart w:id="743" w:name="_Toc3750"/>
      <w:r>
        <w:rPr>
          <w:rFonts w:hint="eastAsia" w:ascii="宋体" w:hAnsi="宋体" w:cs="宋体"/>
          <w:bCs/>
          <w:sz w:val="24"/>
          <w:szCs w:val="24"/>
        </w:rPr>
        <w:t>(一)在货物采购项目中，货物由中小企业制造，即货物由中小企业生产且使用该中小企业商号或者注册商标；</w:t>
      </w:r>
      <w:bookmarkEnd w:id="739"/>
      <w:bookmarkEnd w:id="740"/>
      <w:bookmarkEnd w:id="741"/>
      <w:bookmarkEnd w:id="742"/>
      <w:bookmarkEnd w:id="743"/>
    </w:p>
    <w:p w14:paraId="7344A733">
      <w:pPr>
        <w:tabs>
          <w:tab w:val="left" w:pos="1575"/>
        </w:tabs>
        <w:overflowPunct w:val="0"/>
        <w:spacing w:line="600" w:lineRule="exact"/>
        <w:ind w:firstLine="480" w:firstLineChars="200"/>
        <w:rPr>
          <w:rFonts w:hint="eastAsia" w:ascii="宋体" w:hAnsi="宋体" w:cs="宋体"/>
          <w:bCs/>
          <w:sz w:val="24"/>
          <w:szCs w:val="24"/>
        </w:rPr>
      </w:pPr>
      <w:bookmarkStart w:id="744" w:name="_Toc5972"/>
      <w:bookmarkStart w:id="745" w:name="_Toc27737"/>
      <w:bookmarkStart w:id="746" w:name="_Toc98"/>
      <w:bookmarkStart w:id="747" w:name="_Toc10777"/>
      <w:bookmarkStart w:id="748" w:name="_Toc2212"/>
      <w:r>
        <w:rPr>
          <w:rFonts w:hint="eastAsia" w:ascii="宋体" w:hAnsi="宋体" w:cs="宋体"/>
          <w:bCs/>
          <w:sz w:val="24"/>
          <w:szCs w:val="24"/>
        </w:rPr>
        <w:t>(二)在工程采购项目中，工程由中小企业承建，即工程施工单位为中小企业；</w:t>
      </w:r>
      <w:bookmarkEnd w:id="744"/>
      <w:bookmarkEnd w:id="745"/>
      <w:bookmarkEnd w:id="746"/>
      <w:bookmarkEnd w:id="747"/>
      <w:bookmarkEnd w:id="748"/>
    </w:p>
    <w:p w14:paraId="4CF3EB46">
      <w:pPr>
        <w:tabs>
          <w:tab w:val="left" w:pos="1575"/>
        </w:tabs>
        <w:overflowPunct w:val="0"/>
        <w:spacing w:line="600" w:lineRule="exact"/>
        <w:ind w:firstLine="480" w:firstLineChars="200"/>
        <w:rPr>
          <w:rFonts w:hint="eastAsia" w:ascii="宋体" w:hAnsi="宋体" w:cs="宋体"/>
          <w:bCs/>
          <w:sz w:val="24"/>
          <w:szCs w:val="24"/>
        </w:rPr>
      </w:pPr>
      <w:bookmarkStart w:id="749" w:name="_Toc13181"/>
      <w:bookmarkStart w:id="750" w:name="_Toc31732"/>
      <w:bookmarkStart w:id="751" w:name="_Toc14952"/>
      <w:bookmarkStart w:id="752" w:name="_Toc30603"/>
      <w:bookmarkStart w:id="753" w:name="_Toc2676"/>
      <w:r>
        <w:rPr>
          <w:rFonts w:hint="eastAsia" w:ascii="宋体" w:hAnsi="宋体" w:cs="宋体"/>
          <w:bCs/>
          <w:sz w:val="24"/>
          <w:szCs w:val="24"/>
        </w:rPr>
        <w:t>(三)在服务采购项目中，服务由中小企业承接，即提供服务的人员为中小企业依照《中华人民共和国劳动合同法》订立劳动合同的从业人员。</w:t>
      </w:r>
      <w:bookmarkEnd w:id="749"/>
      <w:bookmarkEnd w:id="750"/>
      <w:bookmarkEnd w:id="751"/>
      <w:bookmarkEnd w:id="752"/>
      <w:bookmarkEnd w:id="753"/>
    </w:p>
    <w:p w14:paraId="287A3E77">
      <w:pPr>
        <w:tabs>
          <w:tab w:val="left" w:pos="1575"/>
        </w:tabs>
        <w:overflowPunct w:val="0"/>
        <w:spacing w:line="600" w:lineRule="exact"/>
        <w:ind w:firstLine="480" w:firstLineChars="200"/>
        <w:rPr>
          <w:rFonts w:hint="eastAsia" w:ascii="宋体" w:hAnsi="宋体" w:cs="宋体"/>
          <w:bCs/>
          <w:sz w:val="24"/>
          <w:szCs w:val="24"/>
        </w:rPr>
      </w:pPr>
      <w:bookmarkStart w:id="754" w:name="_Toc21217"/>
      <w:bookmarkStart w:id="755" w:name="_Toc28280"/>
      <w:bookmarkStart w:id="756" w:name="_Toc31982"/>
      <w:bookmarkStart w:id="757" w:name="_Toc31112"/>
      <w:bookmarkStart w:id="758" w:name="_Toc9186"/>
      <w:r>
        <w:rPr>
          <w:rFonts w:hint="eastAsia" w:ascii="宋体" w:hAnsi="宋体" w:cs="宋体"/>
          <w:bCs/>
          <w:sz w:val="24"/>
          <w:szCs w:val="24"/>
        </w:rPr>
        <w:t>在货物采购项目中，供应商提供的货物既有中小企业制造货物，也有大型企业制造货物的，不享受《办法》规定的中小企业扶持政策。</w:t>
      </w:r>
      <w:bookmarkEnd w:id="754"/>
      <w:bookmarkEnd w:id="755"/>
      <w:bookmarkEnd w:id="756"/>
      <w:bookmarkEnd w:id="757"/>
      <w:bookmarkEnd w:id="758"/>
    </w:p>
    <w:p w14:paraId="747CDDDD">
      <w:pPr>
        <w:tabs>
          <w:tab w:val="left" w:pos="1575"/>
        </w:tabs>
        <w:overflowPunct w:val="0"/>
        <w:spacing w:line="600" w:lineRule="exact"/>
        <w:ind w:firstLine="480" w:firstLineChars="200"/>
        <w:rPr>
          <w:rFonts w:hint="eastAsia" w:ascii="宋体" w:hAnsi="宋体" w:cs="宋体"/>
          <w:bCs/>
          <w:sz w:val="24"/>
          <w:szCs w:val="24"/>
        </w:rPr>
      </w:pPr>
      <w:bookmarkStart w:id="759" w:name="_Toc23925"/>
      <w:bookmarkStart w:id="760" w:name="_Toc12766"/>
      <w:bookmarkStart w:id="761" w:name="_Toc6020"/>
      <w:bookmarkStart w:id="762" w:name="_Toc28678"/>
      <w:bookmarkStart w:id="763" w:name="_Toc18434"/>
      <w:r>
        <w:rPr>
          <w:rFonts w:hint="eastAsia" w:ascii="宋体" w:hAnsi="宋体" w:cs="宋体"/>
          <w:bCs/>
          <w:sz w:val="24"/>
          <w:szCs w:val="24"/>
        </w:rPr>
        <w:t>以联合体形式参加政府采购活动，联合体各方均为中小企业的，联合体视同中小企业。其中，联合体各方均为小微企业的，联合体视同小微企业。</w:t>
      </w:r>
      <w:bookmarkEnd w:id="759"/>
      <w:bookmarkEnd w:id="760"/>
      <w:bookmarkEnd w:id="761"/>
      <w:bookmarkEnd w:id="762"/>
      <w:bookmarkEnd w:id="763"/>
    </w:p>
    <w:p w14:paraId="1A95C846">
      <w:pPr>
        <w:tabs>
          <w:tab w:val="left" w:pos="1575"/>
        </w:tabs>
        <w:overflowPunct w:val="0"/>
        <w:spacing w:line="600" w:lineRule="exact"/>
        <w:ind w:firstLine="480" w:firstLineChars="200"/>
        <w:rPr>
          <w:rFonts w:hint="eastAsia" w:ascii="宋体" w:hAnsi="宋体" w:cs="宋体"/>
          <w:bCs/>
          <w:sz w:val="24"/>
          <w:szCs w:val="24"/>
        </w:rPr>
      </w:pPr>
      <w:bookmarkStart w:id="764" w:name="_Toc28971"/>
      <w:bookmarkStart w:id="765" w:name="_Toc24099"/>
      <w:bookmarkStart w:id="766" w:name="_Toc1848"/>
      <w:bookmarkStart w:id="767" w:name="_Toc17492"/>
      <w:bookmarkStart w:id="768" w:name="_Toc9423"/>
      <w:r>
        <w:rPr>
          <w:rFonts w:hint="eastAsia" w:ascii="宋体" w:hAnsi="宋体" w:cs="宋体"/>
          <w:bCs/>
          <w:sz w:val="24"/>
          <w:szCs w:val="24"/>
        </w:rPr>
        <w:t>依据《办法》规定享受扶持政策获得政府采购合同的，小微企业不得将合同分包给大中型企业，中型企业不得将合同分包给大型企业。</w:t>
      </w:r>
      <w:bookmarkEnd w:id="764"/>
      <w:bookmarkEnd w:id="765"/>
      <w:bookmarkEnd w:id="766"/>
      <w:bookmarkEnd w:id="767"/>
      <w:bookmarkEnd w:id="768"/>
    </w:p>
    <w:p w14:paraId="6EEC2451">
      <w:pPr>
        <w:tabs>
          <w:tab w:val="left" w:pos="1575"/>
        </w:tabs>
        <w:overflowPunct w:val="0"/>
        <w:spacing w:line="600" w:lineRule="exact"/>
        <w:ind w:firstLine="480" w:firstLineChars="200"/>
        <w:rPr>
          <w:rFonts w:hint="eastAsia" w:ascii="宋体" w:hAnsi="宋体" w:cs="宋体"/>
          <w:bCs/>
          <w:sz w:val="24"/>
          <w:szCs w:val="24"/>
        </w:rPr>
      </w:pPr>
      <w:bookmarkStart w:id="769" w:name="_Toc7194"/>
      <w:bookmarkStart w:id="770" w:name="_Toc26091"/>
      <w:bookmarkStart w:id="771" w:name="_Toc12812"/>
      <w:bookmarkStart w:id="772" w:name="_Toc26502"/>
      <w:bookmarkStart w:id="773" w:name="_Toc4775"/>
      <w:r>
        <w:rPr>
          <w:rFonts w:hint="eastAsia" w:ascii="宋体" w:hAnsi="宋体" w:cs="宋体"/>
          <w:bCs/>
          <w:sz w:val="24"/>
          <w:szCs w:val="24"/>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769"/>
      <w:bookmarkEnd w:id="770"/>
      <w:bookmarkEnd w:id="771"/>
      <w:bookmarkEnd w:id="772"/>
      <w:bookmarkEnd w:id="773"/>
    </w:p>
    <w:p w14:paraId="2DBEFD2B">
      <w:pPr>
        <w:tabs>
          <w:tab w:val="left" w:pos="1575"/>
        </w:tabs>
        <w:overflowPunct w:val="0"/>
        <w:spacing w:line="600" w:lineRule="exact"/>
        <w:ind w:firstLine="480" w:firstLineChars="200"/>
        <w:rPr>
          <w:rFonts w:hint="eastAsia" w:ascii="宋体" w:hAnsi="宋体" w:cs="宋体"/>
          <w:bCs/>
          <w:sz w:val="24"/>
          <w:szCs w:val="24"/>
        </w:rPr>
      </w:pPr>
      <w:bookmarkStart w:id="774" w:name="_Toc10392"/>
      <w:bookmarkStart w:id="775" w:name="_Toc4731"/>
      <w:bookmarkStart w:id="776" w:name="_Toc29579"/>
      <w:bookmarkStart w:id="777" w:name="_Toc2963"/>
      <w:bookmarkStart w:id="778" w:name="_Toc28497"/>
      <w:r>
        <w:rPr>
          <w:rFonts w:hint="eastAsia" w:ascii="宋体" w:hAnsi="宋体" w:cs="宋体"/>
          <w:bCs/>
          <w:sz w:val="24"/>
          <w:szCs w:val="24"/>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774"/>
      <w:bookmarkEnd w:id="775"/>
      <w:bookmarkEnd w:id="776"/>
      <w:bookmarkEnd w:id="777"/>
      <w:bookmarkEnd w:id="778"/>
    </w:p>
    <w:p w14:paraId="76B6F023">
      <w:pPr>
        <w:tabs>
          <w:tab w:val="left" w:pos="1575"/>
        </w:tabs>
        <w:overflowPunct w:val="0"/>
        <w:spacing w:line="600" w:lineRule="exact"/>
        <w:ind w:firstLine="480" w:firstLineChars="200"/>
        <w:rPr>
          <w:rFonts w:hint="eastAsia" w:ascii="宋体" w:hAnsi="宋体" w:cs="宋体"/>
          <w:bCs/>
          <w:sz w:val="24"/>
          <w:szCs w:val="24"/>
        </w:rPr>
      </w:pPr>
      <w:bookmarkStart w:id="779" w:name="_Toc12101"/>
      <w:bookmarkStart w:id="780" w:name="_Toc2434"/>
      <w:bookmarkStart w:id="781" w:name="_Toc11983"/>
      <w:bookmarkStart w:id="782" w:name="_Toc25557"/>
      <w:bookmarkStart w:id="783" w:name="_Toc10033"/>
      <w:r>
        <w:rPr>
          <w:rFonts w:hint="eastAsia" w:ascii="宋体" w:hAnsi="宋体" w:cs="宋体"/>
          <w:bCs/>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779"/>
      <w:bookmarkEnd w:id="780"/>
      <w:bookmarkEnd w:id="781"/>
      <w:bookmarkEnd w:id="782"/>
      <w:bookmarkEnd w:id="783"/>
    </w:p>
    <w:p w14:paraId="00938A12">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在政府采购活动中，残疾人福利性单位、监狱企业视同小型、微型企业，不重复享受政策。</w:t>
      </w:r>
    </w:p>
    <w:p w14:paraId="3D7DA902">
      <w:pPr>
        <w:tabs>
          <w:tab w:val="left" w:pos="1575"/>
        </w:tabs>
        <w:overflowPunct w:val="0"/>
        <w:spacing w:line="600" w:lineRule="exact"/>
        <w:ind w:firstLine="482" w:firstLineChars="200"/>
        <w:rPr>
          <w:rFonts w:hint="eastAsia" w:ascii="宋体" w:hAnsi="宋体" w:cs="宋体"/>
          <w:b/>
          <w:sz w:val="24"/>
          <w:szCs w:val="24"/>
        </w:rPr>
      </w:pPr>
      <w:bookmarkStart w:id="784" w:name="_Toc10110"/>
      <w:bookmarkStart w:id="785" w:name="_Toc12159"/>
      <w:bookmarkStart w:id="786" w:name="_Toc5526"/>
      <w:bookmarkStart w:id="787" w:name="_Toc12743"/>
      <w:bookmarkStart w:id="788" w:name="_Toc22642"/>
      <w:r>
        <w:rPr>
          <w:rFonts w:hint="eastAsia" w:ascii="宋体" w:hAnsi="宋体" w:cs="宋体"/>
          <w:b/>
          <w:sz w:val="24"/>
          <w:szCs w:val="24"/>
        </w:rPr>
        <w:t>2.财政部司法部关于政府采购支持监狱企业发展有关问题的通知—财库〔2014〕68号</w:t>
      </w:r>
      <w:bookmarkEnd w:id="784"/>
      <w:bookmarkEnd w:id="785"/>
      <w:r>
        <w:rPr>
          <w:rFonts w:hint="eastAsia" w:ascii="宋体" w:hAnsi="宋体" w:cs="宋体"/>
          <w:b/>
          <w:sz w:val="24"/>
          <w:szCs w:val="24"/>
        </w:rPr>
        <w:t xml:space="preserve"> 。</w:t>
      </w:r>
      <w:bookmarkEnd w:id="786"/>
      <w:bookmarkEnd w:id="787"/>
      <w:bookmarkEnd w:id="788"/>
    </w:p>
    <w:p w14:paraId="7FD0A573">
      <w:pPr>
        <w:tabs>
          <w:tab w:val="left" w:pos="1575"/>
        </w:tabs>
        <w:overflowPunct w:val="0"/>
        <w:spacing w:line="600" w:lineRule="exact"/>
        <w:ind w:firstLine="480" w:firstLineChars="200"/>
        <w:rPr>
          <w:rFonts w:hint="eastAsia" w:ascii="宋体" w:hAnsi="宋体" w:cs="宋体"/>
          <w:bCs/>
          <w:sz w:val="24"/>
          <w:szCs w:val="24"/>
        </w:rPr>
      </w:pPr>
      <w:bookmarkStart w:id="789" w:name="_Toc4382"/>
      <w:bookmarkStart w:id="790" w:name="_Toc11710"/>
      <w:bookmarkStart w:id="791" w:name="_Toc13779"/>
      <w:bookmarkStart w:id="792" w:name="_Toc11892"/>
      <w:bookmarkStart w:id="793" w:name="_Toc14358"/>
      <w:r>
        <w:rPr>
          <w:rFonts w:hint="eastAsia" w:ascii="宋体" w:hAnsi="宋体" w:cs="宋体"/>
          <w:bCs/>
          <w:sz w:val="24"/>
          <w:szCs w:val="24"/>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789"/>
      <w:bookmarkEnd w:id="790"/>
      <w:bookmarkEnd w:id="791"/>
      <w:bookmarkEnd w:id="792"/>
      <w:bookmarkEnd w:id="793"/>
    </w:p>
    <w:p w14:paraId="164A2768">
      <w:pPr>
        <w:tabs>
          <w:tab w:val="left" w:pos="1575"/>
        </w:tabs>
        <w:overflowPunct w:val="0"/>
        <w:spacing w:line="600" w:lineRule="exact"/>
        <w:ind w:firstLine="480" w:firstLineChars="200"/>
        <w:rPr>
          <w:rFonts w:hint="eastAsia" w:ascii="宋体" w:hAnsi="宋体" w:cs="宋体"/>
          <w:bCs/>
          <w:sz w:val="24"/>
          <w:szCs w:val="24"/>
        </w:rPr>
      </w:pPr>
      <w:bookmarkStart w:id="794" w:name="_Toc32315"/>
      <w:bookmarkStart w:id="795" w:name="_Toc5219"/>
      <w:bookmarkStart w:id="796" w:name="_Toc30736"/>
      <w:bookmarkStart w:id="797" w:name="_Toc14231"/>
      <w:bookmarkStart w:id="798" w:name="_Toc10867"/>
      <w:r>
        <w:rPr>
          <w:rFonts w:hint="eastAsia" w:ascii="宋体" w:hAnsi="宋体" w:cs="宋体"/>
          <w:bCs/>
          <w:sz w:val="24"/>
          <w:szCs w:val="24"/>
        </w:rPr>
        <w:t>评标委员会对监狱企业的价格给予10%的扣除，用扣除后的价格参与评审。</w:t>
      </w:r>
      <w:bookmarkEnd w:id="794"/>
      <w:bookmarkEnd w:id="795"/>
      <w:bookmarkEnd w:id="796"/>
      <w:bookmarkEnd w:id="797"/>
      <w:bookmarkEnd w:id="798"/>
    </w:p>
    <w:p w14:paraId="65EB315F">
      <w:pPr>
        <w:tabs>
          <w:tab w:val="left" w:pos="1575"/>
        </w:tabs>
        <w:overflowPunct w:val="0"/>
        <w:spacing w:line="600" w:lineRule="exact"/>
        <w:ind w:firstLine="482" w:firstLineChars="200"/>
        <w:rPr>
          <w:rFonts w:hint="eastAsia" w:ascii="宋体" w:hAnsi="宋体" w:cs="宋体"/>
          <w:b/>
          <w:sz w:val="24"/>
          <w:szCs w:val="24"/>
        </w:rPr>
      </w:pPr>
      <w:bookmarkStart w:id="799" w:name="_Toc15904"/>
      <w:bookmarkStart w:id="800" w:name="_Toc14589"/>
      <w:bookmarkStart w:id="801" w:name="_Toc18595"/>
      <w:bookmarkStart w:id="802" w:name="_Toc30515"/>
      <w:bookmarkStart w:id="803" w:name="_Toc20450"/>
      <w:r>
        <w:rPr>
          <w:rFonts w:hint="eastAsia" w:ascii="宋体" w:hAnsi="宋体" w:cs="宋体"/>
          <w:b/>
          <w:sz w:val="24"/>
          <w:szCs w:val="24"/>
        </w:rPr>
        <w:t>3.《国务院办公厅关于建立政府强制采购节能产品制度的通知》—国办发〔2007〕51号</w:t>
      </w:r>
      <w:bookmarkEnd w:id="799"/>
      <w:bookmarkEnd w:id="800"/>
      <w:r>
        <w:rPr>
          <w:rFonts w:hint="eastAsia" w:ascii="宋体" w:hAnsi="宋体" w:cs="宋体"/>
          <w:b/>
          <w:sz w:val="24"/>
          <w:szCs w:val="24"/>
        </w:rPr>
        <w:t>。</w:t>
      </w:r>
      <w:bookmarkEnd w:id="801"/>
      <w:bookmarkEnd w:id="802"/>
      <w:bookmarkEnd w:id="803"/>
    </w:p>
    <w:p w14:paraId="5FEAB9EC">
      <w:pPr>
        <w:tabs>
          <w:tab w:val="left" w:pos="1575"/>
        </w:tabs>
        <w:overflowPunct w:val="0"/>
        <w:spacing w:line="600" w:lineRule="exact"/>
        <w:ind w:firstLine="480" w:firstLineChars="200"/>
        <w:rPr>
          <w:rFonts w:hint="eastAsia" w:ascii="宋体" w:hAnsi="宋体" w:cs="宋体"/>
          <w:bCs/>
          <w:sz w:val="24"/>
          <w:szCs w:val="24"/>
        </w:rPr>
      </w:pPr>
      <w:bookmarkStart w:id="804" w:name="_Toc11339"/>
      <w:bookmarkStart w:id="805" w:name="_Toc20764"/>
      <w:bookmarkStart w:id="806" w:name="_Toc16954"/>
      <w:bookmarkStart w:id="807" w:name="_Toc19432"/>
      <w:r>
        <w:rPr>
          <w:rFonts w:hint="eastAsia" w:ascii="宋体" w:hAnsi="宋体" w:cs="宋体"/>
          <w:bCs/>
          <w:sz w:val="24"/>
          <w:szCs w:val="24"/>
        </w:rPr>
        <w:t>各级政府机构使用财政性资金进行政府采购活动时，在技术、服务等指标满足采购需求的前提下，要优先采购节能产品，对部分节能效果、性能等达到要求的产品，实行强制采购。</w:t>
      </w:r>
      <w:bookmarkEnd w:id="804"/>
      <w:bookmarkEnd w:id="805"/>
      <w:bookmarkEnd w:id="806"/>
      <w:bookmarkEnd w:id="807"/>
    </w:p>
    <w:p w14:paraId="4056ED45">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4.《关于印发环境标志产品政府采购品目清单的通知》（财库〔2019〕18号）</w:t>
      </w:r>
    </w:p>
    <w:p w14:paraId="2A23F8BA">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根据《关于印发环境标志产品政府采购品目清单的通知》（财库〔2019〕18号）、《财政部发展改革委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1D06242">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 xml:space="preserve">5.《关于印发节能产品政府采购品目清单的通知》（财库〔2019〕19号） </w:t>
      </w:r>
    </w:p>
    <w:p w14:paraId="7049380F">
      <w:pPr>
        <w:pStyle w:val="93"/>
        <w:spacing w:line="600" w:lineRule="exact"/>
        <w:ind w:firstLine="480" w:firstLineChars="200"/>
        <w:rPr>
          <w:rFonts w:hint="eastAsia" w:ascii="宋体" w:hAnsi="宋体" w:cs="宋体"/>
          <w:b/>
          <w:color w:val="000000"/>
          <w:sz w:val="24"/>
          <w:szCs w:val="24"/>
        </w:rPr>
      </w:pPr>
      <w:r>
        <w:rPr>
          <w:rFonts w:hint="eastAsia" w:ascii="宋体" w:hAnsi="宋体" w:cs="宋体"/>
          <w:bCs/>
          <w:color w:val="000000"/>
          <w:sz w:val="24"/>
          <w:szCs w:val="24"/>
        </w:rPr>
        <w:t>根据《关于印发节能产品政府采购品目清单的通知》（财库〔2019〕19号）、《财政部发展改革委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25003E5">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color w:val="000000"/>
          <w:sz w:val="24"/>
          <w:szCs w:val="24"/>
        </w:rPr>
        <w:t>注：获得上述认证的产品在投标时应提供有效证明材料。以上所有证明文件复印件须加盖供应商公章并注明“与原件一致”，否则不予计分。</w:t>
      </w:r>
    </w:p>
    <w:p w14:paraId="592BC9BB">
      <w:pPr>
        <w:tabs>
          <w:tab w:val="left" w:pos="1575"/>
        </w:tabs>
        <w:overflowPunct w:val="0"/>
        <w:spacing w:line="600" w:lineRule="exact"/>
        <w:ind w:firstLine="482" w:firstLineChars="200"/>
        <w:rPr>
          <w:rFonts w:hint="eastAsia" w:ascii="宋体" w:hAnsi="宋体" w:cs="宋体"/>
          <w:b/>
          <w:sz w:val="24"/>
          <w:szCs w:val="24"/>
        </w:rPr>
      </w:pPr>
      <w:bookmarkStart w:id="808" w:name="_Toc17122"/>
      <w:bookmarkStart w:id="809" w:name="_Toc5700"/>
      <w:bookmarkStart w:id="810" w:name="_Toc18923"/>
      <w:bookmarkStart w:id="811" w:name="_Toc24583"/>
      <w:bookmarkStart w:id="812" w:name="_Toc27955"/>
      <w:r>
        <w:rPr>
          <w:rFonts w:hint="eastAsia" w:ascii="宋体" w:hAnsi="宋体" w:cs="宋体"/>
          <w:b/>
          <w:sz w:val="24"/>
          <w:szCs w:val="24"/>
        </w:rPr>
        <w:t>6.《关于促进残疾人就业政府采购政策的通知》财库〔2017〕141号</w:t>
      </w:r>
      <w:bookmarkEnd w:id="808"/>
      <w:bookmarkEnd w:id="809"/>
      <w:r>
        <w:rPr>
          <w:rFonts w:hint="eastAsia" w:ascii="宋体" w:hAnsi="宋体" w:cs="宋体"/>
          <w:b/>
          <w:sz w:val="24"/>
          <w:szCs w:val="24"/>
        </w:rPr>
        <w:t>。</w:t>
      </w:r>
      <w:bookmarkEnd w:id="810"/>
      <w:bookmarkEnd w:id="811"/>
      <w:bookmarkEnd w:id="812"/>
    </w:p>
    <w:p w14:paraId="5376302C">
      <w:pPr>
        <w:tabs>
          <w:tab w:val="left" w:pos="1575"/>
        </w:tabs>
        <w:overflowPunct w:val="0"/>
        <w:spacing w:line="600" w:lineRule="exact"/>
        <w:ind w:firstLine="480" w:firstLineChars="200"/>
        <w:rPr>
          <w:rFonts w:hint="eastAsia" w:ascii="宋体" w:hAnsi="宋体" w:cs="宋体"/>
          <w:bCs/>
          <w:sz w:val="24"/>
          <w:szCs w:val="24"/>
        </w:rPr>
      </w:pPr>
      <w:bookmarkStart w:id="813" w:name="_Toc28713"/>
      <w:bookmarkStart w:id="814" w:name="_Toc24922"/>
      <w:bookmarkStart w:id="815" w:name="_Toc30234"/>
      <w:bookmarkStart w:id="816" w:name="_Toc1750"/>
      <w:bookmarkStart w:id="817" w:name="_Toc22172"/>
      <w:r>
        <w:rPr>
          <w:rFonts w:hint="eastAsia" w:ascii="宋体" w:hAnsi="宋体" w:cs="宋体"/>
          <w:bCs/>
          <w:sz w:val="24"/>
          <w:szCs w:val="24"/>
        </w:rPr>
        <w:t>福利企业参加政府采购活动时，应当提供市级以上民政局、财政局、残联部门出具的福利性企业的证明文件。</w:t>
      </w:r>
      <w:bookmarkEnd w:id="813"/>
      <w:bookmarkEnd w:id="814"/>
      <w:bookmarkEnd w:id="815"/>
      <w:bookmarkEnd w:id="816"/>
      <w:bookmarkEnd w:id="817"/>
    </w:p>
    <w:p w14:paraId="14CD9E53">
      <w:pPr>
        <w:tabs>
          <w:tab w:val="left" w:pos="1575"/>
        </w:tabs>
        <w:overflowPunct w:val="0"/>
        <w:spacing w:line="600" w:lineRule="exact"/>
        <w:ind w:firstLine="482" w:firstLineChars="200"/>
        <w:rPr>
          <w:rFonts w:hint="eastAsia" w:ascii="宋体" w:hAnsi="宋体" w:cs="宋体"/>
          <w:bCs/>
          <w:sz w:val="24"/>
          <w:szCs w:val="24"/>
        </w:rPr>
      </w:pPr>
      <w:bookmarkStart w:id="818" w:name="_Toc20174"/>
      <w:bookmarkStart w:id="819" w:name="_Toc14226"/>
      <w:bookmarkStart w:id="820" w:name="_Toc24373"/>
      <w:bookmarkStart w:id="821" w:name="_Toc8691"/>
      <w:bookmarkStart w:id="822" w:name="_Toc27107"/>
      <w:r>
        <w:rPr>
          <w:rFonts w:hint="eastAsia" w:ascii="宋体" w:hAnsi="宋体" w:cs="宋体"/>
          <w:b/>
          <w:sz w:val="24"/>
          <w:szCs w:val="24"/>
        </w:rPr>
        <w:t>7.陕西省财政厅关于印发《陕西省中小企业政府采购信用融资办法》（陕财办采〔2018〕23号）</w:t>
      </w:r>
      <w:bookmarkEnd w:id="818"/>
      <w:bookmarkEnd w:id="819"/>
      <w:r>
        <w:rPr>
          <w:rFonts w:hint="eastAsia" w:ascii="宋体" w:hAnsi="宋体" w:cs="宋体"/>
          <w:b/>
          <w:sz w:val="24"/>
          <w:szCs w:val="24"/>
        </w:rPr>
        <w:t>。</w:t>
      </w:r>
      <w:bookmarkEnd w:id="820"/>
      <w:bookmarkEnd w:id="821"/>
      <w:bookmarkEnd w:id="822"/>
    </w:p>
    <w:p w14:paraId="5264F488">
      <w:pPr>
        <w:tabs>
          <w:tab w:val="left" w:pos="1575"/>
        </w:tabs>
        <w:overflowPunct w:val="0"/>
        <w:spacing w:line="600" w:lineRule="exact"/>
        <w:ind w:firstLine="480" w:firstLineChars="200"/>
        <w:rPr>
          <w:rFonts w:hint="eastAsia" w:ascii="宋体" w:hAnsi="宋体" w:cs="宋体"/>
          <w:bCs/>
          <w:sz w:val="24"/>
          <w:szCs w:val="24"/>
        </w:rPr>
      </w:pPr>
      <w:bookmarkStart w:id="823" w:name="_Toc1696"/>
      <w:bookmarkStart w:id="824" w:name="_Toc802"/>
      <w:bookmarkStart w:id="825" w:name="_Toc2902"/>
      <w:bookmarkStart w:id="826" w:name="_Toc26044"/>
      <w:bookmarkStart w:id="827" w:name="_Toc2203"/>
      <w:r>
        <w:rPr>
          <w:rFonts w:hint="eastAsia" w:ascii="宋体" w:hAnsi="宋体" w:cs="宋体"/>
          <w:bCs/>
          <w:sz w:val="24"/>
          <w:szCs w:val="24"/>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823"/>
      <w:bookmarkEnd w:id="824"/>
      <w:bookmarkEnd w:id="825"/>
      <w:bookmarkEnd w:id="826"/>
      <w:bookmarkEnd w:id="827"/>
    </w:p>
    <w:p w14:paraId="755D3433">
      <w:pPr>
        <w:tabs>
          <w:tab w:val="left" w:pos="1575"/>
        </w:tabs>
        <w:overflowPunct w:val="0"/>
        <w:spacing w:line="600" w:lineRule="exact"/>
        <w:ind w:firstLine="480" w:firstLineChars="200"/>
        <w:rPr>
          <w:rFonts w:ascii="宋体" w:hAnsi="宋体" w:cs="宋体"/>
          <w:b/>
          <w:color w:val="000000"/>
          <w:sz w:val="24"/>
          <w:szCs w:val="24"/>
        </w:rPr>
      </w:pPr>
      <w:bookmarkStart w:id="828" w:name="_Toc30311"/>
      <w:bookmarkStart w:id="829" w:name="_Toc4872"/>
      <w:bookmarkStart w:id="830" w:name="_Toc6798"/>
      <w:bookmarkStart w:id="831" w:name="_Toc31707"/>
      <w:bookmarkStart w:id="832" w:name="_Toc29619"/>
      <w:r>
        <w:rPr>
          <w:rFonts w:hint="eastAsia" w:ascii="宋体" w:hAnsi="宋体" w:cs="宋体"/>
          <w:bCs/>
          <w:sz w:val="24"/>
          <w:szCs w:val="24"/>
        </w:rPr>
        <w:t>网址：http://www.ccgp-shaanxi.gov.cn/zcdservice/zcd/shanxi/</w:t>
      </w:r>
      <w:bookmarkEnd w:id="828"/>
      <w:bookmarkEnd w:id="829"/>
      <w:bookmarkEnd w:id="830"/>
      <w:bookmarkEnd w:id="831"/>
      <w:bookmarkEnd w:id="832"/>
    </w:p>
    <w:p w14:paraId="4AECDF42">
      <w:pPr>
        <w:spacing w:line="360" w:lineRule="auto"/>
        <w:outlineLvl w:val="1"/>
        <w:rPr>
          <w:rFonts w:hint="eastAsia" w:ascii="宋体" w:hAnsi="宋体" w:eastAsia="宋体" w:cs="宋体"/>
          <w:b/>
          <w:sz w:val="28"/>
          <w:szCs w:val="28"/>
        </w:rPr>
      </w:pPr>
    </w:p>
    <w:p w14:paraId="3BFD63C1">
      <w:pPr>
        <w:spacing w:line="360" w:lineRule="auto"/>
        <w:outlineLvl w:val="1"/>
        <w:rPr>
          <w:rFonts w:hint="eastAsia" w:ascii="宋体" w:hAnsi="宋体" w:eastAsia="宋体" w:cs="宋体"/>
          <w:b/>
          <w:sz w:val="28"/>
          <w:szCs w:val="28"/>
        </w:rPr>
      </w:pPr>
    </w:p>
    <w:p w14:paraId="26FE2D9B">
      <w:pPr>
        <w:spacing w:line="360" w:lineRule="auto"/>
        <w:outlineLvl w:val="1"/>
        <w:rPr>
          <w:rFonts w:hint="eastAsia" w:ascii="宋体" w:hAnsi="宋体" w:eastAsia="宋体" w:cs="宋体"/>
          <w:b/>
          <w:sz w:val="28"/>
          <w:szCs w:val="28"/>
        </w:rPr>
      </w:pPr>
    </w:p>
    <w:p w14:paraId="1D8F287D">
      <w:pPr>
        <w:spacing w:line="360" w:lineRule="auto"/>
        <w:outlineLvl w:val="1"/>
        <w:rPr>
          <w:rFonts w:hint="eastAsia" w:ascii="宋体" w:hAnsi="宋体" w:eastAsia="宋体" w:cs="宋体"/>
          <w:b/>
          <w:sz w:val="28"/>
          <w:szCs w:val="28"/>
        </w:rPr>
      </w:pPr>
    </w:p>
    <w:p w14:paraId="44E289A9">
      <w:pPr>
        <w:pStyle w:val="8"/>
        <w:rPr>
          <w:rFonts w:hint="eastAsia" w:ascii="宋体" w:hAnsi="宋体" w:eastAsia="宋体" w:cs="宋体"/>
          <w:b/>
          <w:sz w:val="28"/>
          <w:szCs w:val="28"/>
        </w:rPr>
      </w:pPr>
    </w:p>
    <w:p w14:paraId="0BA6AEDE">
      <w:pPr>
        <w:pStyle w:val="8"/>
        <w:rPr>
          <w:rFonts w:hint="eastAsia" w:ascii="宋体" w:hAnsi="宋体" w:eastAsia="宋体" w:cs="宋体"/>
          <w:b/>
          <w:sz w:val="28"/>
          <w:szCs w:val="28"/>
        </w:rPr>
      </w:pPr>
    </w:p>
    <w:p w14:paraId="532EC9E5">
      <w:pPr>
        <w:pStyle w:val="8"/>
        <w:rPr>
          <w:rFonts w:hint="eastAsia" w:ascii="宋体" w:hAnsi="宋体" w:eastAsia="宋体" w:cs="宋体"/>
          <w:b/>
          <w:sz w:val="28"/>
          <w:szCs w:val="28"/>
        </w:rPr>
      </w:pPr>
    </w:p>
    <w:p w14:paraId="05B6A2B8">
      <w:pPr>
        <w:pStyle w:val="8"/>
        <w:rPr>
          <w:rFonts w:hint="eastAsia" w:ascii="宋体" w:hAnsi="宋体" w:eastAsia="宋体" w:cs="宋体"/>
          <w:b/>
          <w:sz w:val="28"/>
          <w:szCs w:val="28"/>
        </w:rPr>
      </w:pPr>
    </w:p>
    <w:p w14:paraId="1A653B5B">
      <w:pPr>
        <w:pStyle w:val="8"/>
        <w:rPr>
          <w:rFonts w:hint="eastAsia" w:ascii="宋体" w:hAnsi="宋体" w:eastAsia="宋体" w:cs="宋体"/>
          <w:b/>
          <w:sz w:val="28"/>
          <w:szCs w:val="28"/>
        </w:rPr>
      </w:pPr>
    </w:p>
    <w:p w14:paraId="603C90F4">
      <w:pPr>
        <w:pStyle w:val="8"/>
        <w:rPr>
          <w:rFonts w:hint="eastAsia" w:ascii="宋体" w:hAnsi="宋体" w:eastAsia="宋体" w:cs="宋体"/>
          <w:b/>
          <w:sz w:val="28"/>
          <w:szCs w:val="28"/>
        </w:rPr>
      </w:pPr>
    </w:p>
    <w:p w14:paraId="0F02FB1B">
      <w:pPr>
        <w:pStyle w:val="8"/>
        <w:rPr>
          <w:rFonts w:hint="eastAsia" w:ascii="宋体" w:hAnsi="宋体" w:eastAsia="宋体" w:cs="宋体"/>
          <w:b/>
          <w:sz w:val="28"/>
          <w:szCs w:val="28"/>
        </w:rPr>
      </w:pPr>
    </w:p>
    <w:p w14:paraId="2FD9694D">
      <w:pPr>
        <w:pStyle w:val="8"/>
        <w:rPr>
          <w:rFonts w:hint="eastAsia" w:ascii="宋体" w:hAnsi="宋体" w:eastAsia="宋体" w:cs="宋体"/>
          <w:b/>
          <w:sz w:val="28"/>
          <w:szCs w:val="28"/>
        </w:rPr>
      </w:pPr>
    </w:p>
    <w:p w14:paraId="40E535ED">
      <w:pPr>
        <w:pStyle w:val="8"/>
        <w:rPr>
          <w:rFonts w:hint="eastAsia" w:ascii="宋体" w:hAnsi="宋体" w:eastAsia="宋体" w:cs="宋体"/>
          <w:b/>
          <w:sz w:val="28"/>
          <w:szCs w:val="28"/>
        </w:rPr>
      </w:pPr>
    </w:p>
    <w:p w14:paraId="3E67AF9F">
      <w:pPr>
        <w:pStyle w:val="8"/>
        <w:rPr>
          <w:rFonts w:hint="eastAsia" w:ascii="宋体" w:hAnsi="宋体" w:eastAsia="宋体" w:cs="宋体"/>
          <w:b/>
          <w:sz w:val="28"/>
          <w:szCs w:val="28"/>
        </w:rPr>
      </w:pPr>
    </w:p>
    <w:p w14:paraId="19E48702">
      <w:pPr>
        <w:pStyle w:val="8"/>
        <w:rPr>
          <w:rFonts w:hint="eastAsia" w:ascii="宋体" w:hAnsi="宋体" w:eastAsia="宋体" w:cs="宋体"/>
          <w:b/>
          <w:sz w:val="28"/>
          <w:szCs w:val="28"/>
        </w:rPr>
      </w:pPr>
    </w:p>
    <w:p w14:paraId="134314FA">
      <w:pPr>
        <w:pStyle w:val="8"/>
        <w:rPr>
          <w:rFonts w:hint="eastAsia" w:ascii="宋体" w:hAnsi="宋体" w:eastAsia="宋体" w:cs="宋体"/>
          <w:b/>
          <w:sz w:val="28"/>
          <w:szCs w:val="28"/>
        </w:rPr>
      </w:pPr>
    </w:p>
    <w:p w14:paraId="57B0C802">
      <w:pPr>
        <w:pStyle w:val="8"/>
        <w:rPr>
          <w:rFonts w:hint="eastAsia" w:ascii="宋体" w:hAnsi="宋体" w:eastAsia="宋体" w:cs="宋体"/>
          <w:b/>
          <w:sz w:val="28"/>
          <w:szCs w:val="28"/>
        </w:rPr>
      </w:pPr>
    </w:p>
    <w:p w14:paraId="65D0F3CA">
      <w:pPr>
        <w:pStyle w:val="8"/>
        <w:rPr>
          <w:rFonts w:hint="eastAsia" w:ascii="宋体" w:hAnsi="宋体" w:eastAsia="宋体" w:cs="宋体"/>
          <w:b/>
          <w:sz w:val="28"/>
          <w:szCs w:val="28"/>
        </w:rPr>
      </w:pPr>
    </w:p>
    <w:p w14:paraId="45E6AA6E">
      <w:pPr>
        <w:pStyle w:val="8"/>
        <w:rPr>
          <w:rFonts w:hint="eastAsia" w:ascii="宋体" w:hAnsi="宋体" w:eastAsia="宋体" w:cs="宋体"/>
          <w:b/>
          <w:sz w:val="28"/>
          <w:szCs w:val="28"/>
        </w:rPr>
      </w:pPr>
    </w:p>
    <w:p w14:paraId="6F473E28">
      <w:pPr>
        <w:pStyle w:val="8"/>
        <w:rPr>
          <w:rFonts w:hint="eastAsia" w:ascii="宋体" w:hAnsi="宋体" w:eastAsia="宋体" w:cs="宋体"/>
          <w:b/>
          <w:sz w:val="28"/>
          <w:szCs w:val="28"/>
        </w:rPr>
      </w:pPr>
    </w:p>
    <w:p w14:paraId="725F08B5">
      <w:pPr>
        <w:pStyle w:val="8"/>
        <w:rPr>
          <w:rFonts w:hint="eastAsia" w:ascii="宋体" w:hAnsi="宋体" w:eastAsia="宋体" w:cs="宋体"/>
          <w:b/>
          <w:sz w:val="28"/>
          <w:szCs w:val="28"/>
        </w:rPr>
      </w:pPr>
    </w:p>
    <w:p w14:paraId="1A61C2D7">
      <w:pPr>
        <w:pStyle w:val="8"/>
        <w:rPr>
          <w:rFonts w:hint="eastAsia" w:ascii="宋体" w:hAnsi="宋体" w:eastAsia="宋体" w:cs="宋体"/>
          <w:b/>
          <w:sz w:val="28"/>
          <w:szCs w:val="28"/>
        </w:rPr>
      </w:pPr>
    </w:p>
    <w:p w14:paraId="40C7E4BF">
      <w:pPr>
        <w:pStyle w:val="8"/>
        <w:rPr>
          <w:rFonts w:hint="eastAsia" w:ascii="宋体" w:hAnsi="宋体" w:eastAsia="宋体" w:cs="宋体"/>
          <w:b/>
          <w:sz w:val="28"/>
          <w:szCs w:val="28"/>
        </w:rPr>
      </w:pPr>
    </w:p>
    <w:p w14:paraId="05E3D8F7">
      <w:pPr>
        <w:pStyle w:val="8"/>
        <w:rPr>
          <w:rFonts w:hint="eastAsia" w:ascii="宋体" w:hAnsi="宋体" w:eastAsia="宋体" w:cs="宋体"/>
          <w:b/>
          <w:sz w:val="28"/>
          <w:szCs w:val="28"/>
        </w:rPr>
      </w:pPr>
    </w:p>
    <w:p w14:paraId="27E73010">
      <w:pPr>
        <w:pStyle w:val="8"/>
        <w:rPr>
          <w:rFonts w:hint="eastAsia" w:ascii="宋体" w:hAnsi="宋体" w:eastAsia="宋体" w:cs="宋体"/>
          <w:b/>
          <w:sz w:val="28"/>
          <w:szCs w:val="28"/>
        </w:rPr>
      </w:pPr>
    </w:p>
    <w:p w14:paraId="329EE31E">
      <w:pPr>
        <w:pStyle w:val="8"/>
        <w:rPr>
          <w:rFonts w:hint="eastAsia" w:ascii="宋体" w:hAnsi="宋体" w:eastAsia="宋体" w:cs="宋体"/>
          <w:b/>
          <w:sz w:val="28"/>
          <w:szCs w:val="28"/>
        </w:rPr>
      </w:pPr>
    </w:p>
    <w:p w14:paraId="102B0E51">
      <w:pPr>
        <w:spacing w:line="360" w:lineRule="auto"/>
        <w:outlineLvl w:val="1"/>
        <w:rPr>
          <w:rFonts w:hint="eastAsia" w:ascii="宋体" w:hAnsi="宋体" w:eastAsia="宋体" w:cs="宋体"/>
          <w:b/>
          <w:sz w:val="28"/>
          <w:szCs w:val="28"/>
        </w:rPr>
      </w:pPr>
    </w:p>
    <w:p w14:paraId="7CAC15E5">
      <w:pPr>
        <w:pStyle w:val="33"/>
        <w:rPr>
          <w:rFonts w:hint="eastAsia" w:ascii="宋体" w:hAnsi="宋体" w:eastAsia="宋体" w:cs="宋体"/>
          <w:b/>
          <w:sz w:val="28"/>
          <w:szCs w:val="28"/>
        </w:rPr>
      </w:pPr>
    </w:p>
    <w:p w14:paraId="5E0DEA6A">
      <w:pPr>
        <w:pStyle w:val="33"/>
        <w:rPr>
          <w:rFonts w:hint="eastAsia" w:ascii="宋体" w:hAnsi="宋体" w:eastAsia="宋体" w:cs="宋体"/>
          <w:b/>
          <w:sz w:val="28"/>
          <w:szCs w:val="28"/>
        </w:rPr>
      </w:pPr>
    </w:p>
    <w:p w14:paraId="7002FB26">
      <w:pPr>
        <w:pStyle w:val="33"/>
        <w:rPr>
          <w:rFonts w:hint="eastAsia" w:ascii="宋体" w:hAnsi="宋体" w:eastAsia="宋体" w:cs="宋体"/>
          <w:b/>
          <w:sz w:val="28"/>
          <w:szCs w:val="28"/>
        </w:rPr>
      </w:pPr>
    </w:p>
    <w:p w14:paraId="0312BC40">
      <w:pPr>
        <w:spacing w:line="360" w:lineRule="auto"/>
        <w:outlineLvl w:val="1"/>
        <w:rPr>
          <w:rFonts w:hint="eastAsia" w:ascii="宋体" w:hAnsi="宋体" w:eastAsia="宋体" w:cs="宋体"/>
          <w:b/>
          <w:sz w:val="28"/>
          <w:szCs w:val="28"/>
        </w:rPr>
      </w:pPr>
    </w:p>
    <w:p w14:paraId="37825E7D">
      <w:pPr>
        <w:spacing w:line="360" w:lineRule="auto"/>
        <w:outlineLvl w:val="1"/>
        <w:rPr>
          <w:rFonts w:hint="eastAsia" w:ascii="宋体" w:hAnsi="宋体" w:eastAsia="宋体" w:cs="宋体"/>
          <w:b/>
          <w:sz w:val="28"/>
          <w:szCs w:val="28"/>
        </w:rPr>
      </w:pPr>
    </w:p>
    <w:bookmarkEnd w:id="728"/>
    <w:p w14:paraId="3EF9F6BD">
      <w:pPr>
        <w:spacing w:line="600" w:lineRule="exact"/>
        <w:outlineLvl w:val="1"/>
        <w:rPr>
          <w:rFonts w:hint="eastAsia" w:ascii="宋体" w:hAnsi="宋体" w:cs="宋体"/>
          <w:b/>
          <w:sz w:val="24"/>
          <w:szCs w:val="24"/>
        </w:rPr>
      </w:pPr>
      <w:r>
        <w:rPr>
          <w:rFonts w:hint="eastAsia" w:ascii="宋体" w:hAnsi="宋体" w:cs="宋体"/>
          <w:b/>
          <w:sz w:val="24"/>
          <w:szCs w:val="24"/>
        </w:rPr>
        <w:t>附件A:废标条件</w:t>
      </w:r>
    </w:p>
    <w:p w14:paraId="335EB8B6">
      <w:pPr>
        <w:adjustRightInd w:val="0"/>
        <w:snapToGrid w:val="0"/>
        <w:spacing w:line="600" w:lineRule="exact"/>
        <w:jc w:val="center"/>
        <w:rPr>
          <w:rFonts w:hint="eastAsia" w:ascii="宋体" w:hAnsi="宋体" w:cs="宋体"/>
          <w:b/>
          <w:sz w:val="24"/>
          <w:szCs w:val="24"/>
        </w:rPr>
      </w:pPr>
      <w:r>
        <w:rPr>
          <w:rFonts w:hint="eastAsia" w:ascii="宋体" w:hAnsi="宋体" w:cs="宋体"/>
          <w:b/>
          <w:sz w:val="24"/>
          <w:szCs w:val="24"/>
        </w:rPr>
        <w:t>废 标 条 件</w:t>
      </w:r>
    </w:p>
    <w:p w14:paraId="6B25446E">
      <w:pPr>
        <w:spacing w:line="600" w:lineRule="exact"/>
        <w:rPr>
          <w:rFonts w:hint="eastAsia" w:ascii="宋体" w:hAnsi="宋体" w:cs="宋体"/>
          <w:spacing w:val="4"/>
          <w:sz w:val="24"/>
          <w:szCs w:val="24"/>
        </w:rPr>
      </w:pPr>
      <w:r>
        <w:rPr>
          <w:rFonts w:hint="eastAsia" w:ascii="宋体" w:hAnsi="宋体" w:cs="宋体"/>
          <w:spacing w:val="4"/>
          <w:sz w:val="24"/>
          <w:szCs w:val="24"/>
        </w:rPr>
        <w:t>A0. 总  则</w:t>
      </w:r>
    </w:p>
    <w:p w14:paraId="6ACE976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本附件所集中所示的否决投标条件，是本章“评标办法”的组成部分，是对本章正文部分所归定否决投标条件的总结和补充，如果出现相互矛盾的情况，以本章正文部分的规定为准。</w:t>
      </w:r>
    </w:p>
    <w:p w14:paraId="15F52D4E">
      <w:pPr>
        <w:spacing w:line="600" w:lineRule="exact"/>
        <w:rPr>
          <w:rFonts w:hint="eastAsia" w:ascii="宋体" w:hAnsi="宋体" w:cs="宋体"/>
          <w:spacing w:val="4"/>
          <w:sz w:val="24"/>
          <w:szCs w:val="24"/>
        </w:rPr>
      </w:pPr>
      <w:r>
        <w:rPr>
          <w:rFonts w:hint="eastAsia" w:ascii="宋体" w:hAnsi="宋体" w:cs="宋体"/>
          <w:spacing w:val="4"/>
          <w:sz w:val="24"/>
          <w:szCs w:val="24"/>
        </w:rPr>
        <w:t>A1. 否决投标条件</w:t>
      </w:r>
    </w:p>
    <w:p w14:paraId="2EC8E61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供应商或其投标文件有下列情形之一的，否决其投标：</w:t>
      </w:r>
    </w:p>
    <w:p w14:paraId="5E6DBA6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（1）投标单位未经过正常渠道领取招标文件，或投标单位名称与领取招标文件时登记的投标单位名称不符的；</w:t>
      </w:r>
    </w:p>
    <w:p w14:paraId="0BB608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（2）未按招标文件规定要求签署、盖章的；无响应有效期或有效期达不到招标文件要求的；</w:t>
      </w:r>
    </w:p>
    <w:p w14:paraId="67A7EC0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（3）投标文件未按照投标文件格式及内容要求填写的；</w:t>
      </w:r>
    </w:p>
    <w:p w14:paraId="58AEBC5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（4）投标单位针对同一项目递交两份或多份内容不同的投标文件，未书面声明哪一份是有效的或出现选择性报价的；</w:t>
      </w:r>
    </w:p>
    <w:p w14:paraId="6EA7385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（5）未按招标文件要求提供资格证明文件原件或提供的原件缺项；</w:t>
      </w:r>
    </w:p>
    <w:p w14:paraId="6E79C76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（6）提供虚假资质、虚假证明（包括第三方提供的虚假证明）的，除按无效文件处理外，还将按照有关规定进行处罚；</w:t>
      </w:r>
    </w:p>
    <w:p w14:paraId="7DFE5D0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（7）附有采购人、采购代理机构不能接受的条款和商务响应方面（付款条件、服务期）与招标文件要求不一致的；</w:t>
      </w:r>
    </w:p>
    <w:p w14:paraId="4EA51C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（8）在政府采购或其它重大项目履约过程中有不良记录，不能按期履约的；</w:t>
      </w:r>
    </w:p>
    <w:p w14:paraId="0DFB52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（9）投标报价与市场价偏离较大，低于成本，形成不正当竞争的；</w:t>
      </w:r>
    </w:p>
    <w:p w14:paraId="3913F3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（10）有重大缺漏项的；</w:t>
      </w:r>
    </w:p>
    <w:p w14:paraId="3FBDF02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（11）以他人名义进行投标的；</w:t>
      </w:r>
    </w:p>
    <w:p w14:paraId="0BEE960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（12）供应商无法定代表人授权书或其授权书的有效性不符合招标文件规定的；</w:t>
      </w:r>
    </w:p>
    <w:p w14:paraId="015FB12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（13）供应商有串通投标、弄虚作假、行贿等违法行为的。</w:t>
      </w:r>
    </w:p>
    <w:p w14:paraId="7F8561A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（14）投标内容不完整；</w:t>
      </w:r>
    </w:p>
    <w:p w14:paraId="667A4ED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（15）供应商的商务响应达不到招标文件要求；</w:t>
      </w:r>
    </w:p>
    <w:p w14:paraId="1B3443A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（16）不按评标委员会要求澄清、说明或补正的。</w:t>
      </w:r>
    </w:p>
    <w:p w14:paraId="2F2E9BA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（17）评标委员会认定供应商以低于成本报价竞标的。</w:t>
      </w:r>
    </w:p>
    <w:p w14:paraId="4094DB5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（18）提供的投标文件电子版不能正常参与评标的。</w:t>
      </w:r>
    </w:p>
    <w:p w14:paraId="6178821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（19）其他经评标委员会确认的未能实质性响应招标文件要求的。</w:t>
      </w:r>
    </w:p>
    <w:p w14:paraId="69AE419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（20）投标文件电子版无法打开或主要内容无法显示，影响正常评标。</w:t>
      </w:r>
    </w:p>
    <w:p w14:paraId="6A1685B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（21）未按时缴纳投标保证金的。</w:t>
      </w:r>
    </w:p>
    <w:p w14:paraId="16DF56C2">
      <w:pPr>
        <w:spacing w:line="600" w:lineRule="exact"/>
        <w:rPr>
          <w:rFonts w:hint="eastAsia" w:ascii="宋体" w:hAnsi="宋体" w:cs="宋体"/>
          <w:spacing w:val="4"/>
          <w:sz w:val="24"/>
          <w:szCs w:val="24"/>
        </w:rPr>
      </w:pPr>
      <w:r>
        <w:rPr>
          <w:rFonts w:hint="eastAsia" w:ascii="宋体" w:hAnsi="宋体" w:cs="宋体"/>
          <w:spacing w:val="4"/>
          <w:sz w:val="24"/>
          <w:szCs w:val="24"/>
        </w:rPr>
        <w:t>A2 . 串通投标</w:t>
      </w:r>
    </w:p>
    <w:p w14:paraId="6CCE100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有下列情形之一的，属于投标人相互串通投标：</w:t>
      </w:r>
    </w:p>
    <w:p w14:paraId="5618FE8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（1）投标人之间协商投标报价等投标文件的实质性内容；</w:t>
      </w:r>
    </w:p>
    <w:p w14:paraId="192AB46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（2）投标人之间约定中标投标人；</w:t>
      </w:r>
    </w:p>
    <w:p w14:paraId="13DC4C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（3）投标人之间约定部分投标人放弃投标或者中标；</w:t>
      </w:r>
    </w:p>
    <w:p w14:paraId="033C69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（4）属于同一集团、协会、商会等组织成员的投标人按照该组织要求协同投标；</w:t>
      </w:r>
    </w:p>
    <w:p w14:paraId="7FA74EB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（5）投标人之间为谋中标或者排斥特定投标人而采取的其他联合行动。</w:t>
      </w:r>
    </w:p>
    <w:p w14:paraId="7683A51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有下列情形之一的，视为投标人相互串通投标：</w:t>
      </w:r>
    </w:p>
    <w:p w14:paraId="3097FA8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（1）不同投标人的投标文件由同一单位或者个人编制；</w:t>
      </w:r>
    </w:p>
    <w:p w14:paraId="2B692E7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（2）不同投标人委托同一单位或者个人办理投标事宜；</w:t>
      </w:r>
    </w:p>
    <w:p w14:paraId="28E6F21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（3）不同投标人的投标文件载明的项目管理成员为同一人；</w:t>
      </w:r>
    </w:p>
    <w:p w14:paraId="3F6267F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（4）不同投标人的投标文件异常一致或者投标报价呈规律性差异；</w:t>
      </w:r>
    </w:p>
    <w:p w14:paraId="5E93A73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（5）不同投标人的投标文件相互混装；</w:t>
      </w:r>
    </w:p>
    <w:p w14:paraId="0AF985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（6）不同投标人的投标保证金从同一单位或者个人的账户转出。</w:t>
      </w:r>
    </w:p>
    <w:p w14:paraId="32033B75">
      <w:pPr>
        <w:spacing w:line="600" w:lineRule="exact"/>
        <w:rPr>
          <w:rFonts w:hint="eastAsia" w:ascii="宋体" w:hAnsi="宋体" w:cs="宋体"/>
          <w:spacing w:val="4"/>
          <w:sz w:val="24"/>
          <w:szCs w:val="24"/>
        </w:rPr>
      </w:pPr>
      <w:r>
        <w:rPr>
          <w:rFonts w:hint="eastAsia" w:ascii="宋体" w:hAnsi="宋体" w:cs="宋体"/>
          <w:spacing w:val="4"/>
          <w:sz w:val="24"/>
          <w:szCs w:val="24"/>
        </w:rPr>
        <w:t>A3. 弄虚作假</w:t>
      </w:r>
    </w:p>
    <w:p w14:paraId="5EF8368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投标人有下列情形之一的，属于弄虚作假的行为：</w:t>
      </w:r>
    </w:p>
    <w:p w14:paraId="1C15D0D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 使用伪造、变造的许可证件；</w:t>
      </w:r>
    </w:p>
    <w:p w14:paraId="27342E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（2）提供虚假的财务状况或者业绩；</w:t>
      </w:r>
    </w:p>
    <w:p w14:paraId="23363E9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（3）提供虚假的项目负责人或者技术人员简历、劳动关系证明；</w:t>
      </w:r>
    </w:p>
    <w:p w14:paraId="614B441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（4）提供虚假的信用状况；</w:t>
      </w:r>
    </w:p>
    <w:p w14:paraId="47B96649">
      <w:pPr>
        <w:pStyle w:val="5"/>
        <w:pageBreakBefore w:val="0"/>
        <w:widowControl w:val="0"/>
        <w:wordWrap/>
        <w:overflowPunct/>
        <w:topLinePunct w:val="0"/>
        <w:autoSpaceDE/>
        <w:autoSpaceDN/>
        <w:bidi w:val="0"/>
        <w:spacing w:line="600" w:lineRule="exact"/>
        <w:ind w:firstLine="496" w:firstLineChars="200"/>
        <w:textAlignment w:val="auto"/>
        <w:rPr>
          <w:rFonts w:hint="eastAsia" w:ascii="宋体" w:hAnsi="宋体" w:eastAsia="宋体" w:cs="宋体"/>
          <w:b w:val="0"/>
          <w:bCs w:val="0"/>
          <w:sz w:val="24"/>
          <w:szCs w:val="24"/>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val="0"/>
          <w:spacing w:val="4"/>
          <w:sz w:val="24"/>
          <w:szCs w:val="24"/>
        </w:rPr>
        <w:t>（5） 其他弄虚作假的行为。</w:t>
      </w:r>
    </w:p>
    <w:bookmarkEnd w:id="494"/>
    <w:bookmarkEnd w:id="495"/>
    <w:bookmarkEnd w:id="496"/>
    <w:p w14:paraId="14F61874">
      <w:pPr>
        <w:pStyle w:val="2"/>
        <w:pageBreakBefore w:val="0"/>
        <w:widowControl w:val="0"/>
        <w:numPr>
          <w:ilvl w:val="0"/>
          <w:numId w:val="4"/>
        </w:numPr>
        <w:wordWrap/>
        <w:overflowPunct/>
        <w:topLinePunct w:val="0"/>
        <w:autoSpaceDE/>
        <w:autoSpaceDN/>
        <w:bidi w:val="0"/>
        <w:spacing w:before="0" w:after="0" w:line="600" w:lineRule="exact"/>
        <w:textAlignment w:val="auto"/>
        <w:rPr>
          <w:rFonts w:hint="eastAsia" w:ascii="宋体" w:hAnsi="宋体" w:eastAsia="宋体" w:cs="宋体"/>
          <w:sz w:val="28"/>
          <w:szCs w:val="28"/>
        </w:rPr>
      </w:pPr>
      <w:bookmarkStart w:id="833" w:name="_Toc9414"/>
      <w:bookmarkStart w:id="834" w:name="_Toc132"/>
      <w:bookmarkStart w:id="835" w:name="_Toc31421"/>
      <w:bookmarkStart w:id="836" w:name="_Toc13863"/>
      <w:bookmarkStart w:id="837" w:name="_Toc5347"/>
      <w:r>
        <w:rPr>
          <w:rFonts w:hint="eastAsia" w:ascii="宋体" w:hAnsi="宋体" w:eastAsia="宋体" w:cs="宋体"/>
          <w:sz w:val="28"/>
          <w:szCs w:val="28"/>
        </w:rPr>
        <w:t>合同（拟签订文本）</w:t>
      </w:r>
      <w:bookmarkEnd w:id="833"/>
      <w:bookmarkEnd w:id="834"/>
      <w:bookmarkEnd w:id="835"/>
    </w:p>
    <w:p w14:paraId="2658C177">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sz w:val="24"/>
          <w:szCs w:val="24"/>
        </w:rPr>
      </w:pPr>
    </w:p>
    <w:bookmarkEnd w:id="836"/>
    <w:bookmarkEnd w:id="837"/>
    <w:p w14:paraId="2B77B6D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甲方：</w:t>
      </w:r>
      <w:r>
        <w:rPr>
          <w:rFonts w:hint="eastAsia" w:ascii="宋体" w:hAnsi="宋体" w:cs="宋体"/>
          <w:spacing w:val="17"/>
          <w:sz w:val="24"/>
          <w:szCs w:val="24"/>
          <w:lang w:eastAsia="zh-CN"/>
        </w:rPr>
        <w:t>延安市公路建设工程管理处</w:t>
      </w:r>
    </w:p>
    <w:p w14:paraId="0D6191F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乙方：</w:t>
      </w:r>
    </w:p>
    <w:p w14:paraId="62C20502">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lang w:eastAsia="zh-CN"/>
        </w:rPr>
      </w:pPr>
      <w:r>
        <w:rPr>
          <w:rFonts w:hint="eastAsia" w:ascii="宋体" w:hAnsi="宋体" w:eastAsia="宋体" w:cs="宋体"/>
          <w:spacing w:val="17"/>
          <w:sz w:val="24"/>
          <w:szCs w:val="24"/>
          <w:lang w:val="en-US" w:eastAsia="zh-CN"/>
        </w:rPr>
        <w:t>代理机构</w:t>
      </w:r>
      <w:r>
        <w:rPr>
          <w:rFonts w:hint="eastAsia" w:ascii="宋体" w:hAnsi="宋体" w:eastAsia="宋体" w:cs="宋体"/>
          <w:spacing w:val="17"/>
          <w:sz w:val="24"/>
          <w:szCs w:val="24"/>
          <w:lang w:eastAsia="zh-CN"/>
        </w:rPr>
        <w:t>：</w:t>
      </w:r>
      <w:r>
        <w:rPr>
          <w:rFonts w:hint="eastAsia" w:ascii="宋体" w:hAnsi="宋体" w:cs="宋体"/>
          <w:spacing w:val="17"/>
          <w:sz w:val="24"/>
          <w:szCs w:val="24"/>
          <w:lang w:eastAsia="zh-CN"/>
        </w:rPr>
        <w:t>陕西新招项目管理有限公司</w:t>
      </w:r>
    </w:p>
    <w:p w14:paraId="60730E4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b w:val="0"/>
          <w:bCs/>
          <w:color w:val="000000"/>
          <w:spacing w:val="6"/>
          <w:sz w:val="24"/>
          <w:szCs w:val="24"/>
          <w:lang w:val="en-US" w:eastAsia="zh-CN"/>
        </w:rPr>
      </w:pPr>
      <w:r>
        <w:rPr>
          <w:rFonts w:hint="eastAsia" w:ascii="宋体" w:hAnsi="宋体" w:cs="宋体"/>
          <w:spacing w:val="17"/>
          <w:sz w:val="24"/>
          <w:szCs w:val="24"/>
          <w:lang w:val="en-US" w:eastAsia="zh-CN"/>
        </w:rPr>
        <w:t>延安市公路建设工程管理处</w:t>
      </w:r>
      <w:r>
        <w:rPr>
          <w:rFonts w:hint="eastAsia" w:ascii="宋体" w:hAnsi="宋体" w:eastAsia="宋体" w:cs="宋体"/>
          <w:spacing w:val="17"/>
          <w:sz w:val="24"/>
          <w:szCs w:val="24"/>
          <w:lang w:val="en-US" w:eastAsia="zh-CN"/>
        </w:rPr>
        <w:t>（以下简称甲方）</w:t>
      </w:r>
      <w:r>
        <w:rPr>
          <w:rFonts w:hint="eastAsia" w:ascii="宋体" w:hAnsi="宋体" w:eastAsia="宋体" w:cs="宋体"/>
          <w:spacing w:val="17"/>
          <w:sz w:val="24"/>
          <w:szCs w:val="24"/>
          <w:u w:val="single"/>
          <w:lang w:val="en-US" w:eastAsia="zh-CN"/>
        </w:rPr>
        <w:t xml:space="preserve">  （采购项目名称）  </w:t>
      </w:r>
      <w:r>
        <w:rPr>
          <w:rFonts w:hint="eastAsia" w:ascii="宋体" w:hAnsi="宋体" w:eastAsia="宋体" w:cs="宋体"/>
          <w:spacing w:val="17"/>
          <w:sz w:val="24"/>
          <w:szCs w:val="24"/>
          <w:lang w:val="en-US" w:eastAsia="zh-CN"/>
        </w:rPr>
        <w:t>项目</w:t>
      </w:r>
      <w:r>
        <w:rPr>
          <w:rFonts w:hint="eastAsia" w:ascii="宋体" w:hAnsi="宋体" w:eastAsia="宋体" w:cs="宋体"/>
          <w:spacing w:val="17"/>
          <w:sz w:val="24"/>
          <w:szCs w:val="24"/>
        </w:rPr>
        <w:t>，按照</w:t>
      </w:r>
      <w:r>
        <w:rPr>
          <w:rFonts w:hint="eastAsia" w:ascii="宋体" w:hAnsi="宋体" w:eastAsia="宋体" w:cs="宋体"/>
          <w:spacing w:val="17"/>
          <w:sz w:val="24"/>
          <w:szCs w:val="24"/>
          <w:lang w:eastAsia="zh-CN"/>
        </w:rPr>
        <w:t>招标</w:t>
      </w:r>
      <w:r>
        <w:rPr>
          <w:rFonts w:hint="eastAsia" w:ascii="宋体" w:hAnsi="宋体" w:eastAsia="宋体" w:cs="宋体"/>
          <w:spacing w:val="17"/>
          <w:sz w:val="24"/>
          <w:szCs w:val="24"/>
        </w:rPr>
        <w:t>程序，采用公开招标采购的方式，选定</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u w:val="single"/>
          <w:lang w:val="en-US" w:eastAsia="zh-CN"/>
        </w:rPr>
        <w:t xml:space="preserve">   </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rPr>
        <w:t>公司（以下简称乙方）为中标</w:t>
      </w:r>
      <w:r>
        <w:rPr>
          <w:rFonts w:hint="eastAsia" w:ascii="宋体" w:hAnsi="宋体" w:eastAsia="宋体" w:cs="宋体"/>
          <w:spacing w:val="17"/>
          <w:sz w:val="24"/>
          <w:szCs w:val="24"/>
          <w:lang w:eastAsia="zh-CN"/>
        </w:rPr>
        <w:t>投标人</w:t>
      </w:r>
      <w:r>
        <w:rPr>
          <w:rFonts w:hint="eastAsia" w:ascii="宋体" w:hAnsi="宋体" w:eastAsia="宋体" w:cs="宋体"/>
          <w:bCs/>
          <w:spacing w:val="17"/>
          <w:sz w:val="24"/>
          <w:szCs w:val="24"/>
        </w:rPr>
        <w:t>。依据国家《</w:t>
      </w:r>
      <w:r>
        <w:rPr>
          <w:rFonts w:hint="eastAsia" w:ascii="宋体" w:hAnsi="宋体" w:eastAsia="宋体" w:cs="宋体"/>
          <w:bCs/>
          <w:spacing w:val="17"/>
          <w:sz w:val="24"/>
          <w:szCs w:val="24"/>
          <w:lang w:val="en-US" w:eastAsia="zh-CN"/>
        </w:rPr>
        <w:t>中华人民共和国</w:t>
      </w:r>
      <w:r>
        <w:rPr>
          <w:rFonts w:hint="eastAsia" w:ascii="宋体" w:hAnsi="宋体" w:eastAsia="宋体" w:cs="宋体"/>
          <w:bCs/>
          <w:spacing w:val="17"/>
          <w:sz w:val="24"/>
          <w:szCs w:val="24"/>
        </w:rPr>
        <w:t>民法典》及招标文件和乙方的投标文件，经甲、</w:t>
      </w:r>
      <w:r>
        <w:rPr>
          <w:rFonts w:hint="eastAsia" w:ascii="宋体" w:hAnsi="宋体" w:eastAsia="宋体" w:cs="宋体"/>
          <w:b w:val="0"/>
          <w:bCs/>
          <w:color w:val="000000"/>
          <w:spacing w:val="6"/>
          <w:sz w:val="24"/>
          <w:szCs w:val="24"/>
          <w:lang w:val="en-US" w:eastAsia="zh-CN"/>
        </w:rPr>
        <w:t>乙双方协商，达成如下合同条款。经协商，于    年    月    日按下述条款和条件签署本合同。</w:t>
      </w:r>
    </w:p>
    <w:p w14:paraId="0163094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14:paraId="61DF1E8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p>
    <w:p w14:paraId="547BF50C">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项目地点：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015E60">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项目</w:t>
      </w:r>
      <w:r>
        <w:rPr>
          <w:rFonts w:hint="eastAsia" w:ascii="宋体" w:hAnsi="宋体" w:eastAsia="宋体" w:cs="宋体"/>
          <w:kern w:val="0"/>
          <w:sz w:val="24"/>
          <w:szCs w:val="24"/>
        </w:rPr>
        <w:t>内容</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F8950A8">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二、组成本合同的文件</w:t>
      </w:r>
    </w:p>
    <w:p w14:paraId="536E07B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协议书；</w:t>
      </w:r>
    </w:p>
    <w:p w14:paraId="16CB7025">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eastAsia="zh-CN"/>
        </w:rPr>
        <w:t>投标文件</w:t>
      </w:r>
      <w:r>
        <w:rPr>
          <w:rFonts w:hint="eastAsia" w:ascii="宋体" w:hAnsi="宋体" w:eastAsia="宋体" w:cs="宋体"/>
          <w:sz w:val="24"/>
          <w:szCs w:val="24"/>
        </w:rPr>
        <w:t>、澄清</w:t>
      </w:r>
      <w:r>
        <w:rPr>
          <w:rFonts w:hint="eastAsia" w:ascii="宋体" w:hAnsi="宋体" w:eastAsia="宋体" w:cs="宋体"/>
          <w:sz w:val="24"/>
          <w:szCs w:val="24"/>
          <w:lang w:eastAsia="zh-CN"/>
        </w:rPr>
        <w:t>、中标</w:t>
      </w:r>
      <w:r>
        <w:rPr>
          <w:rFonts w:hint="eastAsia" w:ascii="宋体" w:hAnsi="宋体" w:eastAsia="宋体" w:cs="宋体"/>
          <w:sz w:val="24"/>
          <w:szCs w:val="24"/>
        </w:rPr>
        <w:t>通知书；</w:t>
      </w:r>
    </w:p>
    <w:p w14:paraId="20A416D4">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相关服务建议书；</w:t>
      </w:r>
    </w:p>
    <w:p w14:paraId="4D2DB5D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附录，即：附表内相关服务的范围和内容；</w:t>
      </w:r>
    </w:p>
    <w:p w14:paraId="22038B9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本合同签订后，双方依法签订的补充协议、备忘录也是本合同文件的组成部分。</w:t>
      </w:r>
    </w:p>
    <w:p w14:paraId="44AA3CD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三、签约金额</w:t>
      </w:r>
    </w:p>
    <w:p w14:paraId="4D0A8681">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签约金额（大写）：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14:paraId="3D6375B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w:t>
      </w:r>
      <w:r>
        <w:rPr>
          <w:rFonts w:hint="eastAsia" w:ascii="宋体" w:hAnsi="宋体" w:eastAsia="宋体" w:cs="宋体"/>
          <w:sz w:val="24"/>
          <w:szCs w:val="24"/>
          <w:lang w:eastAsia="zh-CN"/>
        </w:rPr>
        <w:t>价</w:t>
      </w:r>
      <w:r>
        <w:rPr>
          <w:rFonts w:hint="eastAsia" w:ascii="宋体" w:hAnsi="宋体" w:eastAsia="宋体" w:cs="宋体"/>
          <w:sz w:val="24"/>
          <w:szCs w:val="24"/>
        </w:rPr>
        <w:t>一次包死，不受市场价变化或实际工作量变化的影响，合同价格为含税价，</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中标</w:t>
      </w:r>
      <w:r>
        <w:rPr>
          <w:rFonts w:hint="eastAsia" w:ascii="宋体" w:hAnsi="宋体" w:eastAsia="宋体" w:cs="宋体"/>
          <w:sz w:val="24"/>
          <w:szCs w:val="24"/>
        </w:rPr>
        <w:t>人）提供</w:t>
      </w:r>
      <w:r>
        <w:rPr>
          <w:rFonts w:hint="eastAsia" w:ascii="宋体" w:hAnsi="宋体" w:eastAsia="宋体" w:cs="宋体"/>
          <w:sz w:val="24"/>
          <w:szCs w:val="24"/>
          <w:lang w:eastAsia="zh-CN"/>
        </w:rPr>
        <w:t>服务</w:t>
      </w:r>
      <w:r>
        <w:rPr>
          <w:rFonts w:hint="eastAsia" w:ascii="宋体" w:hAnsi="宋体" w:eastAsia="宋体" w:cs="宋体"/>
          <w:sz w:val="24"/>
          <w:szCs w:val="24"/>
        </w:rPr>
        <w:t>所发生的一切税（包括增值税）费等都已包含于合同价款中。</w:t>
      </w:r>
    </w:p>
    <w:p w14:paraId="4BF9BD0C">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四、结算方式</w:t>
      </w:r>
    </w:p>
    <w:p w14:paraId="77EBC09F">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（1）结算单位：由采购人以人民币负责结算，在付款前，</w:t>
      </w:r>
      <w:r>
        <w:rPr>
          <w:rFonts w:hint="eastAsia" w:ascii="宋体" w:hAnsi="宋体" w:eastAsia="宋体" w:cs="宋体"/>
          <w:sz w:val="24"/>
          <w:szCs w:val="24"/>
          <w:lang w:eastAsia="zh-CN"/>
        </w:rPr>
        <w:t>供应商</w:t>
      </w:r>
      <w:r>
        <w:rPr>
          <w:rFonts w:hint="eastAsia" w:ascii="宋体" w:hAnsi="宋体" w:eastAsia="宋体" w:cs="宋体"/>
          <w:sz w:val="24"/>
          <w:szCs w:val="24"/>
        </w:rPr>
        <w:t>必须开具发票给采购人。</w:t>
      </w:r>
    </w:p>
    <w:p w14:paraId="629683C4">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2）付款方式：第一阶段，合同签订后7个工作日内支付合同费用总额的40%；第二阶段内支付合同中单项费用额的40%；第三阶段，提交最终单项成果后7个工作日内支付合同单项费用额的20%。乙方应于甲方每次付款前，向甲方提供该阶段付款等额发票。</w:t>
      </w:r>
    </w:p>
    <w:p w14:paraId="6C883BFD">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五、期限</w:t>
      </w:r>
    </w:p>
    <w:p w14:paraId="4ECFDD09">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29606D5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六、双方承诺</w:t>
      </w:r>
    </w:p>
    <w:p w14:paraId="2C4A53E8">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向采购人承诺，按照本合同约定提供相关服务。</w:t>
      </w:r>
    </w:p>
    <w:p w14:paraId="46D7460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采购人向</w:t>
      </w:r>
      <w:r>
        <w:rPr>
          <w:rFonts w:hint="eastAsia" w:ascii="宋体" w:hAnsi="宋体" w:eastAsia="宋体" w:cs="宋体"/>
          <w:sz w:val="24"/>
          <w:szCs w:val="24"/>
          <w:lang w:eastAsia="zh-CN"/>
        </w:rPr>
        <w:t>供应商</w:t>
      </w:r>
      <w:r>
        <w:rPr>
          <w:rFonts w:hint="eastAsia" w:ascii="宋体" w:hAnsi="宋体" w:eastAsia="宋体" w:cs="宋体"/>
          <w:sz w:val="24"/>
          <w:szCs w:val="24"/>
        </w:rPr>
        <w:t>承诺，按照本合同约定支付服务款项。</w:t>
      </w:r>
    </w:p>
    <w:p w14:paraId="3EC885FF">
      <w:pPr>
        <w:keepNext w:val="0"/>
        <w:keepLines w:val="0"/>
        <w:pageBreakBefore w:val="0"/>
        <w:widowControl w:val="0"/>
        <w:tabs>
          <w:tab w:val="left" w:pos="840"/>
        </w:tabs>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七、内容及要求：</w:t>
      </w:r>
    </w:p>
    <w:p w14:paraId="3D61D13E">
      <w:pPr>
        <w:keepNext w:val="0"/>
        <w:keepLines w:val="0"/>
        <w:pageBreakBefore w:val="0"/>
        <w:widowControl w:val="0"/>
        <w:tabs>
          <w:tab w:val="left" w:pos="840"/>
        </w:tabs>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即服务内容与</w:t>
      </w:r>
      <w:r>
        <w:rPr>
          <w:rFonts w:hint="eastAsia" w:ascii="宋体" w:hAnsi="宋体" w:eastAsia="宋体" w:cs="宋体"/>
          <w:sz w:val="24"/>
          <w:szCs w:val="24"/>
          <w:lang w:eastAsia="zh-CN"/>
        </w:rPr>
        <w:t>投标文件</w:t>
      </w:r>
      <w:r>
        <w:rPr>
          <w:rFonts w:hint="eastAsia" w:ascii="宋体" w:hAnsi="宋体" w:eastAsia="宋体" w:cs="宋体"/>
          <w:sz w:val="24"/>
          <w:szCs w:val="24"/>
        </w:rPr>
        <w:t>、</w:t>
      </w:r>
      <w:r>
        <w:rPr>
          <w:rFonts w:hint="eastAsia" w:ascii="宋体" w:hAnsi="宋体" w:eastAsia="宋体" w:cs="宋体"/>
          <w:sz w:val="24"/>
          <w:szCs w:val="24"/>
          <w:lang w:eastAsia="zh-CN"/>
        </w:rPr>
        <w:t>中标通知书</w:t>
      </w:r>
      <w:r>
        <w:rPr>
          <w:rFonts w:hint="eastAsia" w:ascii="宋体" w:hAnsi="宋体" w:eastAsia="宋体" w:cs="宋体"/>
          <w:sz w:val="24"/>
          <w:szCs w:val="24"/>
        </w:rPr>
        <w:t>等所指明的，或者与本合同所指明的服务内容相一致。（附清单）</w:t>
      </w:r>
    </w:p>
    <w:p w14:paraId="3DAA52D1">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八、项目</w:t>
      </w:r>
      <w:r>
        <w:rPr>
          <w:rFonts w:hint="eastAsia" w:ascii="宋体" w:hAnsi="宋体" w:eastAsia="宋体" w:cs="宋体"/>
          <w:b/>
          <w:sz w:val="24"/>
          <w:szCs w:val="24"/>
          <w:lang w:eastAsia="zh-CN"/>
        </w:rPr>
        <w:t>服务</w:t>
      </w:r>
      <w:r>
        <w:rPr>
          <w:rFonts w:hint="eastAsia" w:ascii="宋体" w:hAnsi="宋体" w:eastAsia="宋体" w:cs="宋体"/>
          <w:b/>
          <w:sz w:val="24"/>
          <w:szCs w:val="24"/>
        </w:rPr>
        <w:t>地点：</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指定地点</w:t>
      </w:r>
      <w:r>
        <w:rPr>
          <w:rFonts w:hint="eastAsia" w:ascii="宋体" w:hAnsi="宋体" w:eastAsia="宋体" w:cs="宋体"/>
          <w:color w:val="auto"/>
          <w:sz w:val="24"/>
          <w:szCs w:val="24"/>
        </w:rPr>
        <w:t>。</w:t>
      </w:r>
    </w:p>
    <w:p w14:paraId="6379D4A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sz w:val="24"/>
          <w:szCs w:val="24"/>
          <w:lang w:eastAsia="zh-CN"/>
        </w:rPr>
        <w:t>九</w:t>
      </w:r>
      <w:r>
        <w:rPr>
          <w:rFonts w:hint="eastAsia" w:ascii="宋体" w:hAnsi="宋体" w:eastAsia="宋体" w:cs="宋体"/>
          <w:b/>
          <w:sz w:val="24"/>
          <w:szCs w:val="24"/>
        </w:rPr>
        <w:t>、</w:t>
      </w:r>
      <w:r>
        <w:rPr>
          <w:rFonts w:hint="eastAsia" w:ascii="宋体" w:hAnsi="宋体" w:eastAsia="宋体" w:cs="宋体"/>
          <w:b/>
          <w:color w:val="000000"/>
          <w:sz w:val="24"/>
          <w:szCs w:val="24"/>
        </w:rPr>
        <w:t>保密</w:t>
      </w:r>
    </w:p>
    <w:p w14:paraId="684F42A9">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双方须对工作中了解到的使用单位技术、机密等进行严格保密，不得向他人泄漏。</w:t>
      </w:r>
    </w:p>
    <w:p w14:paraId="609BFB64">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十</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知识产权</w:t>
      </w:r>
    </w:p>
    <w:p w14:paraId="620DD993">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应保证投标产品及服务不会出现因第三方提出侵犯其专利权、商标权或其它知识产权而引发法律或经济纠纷，否则由</w:t>
      </w:r>
      <w:r>
        <w:rPr>
          <w:rFonts w:hint="eastAsia" w:ascii="宋体" w:hAnsi="宋体" w:eastAsia="宋体" w:cs="宋体"/>
          <w:sz w:val="24"/>
          <w:szCs w:val="24"/>
          <w:lang w:eastAsia="zh-CN"/>
        </w:rPr>
        <w:t>供应商</w:t>
      </w:r>
      <w:r>
        <w:rPr>
          <w:rFonts w:hint="eastAsia" w:ascii="宋体" w:hAnsi="宋体" w:eastAsia="宋体" w:cs="宋体"/>
          <w:sz w:val="24"/>
          <w:szCs w:val="24"/>
        </w:rPr>
        <w:t>承担全部责任。任何被</w:t>
      </w:r>
      <w:r>
        <w:rPr>
          <w:rFonts w:hint="eastAsia" w:ascii="宋体" w:hAnsi="宋体" w:eastAsia="宋体" w:cs="宋体"/>
          <w:sz w:val="24"/>
          <w:szCs w:val="24"/>
          <w:lang w:eastAsia="zh-CN"/>
        </w:rPr>
        <w:t>供应商</w:t>
      </w:r>
      <w:r>
        <w:rPr>
          <w:rFonts w:hint="eastAsia" w:ascii="宋体" w:hAnsi="宋体" w:eastAsia="宋体" w:cs="宋体"/>
          <w:sz w:val="24"/>
          <w:szCs w:val="24"/>
        </w:rPr>
        <w:t>用于未经授权的商业目的行为所造成的违约或侵权责任由</w:t>
      </w:r>
      <w:r>
        <w:rPr>
          <w:rFonts w:hint="eastAsia" w:ascii="宋体" w:hAnsi="宋体" w:eastAsia="宋体" w:cs="宋体"/>
          <w:sz w:val="24"/>
          <w:szCs w:val="24"/>
          <w:lang w:eastAsia="zh-CN"/>
        </w:rPr>
        <w:t>供应商</w:t>
      </w:r>
      <w:r>
        <w:rPr>
          <w:rFonts w:hint="eastAsia" w:ascii="宋体" w:hAnsi="宋体" w:eastAsia="宋体" w:cs="宋体"/>
          <w:sz w:val="24"/>
          <w:szCs w:val="24"/>
        </w:rPr>
        <w:t>承但。</w:t>
      </w:r>
    </w:p>
    <w:p w14:paraId="66DF80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一</w:t>
      </w:r>
      <w:r>
        <w:rPr>
          <w:rFonts w:hint="eastAsia" w:ascii="宋体" w:hAnsi="宋体" w:eastAsia="宋体" w:cs="宋体"/>
          <w:b/>
          <w:sz w:val="24"/>
          <w:szCs w:val="24"/>
        </w:rPr>
        <w:t>、合同争议的解决：</w:t>
      </w:r>
      <w:r>
        <w:rPr>
          <w:rFonts w:hint="eastAsia" w:ascii="宋体" w:hAnsi="宋体" w:eastAsia="宋体" w:cs="宋体"/>
          <w:sz w:val="24"/>
          <w:szCs w:val="24"/>
        </w:rPr>
        <w:t>合同执行中发生争议的，当事人双方应协商解决，协商达不成一致时，可向采购人住所地有管辖权的人民法院提请诉讼。</w:t>
      </w:r>
    </w:p>
    <w:p w14:paraId="4334FB4E">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二</w:t>
      </w:r>
      <w:r>
        <w:rPr>
          <w:rFonts w:hint="eastAsia" w:ascii="宋体" w:hAnsi="宋体" w:eastAsia="宋体" w:cs="宋体"/>
          <w:b/>
          <w:sz w:val="24"/>
          <w:szCs w:val="24"/>
        </w:rPr>
        <w:t>、</w:t>
      </w:r>
      <w:r>
        <w:rPr>
          <w:rFonts w:hint="eastAsia" w:ascii="宋体" w:hAnsi="宋体" w:eastAsia="宋体" w:cs="宋体"/>
          <w:sz w:val="24"/>
          <w:szCs w:val="24"/>
        </w:rPr>
        <w:t>在发生不可抗力情况下的应对措施和解决办法。</w:t>
      </w:r>
    </w:p>
    <w:p w14:paraId="074CF8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color w:val="auto"/>
          <w:sz w:val="24"/>
          <w:szCs w:val="24"/>
          <w:lang w:eastAsia="zh-CN"/>
        </w:rPr>
        <w:t>十三</w:t>
      </w:r>
      <w:r>
        <w:rPr>
          <w:rFonts w:hint="eastAsia" w:ascii="宋体" w:hAnsi="宋体" w:eastAsia="宋体" w:cs="宋体"/>
          <w:b/>
          <w:color w:val="auto"/>
          <w:sz w:val="24"/>
          <w:szCs w:val="24"/>
        </w:rPr>
        <w:t>、</w:t>
      </w:r>
      <w:r>
        <w:rPr>
          <w:rFonts w:hint="eastAsia" w:ascii="宋体" w:hAnsi="宋体" w:eastAsia="宋体" w:cs="宋体"/>
          <w:color w:val="auto"/>
          <w:sz w:val="24"/>
          <w:szCs w:val="24"/>
        </w:rPr>
        <w:t>合同一经签</w:t>
      </w:r>
      <w:r>
        <w:rPr>
          <w:rFonts w:hint="eastAsia" w:ascii="宋体" w:hAnsi="宋体" w:eastAsia="宋体" w:cs="宋体"/>
          <w:sz w:val="24"/>
          <w:szCs w:val="24"/>
        </w:rPr>
        <w:t>订，不得擅自变更、中止或者终止合同。对确需变更、调整或者中止、终止合同的，应按规定履行相应的手续。</w:t>
      </w:r>
    </w:p>
    <w:p w14:paraId="3ABCDD1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十四</w:t>
      </w:r>
      <w:r>
        <w:rPr>
          <w:rFonts w:hint="eastAsia" w:ascii="宋体" w:hAnsi="宋体" w:eastAsia="宋体" w:cs="宋体"/>
          <w:b/>
          <w:sz w:val="24"/>
          <w:szCs w:val="24"/>
        </w:rPr>
        <w:t>、违约责任</w:t>
      </w:r>
    </w:p>
    <w:p w14:paraId="4DE6E37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》、《中华人民共和国政府采购法》的相关条款和本合同约定，</w:t>
      </w:r>
      <w:r>
        <w:rPr>
          <w:rFonts w:hint="eastAsia" w:ascii="宋体" w:hAnsi="宋体" w:eastAsia="宋体" w:cs="宋体"/>
          <w:sz w:val="24"/>
          <w:szCs w:val="24"/>
          <w:lang w:eastAsia="zh-CN"/>
        </w:rPr>
        <w:t>中标供应商</w:t>
      </w:r>
      <w:r>
        <w:rPr>
          <w:rFonts w:hint="eastAsia" w:ascii="宋体" w:hAnsi="宋体" w:eastAsia="宋体" w:cs="宋体"/>
          <w:sz w:val="24"/>
          <w:szCs w:val="24"/>
        </w:rPr>
        <w:t>未全面履行合同义务或者发生违约，采购单位会同采购代理机构有权终止合同，依法向</w:t>
      </w:r>
      <w:r>
        <w:rPr>
          <w:rFonts w:hint="eastAsia" w:ascii="宋体" w:hAnsi="宋体" w:eastAsia="宋体" w:cs="宋体"/>
          <w:sz w:val="24"/>
          <w:szCs w:val="24"/>
          <w:lang w:eastAsia="zh-CN"/>
        </w:rPr>
        <w:t>中标供应商</w:t>
      </w:r>
      <w:r>
        <w:rPr>
          <w:rFonts w:hint="eastAsia" w:ascii="宋体" w:hAnsi="宋体" w:eastAsia="宋体" w:cs="宋体"/>
          <w:sz w:val="24"/>
          <w:szCs w:val="24"/>
        </w:rPr>
        <w:t>进行经济索赔，并报请政府采购监督管理机关进行相应的行政处罚。采购单位违约的，应当赔偿给</w:t>
      </w:r>
      <w:r>
        <w:rPr>
          <w:rFonts w:hint="eastAsia" w:ascii="宋体" w:hAnsi="宋体" w:eastAsia="宋体" w:cs="宋体"/>
          <w:sz w:val="24"/>
          <w:szCs w:val="24"/>
          <w:lang w:eastAsia="zh-CN"/>
        </w:rPr>
        <w:t>中标供应商</w:t>
      </w:r>
      <w:r>
        <w:rPr>
          <w:rFonts w:hint="eastAsia" w:ascii="宋体" w:hAnsi="宋体" w:eastAsia="宋体" w:cs="宋体"/>
          <w:sz w:val="24"/>
          <w:szCs w:val="24"/>
        </w:rPr>
        <w:t>造成的经济损失。</w:t>
      </w:r>
    </w:p>
    <w:p w14:paraId="02D6144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十五、验收</w:t>
      </w:r>
    </w:p>
    <w:p w14:paraId="72582C0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由采购人负责组织验收，或者邀请有关专家、质检机构共同进行验收；验收合格须交接项目实施的全部资料，并填写政府采购项目验收报告单。验收须以合同、招标文件及投标文件、澄清、及国家相应的标准、规范等为依据。</w:t>
      </w:r>
    </w:p>
    <w:p w14:paraId="0564582B">
      <w:pPr>
        <w:keepNext w:val="0"/>
        <w:keepLines w:val="0"/>
        <w:pageBreakBefore w:val="0"/>
        <w:widowControl w:val="0"/>
        <w:kinsoku w:val="0"/>
        <w:wordWrap/>
        <w:overflowPunct/>
        <w:topLinePunct w:val="0"/>
        <w:autoSpaceDE/>
        <w:autoSpaceDN/>
        <w:bidi w:val="0"/>
        <w:spacing w:line="600" w:lineRule="exact"/>
        <w:ind w:firstLine="482" w:firstLineChars="200"/>
        <w:textAlignment w:val="auto"/>
        <w:rPr>
          <w:rFonts w:hint="eastAsia" w:ascii="宋体" w:hAnsi="宋体" w:eastAsia="宋体" w:cs="宋体"/>
          <w:b/>
          <w:bCs w:val="0"/>
          <w:color w:val="000000"/>
          <w:spacing w:val="0"/>
          <w:sz w:val="24"/>
          <w:szCs w:val="24"/>
        </w:rPr>
      </w:pPr>
      <w:r>
        <w:rPr>
          <w:rFonts w:hint="eastAsia" w:ascii="宋体" w:hAnsi="宋体" w:eastAsia="宋体" w:cs="宋体"/>
          <w:b/>
          <w:bCs w:val="0"/>
          <w:color w:val="000000"/>
          <w:spacing w:val="0"/>
          <w:sz w:val="24"/>
          <w:szCs w:val="24"/>
          <w:lang w:eastAsia="zh-CN"/>
        </w:rPr>
        <w:t>十六</w:t>
      </w:r>
      <w:r>
        <w:rPr>
          <w:rFonts w:hint="eastAsia" w:ascii="宋体" w:hAnsi="宋体" w:eastAsia="宋体" w:cs="宋体"/>
          <w:b/>
          <w:bCs w:val="0"/>
          <w:color w:val="000000"/>
          <w:spacing w:val="0"/>
          <w:sz w:val="24"/>
          <w:szCs w:val="24"/>
        </w:rPr>
        <w:t>、合同生效及其他</w:t>
      </w:r>
    </w:p>
    <w:p w14:paraId="61FC1EAA">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1</w:t>
      </w:r>
      <w:r>
        <w:rPr>
          <w:rFonts w:hint="eastAsia" w:ascii="宋体" w:hAnsi="宋体" w:eastAsia="宋体" w:cs="宋体"/>
          <w:color w:val="000000"/>
          <w:spacing w:val="0"/>
          <w:sz w:val="24"/>
          <w:szCs w:val="24"/>
          <w:lang w:val="en-US" w:eastAsia="zh-CN"/>
        </w:rPr>
        <w:t>.</w:t>
      </w:r>
      <w:r>
        <w:rPr>
          <w:rFonts w:hint="eastAsia" w:ascii="宋体" w:hAnsi="宋体" w:eastAsia="宋体" w:cs="宋体"/>
          <w:color w:val="000000"/>
          <w:spacing w:val="0"/>
          <w:sz w:val="24"/>
          <w:szCs w:val="24"/>
        </w:rPr>
        <w:t>本合同双方签字盖章即生效，一式</w:t>
      </w:r>
      <w:r>
        <w:rPr>
          <w:rFonts w:hint="eastAsia" w:ascii="宋体" w:hAnsi="宋体" w:eastAsia="宋体" w:cs="宋体"/>
          <w:color w:val="000000"/>
          <w:spacing w:val="0"/>
          <w:sz w:val="24"/>
          <w:szCs w:val="24"/>
          <w:lang w:val="en-US" w:eastAsia="zh-CN"/>
        </w:rPr>
        <w:t>伍</w:t>
      </w:r>
      <w:r>
        <w:rPr>
          <w:rFonts w:hint="eastAsia" w:ascii="宋体" w:hAnsi="宋体" w:eastAsia="宋体" w:cs="宋体"/>
          <w:color w:val="000000"/>
          <w:spacing w:val="0"/>
          <w:sz w:val="24"/>
          <w:szCs w:val="24"/>
        </w:rPr>
        <w:t>份，甲方</w:t>
      </w:r>
      <w:r>
        <w:rPr>
          <w:rFonts w:hint="eastAsia" w:ascii="宋体" w:hAnsi="宋体" w:eastAsia="宋体" w:cs="宋体"/>
          <w:color w:val="000000"/>
          <w:spacing w:val="0"/>
          <w:sz w:val="24"/>
          <w:szCs w:val="24"/>
          <w:lang w:eastAsia="zh-CN"/>
        </w:rPr>
        <w:t>叁</w:t>
      </w:r>
      <w:r>
        <w:rPr>
          <w:rFonts w:hint="eastAsia" w:ascii="宋体" w:hAnsi="宋体" w:eastAsia="宋体" w:cs="宋体"/>
          <w:color w:val="000000"/>
          <w:spacing w:val="0"/>
          <w:sz w:val="24"/>
          <w:szCs w:val="24"/>
        </w:rPr>
        <w:t>份，乙方</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bCs/>
          <w:color w:val="000000"/>
          <w:spacing w:val="0"/>
          <w:sz w:val="24"/>
          <w:szCs w:val="24"/>
          <w:lang w:eastAsia="zh-CN"/>
        </w:rPr>
        <w:t>，</w:t>
      </w:r>
      <w:r>
        <w:rPr>
          <w:rFonts w:hint="eastAsia" w:ascii="宋体" w:hAnsi="宋体" w:eastAsia="宋体" w:cs="宋体"/>
          <w:bCs/>
          <w:color w:val="000000"/>
          <w:spacing w:val="0"/>
          <w:sz w:val="24"/>
          <w:szCs w:val="24"/>
          <w:lang w:val="en-US" w:eastAsia="zh-CN"/>
        </w:rPr>
        <w:t>代理机构</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color w:val="000000"/>
          <w:spacing w:val="0"/>
          <w:sz w:val="24"/>
          <w:szCs w:val="24"/>
        </w:rPr>
        <w:t>。</w:t>
      </w:r>
    </w:p>
    <w:p w14:paraId="1A04D13E">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lang w:val="en-US" w:eastAsia="zh-CN"/>
        </w:rPr>
        <w:t>2.</w:t>
      </w:r>
      <w:r>
        <w:rPr>
          <w:rFonts w:hint="eastAsia" w:ascii="宋体" w:hAnsi="宋体" w:eastAsia="宋体" w:cs="宋体"/>
          <w:color w:val="000000"/>
          <w:spacing w:val="0"/>
          <w:sz w:val="24"/>
          <w:szCs w:val="24"/>
        </w:rPr>
        <w:t>由于不可抗力因素致使合同无法履行时，双方应及时协商解决。 </w:t>
      </w:r>
    </w:p>
    <w:p w14:paraId="7CFC72B7">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双方可认的来往传真、电报、会议纪要等，均为合同的组成部分，与本合同具有同等法律效力。</w:t>
      </w:r>
    </w:p>
    <w:p w14:paraId="244CEC80">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sz w:val="24"/>
          <w:szCs w:val="24"/>
        </w:rPr>
        <w:sectPr>
          <w:footerReference r:id="rId12"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未尽事宜，经双方协商一致，签订补充协议，补充协议</w:t>
      </w:r>
      <w:r>
        <w:rPr>
          <w:rFonts w:hint="eastAsia" w:ascii="宋体" w:hAnsi="宋体" w:eastAsia="宋体" w:cs="宋体"/>
          <w:sz w:val="24"/>
          <w:szCs w:val="24"/>
        </w:rPr>
        <w:t>与本合同具有同等效力。</w:t>
      </w:r>
    </w:p>
    <w:tbl>
      <w:tblPr>
        <w:tblStyle w:val="35"/>
        <w:tblpPr w:leftFromText="180" w:rightFromText="180" w:vertAnchor="text" w:horzAnchor="page" w:tblpX="13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2"/>
        <w:gridCol w:w="3054"/>
        <w:gridCol w:w="3052"/>
      </w:tblGrid>
      <w:tr w14:paraId="1D13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52" w:type="dxa"/>
            <w:noWrap w:val="0"/>
            <w:vAlign w:val="top"/>
          </w:tcPr>
          <w:p w14:paraId="181C9500">
            <w:pPr>
              <w:spacing w:line="420" w:lineRule="exact"/>
              <w:jc w:val="center"/>
              <w:rPr>
                <w:rFonts w:hint="eastAsia" w:ascii="宋体" w:hAnsi="宋体" w:cs="宋体"/>
                <w:bCs/>
                <w:sz w:val="24"/>
                <w:szCs w:val="24"/>
              </w:rPr>
            </w:pPr>
            <w:r>
              <w:rPr>
                <w:rFonts w:hint="eastAsia" w:ascii="宋体" w:hAnsi="宋体" w:cs="宋体"/>
                <w:bCs/>
                <w:sz w:val="24"/>
                <w:szCs w:val="24"/>
              </w:rPr>
              <w:t>甲  方</w:t>
            </w:r>
          </w:p>
        </w:tc>
        <w:tc>
          <w:tcPr>
            <w:tcW w:w="3054" w:type="dxa"/>
            <w:noWrap w:val="0"/>
            <w:vAlign w:val="top"/>
          </w:tcPr>
          <w:p w14:paraId="2FD03F2D">
            <w:pPr>
              <w:spacing w:line="420" w:lineRule="exact"/>
              <w:jc w:val="center"/>
              <w:rPr>
                <w:rFonts w:hint="eastAsia" w:ascii="宋体" w:hAnsi="宋体" w:cs="宋体"/>
                <w:bCs/>
                <w:sz w:val="24"/>
                <w:szCs w:val="24"/>
              </w:rPr>
            </w:pPr>
            <w:r>
              <w:rPr>
                <w:rFonts w:hint="eastAsia" w:ascii="宋体" w:hAnsi="宋体" w:cs="宋体"/>
                <w:bCs/>
                <w:sz w:val="24"/>
                <w:szCs w:val="24"/>
              </w:rPr>
              <w:t>乙  方</w:t>
            </w:r>
          </w:p>
        </w:tc>
        <w:tc>
          <w:tcPr>
            <w:tcW w:w="3052" w:type="dxa"/>
            <w:noWrap w:val="0"/>
            <w:vAlign w:val="top"/>
          </w:tcPr>
          <w:p w14:paraId="46685575">
            <w:pPr>
              <w:spacing w:line="420" w:lineRule="exact"/>
              <w:jc w:val="center"/>
              <w:rPr>
                <w:rFonts w:hint="default" w:ascii="宋体" w:hAnsi="宋体" w:cs="宋体"/>
                <w:bCs/>
                <w:sz w:val="24"/>
                <w:szCs w:val="24"/>
                <w:lang w:val="en-US"/>
              </w:rPr>
            </w:pPr>
            <w:r>
              <w:rPr>
                <w:rFonts w:hint="eastAsia" w:ascii="宋体" w:hAnsi="宋体" w:cs="宋体"/>
                <w:bCs/>
                <w:sz w:val="24"/>
                <w:szCs w:val="24"/>
                <w:lang w:val="en-US" w:eastAsia="zh-CN"/>
              </w:rPr>
              <w:t>代理机构</w:t>
            </w:r>
          </w:p>
        </w:tc>
      </w:tr>
      <w:tr w14:paraId="2F8D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3052" w:type="dxa"/>
            <w:noWrap w:val="0"/>
            <w:vAlign w:val="center"/>
          </w:tcPr>
          <w:p w14:paraId="1324D17C">
            <w:pPr>
              <w:spacing w:line="420" w:lineRule="exact"/>
              <w:jc w:val="center"/>
              <w:rPr>
                <w:rFonts w:hint="eastAsia" w:ascii="宋体" w:hAnsi="宋体" w:cs="宋体"/>
                <w:bCs/>
                <w:sz w:val="24"/>
                <w:szCs w:val="24"/>
              </w:rPr>
            </w:pPr>
          </w:p>
          <w:p w14:paraId="1CFCC28B">
            <w:pPr>
              <w:spacing w:line="420" w:lineRule="exact"/>
              <w:jc w:val="center"/>
              <w:rPr>
                <w:rFonts w:hint="eastAsia" w:ascii="宋体" w:hAnsi="宋体" w:cs="宋体"/>
                <w:bCs/>
                <w:sz w:val="24"/>
                <w:szCs w:val="24"/>
              </w:rPr>
            </w:pPr>
          </w:p>
          <w:p w14:paraId="3C6354BA">
            <w:pPr>
              <w:spacing w:line="420" w:lineRule="exact"/>
              <w:jc w:val="center"/>
              <w:rPr>
                <w:rFonts w:hint="eastAsia" w:ascii="宋体" w:hAnsi="宋体" w:cs="宋体"/>
                <w:bCs/>
                <w:sz w:val="24"/>
                <w:szCs w:val="24"/>
              </w:rPr>
            </w:pPr>
          </w:p>
          <w:p w14:paraId="59469E12">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4" w:type="dxa"/>
            <w:noWrap w:val="0"/>
            <w:vAlign w:val="center"/>
          </w:tcPr>
          <w:p w14:paraId="27BE9389">
            <w:pPr>
              <w:spacing w:line="420" w:lineRule="exact"/>
              <w:jc w:val="center"/>
              <w:rPr>
                <w:rFonts w:hint="eastAsia" w:ascii="宋体" w:hAnsi="宋体" w:cs="宋体"/>
                <w:bCs/>
                <w:sz w:val="24"/>
                <w:szCs w:val="24"/>
              </w:rPr>
            </w:pPr>
          </w:p>
          <w:p w14:paraId="29237D0C">
            <w:pPr>
              <w:spacing w:line="420" w:lineRule="exact"/>
              <w:jc w:val="center"/>
              <w:rPr>
                <w:rFonts w:hint="eastAsia" w:ascii="宋体" w:hAnsi="宋体" w:cs="宋体"/>
                <w:bCs/>
                <w:sz w:val="24"/>
                <w:szCs w:val="24"/>
              </w:rPr>
            </w:pPr>
          </w:p>
          <w:p w14:paraId="733D5815">
            <w:pPr>
              <w:spacing w:line="420" w:lineRule="exact"/>
              <w:jc w:val="center"/>
              <w:rPr>
                <w:rFonts w:hint="eastAsia" w:ascii="宋体" w:hAnsi="宋体" w:cs="宋体"/>
                <w:bCs/>
                <w:sz w:val="24"/>
                <w:szCs w:val="24"/>
              </w:rPr>
            </w:pPr>
          </w:p>
          <w:p w14:paraId="705619BB">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2" w:type="dxa"/>
            <w:noWrap w:val="0"/>
            <w:vAlign w:val="center"/>
          </w:tcPr>
          <w:p w14:paraId="70D7A4AD">
            <w:pPr>
              <w:spacing w:line="420" w:lineRule="exact"/>
              <w:jc w:val="center"/>
              <w:rPr>
                <w:rFonts w:hint="eastAsia" w:ascii="宋体" w:hAnsi="宋体" w:cs="宋体"/>
                <w:bCs/>
                <w:sz w:val="24"/>
                <w:szCs w:val="24"/>
              </w:rPr>
            </w:pPr>
          </w:p>
          <w:p w14:paraId="6DE0C0D7">
            <w:pPr>
              <w:spacing w:line="420" w:lineRule="exact"/>
              <w:jc w:val="center"/>
              <w:rPr>
                <w:rFonts w:hint="eastAsia" w:ascii="宋体" w:hAnsi="宋体" w:cs="宋体"/>
                <w:bCs/>
                <w:sz w:val="24"/>
                <w:szCs w:val="24"/>
              </w:rPr>
            </w:pPr>
          </w:p>
          <w:p w14:paraId="61920F76">
            <w:pPr>
              <w:spacing w:line="420" w:lineRule="exact"/>
              <w:jc w:val="center"/>
              <w:rPr>
                <w:rFonts w:hint="eastAsia" w:ascii="宋体" w:hAnsi="宋体" w:cs="宋体"/>
                <w:bCs/>
                <w:sz w:val="24"/>
                <w:szCs w:val="24"/>
              </w:rPr>
            </w:pPr>
          </w:p>
          <w:p w14:paraId="25ADA1C0">
            <w:pPr>
              <w:spacing w:line="420" w:lineRule="exact"/>
              <w:jc w:val="center"/>
              <w:rPr>
                <w:rFonts w:hint="eastAsia" w:ascii="宋体" w:hAnsi="宋体" w:cs="宋体"/>
                <w:bCs/>
                <w:sz w:val="24"/>
                <w:szCs w:val="24"/>
              </w:rPr>
            </w:pPr>
            <w:r>
              <w:rPr>
                <w:rFonts w:hint="eastAsia" w:ascii="宋体" w:hAnsi="宋体" w:cs="宋体"/>
                <w:bCs/>
                <w:sz w:val="24"/>
                <w:szCs w:val="24"/>
              </w:rPr>
              <w:t>（盖章）</w:t>
            </w:r>
          </w:p>
        </w:tc>
      </w:tr>
      <w:tr w14:paraId="7B88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052" w:type="dxa"/>
            <w:noWrap w:val="0"/>
            <w:vAlign w:val="top"/>
          </w:tcPr>
          <w:p w14:paraId="72439BEC">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4" w:type="dxa"/>
            <w:noWrap w:val="0"/>
            <w:vAlign w:val="top"/>
          </w:tcPr>
          <w:p w14:paraId="3FC817D8">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2" w:type="dxa"/>
            <w:noWrap w:val="0"/>
            <w:vAlign w:val="top"/>
          </w:tcPr>
          <w:p w14:paraId="72CD5F7B">
            <w:pPr>
              <w:spacing w:line="420" w:lineRule="exact"/>
              <w:rPr>
                <w:rFonts w:hint="eastAsia" w:ascii="宋体" w:hAnsi="宋体" w:cs="宋体"/>
                <w:bCs/>
                <w:sz w:val="24"/>
                <w:szCs w:val="24"/>
              </w:rPr>
            </w:pPr>
            <w:r>
              <w:rPr>
                <w:rFonts w:hint="eastAsia" w:ascii="宋体" w:hAnsi="宋体" w:cs="宋体"/>
                <w:bCs/>
                <w:sz w:val="24"/>
                <w:szCs w:val="24"/>
              </w:rPr>
              <w:t>地址：</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w:t>
            </w:r>
          </w:p>
        </w:tc>
      </w:tr>
      <w:tr w14:paraId="07FA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08D5D862">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4" w:type="dxa"/>
            <w:noWrap w:val="0"/>
            <w:vAlign w:val="top"/>
          </w:tcPr>
          <w:p w14:paraId="2AB6A268">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2" w:type="dxa"/>
            <w:noWrap w:val="0"/>
            <w:vAlign w:val="top"/>
          </w:tcPr>
          <w:p w14:paraId="2D4FD4DA">
            <w:pPr>
              <w:spacing w:line="420" w:lineRule="exact"/>
              <w:rPr>
                <w:rFonts w:hint="eastAsia" w:ascii="宋体" w:hAnsi="宋体" w:cs="宋体"/>
                <w:bCs/>
                <w:sz w:val="24"/>
                <w:szCs w:val="24"/>
              </w:rPr>
            </w:pPr>
            <w:r>
              <w:rPr>
                <w:rFonts w:hint="eastAsia" w:ascii="宋体" w:hAnsi="宋体" w:cs="宋体"/>
                <w:bCs/>
                <w:sz w:val="24"/>
                <w:szCs w:val="24"/>
              </w:rPr>
              <w:t xml:space="preserve">邮编： </w:t>
            </w:r>
          </w:p>
        </w:tc>
      </w:tr>
      <w:tr w14:paraId="5566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9C3F867">
            <w:pPr>
              <w:spacing w:line="420" w:lineRule="exact"/>
              <w:rPr>
                <w:rFonts w:hint="eastAsia" w:ascii="宋体" w:hAnsi="宋体" w:cs="宋体"/>
                <w:bCs/>
                <w:sz w:val="24"/>
                <w:szCs w:val="24"/>
              </w:rPr>
            </w:pPr>
            <w:r>
              <w:rPr>
                <w:rFonts w:hint="eastAsia" w:ascii="宋体" w:hAnsi="宋体" w:cs="宋体"/>
                <w:bCs/>
                <w:sz w:val="24"/>
                <w:szCs w:val="24"/>
              </w:rPr>
              <w:t xml:space="preserve">法定代表人： </w:t>
            </w:r>
          </w:p>
        </w:tc>
        <w:tc>
          <w:tcPr>
            <w:tcW w:w="3054" w:type="dxa"/>
            <w:noWrap w:val="0"/>
            <w:vAlign w:val="top"/>
          </w:tcPr>
          <w:p w14:paraId="234EFC63">
            <w:pPr>
              <w:spacing w:line="420" w:lineRule="exact"/>
              <w:rPr>
                <w:rFonts w:hint="eastAsia" w:ascii="宋体" w:hAnsi="宋体" w:cs="宋体"/>
                <w:bCs/>
                <w:sz w:val="24"/>
                <w:szCs w:val="24"/>
              </w:rPr>
            </w:pPr>
            <w:r>
              <w:rPr>
                <w:rFonts w:hint="eastAsia" w:ascii="宋体" w:hAnsi="宋体" w:cs="宋体"/>
                <w:bCs/>
                <w:sz w:val="24"/>
                <w:szCs w:val="24"/>
              </w:rPr>
              <w:t>法定代表人：</w:t>
            </w:r>
          </w:p>
        </w:tc>
        <w:tc>
          <w:tcPr>
            <w:tcW w:w="3052" w:type="dxa"/>
            <w:noWrap w:val="0"/>
            <w:vAlign w:val="top"/>
          </w:tcPr>
          <w:p w14:paraId="3DB1DEC4">
            <w:pPr>
              <w:spacing w:line="420" w:lineRule="exact"/>
              <w:rPr>
                <w:rFonts w:hint="eastAsia" w:ascii="宋体" w:hAnsi="宋体" w:cs="宋体"/>
                <w:bCs/>
                <w:sz w:val="24"/>
                <w:szCs w:val="24"/>
              </w:rPr>
            </w:pPr>
            <w:r>
              <w:rPr>
                <w:rFonts w:hint="eastAsia" w:ascii="宋体" w:hAnsi="宋体" w:cs="宋体"/>
                <w:bCs/>
                <w:sz w:val="24"/>
                <w:szCs w:val="24"/>
              </w:rPr>
              <w:t>法定代表人：</w:t>
            </w:r>
          </w:p>
        </w:tc>
      </w:tr>
      <w:tr w14:paraId="2DD0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71A3127">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4" w:type="dxa"/>
            <w:noWrap w:val="0"/>
            <w:vAlign w:val="top"/>
          </w:tcPr>
          <w:p w14:paraId="6FD5088B">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2" w:type="dxa"/>
            <w:noWrap w:val="0"/>
            <w:vAlign w:val="top"/>
          </w:tcPr>
          <w:p w14:paraId="38F6B62A">
            <w:pPr>
              <w:spacing w:line="420" w:lineRule="exact"/>
              <w:rPr>
                <w:rFonts w:hint="eastAsia" w:ascii="宋体" w:hAnsi="宋体" w:cs="宋体"/>
                <w:bCs/>
                <w:sz w:val="24"/>
                <w:szCs w:val="24"/>
              </w:rPr>
            </w:pPr>
            <w:r>
              <w:rPr>
                <w:rFonts w:hint="eastAsia" w:ascii="宋体" w:hAnsi="宋体" w:cs="宋体"/>
                <w:bCs/>
                <w:sz w:val="24"/>
                <w:szCs w:val="24"/>
              </w:rPr>
              <w:t>承办人：</w:t>
            </w:r>
          </w:p>
        </w:tc>
      </w:tr>
      <w:tr w14:paraId="18FE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6889F690">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4" w:type="dxa"/>
            <w:noWrap w:val="0"/>
            <w:vAlign w:val="top"/>
          </w:tcPr>
          <w:p w14:paraId="09DE4BE9">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2" w:type="dxa"/>
            <w:noWrap w:val="0"/>
            <w:vAlign w:val="top"/>
          </w:tcPr>
          <w:p w14:paraId="1C263F86">
            <w:pPr>
              <w:spacing w:line="420" w:lineRule="exact"/>
              <w:rPr>
                <w:rFonts w:hint="default" w:ascii="宋体" w:hAnsi="宋体" w:eastAsia="宋体" w:cs="宋体"/>
                <w:bCs/>
                <w:sz w:val="24"/>
                <w:szCs w:val="24"/>
                <w:lang w:val="en-US" w:eastAsia="zh-CN"/>
              </w:rPr>
            </w:pPr>
            <w:r>
              <w:rPr>
                <w:rFonts w:hint="eastAsia" w:ascii="宋体" w:hAnsi="宋体" w:cs="宋体"/>
                <w:bCs/>
                <w:sz w:val="24"/>
                <w:szCs w:val="24"/>
              </w:rPr>
              <w:t xml:space="preserve">电话： </w:t>
            </w:r>
            <w:r>
              <w:rPr>
                <w:rFonts w:hint="eastAsia" w:ascii="宋体" w:hAnsi="宋体" w:cs="宋体"/>
                <w:bCs/>
                <w:sz w:val="24"/>
                <w:szCs w:val="24"/>
                <w:lang w:val="en-US" w:eastAsia="zh-CN"/>
              </w:rPr>
              <w:t xml:space="preserve"> </w:t>
            </w:r>
          </w:p>
        </w:tc>
      </w:tr>
      <w:tr w14:paraId="361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2FA70648">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4" w:type="dxa"/>
            <w:noWrap w:val="0"/>
            <w:vAlign w:val="top"/>
          </w:tcPr>
          <w:p w14:paraId="52F4CE5E">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2" w:type="dxa"/>
            <w:noWrap w:val="0"/>
            <w:vAlign w:val="top"/>
          </w:tcPr>
          <w:p w14:paraId="719B5B75">
            <w:pPr>
              <w:spacing w:line="420" w:lineRule="exact"/>
              <w:rPr>
                <w:rFonts w:hint="eastAsia" w:ascii="宋体" w:hAnsi="宋体" w:cs="宋体"/>
                <w:bCs/>
                <w:sz w:val="24"/>
                <w:szCs w:val="24"/>
              </w:rPr>
            </w:pPr>
            <w:r>
              <w:rPr>
                <w:rFonts w:hint="eastAsia" w:ascii="宋体" w:hAnsi="宋体" w:cs="宋体"/>
                <w:bCs/>
                <w:sz w:val="24"/>
                <w:szCs w:val="24"/>
              </w:rPr>
              <w:t>传真：</w:t>
            </w:r>
          </w:p>
        </w:tc>
      </w:tr>
      <w:tr w14:paraId="5EF8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052" w:type="dxa"/>
            <w:noWrap w:val="0"/>
            <w:vAlign w:val="top"/>
          </w:tcPr>
          <w:p w14:paraId="27C99437">
            <w:pPr>
              <w:spacing w:line="420" w:lineRule="exact"/>
              <w:rPr>
                <w:rFonts w:hint="eastAsia" w:ascii="宋体" w:hAnsi="宋体" w:cs="宋体"/>
                <w:bCs/>
                <w:sz w:val="24"/>
                <w:szCs w:val="24"/>
              </w:rPr>
            </w:pPr>
          </w:p>
        </w:tc>
        <w:tc>
          <w:tcPr>
            <w:tcW w:w="3054" w:type="dxa"/>
            <w:noWrap w:val="0"/>
            <w:vAlign w:val="top"/>
          </w:tcPr>
          <w:p w14:paraId="1856AF1E">
            <w:pPr>
              <w:spacing w:line="420" w:lineRule="exact"/>
              <w:rPr>
                <w:rFonts w:hint="eastAsia" w:ascii="宋体" w:hAnsi="宋体" w:cs="宋体"/>
                <w:bCs/>
                <w:sz w:val="24"/>
                <w:szCs w:val="24"/>
              </w:rPr>
            </w:pPr>
            <w:r>
              <w:rPr>
                <w:rFonts w:hint="eastAsia" w:ascii="宋体" w:hAnsi="宋体" w:cs="宋体"/>
                <w:bCs/>
                <w:sz w:val="24"/>
                <w:szCs w:val="24"/>
              </w:rPr>
              <w:t>开户银行：</w:t>
            </w:r>
          </w:p>
        </w:tc>
        <w:tc>
          <w:tcPr>
            <w:tcW w:w="3052" w:type="dxa"/>
            <w:noWrap w:val="0"/>
            <w:vAlign w:val="top"/>
          </w:tcPr>
          <w:p w14:paraId="53CF74BF">
            <w:pPr>
              <w:spacing w:line="420" w:lineRule="exact"/>
              <w:rPr>
                <w:rFonts w:hint="eastAsia" w:ascii="宋体" w:hAnsi="宋体" w:cs="宋体"/>
                <w:bCs/>
                <w:sz w:val="24"/>
                <w:szCs w:val="24"/>
              </w:rPr>
            </w:pPr>
          </w:p>
        </w:tc>
      </w:tr>
      <w:tr w14:paraId="4B19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052" w:type="dxa"/>
            <w:noWrap w:val="0"/>
            <w:vAlign w:val="top"/>
          </w:tcPr>
          <w:p w14:paraId="3630E78F">
            <w:pPr>
              <w:spacing w:line="420" w:lineRule="exact"/>
              <w:rPr>
                <w:rFonts w:hint="eastAsia" w:ascii="宋体" w:hAnsi="宋体" w:cs="宋体"/>
                <w:bCs/>
                <w:sz w:val="24"/>
                <w:szCs w:val="24"/>
              </w:rPr>
            </w:pPr>
          </w:p>
        </w:tc>
        <w:tc>
          <w:tcPr>
            <w:tcW w:w="3054" w:type="dxa"/>
            <w:noWrap w:val="0"/>
            <w:vAlign w:val="top"/>
          </w:tcPr>
          <w:p w14:paraId="52D51CFB">
            <w:pPr>
              <w:spacing w:line="420" w:lineRule="exact"/>
              <w:rPr>
                <w:rFonts w:hint="eastAsia" w:ascii="宋体" w:hAnsi="宋体" w:cs="宋体"/>
                <w:bCs/>
                <w:sz w:val="24"/>
                <w:szCs w:val="24"/>
              </w:rPr>
            </w:pPr>
            <w:r>
              <w:rPr>
                <w:rFonts w:hint="eastAsia" w:ascii="宋体" w:hAnsi="宋体" w:cs="宋体"/>
                <w:bCs/>
                <w:sz w:val="24"/>
                <w:szCs w:val="24"/>
              </w:rPr>
              <w:t>帐号：</w:t>
            </w:r>
          </w:p>
        </w:tc>
        <w:tc>
          <w:tcPr>
            <w:tcW w:w="3052" w:type="dxa"/>
            <w:noWrap w:val="0"/>
            <w:vAlign w:val="top"/>
          </w:tcPr>
          <w:p w14:paraId="03A72287">
            <w:pPr>
              <w:spacing w:line="420" w:lineRule="exact"/>
              <w:rPr>
                <w:rFonts w:hint="eastAsia" w:ascii="宋体" w:hAnsi="宋体" w:cs="宋体"/>
                <w:bCs/>
                <w:sz w:val="24"/>
                <w:szCs w:val="24"/>
              </w:rPr>
            </w:pPr>
          </w:p>
        </w:tc>
      </w:tr>
      <w:tr w14:paraId="600A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3052" w:type="dxa"/>
            <w:noWrap w:val="0"/>
            <w:vAlign w:val="top"/>
          </w:tcPr>
          <w:p w14:paraId="245080C4">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4" w:type="dxa"/>
            <w:noWrap w:val="0"/>
            <w:vAlign w:val="top"/>
          </w:tcPr>
          <w:p w14:paraId="04E29F70">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2" w:type="dxa"/>
            <w:noWrap w:val="0"/>
            <w:vAlign w:val="top"/>
          </w:tcPr>
          <w:p w14:paraId="2085227D">
            <w:pPr>
              <w:spacing w:line="420" w:lineRule="exact"/>
              <w:rPr>
                <w:rFonts w:hint="eastAsia" w:ascii="宋体" w:hAnsi="宋体" w:cs="宋体"/>
                <w:bCs/>
                <w:sz w:val="24"/>
                <w:szCs w:val="24"/>
              </w:rPr>
            </w:pPr>
            <w:r>
              <w:rPr>
                <w:rFonts w:hint="eastAsia" w:ascii="宋体" w:hAnsi="宋体" w:cs="宋体"/>
                <w:bCs/>
                <w:sz w:val="24"/>
                <w:szCs w:val="24"/>
              </w:rPr>
              <w:t>日期：  年   月   日</w:t>
            </w:r>
          </w:p>
        </w:tc>
      </w:tr>
    </w:tbl>
    <w:p w14:paraId="0B48670D">
      <w:pPr>
        <w:rPr>
          <w:rFonts w:hint="eastAsia"/>
        </w:rPr>
      </w:pPr>
    </w:p>
    <w:p w14:paraId="1AE4F15C">
      <w:pPr>
        <w:pStyle w:val="2"/>
        <w:pageBreakBefore w:val="0"/>
        <w:kinsoku/>
        <w:wordWrap/>
        <w:overflowPunct/>
        <w:topLinePunct w:val="0"/>
        <w:autoSpaceDE/>
        <w:autoSpaceDN/>
        <w:bidi w:val="0"/>
        <w:spacing w:before="0" w:after="0" w:line="240" w:lineRule="auto"/>
        <w:jc w:val="both"/>
        <w:textAlignment w:val="auto"/>
        <w:rPr>
          <w:rFonts w:hint="default"/>
          <w:color w:val="auto"/>
          <w:highlight w:val="none"/>
          <w:lang w:val="en-US"/>
        </w:rPr>
        <w:sectPr>
          <w:footerReference r:id="rId13" w:type="default"/>
          <w:pgSz w:w="11907" w:h="16840"/>
          <w:pgMar w:top="1417" w:right="1418" w:bottom="1417" w:left="1417" w:header="680" w:footer="907" w:gutter="0"/>
          <w:pgNumType w:fmt="decimal"/>
          <w:cols w:space="720" w:num="1"/>
          <w:docGrid w:linePitch="326" w:charSpace="0"/>
        </w:sect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p>
    <w:p w14:paraId="733ABEA5">
      <w:pPr>
        <w:pStyle w:val="2"/>
        <w:numPr>
          <w:ilvl w:val="0"/>
          <w:numId w:val="5"/>
        </w:numPr>
        <w:spacing w:before="0" w:after="0" w:line="579" w:lineRule="auto"/>
        <w:rPr>
          <w:rFonts w:hint="eastAsia"/>
        </w:rPr>
      </w:pPr>
      <w:bookmarkStart w:id="838" w:name="_Toc16364"/>
      <w:bookmarkStart w:id="839" w:name="_Toc7968"/>
      <w:bookmarkStart w:id="840" w:name="_Toc5721"/>
      <w:bookmarkStart w:id="841" w:name="_Toc21232"/>
      <w:bookmarkStart w:id="842" w:name="_Toc11076"/>
      <w:bookmarkStart w:id="843" w:name="_Toc15815"/>
      <w:bookmarkStart w:id="844" w:name="_Toc27587"/>
      <w:bookmarkStart w:id="845" w:name="_Toc22906"/>
      <w:bookmarkStart w:id="846" w:name="_Toc18137"/>
      <w:bookmarkStart w:id="847" w:name="_Toc17609"/>
      <w:bookmarkStart w:id="848" w:name="_Toc9987"/>
      <w:bookmarkStart w:id="849" w:name="_Toc29747"/>
      <w:bookmarkStart w:id="850" w:name="_Toc29759"/>
      <w:bookmarkStart w:id="851" w:name="_Toc13116"/>
      <w:r>
        <w:rPr>
          <w:rFonts w:hint="eastAsia" w:ascii="宋体" w:hAnsi="宋体" w:eastAsia="宋体" w:cs="宋体"/>
          <w:color w:val="000000"/>
          <w:sz w:val="28"/>
          <w:szCs w:val="28"/>
        </w:rPr>
        <w:t>技术</w:t>
      </w:r>
      <w:bookmarkEnd w:id="838"/>
      <w:r>
        <w:rPr>
          <w:rFonts w:hint="eastAsia" w:ascii="宋体" w:hAnsi="宋体" w:eastAsia="宋体" w:cs="宋体"/>
          <w:color w:val="000000"/>
          <w:sz w:val="28"/>
          <w:szCs w:val="28"/>
        </w:rPr>
        <w:t>要求</w:t>
      </w:r>
      <w:bookmarkEnd w:id="839"/>
      <w:bookmarkEnd w:id="840"/>
      <w:bookmarkEnd w:id="841"/>
      <w:bookmarkEnd w:id="842"/>
    </w:p>
    <w:p w14:paraId="1EEF06ED">
      <w:pPr>
        <w:pStyle w:val="92"/>
        <w:widowControl/>
        <w:adjustRightInd w:val="0"/>
        <w:spacing w:line="360" w:lineRule="auto"/>
        <w:ind w:left="420" w:firstLine="0" w:firstLineChars="0"/>
        <w:rPr>
          <w:rFonts w:ascii="Times New Roman" w:hAnsi="Times New Roman"/>
          <w:kern w:val="0"/>
          <w:sz w:val="24"/>
          <w:szCs w:val="24"/>
        </w:rPr>
      </w:pPr>
      <w:r>
        <w:rPr>
          <w:rFonts w:ascii="Times New Roman" w:hAnsi="Times New Roman"/>
          <w:kern w:val="0"/>
          <w:sz w:val="24"/>
          <w:szCs w:val="24"/>
        </w:rPr>
        <w:t>（一）检测范围及内容</w:t>
      </w:r>
    </w:p>
    <w:p w14:paraId="66160C40">
      <w:pPr>
        <w:spacing w:line="360" w:lineRule="auto"/>
        <w:ind w:firstLine="480" w:firstLineChars="200"/>
        <w:rPr>
          <w:rFonts w:ascii="Times New Roman" w:hAnsi="Times New Roman"/>
          <w:sz w:val="24"/>
          <w:szCs w:val="24"/>
        </w:rPr>
      </w:pPr>
      <w:r>
        <w:rPr>
          <w:rFonts w:ascii="Times New Roman" w:hAnsi="Times New Roman"/>
          <w:sz w:val="24"/>
          <w:szCs w:val="24"/>
        </w:rPr>
        <w:t>本次招标内容为延安市公路建设工程管理处延安北高速出入口区域路网交通改善工程</w:t>
      </w:r>
      <w:r>
        <w:rPr>
          <w:rFonts w:hint="eastAsia" w:ascii="Times New Roman" w:hAnsi="Times New Roman"/>
          <w:sz w:val="24"/>
          <w:szCs w:val="24"/>
        </w:rPr>
        <w:t>工程</w:t>
      </w:r>
      <w:r>
        <w:rPr>
          <w:rFonts w:ascii="Times New Roman" w:hAnsi="Times New Roman"/>
          <w:sz w:val="24"/>
          <w:szCs w:val="24"/>
        </w:rPr>
        <w:t>试验检测，主要工程内容为</w:t>
      </w:r>
      <w:r>
        <w:rPr>
          <w:rFonts w:hint="eastAsia" w:ascii="Times New Roman" w:hAnsi="Times New Roman"/>
          <w:sz w:val="24"/>
          <w:szCs w:val="24"/>
        </w:rPr>
        <w:t>桥梁</w:t>
      </w:r>
      <w:r>
        <w:rPr>
          <w:rFonts w:ascii="Times New Roman" w:hAnsi="Times New Roman"/>
          <w:sz w:val="24"/>
          <w:szCs w:val="24"/>
        </w:rPr>
        <w:t>桩基完整性检测、梁板荷载试验检测、梁板孔道注浆密实度检测</w:t>
      </w:r>
      <w:r>
        <w:rPr>
          <w:rFonts w:hint="eastAsia" w:ascii="Times New Roman" w:hAnsi="Times New Roman"/>
          <w:sz w:val="24"/>
          <w:szCs w:val="24"/>
        </w:rPr>
        <w:t>、</w:t>
      </w:r>
      <w:r>
        <w:rPr>
          <w:rFonts w:ascii="Times New Roman" w:hAnsi="Times New Roman"/>
          <w:sz w:val="24"/>
          <w:szCs w:val="24"/>
        </w:rPr>
        <w:t>钢结构焊缝检测及涂层厚度检测。具体内容以招标人要求为准。</w:t>
      </w:r>
    </w:p>
    <w:p w14:paraId="57FD6A37">
      <w:pPr>
        <w:spacing w:line="360" w:lineRule="auto"/>
        <w:ind w:firstLine="439" w:firstLineChars="183"/>
        <w:rPr>
          <w:rFonts w:ascii="Times New Roman" w:hAnsi="Times New Roman"/>
          <w:sz w:val="24"/>
          <w:szCs w:val="24"/>
        </w:rPr>
      </w:pPr>
      <w:r>
        <w:rPr>
          <w:rFonts w:ascii="Times New Roman" w:hAnsi="Times New Roman"/>
          <w:sz w:val="24"/>
          <w:szCs w:val="24"/>
        </w:rPr>
        <w:t>（二）检测依据</w:t>
      </w:r>
    </w:p>
    <w:p w14:paraId="5BE1E3E1">
      <w:pPr>
        <w:spacing w:line="360" w:lineRule="auto"/>
        <w:ind w:firstLine="439" w:firstLineChars="183"/>
        <w:rPr>
          <w:rFonts w:ascii="Times New Roman" w:hAnsi="Times New Roman"/>
          <w:color w:val="000000"/>
          <w:sz w:val="24"/>
          <w:szCs w:val="24"/>
        </w:rPr>
      </w:pPr>
      <w:r>
        <w:rPr>
          <w:rFonts w:ascii="Times New Roman" w:hAnsi="Times New Roman"/>
          <w:sz w:val="24"/>
          <w:szCs w:val="24"/>
        </w:rPr>
        <w:t>（1）</w:t>
      </w:r>
      <w:r>
        <w:rPr>
          <w:rFonts w:ascii="Times New Roman" w:hAnsi="Times New Roman"/>
          <w:color w:val="000000"/>
          <w:sz w:val="24"/>
          <w:szCs w:val="24"/>
        </w:rPr>
        <w:t>《公路桥梁荷载试验规程》（JTG/T J21-01-2015）；</w:t>
      </w:r>
    </w:p>
    <w:p w14:paraId="5E282C07">
      <w:pPr>
        <w:spacing w:line="360" w:lineRule="auto"/>
        <w:ind w:firstLine="439" w:firstLineChars="183"/>
        <w:rPr>
          <w:rFonts w:ascii="Times New Roman" w:hAnsi="Times New Roman"/>
          <w:color w:val="000000"/>
          <w:sz w:val="24"/>
          <w:szCs w:val="24"/>
        </w:rPr>
      </w:pPr>
      <w:r>
        <w:rPr>
          <w:rFonts w:ascii="Times New Roman" w:hAnsi="Times New Roman"/>
          <w:color w:val="000000"/>
          <w:sz w:val="24"/>
          <w:szCs w:val="24"/>
        </w:rPr>
        <w:t>（2）《公路工程技术标准》（JTG B01-2014）；</w:t>
      </w:r>
    </w:p>
    <w:p w14:paraId="01D58FE6">
      <w:pPr>
        <w:spacing w:line="360" w:lineRule="auto"/>
        <w:ind w:firstLine="439" w:firstLineChars="183"/>
        <w:rPr>
          <w:rFonts w:ascii="Times New Roman" w:hAnsi="Times New Roman"/>
          <w:color w:val="000000"/>
          <w:sz w:val="24"/>
          <w:szCs w:val="24"/>
        </w:rPr>
      </w:pPr>
      <w:r>
        <w:rPr>
          <w:rFonts w:ascii="Times New Roman" w:hAnsi="Times New Roman"/>
          <w:color w:val="000000"/>
          <w:sz w:val="24"/>
          <w:szCs w:val="24"/>
        </w:rPr>
        <w:t>（3）《公路桥涵设计通用规范》（JTG D60-2015）；</w:t>
      </w:r>
    </w:p>
    <w:p w14:paraId="273299A8">
      <w:pPr>
        <w:spacing w:line="360" w:lineRule="auto"/>
        <w:ind w:firstLine="439" w:firstLineChars="183"/>
        <w:rPr>
          <w:rFonts w:ascii="Times New Roman" w:hAnsi="Times New Roman"/>
          <w:color w:val="000000"/>
          <w:sz w:val="24"/>
          <w:szCs w:val="24"/>
        </w:rPr>
      </w:pPr>
      <w:r>
        <w:rPr>
          <w:rFonts w:ascii="Times New Roman" w:hAnsi="Times New Roman"/>
          <w:color w:val="000000"/>
          <w:sz w:val="24"/>
          <w:szCs w:val="24"/>
        </w:rPr>
        <w:t>（4）《公路桥梁承载能力检测评定规程》（JTG/T J21-2011）；</w:t>
      </w:r>
    </w:p>
    <w:p w14:paraId="5766C64D">
      <w:pPr>
        <w:spacing w:line="360" w:lineRule="auto"/>
        <w:ind w:firstLine="439" w:firstLineChars="183"/>
        <w:rPr>
          <w:rFonts w:ascii="Times New Roman" w:hAnsi="Times New Roman"/>
          <w:color w:val="000000"/>
          <w:sz w:val="24"/>
          <w:szCs w:val="24"/>
        </w:rPr>
      </w:pPr>
      <w:r>
        <w:rPr>
          <w:rFonts w:ascii="Times New Roman" w:hAnsi="Times New Roman"/>
          <w:color w:val="000000"/>
          <w:sz w:val="24"/>
          <w:szCs w:val="24"/>
        </w:rPr>
        <w:t>（5）《公路工程质量检验评定标准》（JTG F801-2017）；</w:t>
      </w:r>
    </w:p>
    <w:p w14:paraId="1A6AA1CD">
      <w:pPr>
        <w:spacing w:line="360" w:lineRule="auto"/>
        <w:ind w:firstLine="439" w:firstLineChars="183"/>
        <w:rPr>
          <w:rFonts w:ascii="Times New Roman" w:hAnsi="Times New Roman"/>
          <w:color w:val="000000"/>
          <w:sz w:val="24"/>
          <w:szCs w:val="24"/>
        </w:rPr>
      </w:pPr>
      <w:r>
        <w:rPr>
          <w:rFonts w:ascii="Times New Roman" w:hAnsi="Times New Roman"/>
          <w:color w:val="000000"/>
          <w:sz w:val="24"/>
          <w:szCs w:val="24"/>
        </w:rPr>
        <w:t>（6）《陕西省公路工程竣（交）工验收办法实施细则》；</w:t>
      </w:r>
    </w:p>
    <w:p w14:paraId="5D6D795F">
      <w:pPr>
        <w:spacing w:line="360" w:lineRule="auto"/>
        <w:ind w:firstLine="439" w:firstLineChars="183"/>
        <w:rPr>
          <w:rFonts w:ascii="Times New Roman" w:hAnsi="Times New Roman"/>
          <w:color w:val="000000"/>
          <w:sz w:val="24"/>
          <w:szCs w:val="24"/>
        </w:rPr>
      </w:pPr>
      <w:r>
        <w:rPr>
          <w:rFonts w:ascii="Times New Roman" w:hAnsi="Times New Roman"/>
          <w:color w:val="000000"/>
          <w:sz w:val="24"/>
          <w:szCs w:val="24"/>
        </w:rPr>
        <w:t>（7）《公路钢结构桥梁设计规范》（JTG D64-2015）；</w:t>
      </w:r>
    </w:p>
    <w:p w14:paraId="551A5C27">
      <w:pPr>
        <w:spacing w:line="360" w:lineRule="auto"/>
        <w:ind w:firstLine="439" w:firstLineChars="183"/>
        <w:rPr>
          <w:rFonts w:ascii="Times New Roman" w:hAnsi="Times New Roman"/>
          <w:color w:val="000000"/>
          <w:sz w:val="24"/>
          <w:szCs w:val="24"/>
        </w:rPr>
      </w:pPr>
      <w:r>
        <w:rPr>
          <w:rFonts w:hint="eastAsia" w:ascii="Times New Roman" w:hAnsi="Times New Roman"/>
          <w:color w:val="000000"/>
          <w:sz w:val="24"/>
          <w:szCs w:val="24"/>
        </w:rPr>
        <w:t>（8）</w:t>
      </w:r>
      <w:bookmarkStart w:id="852" w:name="OLE_LINK2"/>
      <w:bookmarkStart w:id="853" w:name="OLE_LINK1"/>
      <w:r>
        <w:rPr>
          <w:rFonts w:ascii="Times New Roman" w:hAnsi="Times New Roman"/>
          <w:color w:val="000000"/>
          <w:sz w:val="24"/>
          <w:szCs w:val="24"/>
        </w:rPr>
        <w:t>《公路</w:t>
      </w:r>
      <w:r>
        <w:rPr>
          <w:rFonts w:hint="eastAsia" w:ascii="Times New Roman" w:hAnsi="Times New Roman"/>
          <w:color w:val="000000"/>
          <w:sz w:val="24"/>
          <w:szCs w:val="24"/>
        </w:rPr>
        <w:t>工程</w:t>
      </w:r>
      <w:r>
        <w:rPr>
          <w:rFonts w:ascii="Times New Roman" w:hAnsi="Times New Roman"/>
          <w:color w:val="000000"/>
          <w:sz w:val="24"/>
          <w:szCs w:val="24"/>
        </w:rPr>
        <w:t>基桩检测技术规程》（JTG</w:t>
      </w:r>
      <w:r>
        <w:rPr>
          <w:rFonts w:hint="eastAsia" w:ascii="Times New Roman" w:hAnsi="Times New Roman"/>
          <w:color w:val="000000"/>
          <w:sz w:val="24"/>
          <w:szCs w:val="24"/>
        </w:rPr>
        <w:t>/T</w:t>
      </w:r>
      <w:r>
        <w:rPr>
          <w:rFonts w:ascii="Times New Roman" w:hAnsi="Times New Roman"/>
          <w:color w:val="000000"/>
          <w:sz w:val="24"/>
          <w:szCs w:val="24"/>
        </w:rPr>
        <w:t xml:space="preserve"> </w:t>
      </w:r>
      <w:r>
        <w:rPr>
          <w:rFonts w:hint="eastAsia" w:ascii="Times New Roman" w:hAnsi="Times New Roman"/>
          <w:color w:val="000000"/>
          <w:sz w:val="24"/>
          <w:szCs w:val="24"/>
        </w:rPr>
        <w:t>3512-2020</w:t>
      </w:r>
      <w:r>
        <w:rPr>
          <w:rFonts w:ascii="Times New Roman" w:hAnsi="Times New Roman"/>
          <w:color w:val="000000"/>
          <w:sz w:val="24"/>
          <w:szCs w:val="24"/>
        </w:rPr>
        <w:t>）；</w:t>
      </w:r>
      <w:bookmarkEnd w:id="852"/>
      <w:bookmarkEnd w:id="853"/>
    </w:p>
    <w:p w14:paraId="6766C779">
      <w:pPr>
        <w:spacing w:line="360" w:lineRule="auto"/>
        <w:ind w:firstLine="439" w:firstLineChars="183"/>
        <w:rPr>
          <w:rFonts w:ascii="Times New Roman" w:hAnsi="Times New Roman"/>
          <w:color w:val="000000"/>
          <w:sz w:val="24"/>
          <w:szCs w:val="24"/>
        </w:rPr>
      </w:pPr>
      <w:r>
        <w:rPr>
          <w:rFonts w:ascii="Times New Roman" w:hAnsi="Times New Roman"/>
          <w:color w:val="000000"/>
          <w:sz w:val="24"/>
          <w:szCs w:val="24"/>
        </w:rPr>
        <w:t>（</w:t>
      </w:r>
      <w:r>
        <w:rPr>
          <w:rFonts w:hint="eastAsia" w:ascii="Times New Roman" w:hAnsi="Times New Roman"/>
          <w:color w:val="000000"/>
          <w:sz w:val="24"/>
          <w:szCs w:val="24"/>
        </w:rPr>
        <w:t>9</w:t>
      </w:r>
      <w:r>
        <w:rPr>
          <w:rFonts w:ascii="Times New Roman" w:hAnsi="Times New Roman"/>
          <w:color w:val="000000"/>
          <w:sz w:val="24"/>
          <w:szCs w:val="24"/>
        </w:rPr>
        <w:t>）《</w:t>
      </w:r>
      <w:r>
        <w:rPr>
          <w:rFonts w:hint="eastAsia" w:ascii="Times New Roman" w:hAnsi="Times New Roman"/>
          <w:color w:val="000000"/>
          <w:sz w:val="24"/>
          <w:szCs w:val="24"/>
        </w:rPr>
        <w:t>桥梁</w:t>
      </w:r>
      <w:r>
        <w:rPr>
          <w:rFonts w:ascii="Times New Roman" w:hAnsi="Times New Roman"/>
          <w:color w:val="000000"/>
          <w:sz w:val="24"/>
          <w:szCs w:val="24"/>
        </w:rPr>
        <w:t>预应力孔道注浆密实度无损检测技术规程》（</w:t>
      </w:r>
      <w:r>
        <w:rPr>
          <w:rFonts w:hint="eastAsia" w:ascii="Times New Roman" w:hAnsi="Times New Roman"/>
          <w:color w:val="000000"/>
          <w:sz w:val="24"/>
          <w:szCs w:val="24"/>
        </w:rPr>
        <w:t>T/CECS</w:t>
      </w:r>
      <w:r>
        <w:rPr>
          <w:rFonts w:ascii="Times New Roman" w:hAnsi="Times New Roman"/>
          <w:color w:val="000000"/>
          <w:sz w:val="24"/>
          <w:szCs w:val="24"/>
        </w:rPr>
        <w:t xml:space="preserve"> </w:t>
      </w:r>
      <w:r>
        <w:rPr>
          <w:rFonts w:hint="eastAsia" w:ascii="Times New Roman" w:hAnsi="Times New Roman"/>
          <w:color w:val="000000"/>
          <w:sz w:val="24"/>
          <w:szCs w:val="24"/>
        </w:rPr>
        <w:t>879-2021</w:t>
      </w:r>
      <w:r>
        <w:rPr>
          <w:rFonts w:ascii="Times New Roman" w:hAnsi="Times New Roman"/>
          <w:color w:val="000000"/>
          <w:sz w:val="24"/>
          <w:szCs w:val="24"/>
        </w:rPr>
        <w:t>）；</w:t>
      </w:r>
    </w:p>
    <w:p w14:paraId="6C7D4C10">
      <w:pPr>
        <w:spacing w:line="360" w:lineRule="auto"/>
        <w:ind w:firstLine="439" w:firstLineChars="183"/>
        <w:rPr>
          <w:rFonts w:ascii="Times New Roman" w:hAnsi="Times New Roman"/>
          <w:color w:val="000000"/>
          <w:sz w:val="24"/>
          <w:szCs w:val="24"/>
        </w:rPr>
      </w:pPr>
      <w:r>
        <w:rPr>
          <w:rFonts w:hint="eastAsia" w:ascii="Times New Roman" w:hAnsi="Times New Roman"/>
          <w:color w:val="000000"/>
          <w:sz w:val="24"/>
          <w:szCs w:val="24"/>
        </w:rPr>
        <w:t>（10）</w:t>
      </w:r>
      <w:r>
        <w:rPr>
          <w:rFonts w:ascii="Times New Roman" w:hAnsi="Times New Roman"/>
          <w:color w:val="000000"/>
          <w:sz w:val="24"/>
          <w:szCs w:val="24"/>
        </w:rPr>
        <w:t>《</w:t>
      </w:r>
      <w:r>
        <w:rPr>
          <w:rFonts w:hint="eastAsia" w:ascii="Times New Roman" w:hAnsi="Times New Roman"/>
          <w:color w:val="000000"/>
          <w:sz w:val="24"/>
          <w:szCs w:val="24"/>
        </w:rPr>
        <w:t>钢结构</w:t>
      </w:r>
      <w:r>
        <w:rPr>
          <w:rFonts w:ascii="Times New Roman" w:hAnsi="Times New Roman"/>
          <w:color w:val="000000"/>
          <w:sz w:val="24"/>
          <w:szCs w:val="24"/>
        </w:rPr>
        <w:t>工程施工质量验收标准》（</w:t>
      </w:r>
      <w:r>
        <w:rPr>
          <w:rFonts w:hint="eastAsia" w:ascii="Times New Roman" w:hAnsi="Times New Roman"/>
          <w:color w:val="000000"/>
          <w:sz w:val="24"/>
          <w:szCs w:val="24"/>
        </w:rPr>
        <w:t>GB 50205-2020</w:t>
      </w:r>
      <w:r>
        <w:rPr>
          <w:rFonts w:ascii="Times New Roman" w:hAnsi="Times New Roman"/>
          <w:color w:val="000000"/>
          <w:sz w:val="24"/>
          <w:szCs w:val="24"/>
        </w:rPr>
        <w:t>）；</w:t>
      </w:r>
    </w:p>
    <w:p w14:paraId="690470D9">
      <w:pPr>
        <w:spacing w:line="360" w:lineRule="auto"/>
        <w:ind w:firstLine="439" w:firstLineChars="183"/>
        <w:rPr>
          <w:rFonts w:ascii="Times New Roman" w:hAnsi="Times New Roman"/>
          <w:color w:val="000000"/>
          <w:sz w:val="24"/>
          <w:szCs w:val="24"/>
        </w:rPr>
      </w:pPr>
      <w:r>
        <w:rPr>
          <w:rFonts w:hint="eastAsia" w:ascii="Times New Roman" w:hAnsi="Times New Roman"/>
          <w:color w:val="000000"/>
          <w:sz w:val="24"/>
          <w:szCs w:val="24"/>
        </w:rPr>
        <w:t>（11）</w:t>
      </w:r>
      <w:r>
        <w:rPr>
          <w:rFonts w:ascii="Times New Roman" w:hAnsi="Times New Roman"/>
          <w:color w:val="000000"/>
          <w:sz w:val="24"/>
          <w:szCs w:val="24"/>
        </w:rPr>
        <w:t>《</w:t>
      </w:r>
      <w:r>
        <w:rPr>
          <w:rFonts w:hint="eastAsia" w:ascii="Times New Roman" w:hAnsi="Times New Roman"/>
          <w:color w:val="000000"/>
          <w:sz w:val="24"/>
          <w:szCs w:val="24"/>
        </w:rPr>
        <w:t>钢结构现场</w:t>
      </w:r>
      <w:r>
        <w:rPr>
          <w:rFonts w:ascii="Times New Roman" w:hAnsi="Times New Roman"/>
          <w:color w:val="000000"/>
          <w:sz w:val="24"/>
          <w:szCs w:val="24"/>
        </w:rPr>
        <w:t>检测技术标准》（</w:t>
      </w:r>
      <w:r>
        <w:rPr>
          <w:rFonts w:hint="eastAsia" w:ascii="Times New Roman" w:hAnsi="Times New Roman"/>
          <w:color w:val="000000"/>
          <w:sz w:val="24"/>
          <w:szCs w:val="24"/>
        </w:rPr>
        <w:t>GB/T 5020550621-2010</w:t>
      </w:r>
      <w:r>
        <w:rPr>
          <w:rFonts w:ascii="Times New Roman" w:hAnsi="Times New Roman"/>
          <w:color w:val="000000"/>
          <w:sz w:val="24"/>
          <w:szCs w:val="24"/>
        </w:rPr>
        <w:t>）；</w:t>
      </w:r>
    </w:p>
    <w:p w14:paraId="11620D06">
      <w:pPr>
        <w:spacing w:line="360" w:lineRule="auto"/>
        <w:ind w:firstLine="439" w:firstLineChars="183"/>
        <w:rPr>
          <w:rFonts w:ascii="Times New Roman" w:hAnsi="Times New Roman"/>
          <w:sz w:val="24"/>
          <w:szCs w:val="24"/>
        </w:rPr>
      </w:pPr>
      <w:r>
        <w:rPr>
          <w:rFonts w:ascii="Times New Roman" w:hAnsi="Times New Roman"/>
          <w:color w:val="000000"/>
          <w:sz w:val="24"/>
          <w:szCs w:val="24"/>
        </w:rPr>
        <w:t>其它有关的国家及交通运输部行业强制性规范和标准。</w:t>
      </w:r>
    </w:p>
    <w:p w14:paraId="172EC6AC">
      <w:pPr>
        <w:widowControl/>
        <w:adjustRightInd w:val="0"/>
        <w:spacing w:line="360" w:lineRule="auto"/>
        <w:ind w:firstLine="439" w:firstLineChars="183"/>
        <w:rPr>
          <w:rFonts w:ascii="Times New Roman" w:hAnsi="Times New Roman"/>
          <w:kern w:val="0"/>
          <w:sz w:val="24"/>
          <w:szCs w:val="24"/>
        </w:rPr>
      </w:pPr>
      <w:r>
        <w:rPr>
          <w:rFonts w:ascii="Times New Roman" w:hAnsi="Times New Roman"/>
          <w:kern w:val="0"/>
          <w:sz w:val="24"/>
          <w:szCs w:val="24"/>
        </w:rPr>
        <w:t>（三）服务质量及其他要求</w:t>
      </w:r>
    </w:p>
    <w:p w14:paraId="14FED88E">
      <w:pPr>
        <w:widowControl/>
        <w:adjustRightIn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1.</w:t>
      </w:r>
      <w:r>
        <w:rPr>
          <w:rFonts w:ascii="Times New Roman" w:hAnsi="Times New Roman"/>
          <w:kern w:val="0"/>
          <w:sz w:val="24"/>
          <w:szCs w:val="24"/>
        </w:rPr>
        <w:t>服务期要求：</w:t>
      </w:r>
      <w:r>
        <w:rPr>
          <w:rFonts w:hint="eastAsia" w:ascii="宋体" w:hAnsi="宋体" w:eastAsia="宋体" w:cs="宋体"/>
          <w:i w:val="0"/>
          <w:iCs w:val="0"/>
          <w:caps w:val="0"/>
          <w:color w:val="auto"/>
          <w:spacing w:val="0"/>
          <w:sz w:val="24"/>
          <w:szCs w:val="24"/>
          <w:shd w:val="clear" w:fill="FFFFFF"/>
        </w:rPr>
        <w:t>540天，服务期限与施工工期同步</w:t>
      </w:r>
      <w:r>
        <w:rPr>
          <w:rFonts w:ascii="Times New Roman" w:hAnsi="Times New Roman"/>
          <w:kern w:val="0"/>
          <w:sz w:val="24"/>
          <w:szCs w:val="24"/>
        </w:rPr>
        <w:t>。</w:t>
      </w:r>
    </w:p>
    <w:p w14:paraId="402D3C7F">
      <w:pPr>
        <w:widowControl/>
        <w:adjustRightIn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2.服务质量要求：</w:t>
      </w:r>
    </w:p>
    <w:p w14:paraId="3586FB8A">
      <w:pPr>
        <w:widowControl/>
        <w:adjustRightIn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遵循公正、科学、诚信、自律的原则，严格按照相关法律法规、现行有关技术标准、规范、规程及检测服务合同、监理合同、施工合同、工程设计文件开展检测服务工作，在服务阶段，确保检测人员及设施投入满足委托人要求及工程需要，严格机构管理，认真履行职责，提供及时、高效、严谨、优质的检测服务，保证数据准确可靠，报告及时有效，并在资料管理、组织协调等方面达到委托人满意评价。在检测服务过程中，严格遵守职业道德，保持廉洁自律。</w:t>
      </w:r>
    </w:p>
    <w:p w14:paraId="2C025E3A">
      <w:pPr>
        <w:widowControl/>
        <w:adjustRightIn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3.安全要求：落实安全管理责任，制定安全管理制度，完善安全管理体系，采取有效的安全管理措施，严格按照相关安全规定开展</w:t>
      </w:r>
      <w:r>
        <w:rPr>
          <w:rFonts w:hint="eastAsia" w:ascii="Times New Roman" w:hAnsi="Times New Roman"/>
          <w:kern w:val="0"/>
          <w:sz w:val="24"/>
          <w:szCs w:val="24"/>
        </w:rPr>
        <w:t>检测</w:t>
      </w:r>
      <w:r>
        <w:rPr>
          <w:rFonts w:ascii="Times New Roman" w:hAnsi="Times New Roman"/>
          <w:kern w:val="0"/>
          <w:sz w:val="24"/>
          <w:szCs w:val="24"/>
        </w:rPr>
        <w:t>工作，不得违章作业，保证安全措施和安全费用投入，对本单位人员、设备安全负责，确保检测服务过程中不发生生产事故。</w:t>
      </w:r>
    </w:p>
    <w:p w14:paraId="68B96CD0">
      <w:pPr>
        <w:widowControl/>
        <w:adjustRightIn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4.检测内容和依据：按照上述第（一、二）条相关检测内容和依据规定的检测程序和规范，独立开展检测工作。</w:t>
      </w:r>
    </w:p>
    <w:p w14:paraId="36F0BCD6">
      <w:pPr>
        <w:widowControl/>
        <w:adjustRightIn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5.检测服务开展要求：</w:t>
      </w:r>
    </w:p>
    <w:p w14:paraId="3F1C383E">
      <w:pPr>
        <w:widowControl/>
        <w:adjustRightIn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（1）保证接到进场通知后3天内组织相关人员、设备进场及时开展工作；严格按照投标文件承诺履约，且保证能够根据实际情况及时增加人员、设备；严格按照委托人工期要求安排或及时调整工作计划</w:t>
      </w:r>
      <w:r>
        <w:rPr>
          <w:rFonts w:hint="eastAsia" w:ascii="Times New Roman" w:hAnsi="Times New Roman"/>
          <w:kern w:val="0"/>
          <w:sz w:val="24"/>
          <w:szCs w:val="24"/>
        </w:rPr>
        <w:t>，</w:t>
      </w:r>
      <w:r>
        <w:rPr>
          <w:rFonts w:ascii="Times New Roman" w:hAnsi="Times New Roman"/>
          <w:kern w:val="0"/>
          <w:sz w:val="24"/>
          <w:szCs w:val="24"/>
        </w:rPr>
        <w:t>按时提交检测报告</w:t>
      </w:r>
      <w:r>
        <w:rPr>
          <w:rFonts w:hint="eastAsia" w:ascii="Times New Roman" w:hAnsi="Times New Roman"/>
          <w:kern w:val="0"/>
          <w:sz w:val="24"/>
          <w:szCs w:val="24"/>
        </w:rPr>
        <w:t>；</w:t>
      </w:r>
      <w:r>
        <w:rPr>
          <w:rFonts w:ascii="Times New Roman" w:hAnsi="Times New Roman"/>
          <w:kern w:val="0"/>
          <w:sz w:val="24"/>
          <w:szCs w:val="24"/>
        </w:rPr>
        <w:t>因投标人因素导致服务期延误，投标人应承担一切责任。</w:t>
      </w:r>
    </w:p>
    <w:p w14:paraId="4A9BB053">
      <w:pPr>
        <w:widowControl/>
        <w:adjustRightIn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（2）检测工作结束后，认真、详细汇总检测数据、资料，提交完整的</w:t>
      </w:r>
      <w:r>
        <w:rPr>
          <w:rFonts w:hint="eastAsia" w:ascii="Times New Roman" w:hAnsi="Times New Roman"/>
          <w:kern w:val="0"/>
          <w:sz w:val="24"/>
          <w:szCs w:val="24"/>
        </w:rPr>
        <w:t>试验</w:t>
      </w:r>
      <w:r>
        <w:rPr>
          <w:rFonts w:ascii="Times New Roman" w:hAnsi="Times New Roman"/>
          <w:kern w:val="0"/>
          <w:sz w:val="24"/>
          <w:szCs w:val="24"/>
        </w:rPr>
        <w:t xml:space="preserve">检测报告； </w:t>
      </w:r>
    </w:p>
    <w:p w14:paraId="77FE7FE2">
      <w:pPr>
        <w:widowControl/>
        <w:adjustRightIn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（3）做好</w:t>
      </w:r>
      <w:r>
        <w:rPr>
          <w:rFonts w:hint="eastAsia" w:ascii="Times New Roman" w:hAnsi="Times New Roman"/>
          <w:kern w:val="0"/>
          <w:sz w:val="24"/>
          <w:szCs w:val="24"/>
        </w:rPr>
        <w:t>试验检测</w:t>
      </w:r>
      <w:r>
        <w:rPr>
          <w:rFonts w:ascii="Times New Roman" w:hAnsi="Times New Roman"/>
          <w:kern w:val="0"/>
          <w:sz w:val="24"/>
          <w:szCs w:val="24"/>
        </w:rPr>
        <w:t>组织管理工作，并接受工程质量监督站的监督检查；</w:t>
      </w:r>
    </w:p>
    <w:p w14:paraId="203A3866">
      <w:pPr>
        <w:widowControl/>
        <w:adjustRightIn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（4）检测工作应科学、公正，确保试验数据和计算分析的准确性，对数据真实性负全责；检测过程中发现结构质量问题应及时上报；因投标人原因导致结构损伤，投标人应承担一切责任。</w:t>
      </w:r>
    </w:p>
    <w:p w14:paraId="6965E688">
      <w:pPr>
        <w:widowControl/>
        <w:adjustRightIn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6.后续服务要求：投标人在提交</w:t>
      </w:r>
      <w:r>
        <w:rPr>
          <w:rFonts w:hint="eastAsia" w:ascii="Times New Roman" w:hAnsi="Times New Roman"/>
          <w:kern w:val="0"/>
          <w:sz w:val="24"/>
          <w:szCs w:val="24"/>
        </w:rPr>
        <w:t>试验</w:t>
      </w:r>
      <w:r>
        <w:rPr>
          <w:rFonts w:ascii="Times New Roman" w:hAnsi="Times New Roman"/>
          <w:kern w:val="0"/>
          <w:sz w:val="24"/>
          <w:szCs w:val="24"/>
        </w:rPr>
        <w:t xml:space="preserve">检测报告后，无条件配合委托人完成报告内容答疑、技术交底、及发包人需要的其他与本次检测服务相关的技术服务工作。 </w:t>
      </w:r>
    </w:p>
    <w:p w14:paraId="40A9B618">
      <w:pPr>
        <w:rPr>
          <w:rFonts w:hint="eastAsia"/>
        </w:rPr>
      </w:pPr>
      <w:r>
        <w:rPr>
          <w:rFonts w:ascii="Times New Roman" w:hAnsi="Times New Roman"/>
          <w:kern w:val="0"/>
          <w:sz w:val="24"/>
          <w:szCs w:val="24"/>
        </w:rPr>
        <w:t>7.成果要求：检测工作完成后，按照业主要求的份数提供试验检测成果报告。</w:t>
      </w:r>
    </w:p>
    <w:bookmarkEnd w:id="843"/>
    <w:bookmarkEnd w:id="844"/>
    <w:bookmarkEnd w:id="845"/>
    <w:bookmarkEnd w:id="846"/>
    <w:bookmarkEnd w:id="847"/>
    <w:bookmarkEnd w:id="848"/>
    <w:bookmarkEnd w:id="849"/>
    <w:bookmarkEnd w:id="850"/>
    <w:bookmarkEnd w:id="851"/>
    <w:p w14:paraId="79CEBF12">
      <w:pPr>
        <w:pStyle w:val="2"/>
        <w:bidi w:val="0"/>
        <w:jc w:val="both"/>
        <w:rPr>
          <w:rFonts w:hint="eastAsia"/>
        </w:rPr>
      </w:pPr>
      <w:bookmarkStart w:id="854" w:name="_Toc9578"/>
      <w:bookmarkStart w:id="855" w:name="_Toc11784"/>
      <w:bookmarkStart w:id="856" w:name="_Toc2221"/>
      <w:bookmarkStart w:id="857" w:name="_Toc32472"/>
      <w:bookmarkStart w:id="858" w:name="_Toc27208"/>
      <w:bookmarkStart w:id="859" w:name="_Toc22812"/>
      <w:bookmarkStart w:id="860" w:name="_Toc20261"/>
      <w:bookmarkStart w:id="861" w:name="_Toc28143"/>
      <w:bookmarkStart w:id="862" w:name="_Toc22670"/>
      <w:bookmarkStart w:id="863" w:name="_Toc15622"/>
      <w:bookmarkStart w:id="864" w:name="_Toc4693"/>
    </w:p>
    <w:p w14:paraId="0C0903C6">
      <w:pPr>
        <w:rPr>
          <w:rFonts w:hint="eastAsia"/>
        </w:rPr>
      </w:pPr>
    </w:p>
    <w:p w14:paraId="0FC5A996">
      <w:pPr>
        <w:rPr>
          <w:rFonts w:hint="eastAsia"/>
        </w:rPr>
      </w:pPr>
    </w:p>
    <w:p w14:paraId="2DEA4488">
      <w:pPr>
        <w:rPr>
          <w:rFonts w:hint="eastAsia"/>
        </w:rPr>
      </w:pPr>
    </w:p>
    <w:p w14:paraId="103FAAD3">
      <w:pPr>
        <w:rPr>
          <w:rFonts w:hint="eastAsia"/>
        </w:rPr>
      </w:pPr>
    </w:p>
    <w:p w14:paraId="00DFA8F1">
      <w:pPr>
        <w:rPr>
          <w:rFonts w:hint="eastAsia"/>
        </w:rPr>
      </w:pPr>
    </w:p>
    <w:p w14:paraId="3070D81E">
      <w:pPr>
        <w:rPr>
          <w:rFonts w:hint="eastAsia"/>
        </w:rPr>
      </w:pPr>
    </w:p>
    <w:p w14:paraId="635601E0">
      <w:pPr>
        <w:rPr>
          <w:rFonts w:hint="eastAsia"/>
        </w:rPr>
      </w:pPr>
    </w:p>
    <w:p w14:paraId="055CE647">
      <w:pPr>
        <w:rPr>
          <w:rFonts w:hint="eastAsia"/>
        </w:rPr>
      </w:pPr>
    </w:p>
    <w:p w14:paraId="6F577FD0">
      <w:pPr>
        <w:rPr>
          <w:rFonts w:hint="eastAsia"/>
        </w:rPr>
      </w:pPr>
    </w:p>
    <w:p w14:paraId="5F3FC8EB">
      <w:pPr>
        <w:rPr>
          <w:rFonts w:hint="eastAsia"/>
        </w:rPr>
      </w:pPr>
    </w:p>
    <w:p w14:paraId="234C1D55">
      <w:pPr>
        <w:rPr>
          <w:rFonts w:hint="eastAsia"/>
        </w:rPr>
      </w:pPr>
    </w:p>
    <w:p w14:paraId="77443459">
      <w:pPr>
        <w:rPr>
          <w:rFonts w:hint="eastAsia"/>
        </w:rPr>
      </w:pPr>
    </w:p>
    <w:p w14:paraId="196D35E1">
      <w:pPr>
        <w:rPr>
          <w:rFonts w:hint="eastAsia"/>
        </w:rPr>
      </w:pPr>
    </w:p>
    <w:p w14:paraId="4B0ADDD9">
      <w:pPr>
        <w:rPr>
          <w:rFonts w:hint="eastAsia"/>
        </w:rPr>
      </w:pPr>
    </w:p>
    <w:p w14:paraId="108AE1E6">
      <w:pPr>
        <w:rPr>
          <w:rFonts w:hint="eastAsia"/>
        </w:rPr>
      </w:pPr>
    </w:p>
    <w:p w14:paraId="2CF25962">
      <w:pPr>
        <w:rPr>
          <w:rFonts w:hint="eastAsia"/>
        </w:rPr>
      </w:pPr>
    </w:p>
    <w:p w14:paraId="23AEEEBF">
      <w:pPr>
        <w:pStyle w:val="2"/>
        <w:bidi w:val="0"/>
        <w:jc w:val="center"/>
        <w:rPr>
          <w:rFonts w:hint="eastAsia"/>
        </w:rPr>
      </w:pPr>
      <w:r>
        <w:rPr>
          <w:rFonts w:hint="eastAsia"/>
        </w:rPr>
        <w:t>第七章 投标文件格式</w:t>
      </w:r>
      <w:bookmarkEnd w:id="854"/>
      <w:bookmarkEnd w:id="855"/>
      <w:bookmarkEnd w:id="856"/>
      <w:bookmarkEnd w:id="857"/>
      <w:bookmarkEnd w:id="858"/>
      <w:bookmarkEnd w:id="859"/>
      <w:bookmarkEnd w:id="860"/>
      <w:bookmarkEnd w:id="861"/>
      <w:bookmarkEnd w:id="862"/>
      <w:bookmarkEnd w:id="863"/>
      <w:bookmarkEnd w:id="864"/>
    </w:p>
    <w:p w14:paraId="05A6D80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1.投标文件格式由本章目录所列第1部分至第</w:t>
      </w:r>
      <w:r>
        <w:rPr>
          <w:rFonts w:hint="eastAsia" w:ascii="宋体" w:hAnsi="宋体" w:cs="宋体"/>
          <w:sz w:val="28"/>
          <w:szCs w:val="28"/>
          <w:lang w:val="en-US" w:eastAsia="zh-CN"/>
        </w:rPr>
        <w:t>8</w:t>
      </w:r>
      <w:r>
        <w:rPr>
          <w:rFonts w:hint="eastAsia" w:ascii="宋体" w:hAnsi="宋体" w:cs="宋体"/>
          <w:sz w:val="28"/>
          <w:szCs w:val="28"/>
        </w:rPr>
        <w:t>部分构成。</w:t>
      </w:r>
    </w:p>
    <w:p w14:paraId="4FF99A9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2.供应商应认真审阅本章内容，并参照格式要求编制投标文件。凡未按格式要求编制投标文件而造成的不利后果，由供应商自行承担。</w:t>
      </w:r>
    </w:p>
    <w:p w14:paraId="28C43B0E">
      <w:pPr>
        <w:spacing w:line="440" w:lineRule="exact"/>
        <w:ind w:firstLine="560" w:firstLineChars="200"/>
        <w:rPr>
          <w:rFonts w:hint="eastAsia" w:ascii="宋体" w:hAnsi="宋体" w:cs="宋体"/>
          <w:sz w:val="28"/>
          <w:szCs w:val="28"/>
        </w:rPr>
      </w:pPr>
    </w:p>
    <w:p w14:paraId="56C9437F">
      <w:pPr>
        <w:spacing w:line="440" w:lineRule="exact"/>
        <w:ind w:firstLine="560" w:firstLineChars="200"/>
        <w:rPr>
          <w:rFonts w:hint="eastAsia" w:ascii="宋体" w:hAnsi="宋体" w:cs="宋体"/>
          <w:sz w:val="28"/>
          <w:szCs w:val="28"/>
        </w:rPr>
      </w:pPr>
    </w:p>
    <w:p w14:paraId="2B9FE43E">
      <w:pPr>
        <w:spacing w:line="440" w:lineRule="exact"/>
        <w:ind w:firstLine="560" w:firstLineChars="200"/>
        <w:rPr>
          <w:rFonts w:hint="eastAsia" w:ascii="宋体" w:hAnsi="宋体" w:cs="宋体"/>
          <w:sz w:val="28"/>
          <w:szCs w:val="28"/>
        </w:rPr>
      </w:pPr>
    </w:p>
    <w:p w14:paraId="1C4B63AC">
      <w:pPr>
        <w:spacing w:line="440" w:lineRule="exact"/>
        <w:ind w:firstLine="560" w:firstLineChars="200"/>
        <w:rPr>
          <w:rFonts w:hint="eastAsia" w:ascii="宋体" w:hAnsi="宋体" w:cs="宋体"/>
          <w:sz w:val="28"/>
          <w:szCs w:val="28"/>
        </w:rPr>
      </w:pPr>
    </w:p>
    <w:p w14:paraId="34B920F0">
      <w:pPr>
        <w:spacing w:line="440" w:lineRule="exact"/>
        <w:ind w:firstLine="560" w:firstLineChars="200"/>
        <w:rPr>
          <w:rFonts w:hint="eastAsia" w:ascii="宋体" w:hAnsi="宋体" w:cs="宋体"/>
          <w:sz w:val="28"/>
          <w:szCs w:val="28"/>
        </w:rPr>
      </w:pPr>
    </w:p>
    <w:p w14:paraId="66B32882">
      <w:pPr>
        <w:spacing w:line="440" w:lineRule="exact"/>
        <w:ind w:firstLine="560" w:firstLineChars="200"/>
        <w:rPr>
          <w:rFonts w:hint="eastAsia" w:ascii="宋体" w:hAnsi="宋体" w:cs="宋体"/>
          <w:sz w:val="28"/>
          <w:szCs w:val="28"/>
        </w:rPr>
      </w:pPr>
    </w:p>
    <w:p w14:paraId="37261400">
      <w:pPr>
        <w:spacing w:line="440" w:lineRule="exact"/>
        <w:ind w:firstLine="560" w:firstLineChars="200"/>
        <w:rPr>
          <w:rFonts w:hint="eastAsia" w:ascii="宋体" w:hAnsi="宋体" w:cs="宋体"/>
          <w:sz w:val="28"/>
          <w:szCs w:val="28"/>
        </w:rPr>
      </w:pPr>
    </w:p>
    <w:p w14:paraId="252CE386">
      <w:pPr>
        <w:jc w:val="right"/>
        <w:rPr>
          <w:rFonts w:hint="eastAsia" w:ascii="宋体" w:hAnsi="宋体" w:cs="宋体"/>
          <w:sz w:val="32"/>
          <w:szCs w:val="32"/>
        </w:rPr>
      </w:pPr>
    </w:p>
    <w:p w14:paraId="0C9FF574">
      <w:pPr>
        <w:jc w:val="right"/>
        <w:rPr>
          <w:rFonts w:hint="eastAsia" w:ascii="宋体" w:hAnsi="宋体" w:cs="宋体"/>
          <w:sz w:val="32"/>
          <w:szCs w:val="32"/>
        </w:rPr>
      </w:pPr>
    </w:p>
    <w:p w14:paraId="3665E2C9">
      <w:pPr>
        <w:jc w:val="right"/>
        <w:rPr>
          <w:rFonts w:hint="eastAsia" w:ascii="宋体" w:hAnsi="宋体" w:cs="宋体"/>
          <w:sz w:val="32"/>
          <w:szCs w:val="32"/>
        </w:rPr>
      </w:pPr>
    </w:p>
    <w:p w14:paraId="51F5F619">
      <w:pPr>
        <w:jc w:val="right"/>
        <w:rPr>
          <w:rFonts w:hint="eastAsia" w:ascii="宋体" w:hAnsi="宋体" w:cs="宋体"/>
          <w:sz w:val="32"/>
          <w:szCs w:val="32"/>
        </w:rPr>
      </w:pPr>
    </w:p>
    <w:p w14:paraId="5AFA59D2">
      <w:pPr>
        <w:jc w:val="right"/>
        <w:rPr>
          <w:rFonts w:hint="eastAsia" w:ascii="宋体" w:hAnsi="宋体" w:cs="宋体"/>
          <w:sz w:val="32"/>
          <w:szCs w:val="32"/>
        </w:rPr>
      </w:pPr>
    </w:p>
    <w:p w14:paraId="23B87864">
      <w:pPr>
        <w:jc w:val="right"/>
        <w:rPr>
          <w:rFonts w:hint="eastAsia" w:ascii="宋体" w:hAnsi="宋体" w:cs="宋体"/>
          <w:sz w:val="32"/>
          <w:szCs w:val="32"/>
        </w:rPr>
      </w:pPr>
    </w:p>
    <w:p w14:paraId="09B828A8">
      <w:pPr>
        <w:jc w:val="right"/>
        <w:rPr>
          <w:rFonts w:hint="eastAsia" w:ascii="宋体" w:hAnsi="宋体" w:cs="宋体"/>
          <w:sz w:val="32"/>
          <w:szCs w:val="32"/>
        </w:rPr>
      </w:pPr>
    </w:p>
    <w:p w14:paraId="718B7AA8">
      <w:pPr>
        <w:jc w:val="right"/>
        <w:rPr>
          <w:rFonts w:hint="eastAsia" w:ascii="宋体" w:hAnsi="宋体" w:cs="宋体"/>
          <w:sz w:val="32"/>
          <w:szCs w:val="32"/>
        </w:rPr>
      </w:pPr>
    </w:p>
    <w:p w14:paraId="6168D43B">
      <w:pPr>
        <w:jc w:val="right"/>
        <w:rPr>
          <w:rFonts w:hint="eastAsia" w:ascii="宋体" w:hAnsi="宋体" w:cs="宋体"/>
          <w:sz w:val="32"/>
          <w:szCs w:val="32"/>
        </w:rPr>
      </w:pPr>
    </w:p>
    <w:p w14:paraId="104E412C">
      <w:pPr>
        <w:jc w:val="right"/>
        <w:rPr>
          <w:rFonts w:hint="eastAsia" w:ascii="宋体" w:hAnsi="宋体" w:cs="宋体"/>
          <w:sz w:val="32"/>
          <w:szCs w:val="32"/>
        </w:rPr>
      </w:pPr>
    </w:p>
    <w:p w14:paraId="28F278C3">
      <w:pPr>
        <w:jc w:val="right"/>
        <w:rPr>
          <w:rFonts w:hint="eastAsia" w:ascii="宋体" w:hAnsi="宋体" w:cs="宋体"/>
          <w:sz w:val="32"/>
          <w:szCs w:val="32"/>
        </w:rPr>
      </w:pPr>
    </w:p>
    <w:p w14:paraId="1605D83E">
      <w:pPr>
        <w:rPr>
          <w:rFonts w:hint="eastAsia" w:ascii="宋体" w:hAnsi="宋体" w:cs="宋体"/>
          <w:sz w:val="32"/>
          <w:szCs w:val="32"/>
        </w:rPr>
      </w:pPr>
    </w:p>
    <w:p w14:paraId="3832BF7F">
      <w:pPr>
        <w:jc w:val="right"/>
        <w:rPr>
          <w:rFonts w:hint="eastAsia" w:ascii="宋体" w:hAnsi="宋体" w:cs="宋体"/>
          <w:sz w:val="32"/>
          <w:szCs w:val="32"/>
        </w:rPr>
      </w:pPr>
    </w:p>
    <w:p w14:paraId="5526BEAF">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72209275">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11C722FE">
      <w:pPr>
        <w:jc w:val="center"/>
        <w:rPr>
          <w:rFonts w:hint="eastAsia" w:ascii="宋体" w:hAnsi="宋体" w:cs="宋体"/>
          <w:b/>
          <w:bCs/>
          <w:spacing w:val="4"/>
          <w:sz w:val="28"/>
          <w:szCs w:val="28"/>
        </w:rPr>
      </w:pPr>
    </w:p>
    <w:p w14:paraId="52E354A4">
      <w:pPr>
        <w:jc w:val="both"/>
        <w:outlineLvl w:val="0"/>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616A0644">
      <w:pPr>
        <w:ind w:firstLine="6938" w:firstLineChars="2400"/>
        <w:jc w:val="both"/>
        <w:outlineLvl w:val="0"/>
        <w:rPr>
          <w:rFonts w:hint="eastAsia" w:ascii="宋体" w:hAnsi="宋体" w:cs="宋体"/>
          <w:b/>
          <w:bCs/>
          <w:sz w:val="32"/>
          <w:szCs w:val="32"/>
        </w:rPr>
      </w:pPr>
      <w:r>
        <w:rPr>
          <w:rFonts w:hint="eastAsia" w:ascii="宋体" w:hAnsi="宋体" w:cs="宋体"/>
          <w:b/>
          <w:bCs/>
          <w:spacing w:val="4"/>
          <w:sz w:val="28"/>
          <w:szCs w:val="28"/>
        </w:rPr>
        <w:t xml:space="preserve"> </w:t>
      </w:r>
    </w:p>
    <w:p w14:paraId="58EB1F13">
      <w:pPr>
        <w:tabs>
          <w:tab w:val="center" w:pos="4698"/>
        </w:tabs>
        <w:spacing w:line="360" w:lineRule="auto"/>
        <w:outlineLvl w:val="0"/>
        <w:rPr>
          <w:rFonts w:ascii="宋体" w:hAnsi="宋体" w:cs="宋体"/>
          <w:b/>
          <w:bCs/>
          <w:color w:val="000000"/>
          <w:sz w:val="30"/>
          <w:szCs w:val="30"/>
        </w:rPr>
      </w:pPr>
      <w:bookmarkStart w:id="865" w:name="_Toc32216"/>
      <w:bookmarkStart w:id="866" w:name="_Toc11924"/>
      <w:bookmarkStart w:id="867" w:name="_Toc16098"/>
      <w:bookmarkStart w:id="868" w:name="_Toc11980"/>
      <w:bookmarkStart w:id="869" w:name="_Toc30729"/>
      <w:bookmarkStart w:id="870" w:name="_Toc8114"/>
      <w:bookmarkStart w:id="871" w:name="_Toc19191"/>
      <w:r>
        <w:rPr>
          <w:rFonts w:hint="eastAsia" w:ascii="宋体" w:hAnsi="宋体" w:cs="宋体"/>
          <w:b/>
          <w:bCs/>
          <w:color w:val="000000"/>
          <w:sz w:val="30"/>
          <w:szCs w:val="30"/>
          <w:lang w:val="zh-CN"/>
        </w:rPr>
        <w:t>项目编号：</w:t>
      </w:r>
      <w:bookmarkEnd w:id="865"/>
      <w:bookmarkEnd w:id="866"/>
      <w:bookmarkEnd w:id="867"/>
      <w:bookmarkEnd w:id="868"/>
      <w:bookmarkEnd w:id="869"/>
      <w:bookmarkEnd w:id="870"/>
      <w:bookmarkEnd w:id="871"/>
      <w:r>
        <w:rPr>
          <w:rFonts w:hint="eastAsia" w:ascii="宋体" w:hAnsi="宋体" w:cs="宋体"/>
          <w:b/>
          <w:bCs/>
          <w:color w:val="000000"/>
          <w:sz w:val="30"/>
          <w:szCs w:val="30"/>
          <w:lang w:val="zh-CN"/>
        </w:rPr>
        <w:t>SXXZ2026-04</w:t>
      </w:r>
    </w:p>
    <w:p w14:paraId="3C410094">
      <w:pPr>
        <w:tabs>
          <w:tab w:val="center" w:pos="4698"/>
        </w:tabs>
        <w:spacing w:line="360" w:lineRule="auto"/>
        <w:rPr>
          <w:rFonts w:hint="eastAsia" w:ascii="宋体" w:hAnsi="宋体" w:cs="宋体"/>
          <w:b/>
          <w:bCs/>
          <w:color w:val="000000"/>
          <w:sz w:val="30"/>
          <w:szCs w:val="30"/>
          <w:lang w:val="zh-CN"/>
        </w:rPr>
      </w:pPr>
    </w:p>
    <w:p w14:paraId="5091AA6B">
      <w:pPr>
        <w:pStyle w:val="11"/>
        <w:rPr>
          <w:rFonts w:hint="eastAsia"/>
          <w:lang w:val="zh-CN"/>
        </w:rPr>
      </w:pPr>
    </w:p>
    <w:p w14:paraId="20F9D552">
      <w:pPr>
        <w:tabs>
          <w:tab w:val="center" w:pos="4698"/>
        </w:tabs>
        <w:spacing w:line="360" w:lineRule="auto"/>
        <w:rPr>
          <w:rFonts w:hint="eastAsia" w:ascii="宋体" w:hAnsi="宋体" w:cs="宋体"/>
          <w:color w:val="000000"/>
          <w:sz w:val="36"/>
          <w:szCs w:val="36"/>
        </w:rPr>
      </w:pPr>
    </w:p>
    <w:p w14:paraId="1229F526">
      <w:pPr>
        <w:pStyle w:val="11"/>
        <w:rPr>
          <w:rFonts w:hint="eastAsia"/>
        </w:rPr>
      </w:pPr>
    </w:p>
    <w:p w14:paraId="7D901057">
      <w:pPr>
        <w:tabs>
          <w:tab w:val="left" w:pos="5670"/>
        </w:tabs>
        <w:autoSpaceDE w:val="0"/>
        <w:autoSpaceDN w:val="0"/>
        <w:adjustRightInd w:val="0"/>
        <w:snapToGrid w:val="0"/>
        <w:spacing w:line="360" w:lineRule="auto"/>
        <w:jc w:val="center"/>
        <w:rPr>
          <w:rFonts w:hint="eastAsia" w:ascii="宋体" w:hAnsi="宋体" w:eastAsia="宋体" w:cs="宋体"/>
          <w:b/>
          <w:bCs/>
          <w:color w:val="000000"/>
          <w:sz w:val="44"/>
          <w:szCs w:val="44"/>
          <w:lang w:val="zh-CN" w:eastAsia="zh-CN"/>
        </w:rPr>
      </w:pPr>
      <w:r>
        <w:rPr>
          <w:rFonts w:hint="eastAsia" w:ascii="宋体" w:hAnsi="宋体" w:cs="宋体"/>
          <w:b/>
          <w:bCs/>
          <w:color w:val="000000"/>
          <w:sz w:val="40"/>
          <w:szCs w:val="40"/>
          <w:lang w:val="zh-CN" w:eastAsia="zh-CN"/>
        </w:rPr>
        <w:t>延安市公路建设工程管理处延安北高速出入口区域路网交通改善工程建设过程服务项目（</w:t>
      </w:r>
      <w:r>
        <w:rPr>
          <w:rFonts w:hint="eastAsia" w:ascii="宋体" w:hAnsi="宋体" w:cs="宋体"/>
          <w:b/>
          <w:bCs/>
          <w:color w:val="000000"/>
          <w:sz w:val="40"/>
          <w:szCs w:val="40"/>
          <w:lang w:val="en-US" w:eastAsia="zh-CN"/>
        </w:rPr>
        <w:t>二</w:t>
      </w:r>
      <w:r>
        <w:rPr>
          <w:rFonts w:hint="eastAsia" w:ascii="宋体" w:hAnsi="宋体" w:cs="宋体"/>
          <w:b/>
          <w:bCs/>
          <w:color w:val="000000"/>
          <w:sz w:val="40"/>
          <w:szCs w:val="40"/>
          <w:lang w:val="zh-CN" w:eastAsia="zh-CN"/>
        </w:rPr>
        <w:t>标包）</w:t>
      </w:r>
    </w:p>
    <w:p w14:paraId="6EF7BC22">
      <w:pPr>
        <w:pStyle w:val="8"/>
        <w:rPr>
          <w:rFonts w:hint="eastAsia" w:cs="宋体"/>
          <w:b/>
          <w:bCs/>
          <w:color w:val="000000"/>
          <w:sz w:val="52"/>
          <w:szCs w:val="52"/>
          <w:lang w:eastAsia="zh-CN"/>
        </w:rPr>
      </w:pPr>
    </w:p>
    <w:p w14:paraId="317DCC81">
      <w:pPr>
        <w:pStyle w:val="25"/>
        <w:rPr>
          <w:rFonts w:hint="eastAsia" w:cs="宋体"/>
          <w:b/>
          <w:bCs/>
          <w:color w:val="000000"/>
          <w:sz w:val="52"/>
          <w:szCs w:val="52"/>
          <w:lang w:eastAsia="zh-CN"/>
        </w:rPr>
      </w:pPr>
    </w:p>
    <w:p w14:paraId="55DF585E">
      <w:pPr>
        <w:rPr>
          <w:rFonts w:hint="eastAsia" w:cs="宋体"/>
          <w:b/>
          <w:bCs/>
          <w:color w:val="000000"/>
          <w:sz w:val="52"/>
          <w:szCs w:val="52"/>
          <w:lang w:eastAsia="zh-CN"/>
        </w:rPr>
      </w:pPr>
    </w:p>
    <w:p w14:paraId="5F240E71">
      <w:pPr>
        <w:pStyle w:val="11"/>
        <w:rPr>
          <w:rFonts w:hint="eastAsia"/>
          <w:lang w:eastAsia="zh-CN"/>
        </w:rPr>
      </w:pPr>
    </w:p>
    <w:p w14:paraId="24E6F6F1">
      <w:pPr>
        <w:rPr>
          <w:rFonts w:hint="eastAsia"/>
          <w:lang w:eastAsia="zh-CN"/>
        </w:rPr>
      </w:pPr>
    </w:p>
    <w:p w14:paraId="76DF7749">
      <w:pPr>
        <w:rPr>
          <w:rFonts w:hint="eastAsia"/>
          <w:lang w:val="zh-CN"/>
        </w:rPr>
      </w:pPr>
    </w:p>
    <w:p w14:paraId="3394A6A2">
      <w:pPr>
        <w:tabs>
          <w:tab w:val="left" w:pos="5670"/>
        </w:tabs>
        <w:autoSpaceDE w:val="0"/>
        <w:autoSpaceDN w:val="0"/>
        <w:adjustRightInd w:val="0"/>
        <w:snapToGrid w:val="0"/>
        <w:spacing w:line="360" w:lineRule="auto"/>
        <w:jc w:val="center"/>
        <w:rPr>
          <w:rFonts w:hint="eastAsia"/>
        </w:rPr>
      </w:pPr>
      <w:r>
        <w:rPr>
          <w:rFonts w:hint="eastAsia" w:ascii="宋体" w:hAnsi="宋体" w:cs="宋体"/>
          <w:b/>
          <w:bCs/>
          <w:color w:val="000000"/>
          <w:sz w:val="56"/>
          <w:szCs w:val="56"/>
          <w:lang w:val="zh-CN"/>
        </w:rPr>
        <w:t>投标文件</w:t>
      </w:r>
    </w:p>
    <w:p w14:paraId="0CBBF497">
      <w:pPr>
        <w:pStyle w:val="81"/>
        <w:rPr>
          <w:rFonts w:hint="eastAsia"/>
        </w:rPr>
      </w:pPr>
    </w:p>
    <w:p w14:paraId="46C2E620">
      <w:pPr>
        <w:pStyle w:val="11"/>
        <w:rPr>
          <w:rFonts w:hint="eastAsia" w:ascii="宋体" w:hAnsi="宋体" w:cs="宋体"/>
        </w:rPr>
      </w:pPr>
    </w:p>
    <w:p w14:paraId="3B996F20">
      <w:pPr>
        <w:rPr>
          <w:rFonts w:hint="eastAsia" w:ascii="宋体" w:hAnsi="宋体" w:cs="宋体"/>
        </w:rPr>
      </w:pPr>
    </w:p>
    <w:p w14:paraId="283A9ECF">
      <w:pPr>
        <w:pStyle w:val="11"/>
        <w:rPr>
          <w:rFonts w:hint="eastAsia" w:ascii="宋体" w:hAnsi="宋体" w:cs="宋体"/>
        </w:rPr>
      </w:pPr>
    </w:p>
    <w:p w14:paraId="7D334590">
      <w:pPr>
        <w:rPr>
          <w:rFonts w:hint="eastAsia" w:ascii="宋体" w:hAnsi="宋体" w:cs="宋体"/>
        </w:rPr>
      </w:pPr>
    </w:p>
    <w:p w14:paraId="6EE899A4">
      <w:pPr>
        <w:pStyle w:val="11"/>
        <w:rPr>
          <w:rFonts w:hint="eastAsia"/>
        </w:rPr>
      </w:pPr>
    </w:p>
    <w:p w14:paraId="4349E86A">
      <w:pPr>
        <w:rPr>
          <w:rFonts w:hint="eastAsia" w:ascii="宋体" w:hAnsi="宋体" w:cs="宋体"/>
        </w:rPr>
      </w:pPr>
    </w:p>
    <w:p w14:paraId="19D51D77">
      <w:pPr>
        <w:rPr>
          <w:rFonts w:hint="eastAsia" w:ascii="宋体" w:hAnsi="宋体" w:cs="宋体"/>
          <w:sz w:val="28"/>
          <w:szCs w:val="28"/>
        </w:rPr>
      </w:pPr>
    </w:p>
    <w:p w14:paraId="73D1A47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u w:val="single"/>
        </w:rPr>
      </w:pPr>
      <w:bookmarkStart w:id="872" w:name="_Toc12328"/>
      <w:bookmarkStart w:id="873" w:name="_Toc31983"/>
      <w:bookmarkStart w:id="874" w:name="_Toc12193"/>
      <w:bookmarkStart w:id="875" w:name="_Toc25034"/>
      <w:bookmarkStart w:id="876" w:name="_Toc20039"/>
      <w:bookmarkStart w:id="877" w:name="_Toc26575"/>
      <w:bookmarkStart w:id="878" w:name="_Toc13959"/>
      <w:bookmarkStart w:id="879" w:name="_Hlk519177560"/>
      <w:r>
        <w:rPr>
          <w:rFonts w:hint="eastAsia" w:ascii="宋体" w:hAnsi="宋体" w:cs="宋体"/>
          <w:b/>
          <w:color w:val="000000"/>
          <w:sz w:val="28"/>
          <w:szCs w:val="28"/>
        </w:rPr>
        <w:t>投标人：</w:t>
      </w:r>
      <w:r>
        <w:rPr>
          <w:rFonts w:hint="eastAsia" w:ascii="宋体" w:hAnsi="宋体" w:cs="宋体"/>
          <w:bCs/>
          <w:color w:val="000000"/>
          <w:sz w:val="28"/>
          <w:szCs w:val="28"/>
          <w:u w:val="single"/>
        </w:rPr>
        <w:t xml:space="preserve">   </w:t>
      </w:r>
      <w:r>
        <w:rPr>
          <w:rFonts w:hint="eastAsia" w:ascii="宋体" w:hAnsi="宋体" w:cs="宋体"/>
          <w:b/>
          <w:bCs w:val="0"/>
          <w:color w:val="000000"/>
          <w:sz w:val="28"/>
          <w:szCs w:val="28"/>
          <w:u w:val="single"/>
        </w:rPr>
        <w:t xml:space="preserve">（单位全称）  </w:t>
      </w:r>
      <w:r>
        <w:rPr>
          <w:rFonts w:hint="eastAsia" w:ascii="宋体" w:hAnsi="宋体" w:cs="宋体"/>
          <w:b/>
          <w:color w:val="000000"/>
          <w:sz w:val="28"/>
          <w:szCs w:val="28"/>
        </w:rPr>
        <w:t>（盖单位公章）</w:t>
      </w:r>
      <w:bookmarkEnd w:id="872"/>
      <w:bookmarkEnd w:id="873"/>
      <w:bookmarkEnd w:id="874"/>
      <w:bookmarkEnd w:id="875"/>
      <w:bookmarkEnd w:id="876"/>
      <w:bookmarkEnd w:id="877"/>
      <w:bookmarkEnd w:id="878"/>
    </w:p>
    <w:p w14:paraId="30F4DDA3">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80" w:name="_Toc23903"/>
      <w:bookmarkStart w:id="881" w:name="_Toc7290"/>
      <w:bookmarkStart w:id="882" w:name="_Toc2875"/>
      <w:bookmarkStart w:id="883" w:name="_Toc13879"/>
      <w:bookmarkStart w:id="884" w:name="_Toc24127"/>
      <w:bookmarkStart w:id="885" w:name="_Toc12443"/>
      <w:bookmarkStart w:id="886" w:name="_Toc9955"/>
      <w:bookmarkStart w:id="887" w:name="_Toc343512253"/>
      <w:r>
        <w:rPr>
          <w:rFonts w:hint="eastAsia" w:ascii="宋体" w:hAnsi="宋体" w:cs="宋体"/>
          <w:b/>
          <w:color w:val="000000"/>
          <w:sz w:val="28"/>
          <w:szCs w:val="28"/>
        </w:rPr>
        <w:t>法定代表人：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（签字或法人印鉴）</w:t>
      </w:r>
      <w:bookmarkEnd w:id="880"/>
      <w:bookmarkEnd w:id="881"/>
      <w:bookmarkEnd w:id="882"/>
      <w:bookmarkEnd w:id="883"/>
      <w:bookmarkEnd w:id="884"/>
      <w:bookmarkEnd w:id="885"/>
      <w:bookmarkEnd w:id="886"/>
      <w:bookmarkEnd w:id="887"/>
    </w:p>
    <w:p w14:paraId="16108B8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88" w:name="_Toc1301"/>
      <w:bookmarkStart w:id="889" w:name="_Toc29467"/>
      <w:bookmarkStart w:id="890" w:name="_Toc23630"/>
      <w:bookmarkStart w:id="891" w:name="_Toc9488"/>
      <w:bookmarkStart w:id="892" w:name="_Toc28259"/>
      <w:bookmarkStart w:id="893" w:name="_Toc18563"/>
      <w:bookmarkStart w:id="894" w:name="_Toc27789"/>
      <w:r>
        <w:rPr>
          <w:rFonts w:hint="eastAsia" w:ascii="宋体" w:hAnsi="宋体" w:cs="宋体"/>
          <w:b/>
          <w:color w:val="000000"/>
          <w:sz w:val="28"/>
          <w:szCs w:val="28"/>
        </w:rPr>
        <w:t>委托代理人：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w:t>
      </w:r>
      <w:bookmarkEnd w:id="888"/>
      <w:bookmarkEnd w:id="889"/>
      <w:bookmarkEnd w:id="890"/>
      <w:bookmarkEnd w:id="891"/>
      <w:bookmarkEnd w:id="892"/>
      <w:bookmarkEnd w:id="893"/>
      <w:bookmarkEnd w:id="894"/>
    </w:p>
    <w:p w14:paraId="4CA3D55D">
      <w:pPr>
        <w:keepNext w:val="0"/>
        <w:keepLines w:val="0"/>
        <w:pageBreakBefore w:val="0"/>
        <w:widowControl w:val="0"/>
        <w:kinsoku/>
        <w:wordWrap/>
        <w:overflowPunct/>
        <w:topLinePunct w:val="0"/>
        <w:autoSpaceDE/>
        <w:autoSpaceDN/>
        <w:bidi w:val="0"/>
        <w:adjustRightInd/>
        <w:snapToGrid/>
        <w:spacing w:line="480" w:lineRule="auto"/>
        <w:ind w:firstLine="1405" w:firstLineChars="500"/>
        <w:jc w:val="both"/>
        <w:textAlignment w:val="auto"/>
        <w:rPr>
          <w:rFonts w:hint="eastAsia" w:ascii="宋体" w:hAnsi="宋体" w:cs="宋体"/>
          <w:b/>
          <w:color w:val="000000"/>
          <w:sz w:val="28"/>
          <w:szCs w:val="28"/>
        </w:rPr>
      </w:pPr>
      <w:bookmarkStart w:id="895" w:name="_Toc343512254"/>
      <w:r>
        <w:rPr>
          <w:rFonts w:hint="eastAsia" w:ascii="宋体" w:hAnsi="宋体" w:cs="宋体"/>
          <w:b/>
          <w:color w:val="000000"/>
          <w:sz w:val="28"/>
          <w:szCs w:val="28"/>
        </w:rPr>
        <w:t xml:space="preserve">  年    月    日</w:t>
      </w:r>
      <w:bookmarkEnd w:id="895"/>
    </w:p>
    <w:bookmarkEnd w:id="879"/>
    <w:p w14:paraId="336074AF">
      <w:pPr>
        <w:spacing w:line="360" w:lineRule="auto"/>
        <w:ind w:firstLine="855"/>
        <w:rPr>
          <w:rFonts w:hint="eastAsia" w:ascii="宋体" w:hAnsi="宋体" w:cs="宋体"/>
          <w:color w:val="000000"/>
          <w:sz w:val="28"/>
        </w:rPr>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E96F212">
      <w:pPr>
        <w:spacing w:line="360" w:lineRule="auto"/>
        <w:jc w:val="center"/>
        <w:rPr>
          <w:rFonts w:hint="eastAsia" w:ascii="宋体" w:hAnsi="宋体" w:cs="宋体"/>
          <w:b/>
          <w:color w:val="000000"/>
          <w:sz w:val="44"/>
          <w:szCs w:val="44"/>
        </w:rPr>
      </w:pPr>
      <w:bookmarkStart w:id="896" w:name="_Toc343512255"/>
      <w:bookmarkStart w:id="897" w:name="_Toc144974856"/>
      <w:bookmarkStart w:id="898" w:name="_Toc246996355"/>
      <w:bookmarkStart w:id="899" w:name="_Toc247085873"/>
      <w:bookmarkStart w:id="900" w:name="_Toc179632807"/>
      <w:bookmarkStart w:id="901" w:name="_Toc152042576"/>
      <w:bookmarkStart w:id="902" w:name="_Toc152045787"/>
      <w:bookmarkStart w:id="903" w:name="_Toc246997098"/>
      <w:bookmarkStart w:id="904" w:name="_Toc169940965"/>
      <w:bookmarkStart w:id="905" w:name="_Toc145989459"/>
      <w:bookmarkStart w:id="906" w:name="_Toc132684575"/>
      <w:r>
        <w:rPr>
          <w:rFonts w:hint="eastAsia" w:ascii="宋体" w:hAnsi="宋体" w:cs="宋体"/>
          <w:b/>
          <w:color w:val="000000"/>
          <w:sz w:val="44"/>
          <w:szCs w:val="44"/>
        </w:rPr>
        <w:t>目    录</w:t>
      </w:r>
      <w:bookmarkEnd w:id="896"/>
      <w:bookmarkEnd w:id="897"/>
      <w:bookmarkEnd w:id="898"/>
      <w:bookmarkEnd w:id="899"/>
      <w:bookmarkEnd w:id="900"/>
      <w:bookmarkEnd w:id="901"/>
      <w:bookmarkEnd w:id="902"/>
      <w:bookmarkEnd w:id="903"/>
    </w:p>
    <w:p w14:paraId="2E685F5B">
      <w:pPr>
        <w:spacing w:line="360" w:lineRule="auto"/>
        <w:ind w:firstLine="643" w:firstLineChars="200"/>
        <w:rPr>
          <w:rFonts w:hint="eastAsia" w:ascii="宋体" w:hAnsi="宋体" w:cs="宋体"/>
          <w:b/>
          <w:color w:val="000000"/>
          <w:sz w:val="32"/>
          <w:szCs w:val="32"/>
        </w:rPr>
      </w:pPr>
    </w:p>
    <w:p w14:paraId="4B333A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bookmarkStart w:id="907" w:name="_Toc343512258"/>
      <w:r>
        <w:rPr>
          <w:rFonts w:hint="eastAsia" w:ascii="宋体" w:hAnsi="宋体" w:cs="宋体"/>
          <w:b/>
          <w:color w:val="000000"/>
          <w:sz w:val="28"/>
          <w:szCs w:val="28"/>
          <w:lang w:val="en-US" w:eastAsia="zh-CN"/>
        </w:rPr>
        <w:t>一、</w:t>
      </w:r>
      <w:r>
        <w:rPr>
          <w:rFonts w:hint="eastAsia" w:ascii="宋体" w:hAnsi="宋体" w:cs="宋体"/>
          <w:b/>
          <w:color w:val="000000"/>
          <w:sz w:val="28"/>
          <w:szCs w:val="28"/>
        </w:rPr>
        <w:t>资格证明文件</w:t>
      </w:r>
    </w:p>
    <w:bookmarkEnd w:id="907"/>
    <w:p w14:paraId="1E0D44D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p>
    <w:p w14:paraId="584C7449">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ascii="宋体" w:hAnsi="宋体" w:cs="宋体"/>
          <w:b/>
          <w:color w:val="000000"/>
          <w:sz w:val="28"/>
          <w:szCs w:val="28"/>
          <w:lang w:val="en-US" w:eastAsia="zh-CN"/>
        </w:rPr>
      </w:pPr>
      <w:r>
        <w:rPr>
          <w:rFonts w:hint="eastAsia" w:ascii="宋体" w:hAnsi="宋体" w:cs="宋体"/>
          <w:b/>
          <w:color w:val="000000"/>
          <w:sz w:val="28"/>
          <w:szCs w:val="28"/>
          <w:lang w:val="en-US" w:eastAsia="zh-CN"/>
        </w:rPr>
        <w:t>三、</w:t>
      </w:r>
      <w:r>
        <w:rPr>
          <w:rFonts w:hint="eastAsia" w:ascii="宋体" w:hAnsi="宋体" w:cs="宋体"/>
          <w:b/>
          <w:color w:val="000000"/>
          <w:sz w:val="28"/>
          <w:szCs w:val="28"/>
          <w:lang w:eastAsia="zh-CN"/>
        </w:rPr>
        <w:t>投标报价一览表</w:t>
      </w:r>
    </w:p>
    <w:p w14:paraId="310BB80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lang w:eastAsia="zh-CN"/>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lang w:eastAsia="zh-CN"/>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lang w:eastAsia="zh-CN"/>
        </w:rPr>
        <w:t>分项报价表</w:t>
      </w:r>
    </w:p>
    <w:p w14:paraId="710B67C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150FBCA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p>
    <w:p w14:paraId="0726598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p>
    <w:p w14:paraId="422DBA0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747B402D">
      <w:pPr>
        <w:pStyle w:val="17"/>
        <w:spacing w:line="360" w:lineRule="auto"/>
        <w:rPr>
          <w:rFonts w:hint="eastAsia" w:hAnsi="宋体"/>
          <w:b/>
          <w:color w:val="000000"/>
          <w:sz w:val="28"/>
          <w:szCs w:val="28"/>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904"/>
    <w:bookmarkEnd w:id="905"/>
    <w:bookmarkEnd w:id="906"/>
    <w:p w14:paraId="56DE1A38">
      <w:pPr>
        <w:numPr>
          <w:ilvl w:val="0"/>
          <w:numId w:val="0"/>
        </w:numPr>
        <w:spacing w:line="360" w:lineRule="auto"/>
        <w:jc w:val="center"/>
        <w:outlineLvl w:val="1"/>
        <w:rPr>
          <w:rFonts w:hint="eastAsia" w:ascii="宋体" w:hAnsi="宋体" w:cs="宋体"/>
          <w:b/>
          <w:color w:val="000000"/>
          <w:sz w:val="28"/>
          <w:szCs w:val="28"/>
        </w:rPr>
      </w:pPr>
      <w:bookmarkStart w:id="908" w:name="_Toc179632827"/>
      <w:bookmarkStart w:id="909" w:name="_Toc361406472"/>
      <w:bookmarkStart w:id="910" w:name="_Toc246997115"/>
      <w:bookmarkStart w:id="911" w:name="_Toc394320941"/>
      <w:bookmarkStart w:id="912" w:name="_Toc247085890"/>
      <w:bookmarkStart w:id="913" w:name="_Toc152042596"/>
      <w:bookmarkStart w:id="914" w:name="_Toc152045807"/>
      <w:bookmarkStart w:id="915" w:name="_Toc246996372"/>
      <w:bookmarkStart w:id="916" w:name="_Toc144974875"/>
      <w:bookmarkStart w:id="917" w:name="_Toc343512414"/>
      <w:bookmarkStart w:id="918" w:name="_Toc490171582"/>
      <w:bookmarkStart w:id="919" w:name="_Toc394320935"/>
      <w:bookmarkStart w:id="920" w:name="_Toc397410506"/>
      <w:bookmarkStart w:id="921" w:name="_Toc395711854"/>
      <w:bookmarkStart w:id="922" w:name="_Toc397585273"/>
      <w:bookmarkStart w:id="923" w:name="_Toc361406466"/>
      <w:bookmarkStart w:id="924" w:name="_Toc397410693"/>
      <w:bookmarkStart w:id="925" w:name="_Toc522893843"/>
      <w:bookmarkStart w:id="926" w:name="_Toc456197116"/>
      <w:r>
        <w:rPr>
          <w:rFonts w:hint="eastAsia" w:ascii="宋体" w:hAnsi="宋体" w:cs="宋体"/>
          <w:b/>
          <w:color w:val="000000"/>
          <w:kern w:val="2"/>
          <w:sz w:val="28"/>
          <w:szCs w:val="28"/>
          <w:lang w:val="en-US" w:eastAsia="zh-CN" w:bidi="ar-SA"/>
        </w:rPr>
        <w:t>一、</w:t>
      </w:r>
      <w:r>
        <w:rPr>
          <w:rFonts w:hint="eastAsia" w:ascii="宋体" w:hAnsi="宋体" w:cs="宋体"/>
          <w:b/>
          <w:color w:val="000000"/>
          <w:sz w:val="28"/>
          <w:szCs w:val="28"/>
        </w:rPr>
        <w:t>资格证明文件</w:t>
      </w:r>
    </w:p>
    <w:p w14:paraId="5C004446">
      <w:pPr>
        <w:pStyle w:val="11"/>
        <w:numPr>
          <w:ilvl w:val="0"/>
          <w:numId w:val="0"/>
        </w:numPr>
        <w:rPr>
          <w:rFonts w:hint="eastAsia"/>
        </w:rPr>
      </w:pPr>
    </w:p>
    <w:bookmarkEnd w:id="908"/>
    <w:bookmarkEnd w:id="909"/>
    <w:bookmarkEnd w:id="910"/>
    <w:bookmarkEnd w:id="911"/>
    <w:bookmarkEnd w:id="912"/>
    <w:bookmarkEnd w:id="913"/>
    <w:bookmarkEnd w:id="914"/>
    <w:bookmarkEnd w:id="915"/>
    <w:bookmarkEnd w:id="916"/>
    <w:bookmarkEnd w:id="917"/>
    <w:p w14:paraId="3D76AC6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（1）基本资格条件：符合《中华人民共和国政府采购法》第二十二条的规定；</w:t>
      </w:r>
    </w:p>
    <w:p w14:paraId="6496564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（2）特定资格条件：</w:t>
      </w:r>
    </w:p>
    <w:p w14:paraId="776A9A8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w:t>
      </w:r>
      <w:r>
        <w:rPr>
          <w:rFonts w:hint="eastAsia" w:ascii="宋体" w:hAnsi="宋体" w:cs="宋体"/>
          <w:bCs/>
          <w:color w:val="000000"/>
          <w:sz w:val="24"/>
          <w:szCs w:val="24"/>
          <w:lang w:val="en-US" w:eastAsia="zh-CN"/>
        </w:rPr>
        <w:t>提供经年检有效的“三证合一”的营业执照（附2024年度或2025年度报告书）</w:t>
      </w:r>
      <w:r>
        <w:rPr>
          <w:rFonts w:hint="eastAsia" w:ascii="宋体" w:hAnsi="宋体" w:eastAsia="宋体" w:cs="宋体"/>
          <w:bCs/>
          <w:color w:val="000000"/>
          <w:sz w:val="24"/>
          <w:szCs w:val="24"/>
          <w:lang w:val="en-US" w:eastAsia="zh-CN"/>
        </w:rPr>
        <w:t>；</w:t>
      </w:r>
    </w:p>
    <w:p w14:paraId="3A8AF3A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2.银行开户许可证或开户行基本信息；</w:t>
      </w:r>
    </w:p>
    <w:p w14:paraId="2D966C6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3.法定代表人授权委托书及被授权人身份证（法定代表人直接参加时，只须出示法定代表人身份证)；</w:t>
      </w:r>
    </w:p>
    <w:p w14:paraId="5993655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4.投标人具备交通运输部工程质量监督机构颁发的公路工程综合甲级资质和省级及以上行政主管部门颁发的合格有效的检验检测机构资质认定证书(CMA)；</w:t>
      </w:r>
    </w:p>
    <w:p w14:paraId="3B72DE58">
      <w:pPr>
        <w:keepNext w:val="0"/>
        <w:keepLines w:val="0"/>
        <w:pageBreakBefore w:val="0"/>
        <w:widowControl w:val="0"/>
        <w:kinsoku/>
        <w:wordWrap/>
        <w:overflowPunct/>
        <w:topLinePunct w:val="0"/>
        <w:autoSpaceDE/>
        <w:autoSpaceDN/>
        <w:bidi w:val="0"/>
        <w:adjustRightInd/>
        <w:snapToGrid/>
        <w:spacing w:line="480" w:lineRule="auto"/>
        <w:ind w:left="479" w:leftChars="228" w:firstLine="0" w:firstLineChars="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5.</w:t>
      </w:r>
      <w:r>
        <w:rPr>
          <w:rFonts w:hint="eastAsia" w:ascii="宋体" w:hAnsi="宋体" w:cs="宋体"/>
          <w:bCs/>
          <w:color w:val="000000"/>
          <w:sz w:val="24"/>
          <w:szCs w:val="24"/>
          <w:lang w:val="en-US" w:eastAsia="zh-CN"/>
        </w:rPr>
        <w:t>项目负责人具备交通运输部门颁发的公路工程试验检测工程师资格，或人社部和交通运输职业资格中心联合核发的公路水运工程试验检测师(桥梁隧道工程专业)资格，并具有高级及以上专业技术职称</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6.税收缴纳证明：提供2025年01月至今已缴纳的至少一个月的纳税证明或完税证明（不限税种），依法免税的单位应提供相关证明材料；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10.提供参加政府采购活动前3年内经营活动中无重大违法记录声明；</w:t>
      </w:r>
    </w:p>
    <w:p w14:paraId="24CBC1A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11.投标保证金缴纳凭证；</w:t>
      </w:r>
    </w:p>
    <w:p w14:paraId="31AD5C1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12.本项目不接受联合体投标。</w:t>
      </w:r>
    </w:p>
    <w:p w14:paraId="29FA7A3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36D14E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C965A3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1315EA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297732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D92E62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6DBC1A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C12FA8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B3B936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4E1BBF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FE0352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581980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7B51619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36D5399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3B0B1DD">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1</w:t>
      </w:r>
    </w:p>
    <w:tbl>
      <w:tblPr>
        <w:tblStyle w:val="35"/>
        <w:tblpPr w:leftFromText="180" w:rightFromText="180" w:vertAnchor="text" w:horzAnchor="page" w:tblpX="1187" w:tblpY="10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2F4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200" w:type="dxa"/>
            <w:gridSpan w:val="5"/>
            <w:noWrap w:val="0"/>
            <w:vAlign w:val="top"/>
          </w:tcPr>
          <w:p w14:paraId="744EA5DB">
            <w:pPr>
              <w:tabs>
                <w:tab w:val="left" w:pos="1260"/>
              </w:tabs>
              <w:spacing w:line="440" w:lineRule="exact"/>
              <w:rPr>
                <w:rFonts w:hint="eastAsia" w:ascii="宋体" w:hAnsi="宋体" w:eastAsia="宋体" w:cs="宋体"/>
                <w:bCs/>
                <w:sz w:val="24"/>
                <w:lang w:eastAsia="zh-CN"/>
              </w:rPr>
            </w:pPr>
            <w:r>
              <w:rPr>
                <w:rFonts w:hint="eastAsia" w:ascii="宋体" w:hAnsi="宋体" w:cs="宋体"/>
                <w:sz w:val="24"/>
              </w:rPr>
              <w:t>致：</w:t>
            </w:r>
            <w:r>
              <w:rPr>
                <w:rFonts w:hint="eastAsia" w:ascii="宋体" w:hAnsi="宋体" w:cs="宋体"/>
                <w:sz w:val="24"/>
                <w:lang w:eastAsia="zh-CN"/>
              </w:rPr>
              <w:t>陕西新招项目管理有限公司</w:t>
            </w:r>
          </w:p>
        </w:tc>
      </w:tr>
      <w:tr w14:paraId="0C37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restart"/>
            <w:noWrap w:val="0"/>
            <w:vAlign w:val="center"/>
          </w:tcPr>
          <w:p w14:paraId="1A32503A">
            <w:pPr>
              <w:tabs>
                <w:tab w:val="left" w:pos="1260"/>
              </w:tabs>
              <w:spacing w:line="440" w:lineRule="exact"/>
              <w:jc w:val="center"/>
              <w:rPr>
                <w:rFonts w:hint="eastAsia" w:ascii="宋体" w:hAnsi="宋体" w:cs="宋体"/>
                <w:sz w:val="24"/>
              </w:rPr>
            </w:pPr>
            <w:r>
              <w:rPr>
                <w:rFonts w:hint="eastAsia" w:ascii="宋体" w:hAnsi="宋体" w:cs="宋体"/>
                <w:sz w:val="24"/>
              </w:rPr>
              <w:t>企</w:t>
            </w:r>
          </w:p>
          <w:p w14:paraId="60230F45">
            <w:pPr>
              <w:tabs>
                <w:tab w:val="left" w:pos="1260"/>
              </w:tabs>
              <w:spacing w:line="440" w:lineRule="exact"/>
              <w:jc w:val="center"/>
              <w:rPr>
                <w:rFonts w:hint="eastAsia" w:ascii="宋体" w:hAnsi="宋体" w:cs="宋体"/>
                <w:sz w:val="24"/>
              </w:rPr>
            </w:pPr>
            <w:r>
              <w:rPr>
                <w:rFonts w:hint="eastAsia" w:ascii="宋体" w:hAnsi="宋体" w:cs="宋体"/>
                <w:sz w:val="24"/>
              </w:rPr>
              <w:t>业</w:t>
            </w:r>
          </w:p>
          <w:p w14:paraId="0D89B23D">
            <w:pPr>
              <w:tabs>
                <w:tab w:val="left" w:pos="1260"/>
              </w:tabs>
              <w:spacing w:line="440" w:lineRule="exact"/>
              <w:jc w:val="center"/>
              <w:rPr>
                <w:rFonts w:hint="eastAsia" w:ascii="宋体" w:hAnsi="宋体" w:cs="宋体"/>
                <w:sz w:val="24"/>
              </w:rPr>
            </w:pPr>
            <w:r>
              <w:rPr>
                <w:rFonts w:hint="eastAsia" w:ascii="宋体" w:hAnsi="宋体" w:cs="宋体"/>
                <w:sz w:val="24"/>
              </w:rPr>
              <w:t>法</w:t>
            </w:r>
          </w:p>
          <w:p w14:paraId="7A68026E">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11565769">
            <w:pPr>
              <w:tabs>
                <w:tab w:val="left" w:pos="1260"/>
              </w:tabs>
              <w:spacing w:line="440" w:lineRule="exact"/>
              <w:jc w:val="center"/>
              <w:rPr>
                <w:rFonts w:hint="eastAsia" w:ascii="宋体" w:hAnsi="宋体" w:cs="宋体"/>
                <w:sz w:val="24"/>
              </w:rPr>
            </w:pPr>
            <w:r>
              <w:rPr>
                <w:rFonts w:hint="eastAsia" w:ascii="宋体" w:hAnsi="宋体" w:cs="宋体"/>
                <w:sz w:val="24"/>
              </w:rPr>
              <w:t>企业名称</w:t>
            </w:r>
          </w:p>
        </w:tc>
        <w:tc>
          <w:tcPr>
            <w:tcW w:w="6140" w:type="dxa"/>
            <w:gridSpan w:val="3"/>
            <w:noWrap w:val="0"/>
            <w:vAlign w:val="top"/>
          </w:tcPr>
          <w:p w14:paraId="501D04CD">
            <w:pPr>
              <w:tabs>
                <w:tab w:val="left" w:pos="1260"/>
              </w:tabs>
              <w:spacing w:line="440" w:lineRule="exact"/>
              <w:rPr>
                <w:rFonts w:hint="eastAsia" w:ascii="宋体" w:hAnsi="宋体" w:cs="宋体"/>
                <w:bCs/>
                <w:sz w:val="24"/>
              </w:rPr>
            </w:pPr>
          </w:p>
        </w:tc>
      </w:tr>
      <w:tr w14:paraId="328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0" w:type="dxa"/>
            <w:vMerge w:val="continue"/>
            <w:noWrap w:val="0"/>
            <w:vAlign w:val="top"/>
          </w:tcPr>
          <w:p w14:paraId="0597DE47">
            <w:pPr>
              <w:rPr>
                <w:rFonts w:hint="eastAsia" w:ascii="宋体" w:hAnsi="宋体" w:cs="宋体"/>
                <w:sz w:val="24"/>
              </w:rPr>
            </w:pPr>
          </w:p>
        </w:tc>
        <w:tc>
          <w:tcPr>
            <w:tcW w:w="2240" w:type="dxa"/>
            <w:noWrap w:val="0"/>
            <w:vAlign w:val="center"/>
          </w:tcPr>
          <w:p w14:paraId="7458AB2A">
            <w:pPr>
              <w:tabs>
                <w:tab w:val="left" w:pos="1260"/>
              </w:tabs>
              <w:spacing w:line="440" w:lineRule="exact"/>
              <w:jc w:val="center"/>
              <w:rPr>
                <w:rFonts w:hint="eastAsia" w:ascii="宋体" w:hAnsi="宋体" w:cs="宋体"/>
                <w:sz w:val="24"/>
              </w:rPr>
            </w:pPr>
            <w:r>
              <w:rPr>
                <w:rFonts w:hint="eastAsia" w:ascii="宋体" w:hAnsi="宋体" w:cs="宋体"/>
                <w:sz w:val="24"/>
              </w:rPr>
              <w:t>法定地址</w:t>
            </w:r>
          </w:p>
        </w:tc>
        <w:tc>
          <w:tcPr>
            <w:tcW w:w="6140" w:type="dxa"/>
            <w:gridSpan w:val="3"/>
            <w:noWrap w:val="0"/>
            <w:vAlign w:val="top"/>
          </w:tcPr>
          <w:p w14:paraId="4E00A68A">
            <w:pPr>
              <w:tabs>
                <w:tab w:val="left" w:pos="1260"/>
              </w:tabs>
              <w:spacing w:line="440" w:lineRule="exact"/>
              <w:rPr>
                <w:rFonts w:hint="eastAsia" w:ascii="宋体" w:hAnsi="宋体" w:cs="宋体"/>
                <w:bCs/>
                <w:sz w:val="24"/>
              </w:rPr>
            </w:pPr>
          </w:p>
        </w:tc>
      </w:tr>
      <w:tr w14:paraId="77F8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18FDABB">
            <w:pPr>
              <w:rPr>
                <w:rFonts w:hint="eastAsia" w:ascii="宋体" w:hAnsi="宋体" w:cs="宋体"/>
                <w:sz w:val="24"/>
              </w:rPr>
            </w:pPr>
          </w:p>
        </w:tc>
        <w:tc>
          <w:tcPr>
            <w:tcW w:w="2240" w:type="dxa"/>
            <w:noWrap w:val="0"/>
            <w:vAlign w:val="center"/>
          </w:tcPr>
          <w:p w14:paraId="65CA8FE3">
            <w:pPr>
              <w:tabs>
                <w:tab w:val="left" w:pos="1260"/>
              </w:tabs>
              <w:spacing w:line="440" w:lineRule="exact"/>
              <w:jc w:val="center"/>
              <w:rPr>
                <w:rFonts w:hint="eastAsia" w:ascii="宋体" w:hAnsi="宋体" w:cs="宋体"/>
                <w:sz w:val="24"/>
              </w:rPr>
            </w:pPr>
            <w:r>
              <w:rPr>
                <w:rFonts w:hint="eastAsia" w:ascii="宋体" w:hAnsi="宋体" w:cs="宋体"/>
                <w:sz w:val="24"/>
              </w:rPr>
              <w:t>邮政编码</w:t>
            </w:r>
          </w:p>
        </w:tc>
        <w:tc>
          <w:tcPr>
            <w:tcW w:w="6140" w:type="dxa"/>
            <w:gridSpan w:val="3"/>
            <w:noWrap w:val="0"/>
            <w:vAlign w:val="top"/>
          </w:tcPr>
          <w:p w14:paraId="584BF966">
            <w:pPr>
              <w:tabs>
                <w:tab w:val="left" w:pos="1260"/>
              </w:tabs>
              <w:spacing w:line="440" w:lineRule="exact"/>
              <w:rPr>
                <w:rFonts w:hint="eastAsia" w:ascii="宋体" w:hAnsi="宋体" w:cs="宋体"/>
                <w:bCs/>
                <w:sz w:val="24"/>
              </w:rPr>
            </w:pPr>
          </w:p>
        </w:tc>
      </w:tr>
      <w:tr w14:paraId="17BC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8EA91E4">
            <w:pPr>
              <w:rPr>
                <w:rFonts w:hint="eastAsia" w:ascii="宋体" w:hAnsi="宋体" w:cs="宋体"/>
                <w:sz w:val="24"/>
              </w:rPr>
            </w:pPr>
          </w:p>
        </w:tc>
        <w:tc>
          <w:tcPr>
            <w:tcW w:w="2240" w:type="dxa"/>
            <w:noWrap w:val="0"/>
            <w:vAlign w:val="center"/>
          </w:tcPr>
          <w:p w14:paraId="7BD7ABE3">
            <w:pPr>
              <w:tabs>
                <w:tab w:val="left" w:pos="1260"/>
              </w:tabs>
              <w:spacing w:line="440" w:lineRule="exact"/>
              <w:jc w:val="center"/>
              <w:rPr>
                <w:rFonts w:hint="eastAsia" w:ascii="宋体" w:hAnsi="宋体" w:cs="宋体"/>
                <w:sz w:val="24"/>
              </w:rPr>
            </w:pPr>
            <w:r>
              <w:rPr>
                <w:rFonts w:hint="eastAsia" w:ascii="宋体" w:hAnsi="宋体" w:cs="宋体"/>
                <w:sz w:val="24"/>
              </w:rPr>
              <w:t>网    址</w:t>
            </w:r>
          </w:p>
        </w:tc>
        <w:tc>
          <w:tcPr>
            <w:tcW w:w="6140" w:type="dxa"/>
            <w:gridSpan w:val="3"/>
            <w:noWrap w:val="0"/>
            <w:vAlign w:val="top"/>
          </w:tcPr>
          <w:p w14:paraId="7DA3ED7F">
            <w:pPr>
              <w:tabs>
                <w:tab w:val="left" w:pos="1260"/>
              </w:tabs>
              <w:spacing w:line="440" w:lineRule="exact"/>
              <w:rPr>
                <w:rFonts w:hint="eastAsia" w:ascii="宋体" w:hAnsi="宋体" w:cs="宋体"/>
                <w:bCs/>
                <w:sz w:val="24"/>
              </w:rPr>
            </w:pPr>
          </w:p>
        </w:tc>
      </w:tr>
      <w:tr w14:paraId="18E3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AB8C5FC">
            <w:pPr>
              <w:rPr>
                <w:rFonts w:hint="eastAsia" w:ascii="宋体" w:hAnsi="宋体" w:cs="宋体"/>
                <w:sz w:val="24"/>
              </w:rPr>
            </w:pPr>
          </w:p>
        </w:tc>
        <w:tc>
          <w:tcPr>
            <w:tcW w:w="2240" w:type="dxa"/>
            <w:noWrap w:val="0"/>
            <w:vAlign w:val="top"/>
          </w:tcPr>
          <w:p w14:paraId="1E2D3AAB">
            <w:pPr>
              <w:tabs>
                <w:tab w:val="left" w:pos="1260"/>
              </w:tabs>
              <w:spacing w:line="440" w:lineRule="exact"/>
              <w:jc w:val="center"/>
              <w:rPr>
                <w:rFonts w:hint="eastAsia" w:ascii="宋体" w:hAnsi="宋体" w:cs="宋体"/>
                <w:bCs/>
                <w:sz w:val="24"/>
              </w:rPr>
            </w:pPr>
            <w:r>
              <w:rPr>
                <w:rFonts w:hint="eastAsia" w:ascii="宋体" w:hAnsi="宋体" w:cs="宋体"/>
                <w:sz w:val="24"/>
              </w:rPr>
              <w:t>工商登记机关</w:t>
            </w:r>
          </w:p>
        </w:tc>
        <w:tc>
          <w:tcPr>
            <w:tcW w:w="6140" w:type="dxa"/>
            <w:gridSpan w:val="3"/>
            <w:noWrap w:val="0"/>
            <w:vAlign w:val="top"/>
          </w:tcPr>
          <w:p w14:paraId="4C905601">
            <w:pPr>
              <w:tabs>
                <w:tab w:val="left" w:pos="1260"/>
              </w:tabs>
              <w:spacing w:line="440" w:lineRule="exact"/>
              <w:rPr>
                <w:rFonts w:hint="eastAsia" w:ascii="宋体" w:hAnsi="宋体" w:cs="宋体"/>
                <w:bCs/>
                <w:sz w:val="24"/>
              </w:rPr>
            </w:pPr>
          </w:p>
        </w:tc>
      </w:tr>
      <w:tr w14:paraId="33E5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0" w:type="dxa"/>
            <w:vMerge w:val="continue"/>
            <w:noWrap w:val="0"/>
            <w:vAlign w:val="top"/>
          </w:tcPr>
          <w:p w14:paraId="5ABA1774">
            <w:pPr>
              <w:rPr>
                <w:rFonts w:hint="eastAsia" w:ascii="宋体" w:hAnsi="宋体" w:cs="宋体"/>
                <w:sz w:val="24"/>
              </w:rPr>
            </w:pPr>
          </w:p>
        </w:tc>
        <w:tc>
          <w:tcPr>
            <w:tcW w:w="2240" w:type="dxa"/>
            <w:noWrap w:val="0"/>
            <w:vAlign w:val="center"/>
          </w:tcPr>
          <w:p w14:paraId="0F98E896">
            <w:pPr>
              <w:tabs>
                <w:tab w:val="left" w:pos="1260"/>
              </w:tabs>
              <w:spacing w:line="440" w:lineRule="exact"/>
              <w:jc w:val="center"/>
              <w:rPr>
                <w:rFonts w:hint="eastAsia" w:ascii="宋体" w:hAnsi="宋体" w:cs="宋体"/>
                <w:sz w:val="24"/>
              </w:rPr>
            </w:pPr>
            <w:r>
              <w:rPr>
                <w:rFonts w:hint="eastAsia" w:ascii="宋体" w:hAnsi="宋体" w:cs="宋体"/>
                <w:sz w:val="24"/>
              </w:rPr>
              <w:t>税务登记机关</w:t>
            </w:r>
          </w:p>
        </w:tc>
        <w:tc>
          <w:tcPr>
            <w:tcW w:w="6140" w:type="dxa"/>
            <w:gridSpan w:val="3"/>
            <w:noWrap w:val="0"/>
            <w:vAlign w:val="top"/>
          </w:tcPr>
          <w:p w14:paraId="7880A5BF">
            <w:pPr>
              <w:tabs>
                <w:tab w:val="left" w:pos="1260"/>
              </w:tabs>
              <w:spacing w:line="440" w:lineRule="exact"/>
              <w:rPr>
                <w:rFonts w:hint="eastAsia" w:ascii="宋体" w:hAnsi="宋体" w:cs="宋体"/>
                <w:sz w:val="24"/>
              </w:rPr>
            </w:pPr>
          </w:p>
        </w:tc>
      </w:tr>
      <w:tr w14:paraId="16CF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20" w:type="dxa"/>
            <w:vMerge w:val="continue"/>
            <w:noWrap w:val="0"/>
            <w:vAlign w:val="top"/>
          </w:tcPr>
          <w:p w14:paraId="07D12AB7">
            <w:pPr>
              <w:rPr>
                <w:rFonts w:hint="eastAsia" w:ascii="宋体" w:hAnsi="宋体" w:cs="宋体"/>
                <w:sz w:val="24"/>
              </w:rPr>
            </w:pPr>
          </w:p>
        </w:tc>
        <w:tc>
          <w:tcPr>
            <w:tcW w:w="2240" w:type="dxa"/>
            <w:noWrap w:val="0"/>
            <w:vAlign w:val="top"/>
          </w:tcPr>
          <w:p w14:paraId="36994D09">
            <w:pPr>
              <w:tabs>
                <w:tab w:val="left" w:pos="1260"/>
              </w:tabs>
              <w:spacing w:line="440" w:lineRule="exact"/>
              <w:rPr>
                <w:rFonts w:hint="eastAsia" w:ascii="宋体" w:hAnsi="宋体" w:cs="宋体"/>
                <w:bCs/>
                <w:sz w:val="24"/>
              </w:rPr>
            </w:pPr>
            <w:r>
              <w:rPr>
                <w:rFonts w:hint="eastAsia" w:ascii="宋体" w:hAnsi="宋体" w:cs="宋体"/>
                <w:sz w:val="24"/>
              </w:rPr>
              <w:t>机构代码证号（统一社会信用代码）</w:t>
            </w:r>
          </w:p>
        </w:tc>
        <w:tc>
          <w:tcPr>
            <w:tcW w:w="6140" w:type="dxa"/>
            <w:gridSpan w:val="3"/>
            <w:noWrap w:val="0"/>
            <w:vAlign w:val="top"/>
          </w:tcPr>
          <w:p w14:paraId="50B84D61">
            <w:pPr>
              <w:tabs>
                <w:tab w:val="left" w:pos="1260"/>
              </w:tabs>
              <w:spacing w:line="440" w:lineRule="exact"/>
              <w:rPr>
                <w:rFonts w:hint="eastAsia" w:ascii="宋体" w:hAnsi="宋体" w:cs="宋体"/>
                <w:bCs/>
                <w:sz w:val="24"/>
              </w:rPr>
            </w:pPr>
          </w:p>
        </w:tc>
      </w:tr>
      <w:tr w14:paraId="0FB8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20" w:type="dxa"/>
            <w:vMerge w:val="restart"/>
            <w:noWrap w:val="0"/>
            <w:vAlign w:val="center"/>
          </w:tcPr>
          <w:p w14:paraId="2739B7CF">
            <w:pPr>
              <w:tabs>
                <w:tab w:val="left" w:pos="1260"/>
              </w:tabs>
              <w:spacing w:line="440" w:lineRule="exact"/>
              <w:jc w:val="center"/>
              <w:rPr>
                <w:rFonts w:hint="eastAsia" w:ascii="宋体" w:hAnsi="宋体" w:cs="宋体"/>
                <w:sz w:val="24"/>
              </w:rPr>
            </w:pPr>
            <w:r>
              <w:rPr>
                <w:rFonts w:hint="eastAsia" w:ascii="宋体" w:hAnsi="宋体" w:cs="宋体"/>
                <w:sz w:val="24"/>
              </w:rPr>
              <w:t>法  定</w:t>
            </w:r>
          </w:p>
          <w:p w14:paraId="5914A23F">
            <w:pPr>
              <w:tabs>
                <w:tab w:val="left" w:pos="1260"/>
              </w:tabs>
              <w:spacing w:line="440" w:lineRule="exact"/>
              <w:jc w:val="center"/>
              <w:rPr>
                <w:rFonts w:hint="eastAsia" w:ascii="宋体" w:hAnsi="宋体" w:cs="宋体"/>
                <w:sz w:val="24"/>
              </w:rPr>
            </w:pPr>
            <w:r>
              <w:rPr>
                <w:rFonts w:hint="eastAsia" w:ascii="宋体" w:hAnsi="宋体" w:cs="宋体"/>
                <w:sz w:val="24"/>
              </w:rPr>
              <w:t>代</w:t>
            </w:r>
          </w:p>
          <w:p w14:paraId="2591EF39">
            <w:pPr>
              <w:tabs>
                <w:tab w:val="left" w:pos="1260"/>
              </w:tabs>
              <w:spacing w:line="440" w:lineRule="exact"/>
              <w:jc w:val="center"/>
              <w:rPr>
                <w:rFonts w:hint="eastAsia" w:ascii="宋体" w:hAnsi="宋体" w:cs="宋体"/>
                <w:sz w:val="24"/>
              </w:rPr>
            </w:pPr>
            <w:r>
              <w:rPr>
                <w:rFonts w:hint="eastAsia" w:ascii="宋体" w:hAnsi="宋体" w:cs="宋体"/>
                <w:sz w:val="24"/>
              </w:rPr>
              <w:t>表</w:t>
            </w:r>
          </w:p>
          <w:p w14:paraId="216F1BFD">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5FAD01FF">
            <w:pPr>
              <w:tabs>
                <w:tab w:val="left" w:pos="1260"/>
              </w:tabs>
              <w:spacing w:line="440" w:lineRule="exact"/>
              <w:jc w:val="center"/>
              <w:rPr>
                <w:rFonts w:hint="eastAsia" w:ascii="宋体" w:hAnsi="宋体" w:cs="宋体"/>
                <w:sz w:val="24"/>
              </w:rPr>
            </w:pPr>
            <w:r>
              <w:rPr>
                <w:rFonts w:hint="eastAsia" w:ascii="宋体" w:hAnsi="宋体" w:cs="宋体"/>
                <w:sz w:val="24"/>
              </w:rPr>
              <w:t>姓    名</w:t>
            </w:r>
          </w:p>
        </w:tc>
        <w:tc>
          <w:tcPr>
            <w:tcW w:w="2950" w:type="dxa"/>
            <w:noWrap w:val="0"/>
            <w:vAlign w:val="center"/>
          </w:tcPr>
          <w:p w14:paraId="1D4585BA">
            <w:pPr>
              <w:tabs>
                <w:tab w:val="left" w:pos="1260"/>
              </w:tabs>
              <w:spacing w:line="440" w:lineRule="exact"/>
              <w:rPr>
                <w:rFonts w:hint="eastAsia" w:ascii="宋体" w:hAnsi="宋体" w:cs="宋体"/>
                <w:sz w:val="24"/>
              </w:rPr>
            </w:pPr>
          </w:p>
        </w:tc>
        <w:tc>
          <w:tcPr>
            <w:tcW w:w="1039" w:type="dxa"/>
            <w:noWrap w:val="0"/>
            <w:vAlign w:val="center"/>
          </w:tcPr>
          <w:p w14:paraId="429EF485">
            <w:pPr>
              <w:tabs>
                <w:tab w:val="left" w:pos="1260"/>
              </w:tabs>
              <w:spacing w:line="440" w:lineRule="exact"/>
              <w:jc w:val="center"/>
              <w:rPr>
                <w:rFonts w:hint="eastAsia" w:ascii="宋体" w:hAnsi="宋体" w:cs="宋体"/>
                <w:sz w:val="24"/>
              </w:rPr>
            </w:pPr>
            <w:r>
              <w:rPr>
                <w:rFonts w:hint="eastAsia" w:ascii="宋体" w:hAnsi="宋体" w:cs="宋体"/>
                <w:sz w:val="24"/>
              </w:rPr>
              <w:t>性  别</w:t>
            </w:r>
          </w:p>
        </w:tc>
        <w:tc>
          <w:tcPr>
            <w:tcW w:w="2151" w:type="dxa"/>
            <w:noWrap w:val="0"/>
            <w:vAlign w:val="top"/>
          </w:tcPr>
          <w:p w14:paraId="2E38D28B">
            <w:pPr>
              <w:tabs>
                <w:tab w:val="left" w:pos="1260"/>
              </w:tabs>
              <w:spacing w:line="440" w:lineRule="exact"/>
              <w:rPr>
                <w:rFonts w:hint="eastAsia" w:ascii="宋体" w:hAnsi="宋体" w:cs="宋体"/>
                <w:sz w:val="24"/>
              </w:rPr>
            </w:pPr>
          </w:p>
        </w:tc>
      </w:tr>
      <w:tr w14:paraId="7CF8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0" w:type="dxa"/>
            <w:vMerge w:val="continue"/>
            <w:noWrap w:val="0"/>
            <w:vAlign w:val="top"/>
          </w:tcPr>
          <w:p w14:paraId="51E3E3D1">
            <w:pPr>
              <w:rPr>
                <w:rFonts w:hint="eastAsia" w:ascii="宋体" w:hAnsi="宋体" w:cs="宋体"/>
                <w:sz w:val="24"/>
              </w:rPr>
            </w:pPr>
          </w:p>
        </w:tc>
        <w:tc>
          <w:tcPr>
            <w:tcW w:w="2240" w:type="dxa"/>
            <w:noWrap w:val="0"/>
            <w:vAlign w:val="center"/>
          </w:tcPr>
          <w:p w14:paraId="13E17778">
            <w:pPr>
              <w:tabs>
                <w:tab w:val="left" w:pos="1260"/>
              </w:tabs>
              <w:spacing w:line="440" w:lineRule="exact"/>
              <w:jc w:val="center"/>
              <w:rPr>
                <w:rFonts w:hint="eastAsia" w:ascii="宋体" w:hAnsi="宋体" w:cs="宋体"/>
                <w:sz w:val="24"/>
              </w:rPr>
            </w:pPr>
            <w:r>
              <w:rPr>
                <w:rFonts w:hint="eastAsia" w:ascii="宋体" w:hAnsi="宋体" w:cs="宋体"/>
                <w:sz w:val="24"/>
              </w:rPr>
              <w:t>职    务</w:t>
            </w:r>
          </w:p>
        </w:tc>
        <w:tc>
          <w:tcPr>
            <w:tcW w:w="2950" w:type="dxa"/>
            <w:noWrap w:val="0"/>
            <w:vAlign w:val="top"/>
          </w:tcPr>
          <w:p w14:paraId="18F238DF">
            <w:pPr>
              <w:tabs>
                <w:tab w:val="left" w:pos="1260"/>
              </w:tabs>
              <w:spacing w:line="440" w:lineRule="exact"/>
              <w:rPr>
                <w:rFonts w:hint="eastAsia" w:ascii="宋体" w:hAnsi="宋体" w:cs="宋体"/>
                <w:sz w:val="24"/>
              </w:rPr>
            </w:pPr>
          </w:p>
        </w:tc>
        <w:tc>
          <w:tcPr>
            <w:tcW w:w="1039" w:type="dxa"/>
            <w:noWrap w:val="0"/>
            <w:vAlign w:val="center"/>
          </w:tcPr>
          <w:p w14:paraId="088D7B43">
            <w:pPr>
              <w:tabs>
                <w:tab w:val="left" w:pos="1260"/>
              </w:tabs>
              <w:spacing w:line="440" w:lineRule="exact"/>
              <w:jc w:val="center"/>
              <w:rPr>
                <w:rFonts w:hint="eastAsia" w:ascii="宋体" w:hAnsi="宋体" w:cs="宋体"/>
                <w:sz w:val="24"/>
              </w:rPr>
            </w:pPr>
            <w:r>
              <w:rPr>
                <w:rFonts w:hint="eastAsia" w:ascii="宋体" w:hAnsi="宋体" w:cs="宋体"/>
                <w:sz w:val="24"/>
              </w:rPr>
              <w:t>联系</w:t>
            </w:r>
          </w:p>
          <w:p w14:paraId="7631EE85">
            <w:pPr>
              <w:tabs>
                <w:tab w:val="left" w:pos="1260"/>
              </w:tabs>
              <w:spacing w:line="440" w:lineRule="exact"/>
              <w:jc w:val="center"/>
              <w:rPr>
                <w:rFonts w:hint="eastAsia" w:ascii="宋体" w:hAnsi="宋体" w:cs="宋体"/>
                <w:sz w:val="24"/>
              </w:rPr>
            </w:pPr>
            <w:r>
              <w:rPr>
                <w:rFonts w:hint="eastAsia" w:ascii="宋体" w:hAnsi="宋体" w:cs="宋体"/>
                <w:sz w:val="24"/>
              </w:rPr>
              <w:t>电话</w:t>
            </w:r>
          </w:p>
        </w:tc>
        <w:tc>
          <w:tcPr>
            <w:tcW w:w="2151" w:type="dxa"/>
            <w:noWrap w:val="0"/>
            <w:vAlign w:val="top"/>
          </w:tcPr>
          <w:p w14:paraId="5E88DE3D">
            <w:pPr>
              <w:tabs>
                <w:tab w:val="left" w:pos="1260"/>
              </w:tabs>
              <w:spacing w:line="440" w:lineRule="exact"/>
              <w:rPr>
                <w:rFonts w:hint="eastAsia" w:ascii="宋体" w:hAnsi="宋体" w:cs="宋体"/>
                <w:sz w:val="24"/>
              </w:rPr>
            </w:pPr>
          </w:p>
        </w:tc>
      </w:tr>
      <w:tr w14:paraId="3F27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0" w:type="dxa"/>
            <w:vMerge w:val="continue"/>
            <w:noWrap w:val="0"/>
            <w:vAlign w:val="top"/>
          </w:tcPr>
          <w:p w14:paraId="3996340A">
            <w:pPr>
              <w:rPr>
                <w:rFonts w:hint="eastAsia" w:ascii="宋体" w:hAnsi="宋体" w:cs="宋体"/>
                <w:sz w:val="24"/>
              </w:rPr>
            </w:pPr>
          </w:p>
        </w:tc>
        <w:tc>
          <w:tcPr>
            <w:tcW w:w="2240" w:type="dxa"/>
            <w:noWrap w:val="0"/>
            <w:vAlign w:val="center"/>
          </w:tcPr>
          <w:p w14:paraId="09969B3A">
            <w:pPr>
              <w:tabs>
                <w:tab w:val="left" w:pos="1260"/>
              </w:tabs>
              <w:spacing w:line="440" w:lineRule="exact"/>
              <w:jc w:val="center"/>
              <w:rPr>
                <w:rFonts w:hint="eastAsia" w:ascii="宋体" w:hAnsi="宋体" w:cs="宋体"/>
                <w:sz w:val="24"/>
              </w:rPr>
            </w:pPr>
            <w:r>
              <w:rPr>
                <w:rFonts w:hint="eastAsia" w:ascii="宋体" w:hAnsi="宋体" w:cs="宋体"/>
                <w:sz w:val="24"/>
              </w:rPr>
              <w:t>传    真</w:t>
            </w:r>
          </w:p>
        </w:tc>
        <w:tc>
          <w:tcPr>
            <w:tcW w:w="6140" w:type="dxa"/>
            <w:gridSpan w:val="3"/>
            <w:noWrap w:val="0"/>
            <w:vAlign w:val="top"/>
          </w:tcPr>
          <w:p w14:paraId="17635177">
            <w:pPr>
              <w:tabs>
                <w:tab w:val="left" w:pos="1260"/>
              </w:tabs>
              <w:spacing w:line="440" w:lineRule="exact"/>
              <w:rPr>
                <w:rFonts w:hint="eastAsia" w:ascii="宋体" w:hAnsi="宋体" w:cs="宋体"/>
                <w:sz w:val="24"/>
              </w:rPr>
            </w:pPr>
          </w:p>
        </w:tc>
      </w:tr>
      <w:tr w14:paraId="1C0D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820" w:type="dxa"/>
            <w:vMerge w:val="restart"/>
            <w:noWrap w:val="0"/>
            <w:vAlign w:val="center"/>
          </w:tcPr>
          <w:p w14:paraId="11977FC4">
            <w:pPr>
              <w:tabs>
                <w:tab w:val="left" w:pos="1260"/>
              </w:tabs>
              <w:spacing w:line="300" w:lineRule="exact"/>
              <w:jc w:val="center"/>
              <w:rPr>
                <w:rFonts w:hint="eastAsia" w:ascii="宋体" w:hAnsi="宋体" w:cs="宋体"/>
                <w:sz w:val="24"/>
              </w:rPr>
            </w:pPr>
            <w:r>
              <w:rPr>
                <w:rFonts w:hint="eastAsia" w:ascii="宋体" w:hAnsi="宋体" w:cs="宋体"/>
                <w:sz w:val="24"/>
              </w:rPr>
              <w:t>法定代表人身份证复印件</w:t>
            </w:r>
          </w:p>
        </w:tc>
        <w:tc>
          <w:tcPr>
            <w:tcW w:w="5190" w:type="dxa"/>
            <w:gridSpan w:val="2"/>
            <w:vMerge w:val="restart"/>
            <w:noWrap w:val="0"/>
            <w:vAlign w:val="center"/>
          </w:tcPr>
          <w:p w14:paraId="7BF79953">
            <w:pPr>
              <w:tabs>
                <w:tab w:val="left" w:pos="1260"/>
              </w:tabs>
              <w:jc w:val="center"/>
              <w:rPr>
                <w:rFonts w:hint="eastAsia" w:ascii="宋体" w:hAnsi="宋体" w:cs="宋体"/>
                <w:bCs/>
                <w:sz w:val="24"/>
              </w:rPr>
            </w:pPr>
            <w:r>
              <w:rPr>
                <w:rFonts w:hint="eastAsia" w:ascii="宋体" w:hAnsi="宋体" w:cs="宋体"/>
                <w:sz w:val="24"/>
              </w:rPr>
              <w:t>（正反面粘贴处）</w:t>
            </w:r>
          </w:p>
        </w:tc>
        <w:tc>
          <w:tcPr>
            <w:tcW w:w="3190" w:type="dxa"/>
            <w:gridSpan w:val="2"/>
            <w:noWrap w:val="0"/>
            <w:vAlign w:val="center"/>
          </w:tcPr>
          <w:p w14:paraId="367D850E">
            <w:pPr>
              <w:tabs>
                <w:tab w:val="left" w:pos="1260"/>
              </w:tabs>
              <w:spacing w:line="440" w:lineRule="exact"/>
              <w:jc w:val="center"/>
              <w:rPr>
                <w:rFonts w:hint="eastAsia" w:ascii="宋体" w:hAnsi="宋体" w:cs="宋体"/>
                <w:sz w:val="24"/>
              </w:rPr>
            </w:pPr>
            <w:r>
              <w:rPr>
                <w:rFonts w:hint="eastAsia" w:ascii="宋体" w:hAnsi="宋体" w:cs="宋体"/>
                <w:sz w:val="24"/>
              </w:rPr>
              <w:t>法定代表人签字或盖章</w:t>
            </w:r>
          </w:p>
        </w:tc>
      </w:tr>
      <w:tr w14:paraId="6A28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820" w:type="dxa"/>
            <w:vMerge w:val="continue"/>
            <w:noWrap w:val="0"/>
            <w:vAlign w:val="top"/>
          </w:tcPr>
          <w:p w14:paraId="0E95B8DB">
            <w:pPr>
              <w:rPr>
                <w:rFonts w:hint="eastAsia" w:ascii="宋体" w:hAnsi="宋体" w:cs="宋体"/>
                <w:sz w:val="24"/>
              </w:rPr>
            </w:pPr>
          </w:p>
        </w:tc>
        <w:tc>
          <w:tcPr>
            <w:tcW w:w="5190" w:type="dxa"/>
            <w:gridSpan w:val="2"/>
            <w:vMerge w:val="continue"/>
            <w:noWrap w:val="0"/>
            <w:vAlign w:val="top"/>
          </w:tcPr>
          <w:p w14:paraId="160EDF86">
            <w:pPr>
              <w:rPr>
                <w:rFonts w:hint="eastAsia" w:ascii="宋体" w:hAnsi="宋体" w:cs="宋体"/>
                <w:sz w:val="24"/>
              </w:rPr>
            </w:pPr>
          </w:p>
        </w:tc>
        <w:tc>
          <w:tcPr>
            <w:tcW w:w="3190" w:type="dxa"/>
            <w:gridSpan w:val="2"/>
            <w:noWrap w:val="0"/>
            <w:vAlign w:val="center"/>
          </w:tcPr>
          <w:p w14:paraId="5ADC3081">
            <w:pPr>
              <w:tabs>
                <w:tab w:val="left" w:pos="1260"/>
              </w:tabs>
              <w:spacing w:line="440" w:lineRule="exact"/>
              <w:ind w:firstLine="459"/>
              <w:jc w:val="center"/>
              <w:rPr>
                <w:rFonts w:hint="eastAsia" w:ascii="宋体" w:hAnsi="宋体" w:cs="宋体"/>
                <w:sz w:val="24"/>
              </w:rPr>
            </w:pPr>
          </w:p>
          <w:p w14:paraId="3D8B3A65">
            <w:pPr>
              <w:tabs>
                <w:tab w:val="left" w:pos="1260"/>
              </w:tabs>
              <w:spacing w:line="440" w:lineRule="exact"/>
              <w:jc w:val="center"/>
              <w:rPr>
                <w:rFonts w:hint="eastAsia" w:ascii="宋体" w:hAnsi="宋体" w:cs="宋体"/>
                <w:sz w:val="24"/>
              </w:rPr>
            </w:pPr>
            <w:r>
              <w:rPr>
                <w:rFonts w:hint="eastAsia" w:ascii="宋体" w:hAnsi="宋体" w:cs="宋体"/>
                <w:sz w:val="24"/>
              </w:rPr>
              <w:t>（企业公章）</w:t>
            </w:r>
          </w:p>
          <w:p w14:paraId="17F50251">
            <w:pPr>
              <w:tabs>
                <w:tab w:val="left" w:pos="1260"/>
              </w:tabs>
              <w:spacing w:line="440" w:lineRule="exact"/>
              <w:ind w:firstLine="459"/>
              <w:jc w:val="center"/>
              <w:rPr>
                <w:rFonts w:hint="eastAsia" w:ascii="宋体" w:hAnsi="宋体" w:cs="宋体"/>
                <w:sz w:val="24"/>
              </w:rPr>
            </w:pPr>
          </w:p>
          <w:p w14:paraId="25F8FF6D">
            <w:pPr>
              <w:tabs>
                <w:tab w:val="left" w:pos="1260"/>
              </w:tabs>
              <w:spacing w:line="440" w:lineRule="exact"/>
              <w:ind w:right="280" w:firstLine="459"/>
              <w:jc w:val="center"/>
              <w:rPr>
                <w:rFonts w:hint="eastAsia" w:ascii="宋体" w:hAnsi="宋体" w:cs="宋体"/>
                <w:sz w:val="24"/>
              </w:rPr>
            </w:pPr>
            <w:r>
              <w:rPr>
                <w:rFonts w:hint="eastAsia" w:ascii="宋体" w:hAnsi="宋体" w:cs="宋体"/>
                <w:sz w:val="24"/>
              </w:rPr>
              <w:t>年   月   日</w:t>
            </w:r>
          </w:p>
        </w:tc>
      </w:tr>
    </w:tbl>
    <w:p w14:paraId="5136E1E2">
      <w:pPr>
        <w:jc w:val="center"/>
        <w:rPr>
          <w:rFonts w:hint="eastAsia" w:ascii="宋体" w:hAnsi="宋体" w:cs="宋体"/>
          <w:b/>
          <w:bCs/>
          <w:sz w:val="28"/>
          <w:szCs w:val="36"/>
        </w:rPr>
      </w:pPr>
      <w:r>
        <w:rPr>
          <w:rFonts w:hint="eastAsia" w:ascii="宋体" w:hAnsi="宋体" w:cs="宋体"/>
          <w:b/>
          <w:bCs/>
          <w:sz w:val="28"/>
          <w:szCs w:val="36"/>
        </w:rPr>
        <w:t>法定代表人身份证明书</w:t>
      </w:r>
    </w:p>
    <w:p w14:paraId="26B22F24">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br w:type="page"/>
      </w:r>
      <w:r>
        <w:rPr>
          <w:rFonts w:hint="eastAsia" w:ascii="宋体" w:hAnsi="宋体" w:cs="宋体"/>
          <w:b/>
          <w:color w:val="000000"/>
          <w:sz w:val="24"/>
        </w:rPr>
        <w:t>附件</w:t>
      </w:r>
      <w:r>
        <w:rPr>
          <w:rFonts w:hint="eastAsia" w:ascii="宋体" w:hAnsi="宋体" w:cs="宋体"/>
          <w:b/>
          <w:color w:val="000000"/>
          <w:sz w:val="24"/>
          <w:lang w:val="en-US" w:eastAsia="zh-CN"/>
        </w:rPr>
        <w:t>2</w:t>
      </w:r>
    </w:p>
    <w:p w14:paraId="73F6EE06">
      <w:pPr>
        <w:widowControl/>
        <w:spacing w:line="360" w:lineRule="auto"/>
        <w:jc w:val="center"/>
        <w:rPr>
          <w:rFonts w:ascii="宋体" w:hAnsi="宋体" w:cs="宋体"/>
          <w:b/>
          <w:color w:val="000000"/>
          <w:sz w:val="28"/>
          <w:szCs w:val="28"/>
        </w:rPr>
      </w:pPr>
      <w:r>
        <w:rPr>
          <w:rFonts w:ascii="宋体" w:hAnsi="宋体" w:cs="宋体"/>
          <w:b/>
          <w:color w:val="000000"/>
          <w:sz w:val="28"/>
          <w:szCs w:val="28"/>
        </w:rPr>
        <w:t>法定代表人授权委托书</w:t>
      </w:r>
    </w:p>
    <w:tbl>
      <w:tblPr>
        <w:tblStyle w:val="35"/>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1244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61B68937">
            <w:pPr>
              <w:tabs>
                <w:tab w:val="left" w:pos="1260"/>
              </w:tabs>
              <w:spacing w:line="360" w:lineRule="auto"/>
              <w:ind w:firstLine="134" w:firstLineChars="56"/>
              <w:rPr>
                <w:rFonts w:hint="eastAsia" w:ascii="宋体" w:hAnsi="宋体" w:eastAsia="宋体" w:cs="宋体"/>
                <w:sz w:val="24"/>
                <w:szCs w:val="24"/>
                <w:lang w:eastAsia="zh-CN"/>
              </w:rPr>
            </w:pPr>
            <w:r>
              <w:rPr>
                <w:rFonts w:ascii="宋体" w:hAnsi="宋体" w:cs="宋体"/>
                <w:sz w:val="24"/>
                <w:szCs w:val="24"/>
              </w:rPr>
              <w:t>致：</w:t>
            </w:r>
            <w:r>
              <w:rPr>
                <w:rFonts w:hint="eastAsia" w:ascii="宋体" w:hAnsi="宋体" w:cs="宋体"/>
                <w:sz w:val="24"/>
                <w:szCs w:val="24"/>
                <w:lang w:eastAsia="zh-CN"/>
              </w:rPr>
              <w:t>陕西新招项目管理有限公司</w:t>
            </w:r>
          </w:p>
        </w:tc>
      </w:tr>
      <w:tr w14:paraId="32A8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3384FE27">
            <w:pPr>
              <w:tabs>
                <w:tab w:val="left" w:pos="1260"/>
              </w:tabs>
              <w:spacing w:line="360" w:lineRule="auto"/>
              <w:rPr>
                <w:rFonts w:ascii="宋体" w:hAnsi="宋体" w:cs="宋体"/>
                <w:sz w:val="24"/>
                <w:szCs w:val="24"/>
              </w:rPr>
            </w:pPr>
            <w:r>
              <w:rPr>
                <w:rFonts w:ascii="宋体" w:hAnsi="宋体" w:cs="宋体"/>
                <w:sz w:val="24"/>
                <w:szCs w:val="24"/>
              </w:rPr>
              <w:t>被授权人</w:t>
            </w:r>
          </w:p>
        </w:tc>
        <w:tc>
          <w:tcPr>
            <w:tcW w:w="2155" w:type="dxa"/>
            <w:gridSpan w:val="2"/>
            <w:noWrap w:val="0"/>
            <w:vAlign w:val="center"/>
          </w:tcPr>
          <w:p w14:paraId="5E2A6712">
            <w:pPr>
              <w:tabs>
                <w:tab w:val="left" w:pos="1260"/>
              </w:tabs>
              <w:spacing w:line="360" w:lineRule="auto"/>
              <w:rPr>
                <w:rFonts w:ascii="宋体" w:hAnsi="宋体" w:cs="宋体"/>
                <w:sz w:val="24"/>
                <w:szCs w:val="24"/>
              </w:rPr>
            </w:pPr>
            <w:r>
              <w:rPr>
                <w:rFonts w:ascii="宋体" w:hAnsi="宋体" w:cs="宋体"/>
                <w:sz w:val="24"/>
                <w:szCs w:val="24"/>
              </w:rPr>
              <w:t>姓    名</w:t>
            </w:r>
          </w:p>
        </w:tc>
        <w:tc>
          <w:tcPr>
            <w:tcW w:w="1960" w:type="dxa"/>
            <w:gridSpan w:val="2"/>
            <w:noWrap w:val="0"/>
            <w:vAlign w:val="top"/>
          </w:tcPr>
          <w:p w14:paraId="724A8A77">
            <w:pPr>
              <w:tabs>
                <w:tab w:val="left" w:pos="1260"/>
              </w:tabs>
              <w:spacing w:line="360" w:lineRule="auto"/>
              <w:rPr>
                <w:rFonts w:ascii="宋体" w:hAnsi="宋体" w:cs="宋体"/>
                <w:sz w:val="24"/>
                <w:szCs w:val="24"/>
              </w:rPr>
            </w:pPr>
          </w:p>
        </w:tc>
        <w:tc>
          <w:tcPr>
            <w:tcW w:w="2156" w:type="dxa"/>
            <w:noWrap w:val="0"/>
            <w:vAlign w:val="top"/>
          </w:tcPr>
          <w:p w14:paraId="52D80F53">
            <w:pPr>
              <w:tabs>
                <w:tab w:val="left" w:pos="1260"/>
              </w:tabs>
              <w:spacing w:line="360" w:lineRule="auto"/>
              <w:rPr>
                <w:rFonts w:ascii="宋体" w:hAnsi="宋体" w:cs="宋体"/>
                <w:sz w:val="24"/>
                <w:szCs w:val="24"/>
              </w:rPr>
            </w:pPr>
            <w:r>
              <w:rPr>
                <w:rFonts w:ascii="宋体" w:hAnsi="宋体" w:cs="宋体"/>
                <w:sz w:val="24"/>
                <w:szCs w:val="24"/>
              </w:rPr>
              <w:t>性    别</w:t>
            </w:r>
          </w:p>
        </w:tc>
        <w:tc>
          <w:tcPr>
            <w:tcW w:w="2370" w:type="dxa"/>
            <w:noWrap w:val="0"/>
            <w:vAlign w:val="top"/>
          </w:tcPr>
          <w:p w14:paraId="42AFBE80">
            <w:pPr>
              <w:tabs>
                <w:tab w:val="left" w:pos="1260"/>
              </w:tabs>
              <w:spacing w:line="360" w:lineRule="auto"/>
              <w:rPr>
                <w:rFonts w:ascii="宋体" w:hAnsi="宋体" w:cs="宋体"/>
                <w:sz w:val="24"/>
                <w:szCs w:val="24"/>
              </w:rPr>
            </w:pPr>
          </w:p>
        </w:tc>
      </w:tr>
      <w:tr w14:paraId="485E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09912181">
            <w:pPr>
              <w:tabs>
                <w:tab w:val="left" w:pos="1260"/>
              </w:tabs>
              <w:spacing w:line="360" w:lineRule="auto"/>
              <w:rPr>
                <w:rFonts w:ascii="宋体" w:hAnsi="宋体" w:cs="宋体"/>
                <w:sz w:val="24"/>
                <w:szCs w:val="24"/>
              </w:rPr>
            </w:pPr>
          </w:p>
        </w:tc>
        <w:tc>
          <w:tcPr>
            <w:tcW w:w="2155" w:type="dxa"/>
            <w:gridSpan w:val="2"/>
            <w:noWrap w:val="0"/>
            <w:vAlign w:val="center"/>
          </w:tcPr>
          <w:p w14:paraId="231D5C28">
            <w:pPr>
              <w:tabs>
                <w:tab w:val="left" w:pos="1260"/>
              </w:tabs>
              <w:spacing w:line="360" w:lineRule="auto"/>
              <w:rPr>
                <w:rFonts w:ascii="宋体" w:hAnsi="宋体" w:cs="宋体"/>
                <w:sz w:val="24"/>
                <w:szCs w:val="24"/>
              </w:rPr>
            </w:pPr>
            <w:r>
              <w:rPr>
                <w:rFonts w:ascii="宋体" w:hAnsi="宋体" w:cs="宋体"/>
                <w:sz w:val="24"/>
                <w:szCs w:val="24"/>
              </w:rPr>
              <w:t>职    务</w:t>
            </w:r>
          </w:p>
        </w:tc>
        <w:tc>
          <w:tcPr>
            <w:tcW w:w="1960" w:type="dxa"/>
            <w:gridSpan w:val="2"/>
            <w:noWrap w:val="0"/>
            <w:vAlign w:val="top"/>
          </w:tcPr>
          <w:p w14:paraId="684A70C6">
            <w:pPr>
              <w:tabs>
                <w:tab w:val="left" w:pos="1260"/>
              </w:tabs>
              <w:spacing w:line="360" w:lineRule="auto"/>
              <w:rPr>
                <w:rFonts w:ascii="宋体" w:hAnsi="宋体" w:cs="宋体"/>
                <w:sz w:val="24"/>
                <w:szCs w:val="24"/>
              </w:rPr>
            </w:pPr>
          </w:p>
        </w:tc>
        <w:tc>
          <w:tcPr>
            <w:tcW w:w="2156" w:type="dxa"/>
            <w:noWrap w:val="0"/>
            <w:vAlign w:val="top"/>
          </w:tcPr>
          <w:p w14:paraId="398BED5D">
            <w:pPr>
              <w:tabs>
                <w:tab w:val="left" w:pos="1260"/>
              </w:tabs>
              <w:spacing w:line="360" w:lineRule="auto"/>
              <w:rPr>
                <w:rFonts w:ascii="宋体" w:hAnsi="宋体" w:cs="宋体"/>
                <w:sz w:val="24"/>
                <w:szCs w:val="24"/>
              </w:rPr>
            </w:pPr>
            <w:r>
              <w:rPr>
                <w:rFonts w:ascii="宋体" w:hAnsi="宋体" w:cs="宋体"/>
                <w:sz w:val="24"/>
                <w:szCs w:val="24"/>
              </w:rPr>
              <w:t>手机号码</w:t>
            </w:r>
          </w:p>
        </w:tc>
        <w:tc>
          <w:tcPr>
            <w:tcW w:w="2370" w:type="dxa"/>
            <w:noWrap w:val="0"/>
            <w:vAlign w:val="top"/>
          </w:tcPr>
          <w:p w14:paraId="29F037B2">
            <w:pPr>
              <w:tabs>
                <w:tab w:val="left" w:pos="1260"/>
              </w:tabs>
              <w:spacing w:line="360" w:lineRule="auto"/>
              <w:rPr>
                <w:rFonts w:ascii="宋体" w:hAnsi="宋体" w:cs="宋体"/>
                <w:sz w:val="24"/>
                <w:szCs w:val="24"/>
              </w:rPr>
            </w:pPr>
          </w:p>
        </w:tc>
      </w:tr>
      <w:tr w14:paraId="5FCB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59835">
            <w:pPr>
              <w:tabs>
                <w:tab w:val="left" w:pos="1260"/>
              </w:tabs>
              <w:spacing w:line="360" w:lineRule="auto"/>
              <w:rPr>
                <w:rFonts w:ascii="宋体" w:hAnsi="宋体" w:cs="宋体"/>
                <w:sz w:val="24"/>
                <w:szCs w:val="24"/>
              </w:rPr>
            </w:pPr>
          </w:p>
        </w:tc>
        <w:tc>
          <w:tcPr>
            <w:tcW w:w="2155" w:type="dxa"/>
            <w:gridSpan w:val="2"/>
            <w:noWrap w:val="0"/>
            <w:vAlign w:val="center"/>
          </w:tcPr>
          <w:p w14:paraId="66B442C3">
            <w:pPr>
              <w:tabs>
                <w:tab w:val="left" w:pos="1260"/>
              </w:tabs>
              <w:spacing w:line="360" w:lineRule="auto"/>
              <w:rPr>
                <w:rFonts w:ascii="宋体" w:hAnsi="宋体" w:cs="宋体"/>
                <w:sz w:val="24"/>
                <w:szCs w:val="24"/>
              </w:rPr>
            </w:pPr>
            <w:r>
              <w:rPr>
                <w:rFonts w:ascii="宋体" w:hAnsi="宋体" w:cs="宋体"/>
                <w:sz w:val="24"/>
                <w:szCs w:val="24"/>
              </w:rPr>
              <w:t>联系电话</w:t>
            </w:r>
          </w:p>
        </w:tc>
        <w:tc>
          <w:tcPr>
            <w:tcW w:w="1960" w:type="dxa"/>
            <w:gridSpan w:val="2"/>
            <w:noWrap w:val="0"/>
            <w:vAlign w:val="top"/>
          </w:tcPr>
          <w:p w14:paraId="6D130AE7">
            <w:pPr>
              <w:tabs>
                <w:tab w:val="left" w:pos="1260"/>
              </w:tabs>
              <w:spacing w:line="360" w:lineRule="auto"/>
              <w:rPr>
                <w:rFonts w:ascii="宋体" w:hAnsi="宋体" w:cs="宋体"/>
                <w:sz w:val="24"/>
                <w:szCs w:val="24"/>
              </w:rPr>
            </w:pPr>
          </w:p>
        </w:tc>
        <w:tc>
          <w:tcPr>
            <w:tcW w:w="2156" w:type="dxa"/>
            <w:noWrap w:val="0"/>
            <w:vAlign w:val="top"/>
          </w:tcPr>
          <w:p w14:paraId="4C63E2BC">
            <w:pPr>
              <w:tabs>
                <w:tab w:val="left" w:pos="1260"/>
              </w:tabs>
              <w:spacing w:line="360" w:lineRule="auto"/>
              <w:rPr>
                <w:rFonts w:ascii="宋体" w:hAnsi="宋体" w:cs="宋体"/>
                <w:sz w:val="24"/>
                <w:szCs w:val="24"/>
              </w:rPr>
            </w:pPr>
            <w:r>
              <w:rPr>
                <w:rFonts w:ascii="宋体" w:hAnsi="宋体" w:cs="宋体"/>
                <w:sz w:val="24"/>
                <w:szCs w:val="24"/>
              </w:rPr>
              <w:t>图文传真</w:t>
            </w:r>
          </w:p>
        </w:tc>
        <w:tc>
          <w:tcPr>
            <w:tcW w:w="2370" w:type="dxa"/>
            <w:noWrap w:val="0"/>
            <w:vAlign w:val="top"/>
          </w:tcPr>
          <w:p w14:paraId="191314F7">
            <w:pPr>
              <w:tabs>
                <w:tab w:val="left" w:pos="1260"/>
              </w:tabs>
              <w:spacing w:line="360" w:lineRule="auto"/>
              <w:rPr>
                <w:rFonts w:ascii="宋体" w:hAnsi="宋体" w:cs="宋体"/>
                <w:sz w:val="24"/>
                <w:szCs w:val="24"/>
              </w:rPr>
            </w:pPr>
          </w:p>
        </w:tc>
      </w:tr>
      <w:tr w14:paraId="02B9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66872A5">
            <w:pPr>
              <w:tabs>
                <w:tab w:val="left" w:pos="1260"/>
              </w:tabs>
              <w:spacing w:line="360" w:lineRule="auto"/>
              <w:rPr>
                <w:rFonts w:ascii="宋体" w:hAnsi="宋体" w:cs="宋体"/>
                <w:sz w:val="24"/>
                <w:szCs w:val="24"/>
              </w:rPr>
            </w:pPr>
          </w:p>
        </w:tc>
        <w:tc>
          <w:tcPr>
            <w:tcW w:w="2155" w:type="dxa"/>
            <w:gridSpan w:val="2"/>
            <w:noWrap w:val="0"/>
            <w:vAlign w:val="center"/>
          </w:tcPr>
          <w:p w14:paraId="64443E3F">
            <w:pPr>
              <w:tabs>
                <w:tab w:val="left" w:pos="1260"/>
              </w:tabs>
              <w:spacing w:line="360" w:lineRule="auto"/>
              <w:rPr>
                <w:rFonts w:ascii="宋体" w:hAnsi="宋体" w:cs="宋体"/>
                <w:sz w:val="24"/>
                <w:szCs w:val="24"/>
              </w:rPr>
            </w:pPr>
            <w:r>
              <w:rPr>
                <w:rFonts w:ascii="宋体" w:hAnsi="宋体" w:cs="宋体"/>
                <w:sz w:val="24"/>
                <w:szCs w:val="24"/>
              </w:rPr>
              <w:t>通讯地址</w:t>
            </w:r>
          </w:p>
        </w:tc>
        <w:tc>
          <w:tcPr>
            <w:tcW w:w="6486" w:type="dxa"/>
            <w:gridSpan w:val="4"/>
            <w:noWrap w:val="0"/>
            <w:vAlign w:val="top"/>
          </w:tcPr>
          <w:p w14:paraId="4614A118">
            <w:pPr>
              <w:tabs>
                <w:tab w:val="left" w:pos="1260"/>
              </w:tabs>
              <w:spacing w:line="360" w:lineRule="auto"/>
              <w:rPr>
                <w:rFonts w:ascii="宋体" w:hAnsi="宋体" w:cs="宋体"/>
                <w:sz w:val="24"/>
                <w:szCs w:val="24"/>
              </w:rPr>
            </w:pPr>
          </w:p>
        </w:tc>
      </w:tr>
      <w:tr w14:paraId="10C1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BCABE">
            <w:pPr>
              <w:tabs>
                <w:tab w:val="left" w:pos="1260"/>
              </w:tabs>
              <w:spacing w:line="360" w:lineRule="auto"/>
              <w:rPr>
                <w:rFonts w:ascii="宋体" w:hAnsi="宋体" w:cs="宋体"/>
                <w:sz w:val="24"/>
                <w:szCs w:val="24"/>
              </w:rPr>
            </w:pPr>
          </w:p>
        </w:tc>
        <w:tc>
          <w:tcPr>
            <w:tcW w:w="2155" w:type="dxa"/>
            <w:gridSpan w:val="2"/>
            <w:noWrap w:val="0"/>
            <w:vAlign w:val="center"/>
          </w:tcPr>
          <w:p w14:paraId="296277B1">
            <w:pPr>
              <w:tabs>
                <w:tab w:val="left" w:pos="1260"/>
              </w:tabs>
              <w:spacing w:line="360" w:lineRule="auto"/>
              <w:rPr>
                <w:rFonts w:ascii="宋体" w:hAnsi="宋体" w:cs="宋体"/>
                <w:sz w:val="24"/>
                <w:szCs w:val="24"/>
              </w:rPr>
            </w:pPr>
            <w:r>
              <w:rPr>
                <w:rFonts w:ascii="宋体" w:hAnsi="宋体" w:cs="宋体"/>
                <w:sz w:val="24"/>
                <w:szCs w:val="24"/>
              </w:rPr>
              <w:t>网    址</w:t>
            </w:r>
          </w:p>
        </w:tc>
        <w:tc>
          <w:tcPr>
            <w:tcW w:w="6486" w:type="dxa"/>
            <w:gridSpan w:val="4"/>
            <w:noWrap w:val="0"/>
            <w:vAlign w:val="top"/>
          </w:tcPr>
          <w:p w14:paraId="51385E0A">
            <w:pPr>
              <w:tabs>
                <w:tab w:val="left" w:pos="1260"/>
              </w:tabs>
              <w:spacing w:line="360" w:lineRule="auto"/>
              <w:rPr>
                <w:rFonts w:ascii="宋体" w:hAnsi="宋体" w:cs="宋体"/>
                <w:sz w:val="24"/>
                <w:szCs w:val="24"/>
              </w:rPr>
            </w:pPr>
          </w:p>
        </w:tc>
      </w:tr>
      <w:tr w14:paraId="31AD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0BAE52A7">
            <w:pPr>
              <w:tabs>
                <w:tab w:val="left" w:pos="1260"/>
              </w:tabs>
              <w:spacing w:line="360" w:lineRule="auto"/>
              <w:rPr>
                <w:rFonts w:ascii="宋体" w:hAnsi="宋体" w:cs="宋体"/>
                <w:sz w:val="24"/>
                <w:szCs w:val="24"/>
              </w:rPr>
            </w:pPr>
            <w:r>
              <w:rPr>
                <w:rFonts w:ascii="宋体" w:hAnsi="宋体" w:cs="宋体"/>
                <w:sz w:val="24"/>
                <w:szCs w:val="24"/>
              </w:rPr>
              <w:t>被授权项目与内容</w:t>
            </w:r>
          </w:p>
        </w:tc>
        <w:tc>
          <w:tcPr>
            <w:tcW w:w="2145" w:type="dxa"/>
            <w:noWrap w:val="0"/>
            <w:vAlign w:val="center"/>
          </w:tcPr>
          <w:p w14:paraId="56DF173C">
            <w:pPr>
              <w:tabs>
                <w:tab w:val="left" w:pos="1260"/>
              </w:tabs>
              <w:spacing w:line="360" w:lineRule="auto"/>
              <w:rPr>
                <w:rFonts w:ascii="宋体" w:hAnsi="宋体" w:cs="宋体"/>
                <w:sz w:val="24"/>
                <w:szCs w:val="24"/>
              </w:rPr>
            </w:pPr>
            <w:r>
              <w:rPr>
                <w:rFonts w:ascii="宋体" w:hAnsi="宋体" w:cs="宋体"/>
                <w:sz w:val="24"/>
                <w:szCs w:val="24"/>
              </w:rPr>
              <w:t>项目名称</w:t>
            </w:r>
          </w:p>
        </w:tc>
        <w:tc>
          <w:tcPr>
            <w:tcW w:w="6496" w:type="dxa"/>
            <w:gridSpan w:val="5"/>
            <w:noWrap w:val="0"/>
            <w:vAlign w:val="top"/>
          </w:tcPr>
          <w:p w14:paraId="46FBC393">
            <w:pPr>
              <w:tabs>
                <w:tab w:val="left" w:pos="1260"/>
              </w:tabs>
              <w:spacing w:line="360" w:lineRule="auto"/>
              <w:rPr>
                <w:rFonts w:ascii="宋体" w:hAnsi="宋体" w:cs="宋体"/>
                <w:sz w:val="24"/>
                <w:szCs w:val="24"/>
              </w:rPr>
            </w:pPr>
          </w:p>
        </w:tc>
      </w:tr>
      <w:tr w14:paraId="5FB3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1758A9A">
            <w:pPr>
              <w:tabs>
                <w:tab w:val="left" w:pos="1260"/>
              </w:tabs>
              <w:spacing w:line="360" w:lineRule="auto"/>
              <w:rPr>
                <w:rFonts w:ascii="宋体" w:hAnsi="宋体" w:cs="宋体"/>
                <w:sz w:val="24"/>
                <w:szCs w:val="24"/>
              </w:rPr>
            </w:pPr>
          </w:p>
        </w:tc>
        <w:tc>
          <w:tcPr>
            <w:tcW w:w="2145" w:type="dxa"/>
            <w:noWrap w:val="0"/>
            <w:vAlign w:val="center"/>
          </w:tcPr>
          <w:p w14:paraId="79183D4A">
            <w:pPr>
              <w:tabs>
                <w:tab w:val="left" w:pos="1260"/>
              </w:tabs>
              <w:spacing w:line="360" w:lineRule="auto"/>
              <w:rPr>
                <w:rFonts w:ascii="宋体" w:hAnsi="宋体" w:cs="宋体"/>
                <w:sz w:val="24"/>
                <w:szCs w:val="24"/>
              </w:rPr>
            </w:pPr>
            <w:r>
              <w:rPr>
                <w:rFonts w:ascii="宋体" w:hAnsi="宋体" w:cs="宋体"/>
                <w:sz w:val="24"/>
                <w:szCs w:val="24"/>
              </w:rPr>
              <w:t>文件编号</w:t>
            </w:r>
          </w:p>
        </w:tc>
        <w:tc>
          <w:tcPr>
            <w:tcW w:w="6496" w:type="dxa"/>
            <w:gridSpan w:val="5"/>
            <w:noWrap w:val="0"/>
            <w:vAlign w:val="top"/>
          </w:tcPr>
          <w:p w14:paraId="5A3E2AF6">
            <w:pPr>
              <w:tabs>
                <w:tab w:val="left" w:pos="1260"/>
              </w:tabs>
              <w:spacing w:line="360" w:lineRule="auto"/>
              <w:rPr>
                <w:rFonts w:ascii="宋体" w:hAnsi="宋体" w:cs="宋体"/>
                <w:sz w:val="24"/>
                <w:szCs w:val="24"/>
              </w:rPr>
            </w:pPr>
          </w:p>
        </w:tc>
      </w:tr>
      <w:tr w14:paraId="2CD8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20FE57E9">
            <w:pPr>
              <w:tabs>
                <w:tab w:val="left" w:pos="1260"/>
              </w:tabs>
              <w:spacing w:line="360" w:lineRule="auto"/>
              <w:rPr>
                <w:rFonts w:ascii="宋体" w:hAnsi="宋体" w:cs="宋体"/>
                <w:sz w:val="24"/>
                <w:szCs w:val="24"/>
              </w:rPr>
            </w:pPr>
          </w:p>
        </w:tc>
        <w:tc>
          <w:tcPr>
            <w:tcW w:w="2145" w:type="dxa"/>
            <w:noWrap w:val="0"/>
            <w:vAlign w:val="center"/>
          </w:tcPr>
          <w:p w14:paraId="02EDDD35">
            <w:pPr>
              <w:tabs>
                <w:tab w:val="left" w:pos="1260"/>
              </w:tabs>
              <w:spacing w:line="360" w:lineRule="auto"/>
              <w:rPr>
                <w:rFonts w:ascii="宋体" w:hAnsi="宋体" w:cs="宋体"/>
                <w:sz w:val="24"/>
                <w:szCs w:val="24"/>
              </w:rPr>
            </w:pPr>
            <w:r>
              <w:rPr>
                <w:rFonts w:ascii="宋体" w:hAnsi="宋体" w:cs="宋体"/>
                <w:sz w:val="24"/>
                <w:szCs w:val="24"/>
              </w:rPr>
              <w:t>授权范围</w:t>
            </w:r>
          </w:p>
        </w:tc>
        <w:tc>
          <w:tcPr>
            <w:tcW w:w="6496" w:type="dxa"/>
            <w:gridSpan w:val="5"/>
            <w:noWrap w:val="0"/>
            <w:vAlign w:val="center"/>
          </w:tcPr>
          <w:p w14:paraId="0E9173C5">
            <w:pPr>
              <w:tabs>
                <w:tab w:val="left" w:pos="1260"/>
              </w:tabs>
              <w:spacing w:line="360" w:lineRule="auto"/>
              <w:rPr>
                <w:rFonts w:ascii="宋体" w:hAnsi="宋体" w:cs="宋体"/>
                <w:sz w:val="24"/>
                <w:szCs w:val="24"/>
              </w:rPr>
            </w:pPr>
            <w:r>
              <w:rPr>
                <w:rFonts w:ascii="宋体" w:hAnsi="宋体" w:cs="宋体"/>
                <w:sz w:val="24"/>
                <w:szCs w:val="24"/>
              </w:rPr>
              <w:t>全权办理本采购项目的</w:t>
            </w:r>
            <w:r>
              <w:rPr>
                <w:rFonts w:hint="eastAsia" w:ascii="宋体" w:hAnsi="宋体" w:cs="宋体"/>
                <w:sz w:val="24"/>
                <w:szCs w:val="24"/>
                <w:lang w:val="en-US" w:eastAsia="zh-CN"/>
              </w:rPr>
              <w:t>投标</w:t>
            </w:r>
            <w:r>
              <w:rPr>
                <w:rFonts w:ascii="宋体" w:hAnsi="宋体" w:cs="宋体"/>
                <w:sz w:val="24"/>
                <w:szCs w:val="24"/>
              </w:rPr>
              <w:t>、联系、洽谈、签约、执行等具体事务，签署全部有关的文件、文书、协议及合同。</w:t>
            </w:r>
          </w:p>
        </w:tc>
      </w:tr>
      <w:tr w14:paraId="0B37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0706536F">
            <w:pPr>
              <w:tabs>
                <w:tab w:val="left" w:pos="1260"/>
              </w:tabs>
              <w:spacing w:line="360" w:lineRule="auto"/>
              <w:rPr>
                <w:rFonts w:ascii="宋体" w:hAnsi="宋体" w:cs="宋体"/>
                <w:sz w:val="24"/>
                <w:szCs w:val="24"/>
              </w:rPr>
            </w:pPr>
          </w:p>
        </w:tc>
        <w:tc>
          <w:tcPr>
            <w:tcW w:w="2145" w:type="dxa"/>
            <w:noWrap w:val="0"/>
            <w:vAlign w:val="center"/>
          </w:tcPr>
          <w:p w14:paraId="6F9A75CB">
            <w:pPr>
              <w:tabs>
                <w:tab w:val="left" w:pos="1260"/>
              </w:tabs>
              <w:spacing w:line="360" w:lineRule="auto"/>
              <w:rPr>
                <w:rFonts w:ascii="宋体" w:hAnsi="宋体" w:cs="宋体"/>
                <w:sz w:val="24"/>
                <w:szCs w:val="24"/>
              </w:rPr>
            </w:pPr>
            <w:r>
              <w:rPr>
                <w:rFonts w:ascii="宋体" w:hAnsi="宋体" w:cs="宋体"/>
                <w:sz w:val="24"/>
                <w:szCs w:val="24"/>
              </w:rPr>
              <w:t>法律责任</w:t>
            </w:r>
          </w:p>
        </w:tc>
        <w:tc>
          <w:tcPr>
            <w:tcW w:w="6496" w:type="dxa"/>
            <w:gridSpan w:val="5"/>
            <w:noWrap w:val="0"/>
            <w:vAlign w:val="center"/>
          </w:tcPr>
          <w:p w14:paraId="34E6AE1D">
            <w:pPr>
              <w:tabs>
                <w:tab w:val="left" w:pos="1260"/>
              </w:tabs>
              <w:spacing w:line="360" w:lineRule="auto"/>
              <w:rPr>
                <w:rFonts w:ascii="宋体" w:hAnsi="宋体" w:cs="宋体"/>
                <w:spacing w:val="-10"/>
                <w:sz w:val="24"/>
                <w:szCs w:val="24"/>
              </w:rPr>
            </w:pPr>
            <w:r>
              <w:rPr>
                <w:rFonts w:ascii="宋体" w:hAnsi="宋体" w:cs="宋体"/>
                <w:spacing w:val="-10"/>
                <w:sz w:val="24"/>
                <w:szCs w:val="24"/>
              </w:rPr>
              <w:t>本公司对被授权人在本项目中的签名承担全部法律责任。</w:t>
            </w:r>
          </w:p>
        </w:tc>
      </w:tr>
      <w:tr w14:paraId="4D6D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3D2E7D9D">
            <w:pPr>
              <w:tabs>
                <w:tab w:val="left" w:pos="1260"/>
              </w:tabs>
              <w:spacing w:line="360" w:lineRule="auto"/>
              <w:rPr>
                <w:rFonts w:ascii="宋体" w:hAnsi="宋体" w:cs="宋体"/>
                <w:sz w:val="24"/>
                <w:szCs w:val="24"/>
              </w:rPr>
            </w:pPr>
          </w:p>
        </w:tc>
        <w:tc>
          <w:tcPr>
            <w:tcW w:w="2145" w:type="dxa"/>
            <w:noWrap w:val="0"/>
            <w:vAlign w:val="center"/>
          </w:tcPr>
          <w:p w14:paraId="182311FF">
            <w:pPr>
              <w:tabs>
                <w:tab w:val="left" w:pos="1260"/>
              </w:tabs>
              <w:spacing w:line="360" w:lineRule="auto"/>
              <w:rPr>
                <w:rFonts w:ascii="宋体" w:hAnsi="宋体" w:cs="宋体"/>
                <w:sz w:val="24"/>
                <w:szCs w:val="24"/>
              </w:rPr>
            </w:pPr>
            <w:r>
              <w:rPr>
                <w:rFonts w:ascii="宋体" w:hAnsi="宋体" w:cs="宋体"/>
                <w:sz w:val="24"/>
                <w:szCs w:val="24"/>
              </w:rPr>
              <w:t>授权期限</w:t>
            </w:r>
          </w:p>
        </w:tc>
        <w:tc>
          <w:tcPr>
            <w:tcW w:w="6496" w:type="dxa"/>
            <w:gridSpan w:val="5"/>
            <w:noWrap w:val="0"/>
            <w:vAlign w:val="center"/>
          </w:tcPr>
          <w:p w14:paraId="1AC54FC0">
            <w:pPr>
              <w:tabs>
                <w:tab w:val="left" w:pos="1260"/>
              </w:tabs>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自本委托书签署之日起至投标有效期期满</w:t>
            </w:r>
          </w:p>
        </w:tc>
      </w:tr>
      <w:tr w14:paraId="4B2D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623" w:type="dxa"/>
            <w:gridSpan w:val="4"/>
            <w:noWrap w:val="0"/>
            <w:vAlign w:val="center"/>
          </w:tcPr>
          <w:p w14:paraId="06DC5A23">
            <w:pPr>
              <w:tabs>
                <w:tab w:val="left" w:pos="1260"/>
              </w:tabs>
              <w:spacing w:line="360" w:lineRule="auto"/>
              <w:jc w:val="center"/>
              <w:rPr>
                <w:rFonts w:ascii="宋体" w:hAnsi="宋体" w:cs="宋体"/>
                <w:sz w:val="24"/>
                <w:szCs w:val="24"/>
              </w:rPr>
            </w:pPr>
            <w:r>
              <w:rPr>
                <w:rFonts w:hint="eastAsia" w:ascii="宋体" w:hAnsi="宋体" w:cs="宋体"/>
                <w:sz w:val="24"/>
                <w:szCs w:val="24"/>
                <w:lang w:val="en-US" w:eastAsia="zh-CN"/>
              </w:rPr>
              <w:t>法定代表人</w:t>
            </w:r>
            <w:r>
              <w:rPr>
                <w:rFonts w:ascii="宋体" w:hAnsi="宋体" w:cs="宋体"/>
                <w:sz w:val="24"/>
                <w:szCs w:val="24"/>
              </w:rPr>
              <w:t>身份证复印件</w:t>
            </w:r>
          </w:p>
          <w:p w14:paraId="48C8E5BC">
            <w:pPr>
              <w:tabs>
                <w:tab w:val="left" w:pos="126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（正反面粘贴处）</w:t>
            </w:r>
          </w:p>
        </w:tc>
        <w:tc>
          <w:tcPr>
            <w:tcW w:w="4837" w:type="dxa"/>
            <w:gridSpan w:val="3"/>
            <w:noWrap w:val="0"/>
            <w:vAlign w:val="center"/>
          </w:tcPr>
          <w:p w14:paraId="5A0256F2">
            <w:pPr>
              <w:tabs>
                <w:tab w:val="left" w:pos="1260"/>
              </w:tabs>
              <w:spacing w:line="360" w:lineRule="auto"/>
              <w:jc w:val="center"/>
              <w:rPr>
                <w:rFonts w:ascii="宋体" w:hAnsi="宋体" w:cs="宋体"/>
                <w:sz w:val="24"/>
                <w:szCs w:val="24"/>
              </w:rPr>
            </w:pPr>
            <w:r>
              <w:rPr>
                <w:rFonts w:ascii="宋体" w:hAnsi="宋体" w:cs="宋体"/>
                <w:sz w:val="24"/>
                <w:szCs w:val="24"/>
              </w:rPr>
              <w:t>被授权人身份证复印件</w:t>
            </w:r>
          </w:p>
          <w:p w14:paraId="4BA398CC">
            <w:pPr>
              <w:tabs>
                <w:tab w:val="left" w:pos="1260"/>
              </w:tabs>
              <w:spacing w:line="360" w:lineRule="auto"/>
              <w:jc w:val="center"/>
              <w:rPr>
                <w:rFonts w:ascii="宋体" w:hAnsi="宋体" w:cs="宋体"/>
                <w:sz w:val="24"/>
                <w:szCs w:val="24"/>
              </w:rPr>
            </w:pPr>
            <w:r>
              <w:rPr>
                <w:rFonts w:hint="eastAsia" w:ascii="宋体" w:hAnsi="宋体" w:cs="宋体"/>
                <w:sz w:val="24"/>
                <w:szCs w:val="24"/>
              </w:rPr>
              <w:t>（正反面粘贴处）</w:t>
            </w:r>
          </w:p>
        </w:tc>
      </w:tr>
      <w:tr w14:paraId="2154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623" w:type="dxa"/>
            <w:gridSpan w:val="4"/>
            <w:noWrap w:val="0"/>
            <w:vAlign w:val="center"/>
          </w:tcPr>
          <w:p w14:paraId="557E01DC">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法定代表人签字或盖章</w:t>
            </w:r>
            <w:r>
              <w:rPr>
                <w:rFonts w:hint="eastAsia" w:ascii="宋体" w:hAnsi="宋体" w:cs="宋体"/>
                <w:sz w:val="24"/>
                <w:lang w:eastAsia="zh-CN"/>
              </w:rPr>
              <w:t>：</w:t>
            </w:r>
          </w:p>
        </w:tc>
        <w:tc>
          <w:tcPr>
            <w:tcW w:w="4837" w:type="dxa"/>
            <w:gridSpan w:val="3"/>
            <w:noWrap w:val="0"/>
            <w:vAlign w:val="center"/>
          </w:tcPr>
          <w:p w14:paraId="17B8C9C1">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被授权人签字或盖章</w:t>
            </w:r>
            <w:r>
              <w:rPr>
                <w:rFonts w:hint="eastAsia" w:ascii="宋体" w:hAnsi="宋体" w:cs="宋体"/>
                <w:sz w:val="24"/>
                <w:lang w:eastAsia="zh-CN"/>
              </w:rPr>
              <w:t>：</w:t>
            </w:r>
          </w:p>
        </w:tc>
      </w:tr>
      <w:tr w14:paraId="5A94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60" w:type="dxa"/>
            <w:gridSpan w:val="7"/>
            <w:noWrap w:val="0"/>
            <w:vAlign w:val="center"/>
          </w:tcPr>
          <w:p w14:paraId="05FA0B13">
            <w:pPr>
              <w:spacing w:line="360" w:lineRule="auto"/>
              <w:rPr>
                <w:rFonts w:hint="default" w:ascii="宋体" w:hAnsi="宋体" w:cs="宋体"/>
                <w:sz w:val="24"/>
                <w:lang w:val="en-US"/>
              </w:rPr>
            </w:pPr>
            <w:r>
              <w:rPr>
                <w:rFonts w:hint="eastAsia" w:ascii="宋体" w:hAnsi="宋体" w:cs="宋体"/>
                <w:b w:val="0"/>
                <w:bCs/>
                <w:color w:val="000000"/>
                <w:sz w:val="24"/>
                <w:szCs w:val="24"/>
              </w:rPr>
              <w:t>投标人：</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u w:val="single"/>
                <w:lang w:val="en-US" w:eastAsia="zh-CN"/>
              </w:rPr>
              <w:t xml:space="preserve">   </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rPr>
              <w:t>（盖章）</w:t>
            </w:r>
            <w:r>
              <w:rPr>
                <w:rFonts w:hint="eastAsia" w:ascii="宋体" w:hAnsi="宋体" w:cs="宋体"/>
                <w:b w:val="0"/>
                <w:bCs/>
                <w:color w:val="000000"/>
                <w:sz w:val="24"/>
                <w:szCs w:val="24"/>
                <w:lang w:val="en-US" w:eastAsia="zh-CN"/>
              </w:rPr>
              <w:t xml:space="preserve">                     </w:t>
            </w:r>
            <w:r>
              <w:rPr>
                <w:rFonts w:hint="eastAsia" w:ascii="宋体" w:hAnsi="宋体" w:cs="宋体"/>
                <w:b w:val="0"/>
                <w:bCs/>
                <w:color w:val="000000"/>
                <w:sz w:val="24"/>
                <w:szCs w:val="24"/>
              </w:rPr>
              <w:t>日期：  年  月  日</w:t>
            </w:r>
          </w:p>
        </w:tc>
      </w:tr>
    </w:tbl>
    <w:p w14:paraId="7CB3E544">
      <w:pPr>
        <w:spacing w:line="360" w:lineRule="auto"/>
        <w:jc w:val="left"/>
        <w:rPr>
          <w:rFonts w:hint="eastAsia" w:ascii="宋体" w:hAnsi="宋体" w:cs="宋体"/>
          <w:b/>
          <w:color w:val="000000"/>
          <w:sz w:val="24"/>
          <w:szCs w:val="22"/>
        </w:rPr>
      </w:pPr>
    </w:p>
    <w:p w14:paraId="05BAFFD6">
      <w:pPr>
        <w:spacing w:line="360" w:lineRule="auto"/>
        <w:jc w:val="left"/>
        <w:rPr>
          <w:rFonts w:hint="eastAsia" w:ascii="宋体" w:hAnsi="宋体" w:eastAsia="宋体" w:cs="宋体"/>
          <w:b/>
          <w:color w:val="000000"/>
          <w:sz w:val="24"/>
          <w:szCs w:val="22"/>
          <w:lang w:eastAsia="zh-CN"/>
        </w:rPr>
      </w:pPr>
      <w:r>
        <w:rPr>
          <w:rFonts w:hint="eastAsia" w:ascii="宋体" w:hAnsi="宋体" w:cs="宋体"/>
          <w:b/>
          <w:color w:val="000000"/>
          <w:sz w:val="24"/>
          <w:szCs w:val="22"/>
        </w:rPr>
        <w:t>附件</w:t>
      </w:r>
      <w:r>
        <w:rPr>
          <w:rFonts w:hint="eastAsia" w:ascii="宋体" w:hAnsi="宋体" w:cs="宋体"/>
          <w:b/>
          <w:color w:val="000000"/>
          <w:sz w:val="24"/>
          <w:szCs w:val="22"/>
          <w:lang w:val="en-US" w:eastAsia="zh-CN"/>
        </w:rPr>
        <w:t>3</w:t>
      </w:r>
    </w:p>
    <w:p w14:paraId="6FE99623">
      <w:pPr>
        <w:pStyle w:val="33"/>
        <w:spacing w:line="360" w:lineRule="auto"/>
        <w:ind w:firstLine="440"/>
        <w:rPr>
          <w:rFonts w:hint="eastAsia" w:ascii="宋体" w:hAnsi="宋体" w:cs="宋体"/>
          <w:sz w:val="44"/>
          <w:szCs w:val="44"/>
        </w:rPr>
      </w:pPr>
    </w:p>
    <w:p w14:paraId="57A86A16">
      <w:pPr>
        <w:pStyle w:val="33"/>
        <w:spacing w:line="360" w:lineRule="auto"/>
        <w:ind w:firstLine="442"/>
        <w:jc w:val="center"/>
        <w:rPr>
          <w:rFonts w:hint="eastAsia" w:ascii="宋体" w:hAnsi="宋体" w:cs="宋体"/>
          <w:b/>
          <w:color w:val="000000"/>
          <w:sz w:val="28"/>
          <w:szCs w:val="28"/>
        </w:rPr>
      </w:pPr>
      <w:r>
        <w:rPr>
          <w:rFonts w:hint="eastAsia" w:ascii="宋体" w:hAnsi="宋体" w:cs="宋体"/>
          <w:b/>
          <w:color w:val="000000"/>
          <w:sz w:val="28"/>
          <w:szCs w:val="28"/>
        </w:rPr>
        <w:t>《中华人民共和国政府采购法》第二十二条的书面承诺函</w:t>
      </w:r>
    </w:p>
    <w:p w14:paraId="71BDBAD6">
      <w:pPr>
        <w:pStyle w:val="33"/>
        <w:spacing w:line="360" w:lineRule="auto"/>
        <w:ind w:firstLine="240"/>
        <w:rPr>
          <w:rFonts w:hint="eastAsia" w:ascii="仿宋" w:hAnsi="仿宋" w:eastAsia="仿宋" w:cs="仿宋"/>
          <w:sz w:val="24"/>
          <w:szCs w:val="24"/>
        </w:rPr>
      </w:pPr>
    </w:p>
    <w:p w14:paraId="32BB288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67C4E310">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我单位作为参加</w:t>
      </w:r>
      <w:r>
        <w:rPr>
          <w:rFonts w:hint="eastAsia" w:ascii="宋体" w:hAnsi="宋体" w:cs="宋体"/>
          <w:sz w:val="24"/>
          <w:szCs w:val="24"/>
          <w:u w:val="single"/>
        </w:rPr>
        <w:t xml:space="preserve">               </w:t>
      </w:r>
      <w:r>
        <w:rPr>
          <w:rFonts w:hint="eastAsia" w:ascii="宋体" w:hAnsi="宋体" w:cs="宋体"/>
          <w:sz w:val="24"/>
          <w:szCs w:val="24"/>
        </w:rPr>
        <w:t>采购项目的</w:t>
      </w:r>
      <w:r>
        <w:rPr>
          <w:rFonts w:hint="eastAsia" w:cs="宋体"/>
          <w:sz w:val="24"/>
          <w:szCs w:val="24"/>
        </w:rPr>
        <w:t>投标</w:t>
      </w:r>
      <w:r>
        <w:rPr>
          <w:rFonts w:hint="eastAsia" w:ascii="宋体" w:hAnsi="宋体" w:cs="宋体"/>
          <w:sz w:val="24"/>
          <w:szCs w:val="24"/>
        </w:rPr>
        <w:t xml:space="preserve">单位，现郑重承诺我单位具备《中华人民共和国政府采购法》第二十二条供应商参加政府采购活动的基本资格条件： </w:t>
      </w:r>
    </w:p>
    <w:p w14:paraId="5175A6DF">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（一）我单位具有独立承担民事责任的能力； </w:t>
      </w:r>
    </w:p>
    <w:p w14:paraId="0B3A0904">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（二）我单位具有良好的商业信誉和健全的财务会计制度；</w:t>
      </w:r>
    </w:p>
    <w:p w14:paraId="6060DE41">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（三）我单位具有履行合同所必需的设备和专业技术能力； </w:t>
      </w:r>
    </w:p>
    <w:p w14:paraId="0C1E3E99">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（四）我单位有依法缴纳税收和社会保障资金的良好记录； </w:t>
      </w:r>
    </w:p>
    <w:p w14:paraId="119E7ECA">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（五）我单位参加政府采购活动前三年内，在经营活动中没有重大违法记录； </w:t>
      </w:r>
    </w:p>
    <w:p w14:paraId="6B571CE7">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（六）我单位满足法律、行政法规规定的其他条件。</w:t>
      </w:r>
    </w:p>
    <w:p w14:paraId="2A07B21B">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rPr>
      </w:pPr>
    </w:p>
    <w:p w14:paraId="6129F43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p>
    <w:p w14:paraId="05A5FDF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（盖章）  </w:t>
      </w:r>
    </w:p>
    <w:p w14:paraId="4E49B49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（签字或法人印鉴）</w:t>
      </w:r>
    </w:p>
    <w:p w14:paraId="580A72E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  </w:t>
      </w:r>
    </w:p>
    <w:p w14:paraId="26423D70">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    期：  年  月  日</w:t>
      </w:r>
    </w:p>
    <w:p w14:paraId="7CB1B44E">
      <w:pPr>
        <w:spacing w:line="360" w:lineRule="auto"/>
        <w:ind w:firstLine="562" w:firstLineChars="200"/>
        <w:rPr>
          <w:rFonts w:hint="eastAsia" w:ascii="宋体" w:hAnsi="宋体" w:cs="宋体"/>
          <w:b/>
          <w:color w:val="000000"/>
          <w:sz w:val="28"/>
          <w:szCs w:val="28"/>
        </w:rPr>
      </w:pPr>
    </w:p>
    <w:p w14:paraId="6DA513F8">
      <w:pPr>
        <w:spacing w:line="360" w:lineRule="auto"/>
        <w:jc w:val="left"/>
        <w:rPr>
          <w:rFonts w:hint="eastAsia" w:ascii="宋体" w:hAnsi="宋体" w:cs="宋体"/>
          <w:b/>
          <w:color w:val="000000"/>
          <w:sz w:val="24"/>
        </w:rPr>
      </w:pPr>
    </w:p>
    <w:p w14:paraId="18E0B6D3">
      <w:pPr>
        <w:spacing w:line="360" w:lineRule="auto"/>
        <w:jc w:val="left"/>
        <w:rPr>
          <w:rFonts w:hint="eastAsia" w:ascii="宋体" w:hAnsi="宋体" w:cs="宋体"/>
          <w:b/>
          <w:color w:val="000000"/>
          <w:sz w:val="24"/>
        </w:rPr>
      </w:pPr>
    </w:p>
    <w:p w14:paraId="3983652C">
      <w:pPr>
        <w:spacing w:line="360" w:lineRule="auto"/>
        <w:jc w:val="left"/>
        <w:rPr>
          <w:rFonts w:hint="eastAsia" w:ascii="宋体" w:hAnsi="宋体" w:cs="宋体"/>
          <w:b/>
          <w:color w:val="000000"/>
          <w:sz w:val="24"/>
        </w:rPr>
      </w:pPr>
    </w:p>
    <w:p w14:paraId="6659E1A6">
      <w:pPr>
        <w:spacing w:line="360" w:lineRule="auto"/>
        <w:jc w:val="left"/>
        <w:rPr>
          <w:rFonts w:hint="eastAsia" w:ascii="宋体" w:hAnsi="宋体" w:cs="宋体"/>
          <w:b/>
          <w:color w:val="000000"/>
          <w:sz w:val="24"/>
        </w:rPr>
      </w:pPr>
    </w:p>
    <w:p w14:paraId="4154AC19">
      <w:pPr>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4</w:t>
      </w:r>
    </w:p>
    <w:p w14:paraId="195E0E08">
      <w:pPr>
        <w:spacing w:line="360" w:lineRule="auto"/>
        <w:jc w:val="center"/>
        <w:rPr>
          <w:rFonts w:hint="eastAsia" w:ascii="宋体" w:hAnsi="宋体" w:cs="宋体"/>
          <w:b/>
          <w:color w:val="000000"/>
          <w:sz w:val="44"/>
          <w:szCs w:val="44"/>
        </w:rPr>
      </w:pPr>
    </w:p>
    <w:p w14:paraId="0977CE2C">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参加本项目活动前3年内在经营活动中</w:t>
      </w:r>
      <w:r>
        <w:rPr>
          <w:rFonts w:hint="eastAsia" w:ascii="宋体" w:hAnsi="宋体" w:cs="宋体"/>
          <w:b/>
          <w:color w:val="000000"/>
          <w:sz w:val="28"/>
          <w:szCs w:val="28"/>
          <w:lang w:eastAsia="zh-CN"/>
        </w:rPr>
        <w:t>没有</w:t>
      </w:r>
      <w:r>
        <w:rPr>
          <w:rFonts w:hint="eastAsia" w:ascii="宋体" w:hAnsi="宋体" w:cs="宋体"/>
          <w:b/>
          <w:color w:val="000000"/>
          <w:sz w:val="28"/>
          <w:szCs w:val="28"/>
        </w:rPr>
        <w:t>重大违法记录的书面声明</w:t>
      </w:r>
    </w:p>
    <w:p w14:paraId="281F2743">
      <w:pPr>
        <w:spacing w:line="360" w:lineRule="auto"/>
        <w:jc w:val="center"/>
        <w:rPr>
          <w:rFonts w:hint="eastAsia" w:ascii="宋体" w:hAnsi="宋体" w:cs="宋体"/>
          <w:b/>
          <w:color w:val="000000"/>
          <w:sz w:val="44"/>
          <w:szCs w:val="44"/>
        </w:rPr>
      </w:pPr>
    </w:p>
    <w:p w14:paraId="50BC874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3A8A16D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我单位</w:t>
      </w:r>
      <w:r>
        <w:rPr>
          <w:rFonts w:hint="eastAsia" w:ascii="宋体" w:hAnsi="宋体" w:cs="宋体"/>
          <w:color w:val="000000"/>
          <w:sz w:val="24"/>
          <w:szCs w:val="24"/>
          <w:u w:val="single"/>
        </w:rPr>
        <w:t>（投标人名称）</w:t>
      </w:r>
      <w:r>
        <w:rPr>
          <w:rFonts w:hint="eastAsia" w:ascii="宋体" w:hAnsi="宋体" w:cs="宋体"/>
          <w:color w:val="000000"/>
          <w:sz w:val="24"/>
          <w:szCs w:val="24"/>
        </w:rPr>
        <w:t>参加本项目活动前3年内，在经营活动中</w:t>
      </w:r>
      <w:r>
        <w:rPr>
          <w:rFonts w:hint="eastAsia" w:ascii="宋体" w:hAnsi="宋体" w:cs="宋体"/>
          <w:color w:val="000000"/>
          <w:sz w:val="24"/>
          <w:szCs w:val="24"/>
          <w:lang w:eastAsia="zh-CN"/>
        </w:rPr>
        <w:t>没有</w:t>
      </w:r>
      <w:r>
        <w:rPr>
          <w:rFonts w:hint="eastAsia" w:ascii="宋体" w:hAnsi="宋体" w:cs="宋体"/>
          <w:color w:val="000000"/>
          <w:sz w:val="24"/>
          <w:szCs w:val="24"/>
        </w:rPr>
        <w:t>重大违法记录，特此声明。</w:t>
      </w:r>
    </w:p>
    <w:p w14:paraId="30E6D8F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若采购人在本项目招标采购过程中发现我单位参加本项目活动前3年内，在经营活动中存在重大违法记录，我单位将无条件地退出本项目的招标、投标活动，并承担因此引起的一切后果。</w:t>
      </w:r>
    </w:p>
    <w:p w14:paraId="53E27DC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CC5806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3C09CFE">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115F2832">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2ECDEA8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5EB9B83D">
      <w:pPr>
        <w:keepNext w:val="0"/>
        <w:keepLines w:val="0"/>
        <w:pageBreakBefore w:val="0"/>
        <w:widowControl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日期：  年  月  日</w:t>
      </w:r>
    </w:p>
    <w:p w14:paraId="16BA3B8C">
      <w:pPr>
        <w:spacing w:line="360" w:lineRule="auto"/>
        <w:jc w:val="left"/>
        <w:rPr>
          <w:rFonts w:hint="eastAsia" w:ascii="宋体" w:hAnsi="宋体" w:cs="宋体"/>
          <w:color w:val="000000"/>
          <w:sz w:val="24"/>
        </w:rPr>
      </w:pPr>
    </w:p>
    <w:p w14:paraId="494A05A0">
      <w:pPr>
        <w:spacing w:line="360" w:lineRule="auto"/>
        <w:jc w:val="left"/>
        <w:rPr>
          <w:rFonts w:hint="eastAsia" w:ascii="宋体" w:hAnsi="宋体" w:cs="宋体"/>
          <w:color w:val="000000"/>
          <w:sz w:val="24"/>
        </w:rPr>
      </w:pPr>
    </w:p>
    <w:p w14:paraId="4C37B9DF">
      <w:pPr>
        <w:spacing w:line="360" w:lineRule="auto"/>
        <w:jc w:val="left"/>
        <w:rPr>
          <w:rFonts w:hint="eastAsia" w:ascii="宋体" w:hAnsi="宋体" w:cs="宋体"/>
          <w:color w:val="000000"/>
          <w:sz w:val="24"/>
        </w:rPr>
      </w:pPr>
    </w:p>
    <w:p w14:paraId="63E3CF4A">
      <w:pPr>
        <w:spacing w:line="360" w:lineRule="auto"/>
        <w:jc w:val="left"/>
        <w:rPr>
          <w:rFonts w:hint="eastAsia" w:ascii="宋体" w:hAnsi="宋体" w:cs="宋体"/>
          <w:color w:val="000000"/>
          <w:sz w:val="24"/>
        </w:rPr>
      </w:pPr>
    </w:p>
    <w:p w14:paraId="008953AA">
      <w:pPr>
        <w:spacing w:line="360" w:lineRule="auto"/>
        <w:jc w:val="left"/>
        <w:rPr>
          <w:rFonts w:hint="eastAsia" w:ascii="宋体" w:hAnsi="宋体" w:cs="宋体"/>
          <w:color w:val="000000"/>
          <w:sz w:val="24"/>
        </w:rPr>
      </w:pPr>
    </w:p>
    <w:p w14:paraId="0FEB602B">
      <w:pPr>
        <w:spacing w:line="360" w:lineRule="auto"/>
        <w:jc w:val="left"/>
        <w:rPr>
          <w:rFonts w:hint="eastAsia" w:ascii="宋体" w:hAnsi="宋体" w:cs="宋体"/>
          <w:color w:val="000000"/>
          <w:sz w:val="24"/>
        </w:rPr>
      </w:pPr>
    </w:p>
    <w:p w14:paraId="7F58DE5A">
      <w:pPr>
        <w:spacing w:line="360" w:lineRule="auto"/>
        <w:jc w:val="left"/>
        <w:rPr>
          <w:rFonts w:hint="eastAsia" w:ascii="宋体" w:hAnsi="宋体" w:cs="宋体"/>
          <w:color w:val="000000"/>
          <w:sz w:val="24"/>
        </w:rPr>
      </w:pPr>
    </w:p>
    <w:p w14:paraId="5BE3B896">
      <w:pPr>
        <w:spacing w:line="360" w:lineRule="auto"/>
        <w:jc w:val="left"/>
        <w:rPr>
          <w:rFonts w:hint="eastAsia" w:ascii="宋体" w:hAnsi="宋体" w:cs="宋体"/>
          <w:b/>
          <w:color w:val="000000"/>
          <w:sz w:val="24"/>
        </w:rPr>
      </w:pPr>
    </w:p>
    <w:p w14:paraId="6C569DE4">
      <w:pPr>
        <w:spacing w:line="360" w:lineRule="auto"/>
        <w:jc w:val="left"/>
        <w:rPr>
          <w:rFonts w:hint="eastAsia" w:ascii="宋体" w:hAnsi="宋体" w:eastAsia="宋体" w:cs="宋体"/>
          <w:b/>
          <w:color w:val="000000"/>
          <w:sz w:val="24"/>
          <w:lang w:val="en-US" w:eastAsia="zh-CN"/>
        </w:rPr>
      </w:pPr>
      <w:r>
        <w:rPr>
          <w:rFonts w:hint="eastAsia" w:ascii="宋体" w:hAnsi="宋体" w:cs="宋体"/>
          <w:b/>
          <w:color w:val="000000"/>
          <w:sz w:val="24"/>
        </w:rPr>
        <w:t>附件</w:t>
      </w:r>
      <w:r>
        <w:rPr>
          <w:rFonts w:hint="eastAsia" w:ascii="宋体" w:hAnsi="宋体" w:cs="宋体"/>
          <w:b/>
          <w:color w:val="000000"/>
          <w:sz w:val="24"/>
          <w:lang w:val="en-US" w:eastAsia="zh-CN"/>
        </w:rPr>
        <w:t>5</w:t>
      </w:r>
    </w:p>
    <w:p w14:paraId="01722DE3">
      <w:pPr>
        <w:spacing w:line="360" w:lineRule="auto"/>
        <w:jc w:val="center"/>
        <w:rPr>
          <w:rFonts w:hint="eastAsia" w:ascii="宋体" w:hAnsi="宋体" w:cs="宋体"/>
          <w:b/>
          <w:color w:val="000000"/>
          <w:sz w:val="44"/>
          <w:szCs w:val="44"/>
        </w:rPr>
      </w:pPr>
    </w:p>
    <w:p w14:paraId="57666BE2">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非联合体投标声明</w:t>
      </w:r>
    </w:p>
    <w:p w14:paraId="71DFAE24">
      <w:pPr>
        <w:spacing w:line="360" w:lineRule="auto"/>
        <w:jc w:val="center"/>
        <w:rPr>
          <w:rFonts w:hint="eastAsia" w:ascii="宋体" w:hAnsi="宋体" w:cs="宋体"/>
          <w:b/>
          <w:color w:val="000000"/>
          <w:sz w:val="44"/>
          <w:szCs w:val="44"/>
        </w:rPr>
      </w:pPr>
    </w:p>
    <w:p w14:paraId="694FD8E7">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58102EB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我公司收到贵单位</w:t>
      </w:r>
      <w:r>
        <w:rPr>
          <w:rFonts w:hint="eastAsia" w:ascii="宋体" w:hAnsi="宋体" w:cs="宋体"/>
          <w:color w:val="000000"/>
          <w:sz w:val="24"/>
          <w:szCs w:val="24"/>
          <w:u w:val="single"/>
        </w:rPr>
        <w:t xml:space="preserve">               </w:t>
      </w:r>
      <w:r>
        <w:rPr>
          <w:rFonts w:hint="eastAsia" w:ascii="宋体" w:hAnsi="宋体" w:cs="宋体"/>
          <w:color w:val="000000"/>
          <w:sz w:val="24"/>
          <w:szCs w:val="24"/>
        </w:rPr>
        <w:t>采购项目公开招标（项目编号：</w:t>
      </w:r>
      <w:r>
        <w:rPr>
          <w:rFonts w:hint="eastAsia" w:ascii="宋体" w:hAnsi="宋体" w:cs="宋体"/>
          <w:color w:val="000000"/>
          <w:sz w:val="24"/>
          <w:szCs w:val="24"/>
          <w:u w:val="single"/>
        </w:rPr>
        <w:t xml:space="preserve">        </w:t>
      </w:r>
      <w:r>
        <w:rPr>
          <w:rFonts w:hint="eastAsia" w:ascii="宋体" w:hAnsi="宋体" w:cs="宋体"/>
          <w:color w:val="000000"/>
          <w:sz w:val="24"/>
          <w:szCs w:val="24"/>
        </w:rPr>
        <w:t>）的招标文件，经详细研究，我们决定参加该项目的投标活动。为此，我方郑重声明以下内容，并负法律责任。</w:t>
      </w:r>
    </w:p>
    <w:p w14:paraId="213A7426">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1.本项目我公司以自己的名义参加投标，不存在联合体投标的情况。</w:t>
      </w:r>
    </w:p>
    <w:p w14:paraId="5BD03FEB">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2.我公司愿按《中华人民共和国</w:t>
      </w:r>
      <w:r>
        <w:rPr>
          <w:rFonts w:hint="eastAsia"/>
          <w:color w:val="000000"/>
          <w:sz w:val="24"/>
          <w:szCs w:val="24"/>
          <w:lang w:val="en-US" w:eastAsia="zh-CN"/>
        </w:rPr>
        <w:t>民法典</w:t>
      </w:r>
      <w:r>
        <w:rPr>
          <w:rFonts w:hint="eastAsia"/>
          <w:color w:val="000000"/>
          <w:sz w:val="24"/>
          <w:szCs w:val="24"/>
        </w:rPr>
        <w:t>》履行自己的全部责任。</w:t>
      </w:r>
    </w:p>
    <w:p w14:paraId="2DC297A0">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特此声明。</w:t>
      </w:r>
    </w:p>
    <w:p w14:paraId="059891BD">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35C54656">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14D285D7">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4419A62A">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0AA82113">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C365824">
      <w:pPr>
        <w:keepNext w:val="0"/>
        <w:keepLines w:val="0"/>
        <w:pageBreakBefore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57A588DB">
      <w:pPr>
        <w:spacing w:line="360" w:lineRule="auto"/>
        <w:rPr>
          <w:rFonts w:hint="eastAsia" w:ascii="宋体" w:hAnsi="宋体" w:cs="宋体"/>
          <w:color w:val="000000"/>
          <w:sz w:val="24"/>
        </w:rPr>
      </w:pPr>
    </w:p>
    <w:p w14:paraId="49081C1A">
      <w:pPr>
        <w:widowControl/>
        <w:spacing w:line="360" w:lineRule="auto"/>
        <w:jc w:val="left"/>
        <w:rPr>
          <w:rFonts w:hint="eastAsia" w:ascii="宋体" w:hAnsi="宋体" w:cs="宋体"/>
          <w:b/>
          <w:color w:val="000000"/>
          <w:sz w:val="36"/>
          <w:szCs w:val="36"/>
        </w:rPr>
      </w:pPr>
    </w:p>
    <w:p w14:paraId="19277381">
      <w:pPr>
        <w:pStyle w:val="11"/>
        <w:jc w:val="left"/>
        <w:rPr>
          <w:rFonts w:hint="eastAsia" w:ascii="宋体" w:hAnsi="宋体" w:cs="宋体"/>
          <w:b/>
          <w:color w:val="000000"/>
          <w:sz w:val="24"/>
        </w:rPr>
      </w:pPr>
      <w:r>
        <w:rPr>
          <w:rFonts w:hint="eastAsia" w:ascii="宋体" w:hAnsi="宋体" w:cs="宋体"/>
          <w:b/>
          <w:color w:val="000000"/>
          <w:sz w:val="36"/>
          <w:szCs w:val="36"/>
        </w:rPr>
        <w:br w:type="page"/>
      </w:r>
      <w:r>
        <w:rPr>
          <w:rFonts w:hint="eastAsia" w:ascii="宋体" w:hAnsi="宋体" w:eastAsia="宋体" w:cs="宋体"/>
          <w:b/>
          <w:color w:val="000000"/>
          <w:sz w:val="24"/>
        </w:rPr>
        <w:t>附件6</w:t>
      </w:r>
    </w:p>
    <w:p w14:paraId="7BBDC9FF">
      <w:pPr>
        <w:rPr>
          <w:rFonts w:ascii="宋体" w:hAnsi="宋体" w:cs="宋体"/>
          <w:b/>
          <w:color w:val="000000"/>
          <w:sz w:val="24"/>
        </w:rPr>
      </w:pPr>
    </w:p>
    <w:p w14:paraId="61022F05">
      <w:pPr>
        <w:jc w:val="center"/>
        <w:rPr>
          <w:b/>
          <w:bCs/>
          <w:sz w:val="28"/>
          <w:szCs w:val="22"/>
        </w:rPr>
      </w:pPr>
      <w:r>
        <w:rPr>
          <w:b/>
          <w:bCs/>
          <w:sz w:val="28"/>
          <w:szCs w:val="22"/>
        </w:rPr>
        <w:t>控股管理关系承诺书</w:t>
      </w:r>
    </w:p>
    <w:p w14:paraId="191D5B62">
      <w:pPr>
        <w:jc w:val="center"/>
      </w:pPr>
    </w:p>
    <w:p w14:paraId="463D537E">
      <w:pPr>
        <w:spacing w:line="700" w:lineRule="exact"/>
        <w:jc w:val="left"/>
        <w:rPr>
          <w:rFonts w:ascii="宋体" w:hAnsi="宋体" w:cs="宋体"/>
          <w:color w:val="000000"/>
          <w:sz w:val="24"/>
          <w:szCs w:val="24"/>
          <w:u w:val="single"/>
        </w:rPr>
      </w:pPr>
      <w:r>
        <w:rPr>
          <w:rFonts w:ascii="宋体" w:hAnsi="宋体" w:cs="宋体"/>
          <w:color w:val="000000"/>
          <w:sz w:val="24"/>
          <w:szCs w:val="24"/>
        </w:rPr>
        <w:t>致：</w:t>
      </w:r>
      <w:r>
        <w:rPr>
          <w:rFonts w:ascii="宋体" w:hAnsi="宋体" w:cs="宋体"/>
          <w:color w:val="000000"/>
          <w:sz w:val="24"/>
          <w:szCs w:val="24"/>
          <w:u w:val="single"/>
        </w:rPr>
        <w:t xml:space="preserve">  （采购人名称）</w:t>
      </w:r>
    </w:p>
    <w:p w14:paraId="0F756751">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我公司参加贵单位组织的</w:t>
      </w:r>
      <w:r>
        <w:rPr>
          <w:rFonts w:ascii="宋体" w:hAnsi="宋体" w:cs="宋体"/>
          <w:color w:val="000000"/>
          <w:sz w:val="24"/>
          <w:szCs w:val="24"/>
          <w:u w:val="single"/>
        </w:rPr>
        <w:t xml:space="preserve">   </w:t>
      </w:r>
      <w:r>
        <w:rPr>
          <w:rFonts w:ascii="宋体" w:hAnsi="宋体" w:cs="宋体"/>
          <w:sz w:val="24"/>
          <w:szCs w:val="24"/>
          <w:u w:val="single"/>
        </w:rPr>
        <w:t xml:space="preserve">（项目名称） </w:t>
      </w:r>
      <w:r>
        <w:rPr>
          <w:rFonts w:ascii="宋体" w:hAnsi="宋体" w:cs="宋体"/>
          <w:color w:val="000000"/>
          <w:sz w:val="24"/>
          <w:szCs w:val="24"/>
        </w:rPr>
        <w:t>（项目编号：</w:t>
      </w:r>
      <w:r>
        <w:rPr>
          <w:rFonts w:ascii="宋体" w:hAnsi="宋体" w:cs="宋体"/>
          <w:color w:val="000000"/>
          <w:sz w:val="24"/>
          <w:szCs w:val="24"/>
          <w:u w:val="single"/>
        </w:rPr>
        <w:t xml:space="preserve">       </w:t>
      </w:r>
      <w:r>
        <w:rPr>
          <w:rFonts w:ascii="宋体" w:hAnsi="宋体" w:cs="宋体"/>
          <w:color w:val="000000"/>
          <w:sz w:val="24"/>
          <w:szCs w:val="24"/>
        </w:rPr>
        <w:t>）的投标，现我公司向贵单位承诺：</w:t>
      </w:r>
    </w:p>
    <w:p w14:paraId="749BDD82">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我公司郑重承诺，我公司参加此次项目的投标，不存在单位负责人为同一人或直接控股、管理关系。如有虚假或隐瞒，我公司愿承担一切后果。</w:t>
      </w:r>
    </w:p>
    <w:p w14:paraId="3675C989">
      <w:pPr>
        <w:spacing w:line="700" w:lineRule="exact"/>
        <w:jc w:val="left"/>
        <w:rPr>
          <w:rFonts w:ascii="宋体" w:hAnsi="宋体" w:cs="宋体"/>
          <w:color w:val="000000"/>
          <w:sz w:val="24"/>
          <w:szCs w:val="24"/>
        </w:rPr>
      </w:pPr>
      <w:r>
        <w:rPr>
          <w:rFonts w:ascii="宋体" w:hAnsi="宋体" w:cs="宋体"/>
          <w:color w:val="000000"/>
          <w:sz w:val="24"/>
          <w:szCs w:val="24"/>
        </w:rPr>
        <w:t>特此声明！</w:t>
      </w:r>
    </w:p>
    <w:p w14:paraId="3A978309">
      <w:pPr>
        <w:spacing w:line="700" w:lineRule="exact"/>
        <w:ind w:firstLine="3614" w:firstLineChars="1500"/>
        <w:rPr>
          <w:rFonts w:ascii="宋体" w:hAnsi="宋体" w:cs="宋体"/>
          <w:b/>
          <w:color w:val="000000"/>
          <w:sz w:val="24"/>
          <w:szCs w:val="24"/>
        </w:rPr>
      </w:pPr>
    </w:p>
    <w:p w14:paraId="5E4FEC9B">
      <w:pPr>
        <w:spacing w:line="700" w:lineRule="exact"/>
        <w:ind w:firstLine="3614" w:firstLineChars="1500"/>
        <w:rPr>
          <w:rFonts w:ascii="宋体" w:hAnsi="宋体" w:cs="宋体"/>
          <w:b/>
          <w:color w:val="000000"/>
          <w:sz w:val="24"/>
          <w:szCs w:val="24"/>
        </w:rPr>
      </w:pPr>
    </w:p>
    <w:p w14:paraId="5C05BE13">
      <w:pPr>
        <w:spacing w:line="700" w:lineRule="exact"/>
        <w:ind w:firstLine="3614" w:firstLineChars="1500"/>
        <w:rPr>
          <w:rFonts w:ascii="宋体" w:hAnsi="宋体" w:cs="宋体"/>
          <w:b/>
          <w:color w:val="000000"/>
          <w:sz w:val="24"/>
          <w:szCs w:val="24"/>
        </w:rPr>
      </w:pPr>
    </w:p>
    <w:p w14:paraId="15635791">
      <w:pPr>
        <w:spacing w:line="700" w:lineRule="exact"/>
        <w:ind w:firstLine="3614" w:firstLineChars="1500"/>
        <w:rPr>
          <w:rFonts w:ascii="宋体" w:hAnsi="宋体" w:cs="宋体"/>
          <w:b/>
          <w:color w:val="000000"/>
          <w:sz w:val="24"/>
          <w:szCs w:val="24"/>
        </w:rPr>
      </w:pPr>
      <w:r>
        <w:rPr>
          <w:rFonts w:hint="eastAsia" w:ascii="宋体" w:hAnsi="宋体" w:cs="宋体"/>
          <w:b/>
          <w:color w:val="000000"/>
          <w:sz w:val="24"/>
          <w:szCs w:val="24"/>
        </w:rPr>
        <w:t>投标人</w:t>
      </w:r>
      <w:r>
        <w:rPr>
          <w:rFonts w:ascii="宋体" w:hAnsi="宋体" w:cs="宋体"/>
          <w:b/>
          <w:color w:val="000000"/>
          <w:sz w:val="24"/>
          <w:szCs w:val="24"/>
        </w:rPr>
        <w:t>：</w:t>
      </w:r>
      <w:r>
        <w:rPr>
          <w:rFonts w:ascii="宋体" w:hAnsi="宋体" w:cs="宋体"/>
          <w:b/>
          <w:color w:val="000000"/>
          <w:sz w:val="24"/>
          <w:szCs w:val="24"/>
          <w:u w:val="single"/>
        </w:rPr>
        <w:t xml:space="preserve">          </w:t>
      </w:r>
      <w:r>
        <w:rPr>
          <w:rFonts w:ascii="宋体" w:hAnsi="宋体" w:cs="宋体"/>
          <w:b/>
          <w:color w:val="000000"/>
          <w:sz w:val="24"/>
          <w:szCs w:val="24"/>
        </w:rPr>
        <w:t>（盖章）</w:t>
      </w:r>
    </w:p>
    <w:p w14:paraId="64525677">
      <w:pPr>
        <w:pStyle w:val="11"/>
        <w:rPr>
          <w:sz w:val="24"/>
          <w:szCs w:val="24"/>
        </w:rPr>
      </w:pPr>
    </w:p>
    <w:p w14:paraId="745655F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color w:val="000000"/>
          <w:sz w:val="24"/>
          <w:szCs w:val="24"/>
          <w:lang w:val="en-US" w:eastAsia="zh-CN"/>
        </w:rPr>
        <w:t xml:space="preserve">       </w:t>
      </w:r>
      <w:r>
        <w:rPr>
          <w:rFonts w:ascii="宋体" w:hAnsi="宋体" w:cs="宋体"/>
          <w:b/>
          <w:color w:val="000000"/>
          <w:sz w:val="24"/>
          <w:szCs w:val="24"/>
        </w:rPr>
        <w:t>日期：   年   月    日</w:t>
      </w:r>
    </w:p>
    <w:p w14:paraId="765E427F">
      <w:pPr>
        <w:outlineLvl w:val="0"/>
        <w:rPr>
          <w:rFonts w:hint="eastAsia" w:ascii="宋体" w:hAnsi="宋体" w:eastAsia="宋体" w:cs="宋体"/>
          <w:b/>
          <w:color w:val="000000"/>
          <w:sz w:val="24"/>
          <w:lang w:val="en-US" w:eastAsia="zh-CN"/>
        </w:rPr>
      </w:pP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7</w:t>
      </w:r>
    </w:p>
    <w:p w14:paraId="114E2718">
      <w:pPr>
        <w:rPr>
          <w:rFonts w:hint="eastAsia"/>
        </w:rPr>
      </w:pPr>
    </w:p>
    <w:p w14:paraId="1A5B63E8">
      <w:pPr>
        <w:widowControl/>
        <w:jc w:val="left"/>
        <w:rPr>
          <w:rFonts w:hint="eastAsia" w:ascii="宋体" w:hAnsi="宋体" w:cs="宋体"/>
          <w:color w:val="000000"/>
          <w:sz w:val="24"/>
        </w:rPr>
      </w:pPr>
    </w:p>
    <w:p w14:paraId="7F54C03F">
      <w:pPr>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中小企业声明函（服务）</w:t>
      </w:r>
    </w:p>
    <w:p w14:paraId="37C843E6">
      <w:pPr>
        <w:pStyle w:val="11"/>
        <w:spacing w:before="5"/>
        <w:rPr>
          <w:rFonts w:ascii="宋体" w:hAnsi="宋体" w:cs="宋体"/>
          <w:b/>
          <w:color w:val="auto"/>
          <w:sz w:val="24"/>
          <w:highlight w:val="none"/>
        </w:rPr>
      </w:pPr>
    </w:p>
    <w:p w14:paraId="153B9E1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DDAD0E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C109F8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46C69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22A489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CDD85C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175C4B6">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02E04028">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AA963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w:t>
      </w:r>
    </w:p>
    <w:p w14:paraId="727B8576">
      <w:pPr>
        <w:ind w:firstLine="480" w:firstLineChars="200"/>
        <w:rPr>
          <w:rFonts w:hint="eastAsia" w:ascii="宋体" w:hAnsi="宋体" w:eastAsia="宋体" w:cs="宋体"/>
          <w:color w:val="auto"/>
          <w:sz w:val="24"/>
          <w:szCs w:val="24"/>
          <w:highlight w:val="none"/>
        </w:rPr>
      </w:pPr>
    </w:p>
    <w:p w14:paraId="5E3DB1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企业可不填报。</w:t>
      </w:r>
    </w:p>
    <w:p w14:paraId="10659B0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A7642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bookmarkEnd w:id="918"/>
      <w:bookmarkEnd w:id="919"/>
      <w:bookmarkEnd w:id="920"/>
      <w:bookmarkEnd w:id="921"/>
      <w:bookmarkEnd w:id="922"/>
      <w:bookmarkEnd w:id="923"/>
      <w:bookmarkEnd w:id="924"/>
      <w:bookmarkEnd w:id="925"/>
      <w:bookmarkEnd w:id="926"/>
    </w:p>
    <w:p w14:paraId="746937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（采购人）</w:t>
      </w:r>
    </w:p>
    <w:p w14:paraId="4A42A0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根据已收到的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招标文件，遵照《中华人民共和国招标投标法》等有关规定，经仔细研究本项目招标文件、答疑纪要、合同条款及其他有关文件后，我方愿提供</w:t>
      </w:r>
      <w:r>
        <w:rPr>
          <w:rFonts w:hint="eastAsia" w:ascii="宋体" w:hAnsi="宋体" w:cs="宋体"/>
          <w:color w:val="000000"/>
          <w:sz w:val="24"/>
          <w:szCs w:val="24"/>
          <w:lang w:eastAsia="zh-CN"/>
        </w:rPr>
        <w:t>延安市公路建设工程管理处延安市海绵城市能力提升和经验总结项目</w:t>
      </w:r>
      <w:r>
        <w:rPr>
          <w:rFonts w:hint="eastAsia" w:ascii="宋体" w:hAnsi="宋体" w:eastAsia="宋体" w:cs="宋体"/>
          <w:color w:val="000000"/>
          <w:sz w:val="24"/>
          <w:szCs w:val="24"/>
        </w:rPr>
        <w:t>的投标报价为：</w:t>
      </w:r>
    </w:p>
    <w:p w14:paraId="29B6A5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大写：人民币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5E82892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6314868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2、我方已详细审核全部招标文件及有关附件、招标答疑纪要、补遗书等文件。</w:t>
      </w:r>
    </w:p>
    <w:p w14:paraId="29DB0A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3、该报价是完成本招标文件规定的、所需的一切费用，投标报价不低于社会平均水平（成本价）。</w:t>
      </w:r>
    </w:p>
    <w:p w14:paraId="269265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4、一旦我方中标，我方保证</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为：</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p>
    <w:p w14:paraId="18C7D9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5、我单位保证按国家法律、法规规定提供服务。</w:t>
      </w:r>
    </w:p>
    <w:p w14:paraId="2010B2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6、除非另外达成协议并生效，你方的中标通知书和本投标文件将构成约束我们双方的合同。</w:t>
      </w:r>
    </w:p>
    <w:p w14:paraId="0564FD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7、我方的投标文件在</w:t>
      </w:r>
      <w:r>
        <w:rPr>
          <w:rFonts w:hint="eastAsia" w:ascii="宋体" w:hAnsi="宋体" w:eastAsia="宋体" w:cs="宋体"/>
          <w:color w:val="000000"/>
          <w:sz w:val="24"/>
          <w:szCs w:val="24"/>
          <w:u w:val="single"/>
          <w:lang w:val="en-US" w:eastAsia="zh-CN"/>
        </w:rPr>
        <w:t xml:space="preserve">   年 月 日--  年  月   日</w:t>
      </w:r>
      <w:r>
        <w:rPr>
          <w:rFonts w:hint="eastAsia" w:ascii="宋体" w:hAnsi="宋体" w:eastAsia="宋体" w:cs="宋体"/>
          <w:color w:val="000000"/>
          <w:sz w:val="24"/>
          <w:szCs w:val="24"/>
        </w:rPr>
        <w:t>内有效，在投标有效期内不修改或撤回投标文件。</w:t>
      </w:r>
    </w:p>
    <w:p w14:paraId="3D1EE0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我方理解你方及采购代理机构不另负担我们的任何投标费用，无论我方总报价中是否包括投标费用，也无论是否能够成交，均不要求你方及采购代理机构对投标费用做任何补偿。</w:t>
      </w:r>
    </w:p>
    <w:p w14:paraId="17E129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我方理解你方及采购代理机构，我方不要求你方及采购代理机构对未</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原因做任何解释，也不</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退回</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p>
    <w:p w14:paraId="631FC6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若我方成交，将按时按规定交纳招标代理服务费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如果因我方原因放弃中标，我方承诺，除采购人有权没收投标保证金外，还承担因下个中标候选</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中标给采购人带来的经济损失。</w:t>
      </w:r>
    </w:p>
    <w:p w14:paraId="34E863C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我方愿按《中华人民共和国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》履行自己的全部责任。</w:t>
      </w:r>
    </w:p>
    <w:p w14:paraId="3AF39D3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p>
    <w:p w14:paraId="7A8628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bookmarkStart w:id="927" w:name="_Toc169940967"/>
      <w:bookmarkStart w:id="928" w:name="_Toc145989461"/>
      <w:bookmarkStart w:id="929" w:name="_Toc102490217"/>
      <w:bookmarkStart w:id="930" w:name="_Toc132684577"/>
    </w:p>
    <w:p w14:paraId="7A73EC5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（盖章）</w:t>
      </w:r>
    </w:p>
    <w:p w14:paraId="40C3BB32">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（签字或法人印鉴）</w:t>
      </w:r>
    </w:p>
    <w:p w14:paraId="6D9EA98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w:t>
      </w:r>
    </w:p>
    <w:p w14:paraId="4D68AEA2">
      <w:pPr>
        <w:keepNext w:val="0"/>
        <w:keepLines w:val="0"/>
        <w:pageBreakBefore w:val="0"/>
        <w:widowControl w:val="0"/>
        <w:kinsoku/>
        <w:wordWrap/>
        <w:overflowPunct/>
        <w:topLinePunct w:val="0"/>
        <w:autoSpaceDE/>
        <w:autoSpaceDN/>
        <w:bidi w:val="0"/>
        <w:adjustRightInd/>
        <w:snapToGrid/>
        <w:spacing w:line="700" w:lineRule="exact"/>
        <w:ind w:right="540" w:rightChars="257" w:firstLine="482" w:firstLineChars="200"/>
        <w:textAlignment w:val="auto"/>
        <w:rPr>
          <w:rFonts w:hint="eastAsia" w:ascii="宋体" w:hAnsi="宋体" w:cs="宋体"/>
          <w:b/>
          <w:color w:val="000000"/>
          <w:sz w:val="28"/>
          <w:szCs w:val="28"/>
        </w:rPr>
      </w:pPr>
      <w:r>
        <w:rPr>
          <w:rFonts w:hint="eastAsia" w:ascii="宋体" w:hAnsi="宋体" w:eastAsia="宋体" w:cs="宋体"/>
          <w:b/>
          <w:color w:val="000000"/>
          <w:sz w:val="24"/>
          <w:szCs w:val="24"/>
        </w:rPr>
        <w:t>日期：  年  月  日</w:t>
      </w:r>
    </w:p>
    <w:p w14:paraId="6A02E277">
      <w:pPr>
        <w:spacing w:line="360" w:lineRule="auto"/>
        <w:rPr>
          <w:rFonts w:hint="eastAsia" w:ascii="宋体" w:hAnsi="宋体" w:cs="宋体"/>
          <w:b/>
          <w:color w:val="000000"/>
          <w:sz w:val="28"/>
          <w:szCs w:val="28"/>
          <w:u w:val="singl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D1DE3CD">
      <w:pPr>
        <w:numPr>
          <w:ilvl w:val="0"/>
          <w:numId w:val="0"/>
        </w:numPr>
        <w:adjustRightInd w:val="0"/>
        <w:snapToGrid w:val="0"/>
        <w:spacing w:line="360" w:lineRule="auto"/>
        <w:jc w:val="center"/>
        <w:outlineLvl w:val="1"/>
        <w:rPr>
          <w:rFonts w:hint="eastAsia" w:ascii="宋体" w:hAnsi="宋体" w:cs="宋体"/>
          <w:b/>
          <w:color w:val="000000"/>
          <w:sz w:val="28"/>
          <w:szCs w:val="28"/>
        </w:rPr>
      </w:pPr>
      <w:bookmarkStart w:id="931" w:name="_Toc490171583"/>
      <w:bookmarkStart w:id="932" w:name="_Toc361237718"/>
      <w:bookmarkStart w:id="933" w:name="_Toc394320936"/>
      <w:bookmarkStart w:id="934" w:name="_Toc395711855"/>
      <w:bookmarkStart w:id="935" w:name="_Toc397410694"/>
      <w:bookmarkStart w:id="936" w:name="_Toc361406467"/>
      <w:bookmarkStart w:id="937" w:name="_Toc522893844"/>
      <w:bookmarkStart w:id="938" w:name="_Toc397410507"/>
      <w:bookmarkStart w:id="939" w:name="_Toc456197117"/>
      <w:bookmarkStart w:id="940" w:name="_Toc397585274"/>
      <w:r>
        <w:rPr>
          <w:rFonts w:hint="eastAsia" w:ascii="宋体" w:hAnsi="宋体" w:cs="宋体"/>
          <w:b/>
          <w:color w:val="000000"/>
          <w:sz w:val="28"/>
          <w:szCs w:val="28"/>
          <w:lang w:val="en-US" w:eastAsia="zh-CN"/>
        </w:rPr>
        <w:t>三、</w:t>
      </w:r>
      <w:r>
        <w:rPr>
          <w:rFonts w:hint="eastAsia" w:ascii="宋体" w:hAnsi="宋体" w:cs="宋体"/>
          <w:b/>
          <w:color w:val="000000"/>
          <w:sz w:val="28"/>
          <w:szCs w:val="28"/>
        </w:rPr>
        <w:t>投标报价一览表</w:t>
      </w:r>
      <w:bookmarkEnd w:id="931"/>
      <w:bookmarkEnd w:id="932"/>
      <w:bookmarkEnd w:id="933"/>
      <w:bookmarkEnd w:id="934"/>
      <w:bookmarkEnd w:id="935"/>
      <w:bookmarkEnd w:id="936"/>
      <w:bookmarkEnd w:id="937"/>
      <w:bookmarkEnd w:id="938"/>
      <w:bookmarkEnd w:id="939"/>
      <w:bookmarkEnd w:id="940"/>
    </w:p>
    <w:p w14:paraId="7F6214FE">
      <w:pPr>
        <w:pStyle w:val="13"/>
        <w:numPr>
          <w:ilvl w:val="0"/>
          <w:numId w:val="0"/>
        </w:numPr>
        <w:jc w:val="center"/>
        <w:rPr>
          <w:rFonts w:hint="eastAsia"/>
          <w:b/>
          <w:bCs/>
          <w:sz w:val="28"/>
          <w:szCs w:val="28"/>
        </w:rPr>
      </w:pPr>
      <w:r>
        <w:rPr>
          <w:rFonts w:hint="eastAsia"/>
          <w:b/>
          <w:bCs/>
          <w:sz w:val="28"/>
          <w:szCs w:val="28"/>
        </w:rPr>
        <w:t>（唱标报告）</w:t>
      </w:r>
    </w:p>
    <w:p w14:paraId="561A1D5A">
      <w:pPr>
        <w:autoSpaceDE w:val="0"/>
        <w:autoSpaceDN w:val="0"/>
        <w:adjustRightInd w:val="0"/>
        <w:spacing w:line="360" w:lineRule="auto"/>
        <w:ind w:right="420"/>
        <w:jc w:val="center"/>
        <w:rPr>
          <w:rFonts w:hint="eastAsia" w:ascii="宋体" w:hAnsi="宋体" w:cs="宋体"/>
          <w:b/>
          <w:color w:val="000000"/>
          <w:szCs w:val="21"/>
        </w:rPr>
      </w:pPr>
    </w:p>
    <w:tbl>
      <w:tblPr>
        <w:tblStyle w:val="3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80"/>
      </w:tblGrid>
      <w:tr w14:paraId="4102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5926581">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项目名称</w:t>
            </w:r>
          </w:p>
        </w:tc>
        <w:tc>
          <w:tcPr>
            <w:tcW w:w="8080" w:type="dxa"/>
            <w:noWrap w:val="0"/>
            <w:vAlign w:val="center"/>
          </w:tcPr>
          <w:p w14:paraId="34D1ABBA">
            <w:pPr>
              <w:autoSpaceDE w:val="0"/>
              <w:autoSpaceDN w:val="0"/>
              <w:adjustRightInd w:val="0"/>
              <w:spacing w:line="360" w:lineRule="auto"/>
              <w:ind w:left="420" w:hanging="420"/>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F08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99A709A">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项目编号</w:t>
            </w:r>
          </w:p>
        </w:tc>
        <w:tc>
          <w:tcPr>
            <w:tcW w:w="8080" w:type="dxa"/>
            <w:noWrap w:val="0"/>
            <w:vAlign w:val="center"/>
          </w:tcPr>
          <w:p w14:paraId="3E765268">
            <w:pPr>
              <w:autoSpaceDE w:val="0"/>
              <w:autoSpaceDN w:val="0"/>
              <w:adjustRightInd w:val="0"/>
              <w:spacing w:line="360" w:lineRule="auto"/>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2EA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1F736103">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投标人名称</w:t>
            </w:r>
          </w:p>
        </w:tc>
        <w:tc>
          <w:tcPr>
            <w:tcW w:w="8080" w:type="dxa"/>
            <w:noWrap w:val="0"/>
            <w:vAlign w:val="center"/>
          </w:tcPr>
          <w:p w14:paraId="39D28AB1">
            <w:pPr>
              <w:autoSpaceDE w:val="0"/>
              <w:autoSpaceDN w:val="0"/>
              <w:adjustRightInd w:val="0"/>
              <w:spacing w:line="360" w:lineRule="auto"/>
              <w:jc w:val="center"/>
              <w:rPr>
                <w:rFonts w:hint="eastAsia" w:ascii="宋体" w:hAnsi="宋体" w:cs="宋体"/>
                <w:b/>
                <w:bCs/>
                <w:color w:val="000000"/>
                <w:sz w:val="24"/>
              </w:rPr>
            </w:pPr>
          </w:p>
        </w:tc>
      </w:tr>
      <w:tr w14:paraId="2086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restart"/>
            <w:noWrap w:val="0"/>
            <w:vAlign w:val="center"/>
          </w:tcPr>
          <w:p w14:paraId="12580BDA">
            <w:pPr>
              <w:autoSpaceDE w:val="0"/>
              <w:autoSpaceDN w:val="0"/>
              <w:adjustRightInd w:val="0"/>
              <w:spacing w:line="360" w:lineRule="auto"/>
              <w:jc w:val="center"/>
              <w:rPr>
                <w:rFonts w:hint="default"/>
                <w:color w:val="000000"/>
                <w:lang w:val="en-US" w:eastAsia="zh-CN"/>
              </w:rPr>
            </w:pPr>
            <w:r>
              <w:rPr>
                <w:rFonts w:hint="eastAsia" w:ascii="宋体" w:hAnsi="宋体" w:eastAsia="宋体" w:cs="宋体"/>
                <w:b/>
                <w:bCs/>
                <w:color w:val="000000"/>
                <w:sz w:val="24"/>
                <w:lang w:val="en-US" w:eastAsia="zh-CN"/>
              </w:rPr>
              <w:t>投标报价</w:t>
            </w:r>
          </w:p>
        </w:tc>
        <w:tc>
          <w:tcPr>
            <w:tcW w:w="8080" w:type="dxa"/>
            <w:noWrap w:val="0"/>
            <w:vAlign w:val="center"/>
          </w:tcPr>
          <w:p w14:paraId="7D43C357">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大写：人民币</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6C8A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continue"/>
            <w:noWrap w:val="0"/>
            <w:vAlign w:val="center"/>
          </w:tcPr>
          <w:p w14:paraId="5A136410">
            <w:pPr>
              <w:autoSpaceDE w:val="0"/>
              <w:autoSpaceDN w:val="0"/>
              <w:adjustRightInd w:val="0"/>
              <w:spacing w:line="360" w:lineRule="auto"/>
              <w:jc w:val="center"/>
              <w:rPr>
                <w:rFonts w:hint="eastAsia"/>
                <w:b/>
                <w:bCs/>
                <w:color w:val="000000"/>
                <w:lang w:val="en-US" w:eastAsia="zh-CN"/>
              </w:rPr>
            </w:pPr>
          </w:p>
        </w:tc>
        <w:tc>
          <w:tcPr>
            <w:tcW w:w="8080" w:type="dxa"/>
            <w:noWrap w:val="0"/>
            <w:vAlign w:val="center"/>
          </w:tcPr>
          <w:p w14:paraId="20BE2E9F">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小写：¥</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5051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0003846D">
            <w:pPr>
              <w:autoSpaceDE w:val="0"/>
              <w:autoSpaceDN w:val="0"/>
              <w:adjustRightInd w:val="0"/>
              <w:spacing w:line="360" w:lineRule="auto"/>
              <w:jc w:val="center"/>
              <w:rPr>
                <w:rFonts w:hint="eastAsia" w:ascii="宋体" w:hAnsi="宋体" w:eastAsia="宋体" w:cs="宋体"/>
                <w:b/>
                <w:bCs/>
                <w:color w:val="000000"/>
                <w:sz w:val="24"/>
                <w:lang w:eastAsia="zh-CN"/>
              </w:rPr>
            </w:pPr>
            <w:r>
              <w:rPr>
                <w:rFonts w:hint="eastAsia" w:ascii="宋体" w:hAnsi="宋体" w:cs="宋体"/>
                <w:b/>
                <w:bCs/>
                <w:color w:val="000000"/>
                <w:sz w:val="24"/>
                <w:lang w:eastAsia="zh-CN"/>
              </w:rPr>
              <w:t>服务期</w:t>
            </w:r>
          </w:p>
        </w:tc>
        <w:tc>
          <w:tcPr>
            <w:tcW w:w="8080" w:type="dxa"/>
            <w:noWrap w:val="0"/>
            <w:vAlign w:val="center"/>
          </w:tcPr>
          <w:p w14:paraId="4F0BAFEC">
            <w:pPr>
              <w:autoSpaceDE w:val="0"/>
              <w:autoSpaceDN w:val="0"/>
              <w:adjustRightInd w:val="0"/>
              <w:spacing w:line="360" w:lineRule="auto"/>
              <w:rPr>
                <w:rFonts w:hint="eastAsia" w:ascii="宋体" w:hAnsi="宋体" w:cs="宋体"/>
                <w:b/>
                <w:bCs/>
                <w:color w:val="000000"/>
                <w:sz w:val="24"/>
              </w:rPr>
            </w:pPr>
          </w:p>
        </w:tc>
      </w:tr>
      <w:tr w14:paraId="0311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71A14AD">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备注</w:t>
            </w:r>
          </w:p>
        </w:tc>
        <w:tc>
          <w:tcPr>
            <w:tcW w:w="8080" w:type="dxa"/>
            <w:noWrap w:val="0"/>
            <w:vAlign w:val="center"/>
          </w:tcPr>
          <w:p w14:paraId="38CD5C3B">
            <w:pPr>
              <w:autoSpaceDE w:val="0"/>
              <w:autoSpaceDN w:val="0"/>
              <w:adjustRightInd w:val="0"/>
              <w:spacing w:line="360" w:lineRule="auto"/>
              <w:rPr>
                <w:rFonts w:hint="eastAsia" w:ascii="宋体" w:hAnsi="宋体" w:cs="宋体"/>
                <w:b/>
                <w:bCs/>
                <w:color w:val="000000"/>
                <w:sz w:val="24"/>
              </w:rPr>
            </w:pPr>
          </w:p>
        </w:tc>
      </w:tr>
    </w:tbl>
    <w:p w14:paraId="20E0BC31">
      <w:pPr>
        <w:pStyle w:val="32"/>
        <w:spacing w:before="0" w:beforeAutospacing="0" w:after="0" w:afterAutospacing="0" w:line="360" w:lineRule="auto"/>
        <w:jc w:val="both"/>
        <w:rPr>
          <w:rFonts w:hint="eastAsia"/>
          <w:color w:val="000000"/>
          <w:szCs w:val="24"/>
        </w:rPr>
      </w:pPr>
    </w:p>
    <w:p w14:paraId="768F8FC6">
      <w:pPr>
        <w:keepNext w:val="0"/>
        <w:keepLines w:val="0"/>
        <w:pageBreakBefore w:val="0"/>
        <w:kinsoku/>
        <w:wordWrap/>
        <w:overflowPunct/>
        <w:topLinePunct w:val="0"/>
        <w:autoSpaceDE/>
        <w:autoSpaceDN/>
        <w:bidi w:val="0"/>
        <w:adjustRightInd/>
        <w:spacing w:line="480" w:lineRule="auto"/>
        <w:textAlignment w:val="auto"/>
        <w:outlineLvl w:val="0"/>
        <w:rPr>
          <w:rFonts w:hint="eastAsia" w:ascii="宋体" w:hAnsi="宋体" w:cs="宋体"/>
          <w:color w:val="000000"/>
          <w:sz w:val="24"/>
          <w:szCs w:val="24"/>
        </w:rPr>
      </w:pPr>
      <w:bookmarkStart w:id="941" w:name="_Toc28797"/>
      <w:bookmarkStart w:id="942" w:name="_Toc26274"/>
      <w:bookmarkStart w:id="943" w:name="_Toc13127"/>
      <w:bookmarkStart w:id="944" w:name="_Toc9681"/>
      <w:bookmarkStart w:id="945" w:name="_Toc27744"/>
      <w:bookmarkStart w:id="946" w:name="_Toc30993"/>
      <w:bookmarkStart w:id="947" w:name="_Toc31079"/>
      <w:r>
        <w:rPr>
          <w:rFonts w:hint="eastAsia" w:ascii="宋体" w:hAnsi="宋体" w:cs="宋体"/>
          <w:color w:val="000000"/>
          <w:sz w:val="24"/>
          <w:szCs w:val="24"/>
        </w:rPr>
        <w:t>注：以上表内报价内容以元为单位，保留小数点后两位。</w:t>
      </w:r>
      <w:bookmarkEnd w:id="941"/>
      <w:bookmarkEnd w:id="942"/>
      <w:bookmarkEnd w:id="943"/>
      <w:bookmarkEnd w:id="944"/>
      <w:bookmarkEnd w:id="945"/>
      <w:bookmarkEnd w:id="946"/>
      <w:bookmarkEnd w:id="947"/>
    </w:p>
    <w:p w14:paraId="2EF22550">
      <w:pPr>
        <w:pStyle w:val="32"/>
        <w:keepNext w:val="0"/>
        <w:keepLines w:val="0"/>
        <w:pageBreakBefore w:val="0"/>
        <w:kinsoku/>
        <w:wordWrap/>
        <w:overflowPunct/>
        <w:topLinePunct w:val="0"/>
        <w:autoSpaceDE/>
        <w:autoSpaceDN/>
        <w:bidi w:val="0"/>
        <w:adjustRightInd/>
        <w:spacing w:before="0" w:beforeAutospacing="0" w:after="0" w:afterAutospacing="0" w:line="480" w:lineRule="auto"/>
        <w:jc w:val="both"/>
        <w:textAlignment w:val="auto"/>
        <w:rPr>
          <w:rFonts w:hint="eastAsia"/>
          <w:color w:val="000000"/>
          <w:sz w:val="24"/>
          <w:szCs w:val="24"/>
        </w:rPr>
      </w:pPr>
    </w:p>
    <w:p w14:paraId="319C3EB2">
      <w:pPr>
        <w:pStyle w:val="22"/>
        <w:keepNext w:val="0"/>
        <w:keepLines w:val="0"/>
        <w:pageBreakBefore w:val="0"/>
        <w:kinsoku/>
        <w:wordWrap/>
        <w:overflowPunct/>
        <w:topLinePunct w:val="0"/>
        <w:autoSpaceDE/>
        <w:autoSpaceDN/>
        <w:bidi w:val="0"/>
        <w:adjustRightInd/>
        <w:spacing w:line="480" w:lineRule="auto"/>
        <w:textAlignment w:val="auto"/>
        <w:rPr>
          <w:rFonts w:hint="eastAsia"/>
          <w:sz w:val="24"/>
          <w:szCs w:val="24"/>
        </w:rPr>
      </w:pPr>
    </w:p>
    <w:p w14:paraId="094C0A98">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3229759C">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527F256E">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79485DB">
      <w:pPr>
        <w:keepNext w:val="0"/>
        <w:keepLines w:val="0"/>
        <w:pageBreakBefore w:val="0"/>
        <w:kinsoku/>
        <w:wordWrap/>
        <w:overflowPunct/>
        <w:topLinePunct w:val="0"/>
        <w:autoSpaceDE/>
        <w:autoSpaceDN/>
        <w:bidi w:val="0"/>
        <w:adjustRightIn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7689EC7B">
      <w:pPr>
        <w:spacing w:line="360" w:lineRule="auto"/>
        <w:rPr>
          <w:rFonts w:hint="eastAsia" w:ascii="宋体" w:hAnsi="宋体" w:cs="宋体"/>
          <w:b/>
          <w:color w:val="000000"/>
          <w:sz w:val="28"/>
          <w:szCs w:val="28"/>
        </w:rPr>
      </w:pPr>
    </w:p>
    <w:p w14:paraId="28D05DF2">
      <w:pPr>
        <w:pStyle w:val="14"/>
        <w:ind w:left="1470" w:right="1470"/>
        <w:rPr>
          <w:rFonts w:hint="eastAsia"/>
        </w:rPr>
      </w:pPr>
    </w:p>
    <w:p w14:paraId="21AF0F5C">
      <w:pPr>
        <w:pStyle w:val="14"/>
        <w:ind w:left="1470" w:right="1470"/>
        <w:rPr>
          <w:rFonts w:hint="eastAsia"/>
        </w:rPr>
      </w:pPr>
    </w:p>
    <w:p w14:paraId="2488A661">
      <w:pPr>
        <w:pStyle w:val="14"/>
        <w:ind w:left="1470" w:right="1470"/>
        <w:rPr>
          <w:rFonts w:hint="eastAsia"/>
        </w:rPr>
      </w:pPr>
    </w:p>
    <w:p w14:paraId="65FC8618">
      <w:pPr>
        <w:pStyle w:val="14"/>
        <w:ind w:left="1470" w:right="1470"/>
        <w:rPr>
          <w:rFonts w:hint="eastAsia"/>
        </w:rPr>
      </w:pPr>
    </w:p>
    <w:p w14:paraId="48F86C2B">
      <w:pPr>
        <w:pStyle w:val="14"/>
        <w:ind w:left="1470" w:right="1470"/>
        <w:rPr>
          <w:rFonts w:hint="eastAsia"/>
        </w:rPr>
      </w:pPr>
    </w:p>
    <w:p w14:paraId="4EE0F96E">
      <w:pPr>
        <w:pStyle w:val="14"/>
        <w:ind w:left="0" w:leftChars="0" w:right="1470" w:firstLine="0" w:firstLineChars="0"/>
        <w:rPr>
          <w:rFonts w:hint="eastAsia"/>
        </w:rPr>
      </w:pPr>
    </w:p>
    <w:p w14:paraId="29C9B893">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rPr>
        <w:t>分项报价表</w:t>
      </w:r>
    </w:p>
    <w:p w14:paraId="6D2FC379">
      <w:pPr>
        <w:adjustRightInd w:val="0"/>
        <w:snapToGrid w:val="0"/>
        <w:spacing w:line="360" w:lineRule="auto"/>
        <w:ind w:hanging="3648"/>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单位：元</w:t>
      </w:r>
    </w:p>
    <w:p w14:paraId="0F8DD9BF">
      <w:pPr>
        <w:adjustRightInd w:val="0"/>
        <w:snapToGrid w:val="0"/>
        <w:spacing w:line="360" w:lineRule="auto"/>
        <w:rPr>
          <w:rFonts w:hint="eastAsia" w:ascii="宋体" w:hAnsi="宋体" w:eastAsia="宋体" w:cs="宋体"/>
          <w:bCs/>
          <w:color w:val="000000"/>
          <w:sz w:val="28"/>
          <w:szCs w:val="28"/>
        </w:rPr>
      </w:pPr>
    </w:p>
    <w:p w14:paraId="757392BF">
      <w:pPr>
        <w:adjustRightInd w:val="0"/>
        <w:snapToGrid w:val="0"/>
        <w:spacing w:line="360" w:lineRule="auto"/>
        <w:jc w:val="center"/>
        <w:rPr>
          <w:rFonts w:hint="eastAsia" w:ascii="宋体" w:hAnsi="宋体" w:eastAsia="宋体" w:cs="宋体"/>
          <w:bCs/>
          <w:color w:val="000000"/>
          <w:sz w:val="28"/>
          <w:szCs w:val="28"/>
          <w:lang w:eastAsia="zh-CN"/>
        </w:rPr>
      </w:pPr>
    </w:p>
    <w:p w14:paraId="6EC06078">
      <w:pPr>
        <w:adjustRightInd w:val="0"/>
        <w:snapToGrid w:val="0"/>
        <w:spacing w:line="360" w:lineRule="auto"/>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格式自拟</w:t>
      </w:r>
    </w:p>
    <w:p w14:paraId="499895CE">
      <w:pPr>
        <w:adjustRightInd w:val="0"/>
        <w:snapToGrid w:val="0"/>
        <w:spacing w:line="360" w:lineRule="auto"/>
        <w:rPr>
          <w:rFonts w:hint="eastAsia" w:ascii="宋体" w:hAnsi="宋体" w:eastAsia="宋体" w:cs="宋体"/>
          <w:bCs/>
          <w:color w:val="000000"/>
          <w:sz w:val="24"/>
          <w:szCs w:val="24"/>
        </w:rPr>
      </w:pPr>
    </w:p>
    <w:p w14:paraId="1E79053B">
      <w:pPr>
        <w:adjustRightInd w:val="0"/>
        <w:snapToGrid w:val="0"/>
        <w:spacing w:line="360" w:lineRule="auto"/>
        <w:rPr>
          <w:rFonts w:hint="eastAsia" w:ascii="宋体" w:hAnsi="宋体" w:eastAsia="宋体" w:cs="宋体"/>
          <w:bCs/>
          <w:color w:val="000000"/>
          <w:sz w:val="24"/>
          <w:szCs w:val="24"/>
        </w:rPr>
      </w:pPr>
    </w:p>
    <w:p w14:paraId="0BA600A2">
      <w:pPr>
        <w:pStyle w:val="21"/>
        <w:rPr>
          <w:rFonts w:hint="eastAsia" w:ascii="宋体" w:hAnsi="宋体" w:eastAsia="宋体" w:cs="宋体"/>
          <w:bCs/>
          <w:color w:val="000000"/>
          <w:sz w:val="24"/>
          <w:szCs w:val="24"/>
        </w:rPr>
      </w:pPr>
    </w:p>
    <w:p w14:paraId="5D4FDFEC">
      <w:pPr>
        <w:pStyle w:val="21"/>
        <w:rPr>
          <w:rFonts w:hint="eastAsia" w:ascii="宋体" w:hAnsi="宋体" w:eastAsia="宋体" w:cs="宋体"/>
          <w:bCs/>
          <w:color w:val="000000"/>
          <w:sz w:val="24"/>
          <w:szCs w:val="24"/>
        </w:rPr>
      </w:pPr>
    </w:p>
    <w:p w14:paraId="42E98D2E">
      <w:pPr>
        <w:pStyle w:val="21"/>
        <w:rPr>
          <w:rFonts w:hint="eastAsia" w:ascii="宋体" w:hAnsi="宋体" w:eastAsia="宋体" w:cs="宋体"/>
          <w:bCs/>
          <w:color w:val="000000"/>
          <w:sz w:val="24"/>
          <w:szCs w:val="24"/>
        </w:rPr>
      </w:pPr>
    </w:p>
    <w:p w14:paraId="2C0525B0">
      <w:pPr>
        <w:pStyle w:val="21"/>
        <w:rPr>
          <w:rFonts w:hint="eastAsia" w:ascii="宋体" w:hAnsi="宋体" w:eastAsia="宋体" w:cs="宋体"/>
          <w:bCs/>
          <w:color w:val="000000"/>
          <w:sz w:val="24"/>
          <w:szCs w:val="24"/>
        </w:rPr>
      </w:pPr>
    </w:p>
    <w:p w14:paraId="004929BA">
      <w:pPr>
        <w:pStyle w:val="21"/>
        <w:rPr>
          <w:rFonts w:hint="eastAsia" w:ascii="宋体" w:hAnsi="宋体" w:eastAsia="宋体" w:cs="宋体"/>
          <w:bCs/>
          <w:color w:val="000000"/>
          <w:sz w:val="24"/>
          <w:szCs w:val="24"/>
        </w:rPr>
      </w:pPr>
    </w:p>
    <w:p w14:paraId="5DA10536">
      <w:pPr>
        <w:pStyle w:val="21"/>
        <w:rPr>
          <w:rFonts w:hint="eastAsia" w:ascii="宋体" w:hAnsi="宋体" w:eastAsia="宋体" w:cs="宋体"/>
          <w:bCs/>
          <w:color w:val="000000"/>
          <w:sz w:val="24"/>
          <w:szCs w:val="24"/>
        </w:rPr>
      </w:pPr>
    </w:p>
    <w:p w14:paraId="4E8C6645">
      <w:pPr>
        <w:pStyle w:val="21"/>
        <w:rPr>
          <w:rFonts w:hint="eastAsia" w:ascii="宋体" w:hAnsi="宋体" w:eastAsia="宋体" w:cs="宋体"/>
          <w:bCs/>
          <w:color w:val="000000"/>
          <w:sz w:val="24"/>
          <w:szCs w:val="24"/>
        </w:rPr>
      </w:pPr>
    </w:p>
    <w:p w14:paraId="15E9BA4D">
      <w:pPr>
        <w:pStyle w:val="21"/>
        <w:rPr>
          <w:rFonts w:hint="eastAsia" w:ascii="宋体" w:hAnsi="宋体" w:eastAsia="宋体" w:cs="宋体"/>
          <w:bCs/>
          <w:color w:val="000000"/>
          <w:sz w:val="24"/>
          <w:szCs w:val="24"/>
        </w:rPr>
      </w:pPr>
    </w:p>
    <w:p w14:paraId="14513538">
      <w:pPr>
        <w:pStyle w:val="21"/>
        <w:rPr>
          <w:rFonts w:hint="eastAsia" w:ascii="宋体" w:hAnsi="宋体" w:eastAsia="宋体" w:cs="宋体"/>
          <w:bCs/>
          <w:color w:val="000000"/>
          <w:sz w:val="24"/>
          <w:szCs w:val="24"/>
        </w:rPr>
      </w:pPr>
    </w:p>
    <w:p w14:paraId="45CFAFA3">
      <w:pPr>
        <w:pStyle w:val="21"/>
        <w:rPr>
          <w:rFonts w:hint="eastAsia" w:ascii="宋体" w:hAnsi="宋体" w:eastAsia="宋体" w:cs="宋体"/>
          <w:bCs/>
          <w:color w:val="000000"/>
          <w:sz w:val="24"/>
          <w:szCs w:val="24"/>
        </w:rPr>
      </w:pPr>
    </w:p>
    <w:p w14:paraId="2D4F1FE7">
      <w:pPr>
        <w:pStyle w:val="21"/>
        <w:rPr>
          <w:rFonts w:hint="eastAsia" w:ascii="宋体" w:hAnsi="宋体" w:eastAsia="宋体" w:cs="宋体"/>
          <w:bCs/>
          <w:color w:val="000000"/>
          <w:sz w:val="24"/>
          <w:szCs w:val="24"/>
        </w:rPr>
      </w:pPr>
    </w:p>
    <w:p w14:paraId="193B376E">
      <w:pPr>
        <w:pStyle w:val="21"/>
        <w:rPr>
          <w:rFonts w:hint="eastAsia" w:ascii="宋体" w:hAnsi="宋体" w:eastAsia="宋体" w:cs="宋体"/>
          <w:bCs/>
          <w:color w:val="000000"/>
          <w:sz w:val="24"/>
          <w:szCs w:val="24"/>
        </w:rPr>
      </w:pPr>
    </w:p>
    <w:p w14:paraId="6A5E01E4">
      <w:pPr>
        <w:pStyle w:val="21"/>
        <w:rPr>
          <w:rFonts w:hint="eastAsia" w:ascii="宋体" w:hAnsi="宋体" w:eastAsia="宋体" w:cs="宋体"/>
          <w:bCs/>
          <w:color w:val="000000"/>
          <w:sz w:val="24"/>
          <w:szCs w:val="24"/>
        </w:rPr>
      </w:pPr>
    </w:p>
    <w:p w14:paraId="0A034536">
      <w:pPr>
        <w:pStyle w:val="21"/>
        <w:rPr>
          <w:rFonts w:hint="eastAsia" w:ascii="宋体" w:hAnsi="宋体" w:eastAsia="宋体" w:cs="宋体"/>
          <w:bCs/>
          <w:color w:val="000000"/>
          <w:sz w:val="24"/>
          <w:szCs w:val="24"/>
        </w:rPr>
      </w:pPr>
    </w:p>
    <w:p w14:paraId="0139A0B9">
      <w:pPr>
        <w:pStyle w:val="21"/>
        <w:rPr>
          <w:rFonts w:hint="eastAsia" w:ascii="宋体" w:hAnsi="宋体" w:eastAsia="宋体" w:cs="宋体"/>
          <w:bCs/>
          <w:color w:val="000000"/>
          <w:sz w:val="24"/>
          <w:szCs w:val="24"/>
        </w:rPr>
      </w:pPr>
    </w:p>
    <w:p w14:paraId="4896F03E">
      <w:pPr>
        <w:pStyle w:val="21"/>
        <w:rPr>
          <w:rFonts w:hint="eastAsia" w:ascii="宋体" w:hAnsi="宋体" w:eastAsia="宋体" w:cs="宋体"/>
          <w:bCs/>
          <w:color w:val="000000"/>
          <w:sz w:val="24"/>
          <w:szCs w:val="24"/>
        </w:rPr>
      </w:pPr>
    </w:p>
    <w:p w14:paraId="089AB3F8">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5CD3783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签字或法人印鉴</w:t>
      </w:r>
      <w:r>
        <w:rPr>
          <w:rFonts w:hint="eastAsia" w:ascii="宋体" w:hAnsi="宋体" w:eastAsia="宋体" w:cs="宋体"/>
          <w:b/>
          <w:color w:val="000000"/>
          <w:sz w:val="24"/>
          <w:szCs w:val="24"/>
        </w:rPr>
        <w:t>）</w:t>
      </w:r>
    </w:p>
    <w:p w14:paraId="64B455BA">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36D555EB">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14:paraId="77BDD01F">
      <w:pPr>
        <w:pStyle w:val="11"/>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sz w:val="24"/>
          <w:szCs w:val="24"/>
        </w:rPr>
      </w:pPr>
    </w:p>
    <w:p w14:paraId="6A87D3C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en-US"/>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bCs/>
          <w:sz w:val="24"/>
          <w:szCs w:val="24"/>
        </w:rPr>
        <w:t>注：表格中的“总价”与“投标报价一览表”中的“</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报价”一致</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p>
    <w:p w14:paraId="0723C1CF">
      <w:pPr>
        <w:keepLines/>
        <w:pageBreakBefore/>
        <w:spacing w:line="360" w:lineRule="auto"/>
        <w:jc w:val="center"/>
        <w:outlineLvl w:val="1"/>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367E2BF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kern w:val="0"/>
          <w:sz w:val="28"/>
          <w:szCs w:val="28"/>
        </w:rPr>
      </w:pPr>
    </w:p>
    <w:p w14:paraId="6150E64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为响应党中央、国务院关于治理政府采购领域商业贿赂行为的号召，我公司在此庄严承诺：</w:t>
      </w:r>
    </w:p>
    <w:p w14:paraId="17D0621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1.在参与政府采购活动中遵纪守法、诚信经营、公平竞标。</w:t>
      </w:r>
    </w:p>
    <w:p w14:paraId="3C562C0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2.不向政府采购人、采购代理机构和政府采购评审专家进行任何形式的商业贿赂以谋取交易机会。</w:t>
      </w:r>
    </w:p>
    <w:p w14:paraId="24BA3F0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3.不向政府采购代理机构和采购人提供虚假资质文件或采用虚假应标方式参与政府采购市场竞争并谋取中标、成交。</w:t>
      </w:r>
    </w:p>
    <w:p w14:paraId="620BA5B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4.不采取“围标、陪标”等商业欺诈手段获得政府采购定单。</w:t>
      </w:r>
    </w:p>
    <w:p w14:paraId="2E8EEB5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5.不采取不正当手段诋毁、排挤其他供应商。</w:t>
      </w:r>
    </w:p>
    <w:p w14:paraId="3703B51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6.不在提供商品和服务时“偷梁换柱、以次充好”损害采购人的合法权益。</w:t>
      </w:r>
    </w:p>
    <w:p w14:paraId="0E0DEE3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7.不与采购人、采购代理机构政府采购评审专家或其它供应商恶意串通，进行质疑和投诉，维护政府采购市场秩序。</w:t>
      </w:r>
    </w:p>
    <w:p w14:paraId="2EF9FB9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8.尊重和接受政府采购监督管理部门的监督和政府采购招标采购要求，承担因违约行为给采购人造成的损失。</w:t>
      </w:r>
    </w:p>
    <w:p w14:paraId="79F64DEF">
      <w:pPr>
        <w:keepNext w:val="0"/>
        <w:keepLines w:val="0"/>
        <w:pageBreakBefore w:val="0"/>
        <w:widowControl/>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9.不发生其他有悖于政府采购公开、公平、公正和诚信原则的行为。    地  址：                        </w:t>
      </w:r>
    </w:p>
    <w:p w14:paraId="62CE213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邮  编：</w:t>
      </w:r>
    </w:p>
    <w:p w14:paraId="28B7842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kern w:val="0"/>
          <w:sz w:val="24"/>
          <w:szCs w:val="24"/>
        </w:rPr>
        <w:t>电  话：                        </w:t>
      </w:r>
    </w:p>
    <w:p w14:paraId="3247E9FA">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1B296594">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法定代表人或</w:t>
      </w: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4C0BAE3D">
      <w:pPr>
        <w:keepNext w:val="0"/>
        <w:keepLines w:val="0"/>
        <w:pageBreakBefore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cs="宋体"/>
          <w:b/>
          <w:color w:val="000000"/>
          <w:sz w:val="32"/>
          <w:szCs w:val="32"/>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color w:val="000000"/>
          <w:sz w:val="24"/>
          <w:szCs w:val="24"/>
        </w:rPr>
        <w:t>日    期：  年  月  日</w:t>
      </w:r>
    </w:p>
    <w:bookmarkEnd w:id="927"/>
    <w:bookmarkEnd w:id="928"/>
    <w:bookmarkEnd w:id="929"/>
    <w:bookmarkEnd w:id="930"/>
    <w:p w14:paraId="0A25CEB5">
      <w:pPr>
        <w:jc w:val="center"/>
        <w:rPr>
          <w:rFonts w:hint="eastAsia" w:ascii="宋体" w:hAnsi="宋体" w:cs="宋体"/>
          <w:b/>
          <w:color w:val="000000"/>
          <w:sz w:val="28"/>
          <w:szCs w:val="28"/>
        </w:rPr>
      </w:pPr>
      <w:bookmarkStart w:id="948" w:name="_Toc522893849"/>
      <w:bookmarkStart w:id="949" w:name="_Hlk518637502"/>
      <w:bookmarkStart w:id="950" w:name="_Toc456197124"/>
      <w:bookmarkStart w:id="951" w:name="_Toc456197123"/>
      <w:bookmarkStart w:id="952" w:name="_Toc394320943"/>
      <w:bookmarkStart w:id="953" w:name="_Toc395711860"/>
      <w:bookmarkStart w:id="954" w:name="_Toc343512479"/>
      <w:bookmarkStart w:id="955" w:name="_Toc247085892"/>
      <w:bookmarkStart w:id="956" w:name="_Toc397410699"/>
      <w:bookmarkStart w:id="957" w:name="_Toc246997117"/>
      <w:bookmarkStart w:id="958" w:name="_Toc490171588"/>
      <w:bookmarkStart w:id="959" w:name="_Toc361406474"/>
      <w:bookmarkStart w:id="960" w:name="_Toc397585279"/>
      <w:bookmarkStart w:id="961" w:name="_Toc397410512"/>
      <w:bookmarkStart w:id="962" w:name="_Toc246996374"/>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bookmarkEnd w:id="948"/>
    </w:p>
    <w:p w14:paraId="3D828DE3">
      <w:pPr>
        <w:spacing w:line="360" w:lineRule="auto"/>
        <w:rPr>
          <w:rFonts w:hint="eastAsia" w:ascii="宋体" w:hAnsi="宋体" w:cs="宋体"/>
          <w:color w:val="000000"/>
          <w:sz w:val="24"/>
        </w:rPr>
      </w:pPr>
    </w:p>
    <w:p w14:paraId="15A4764E">
      <w:pPr>
        <w:pStyle w:val="21"/>
        <w:rPr>
          <w:rFonts w:hint="eastAsia"/>
        </w:rPr>
      </w:pPr>
    </w:p>
    <w:p w14:paraId="301A83CB">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A24D083">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1.服务方案；</w:t>
      </w:r>
    </w:p>
    <w:p w14:paraId="36A7CD48">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kern w:val="2"/>
          <w:sz w:val="24"/>
          <w:szCs w:val="24"/>
          <w:lang w:val="en-US" w:eastAsia="zh-CN" w:bidi="ar-SA"/>
        </w:rPr>
        <w:t>进度安排及保障措施</w:t>
      </w:r>
      <w:r>
        <w:rPr>
          <w:rFonts w:hint="eastAsia" w:ascii="宋体" w:hAnsi="宋体" w:eastAsia="宋体" w:cs="宋体"/>
          <w:color w:val="000000"/>
          <w:sz w:val="24"/>
          <w:szCs w:val="24"/>
          <w:lang w:val="en-US" w:eastAsia="zh-CN"/>
        </w:rPr>
        <w:t>；</w:t>
      </w:r>
    </w:p>
    <w:p w14:paraId="282018DD">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应急预案</w:t>
      </w:r>
      <w:r>
        <w:rPr>
          <w:rFonts w:hint="eastAsia" w:ascii="宋体" w:hAnsi="宋体" w:cs="宋体"/>
          <w:color w:val="000000"/>
          <w:sz w:val="24"/>
          <w:szCs w:val="24"/>
          <w:lang w:val="en-US" w:eastAsia="zh-CN"/>
        </w:rPr>
        <w:t>；</w:t>
      </w:r>
    </w:p>
    <w:p w14:paraId="0FE4DC0F">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.项目团队。</w:t>
      </w:r>
    </w:p>
    <w:p w14:paraId="405F119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按招标文件评标办法相应要求，无固定格式，投标人自拟。</w:t>
      </w:r>
    </w:p>
    <w:p w14:paraId="2E3CDAB7">
      <w:pPr>
        <w:spacing w:line="360" w:lineRule="auto"/>
        <w:ind w:firstLine="470" w:firstLineChars="196"/>
        <w:rPr>
          <w:rFonts w:hint="eastAsia" w:ascii="宋体" w:hAnsi="宋体" w:cs="宋体"/>
          <w:color w:val="000000"/>
          <w:sz w:val="24"/>
        </w:rPr>
      </w:pPr>
    </w:p>
    <w:p w14:paraId="7A9FBB40">
      <w:pPr>
        <w:spacing w:line="360" w:lineRule="auto"/>
        <w:ind w:firstLine="470" w:firstLineChars="196"/>
        <w:rPr>
          <w:rFonts w:hint="eastAsia" w:ascii="宋体" w:hAnsi="宋体" w:cs="宋体"/>
          <w:color w:val="000000"/>
          <w:sz w:val="24"/>
        </w:rPr>
      </w:pPr>
    </w:p>
    <w:p w14:paraId="18727549">
      <w:pPr>
        <w:spacing w:line="360" w:lineRule="auto"/>
        <w:ind w:firstLine="470" w:firstLineChars="196"/>
        <w:rPr>
          <w:rFonts w:hint="eastAsia" w:ascii="宋体" w:hAnsi="宋体" w:cs="宋体"/>
          <w:color w:val="000000"/>
          <w:sz w:val="24"/>
        </w:rPr>
      </w:pPr>
    </w:p>
    <w:p w14:paraId="4333219B">
      <w:pPr>
        <w:spacing w:line="360" w:lineRule="auto"/>
        <w:jc w:val="center"/>
        <w:outlineLvl w:val="1"/>
        <w:rPr>
          <w:rFonts w:hint="eastAsia" w:ascii="宋体" w:hAnsi="宋体" w:cs="宋体"/>
          <w:b/>
          <w:color w:val="000000"/>
          <w:sz w:val="36"/>
          <w:szCs w:val="36"/>
        </w:rPr>
      </w:pPr>
      <w:r>
        <w:rPr>
          <w:rFonts w:hint="eastAsia" w:ascii="宋体" w:hAnsi="宋体" w:cs="宋体"/>
          <w:color w:val="000000"/>
          <w:sz w:val="24"/>
        </w:rPr>
        <w:br w:type="page"/>
      </w:r>
      <w:bookmarkStart w:id="963" w:name="_Toc522893850"/>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bookmarkEnd w:id="963"/>
    </w:p>
    <w:p w14:paraId="0F86782E">
      <w:pPr>
        <w:spacing w:line="360" w:lineRule="auto"/>
        <w:ind w:firstLine="470" w:firstLineChars="196"/>
        <w:rPr>
          <w:rFonts w:hint="eastAsia" w:ascii="宋体" w:hAnsi="宋体" w:cs="宋体"/>
          <w:color w:val="000000"/>
          <w:sz w:val="24"/>
        </w:rPr>
      </w:pPr>
    </w:p>
    <w:p w14:paraId="1881DB31">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EF63DAC">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1.业绩；</w:t>
      </w:r>
    </w:p>
    <w:p w14:paraId="20764D8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.合理化建议；</w:t>
      </w:r>
    </w:p>
    <w:p w14:paraId="7D8A3AC6">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.售后服务；</w:t>
      </w:r>
    </w:p>
    <w:p w14:paraId="51AA5624">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eastAsia="zh-CN"/>
        </w:rPr>
        <w:t>.供应商认为有必要说明的问题。</w:t>
      </w:r>
    </w:p>
    <w:p w14:paraId="019193EE">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按</w:t>
      </w:r>
      <w:r>
        <w:rPr>
          <w:rFonts w:hint="eastAsia" w:ascii="宋体" w:hAnsi="宋体" w:eastAsia="宋体" w:cs="宋体"/>
          <w:color w:val="000000"/>
          <w:sz w:val="24"/>
          <w:szCs w:val="24"/>
        </w:rPr>
        <w:t>招标文件评标办法相应要求，无固定格式，</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自拟。</w:t>
      </w:r>
    </w:p>
    <w:p w14:paraId="28FACD86">
      <w:pPr>
        <w:spacing w:line="360" w:lineRule="auto"/>
        <w:jc w:val="left"/>
        <w:rPr>
          <w:rFonts w:hint="eastAsia" w:ascii="宋体" w:hAnsi="宋体" w:cs="宋体"/>
          <w:b/>
          <w:color w:val="000000"/>
          <w:sz w:val="24"/>
          <w:szCs w:val="22"/>
        </w:rPr>
      </w:pPr>
    </w:p>
    <w:p w14:paraId="57548108">
      <w:pPr>
        <w:spacing w:line="360" w:lineRule="auto"/>
        <w:jc w:val="left"/>
        <w:rPr>
          <w:rFonts w:hint="eastAsia" w:ascii="宋体" w:hAnsi="宋体" w:cs="宋体"/>
          <w:b/>
          <w:color w:val="000000"/>
          <w:sz w:val="24"/>
          <w:szCs w:val="22"/>
        </w:rPr>
      </w:pPr>
    </w:p>
    <w:p w14:paraId="2E4A5715">
      <w:pPr>
        <w:spacing w:line="360" w:lineRule="auto"/>
        <w:jc w:val="left"/>
        <w:rPr>
          <w:rFonts w:hint="eastAsia" w:ascii="宋体" w:hAnsi="宋体" w:cs="宋体"/>
          <w:b/>
          <w:color w:val="000000"/>
          <w:sz w:val="24"/>
          <w:szCs w:val="22"/>
        </w:rPr>
      </w:pPr>
    </w:p>
    <w:p w14:paraId="33B817A5">
      <w:pPr>
        <w:spacing w:line="360" w:lineRule="auto"/>
        <w:jc w:val="left"/>
        <w:rPr>
          <w:rFonts w:hint="eastAsia" w:ascii="宋体" w:hAnsi="宋体" w:cs="宋体"/>
          <w:b/>
          <w:color w:val="000000"/>
          <w:sz w:val="24"/>
          <w:szCs w:val="22"/>
        </w:rPr>
      </w:pPr>
    </w:p>
    <w:p w14:paraId="1D1BC493">
      <w:pPr>
        <w:spacing w:line="360" w:lineRule="auto"/>
        <w:jc w:val="left"/>
        <w:rPr>
          <w:rFonts w:hint="eastAsia" w:ascii="宋体" w:hAnsi="宋体" w:cs="宋体"/>
          <w:b/>
          <w:color w:val="000000"/>
          <w:sz w:val="24"/>
          <w:szCs w:val="22"/>
        </w:rPr>
      </w:pPr>
    </w:p>
    <w:p w14:paraId="3C493948">
      <w:pPr>
        <w:spacing w:line="360" w:lineRule="auto"/>
        <w:jc w:val="left"/>
        <w:rPr>
          <w:rFonts w:hint="eastAsia" w:ascii="宋体" w:hAnsi="宋体" w:cs="宋体"/>
          <w:b/>
          <w:color w:val="000000"/>
          <w:sz w:val="24"/>
          <w:szCs w:val="22"/>
        </w:rPr>
      </w:pPr>
    </w:p>
    <w:p w14:paraId="7D5D3277">
      <w:pPr>
        <w:spacing w:line="360" w:lineRule="auto"/>
        <w:jc w:val="left"/>
        <w:rPr>
          <w:rFonts w:hint="eastAsia" w:ascii="宋体" w:hAnsi="宋体" w:cs="宋体"/>
          <w:b/>
          <w:color w:val="000000"/>
          <w:sz w:val="24"/>
          <w:szCs w:val="22"/>
        </w:rPr>
      </w:pPr>
    </w:p>
    <w:p w14:paraId="1E929FA8">
      <w:pPr>
        <w:spacing w:line="360" w:lineRule="auto"/>
        <w:jc w:val="left"/>
        <w:rPr>
          <w:rFonts w:hint="eastAsia" w:ascii="宋体" w:hAnsi="宋体" w:cs="宋体"/>
          <w:b/>
          <w:color w:val="000000"/>
          <w:sz w:val="24"/>
          <w:szCs w:val="22"/>
        </w:rPr>
      </w:pPr>
    </w:p>
    <w:p w14:paraId="5A3E3749">
      <w:pPr>
        <w:pStyle w:val="11"/>
        <w:rPr>
          <w:rFonts w:hint="eastAsia"/>
        </w:rPr>
      </w:pPr>
    </w:p>
    <w:p w14:paraId="18AEA00B">
      <w:pPr>
        <w:spacing w:line="360" w:lineRule="auto"/>
        <w:jc w:val="left"/>
        <w:rPr>
          <w:rFonts w:hint="eastAsia" w:ascii="宋体" w:hAnsi="宋体" w:cs="宋体"/>
          <w:b/>
          <w:color w:val="000000"/>
          <w:sz w:val="24"/>
          <w:szCs w:val="22"/>
        </w:rPr>
      </w:pPr>
    </w:p>
    <w:p w14:paraId="664B021E">
      <w:pPr>
        <w:spacing w:line="360" w:lineRule="auto"/>
        <w:jc w:val="left"/>
        <w:rPr>
          <w:rFonts w:hint="eastAsia" w:ascii="宋体" w:hAnsi="宋体" w:cs="宋体"/>
          <w:b/>
          <w:color w:val="000000"/>
          <w:sz w:val="24"/>
          <w:szCs w:val="22"/>
        </w:rPr>
      </w:pPr>
    </w:p>
    <w:p w14:paraId="07AFD960">
      <w:pPr>
        <w:spacing w:line="360" w:lineRule="auto"/>
        <w:jc w:val="left"/>
        <w:rPr>
          <w:rFonts w:hint="eastAsia" w:ascii="宋体" w:hAnsi="宋体" w:cs="宋体"/>
          <w:b/>
          <w:color w:val="000000"/>
          <w:sz w:val="24"/>
          <w:szCs w:val="22"/>
        </w:rPr>
      </w:pPr>
    </w:p>
    <w:p w14:paraId="465E321B">
      <w:pPr>
        <w:spacing w:line="360" w:lineRule="auto"/>
        <w:jc w:val="left"/>
        <w:rPr>
          <w:rFonts w:hint="eastAsia" w:ascii="宋体" w:hAnsi="宋体" w:cs="宋体"/>
          <w:b/>
          <w:color w:val="000000"/>
          <w:sz w:val="24"/>
          <w:szCs w:val="22"/>
        </w:rPr>
      </w:pPr>
    </w:p>
    <w:p w14:paraId="1F2AFB75">
      <w:pPr>
        <w:spacing w:line="360" w:lineRule="auto"/>
        <w:jc w:val="left"/>
        <w:rPr>
          <w:rFonts w:hint="eastAsia" w:ascii="宋体" w:hAnsi="宋体" w:cs="宋体"/>
          <w:b/>
          <w:color w:val="000000"/>
          <w:sz w:val="24"/>
          <w:szCs w:val="22"/>
        </w:rPr>
      </w:pPr>
    </w:p>
    <w:p w14:paraId="354B8DA9">
      <w:pPr>
        <w:spacing w:line="360" w:lineRule="auto"/>
        <w:jc w:val="left"/>
        <w:rPr>
          <w:rFonts w:hint="eastAsia" w:ascii="宋体" w:hAnsi="宋体" w:cs="宋体"/>
          <w:b/>
          <w:color w:val="000000"/>
          <w:sz w:val="24"/>
          <w:szCs w:val="22"/>
        </w:rPr>
      </w:pPr>
    </w:p>
    <w:p w14:paraId="40D5FBCA">
      <w:pPr>
        <w:spacing w:line="360" w:lineRule="auto"/>
        <w:jc w:val="left"/>
        <w:rPr>
          <w:rFonts w:hint="eastAsia" w:ascii="宋体" w:hAnsi="宋体" w:cs="宋体"/>
          <w:b/>
          <w:color w:val="000000"/>
          <w:sz w:val="24"/>
          <w:szCs w:val="22"/>
        </w:rPr>
      </w:pPr>
    </w:p>
    <w:p w14:paraId="4B25A5EA">
      <w:pPr>
        <w:pStyle w:val="11"/>
        <w:rPr>
          <w:rFonts w:hint="eastAsia"/>
        </w:rPr>
      </w:pPr>
    </w:p>
    <w:p w14:paraId="7D0CC659">
      <w:pPr>
        <w:spacing w:line="360" w:lineRule="auto"/>
        <w:jc w:val="left"/>
        <w:rPr>
          <w:rFonts w:hint="eastAsia" w:ascii="宋体" w:hAnsi="宋体" w:cs="宋体"/>
          <w:b/>
          <w:color w:val="000000"/>
          <w:sz w:val="24"/>
          <w:szCs w:val="22"/>
        </w:rPr>
      </w:pPr>
    </w:p>
    <w:p w14:paraId="18CE7074">
      <w:pPr>
        <w:spacing w:line="360" w:lineRule="auto"/>
        <w:jc w:val="left"/>
        <w:rPr>
          <w:rFonts w:hint="eastAsia" w:ascii="宋体" w:hAnsi="宋体" w:cs="宋体"/>
          <w:b/>
          <w:color w:val="000000"/>
          <w:sz w:val="24"/>
          <w:szCs w:val="22"/>
        </w:rPr>
      </w:pPr>
    </w:p>
    <w:p w14:paraId="4229DBC0">
      <w:pPr>
        <w:spacing w:line="360" w:lineRule="auto"/>
        <w:jc w:val="left"/>
        <w:rPr>
          <w:rFonts w:hint="eastAsia" w:ascii="宋体" w:hAnsi="宋体" w:cs="宋体"/>
          <w:b/>
          <w:color w:val="000000"/>
          <w:sz w:val="24"/>
          <w:szCs w:val="22"/>
        </w:rPr>
      </w:pPr>
    </w:p>
    <w:p w14:paraId="6C3BE61E">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6E162728">
      <w:pPr>
        <w:spacing w:line="360" w:lineRule="auto"/>
        <w:jc w:val="left"/>
        <w:rPr>
          <w:rFonts w:hint="eastAsia" w:ascii="宋体" w:hAnsi="宋体" w:cs="宋体"/>
          <w:b/>
          <w:color w:val="000000"/>
          <w:sz w:val="24"/>
          <w:szCs w:val="22"/>
        </w:rPr>
      </w:pPr>
    </w:p>
    <w:p w14:paraId="0968E074">
      <w:pPr>
        <w:spacing w:line="360" w:lineRule="auto"/>
        <w:jc w:val="left"/>
        <w:rPr>
          <w:rFonts w:hint="eastAsia" w:ascii="宋体" w:hAnsi="宋体" w:cs="宋体"/>
          <w:b/>
          <w:color w:val="000000"/>
          <w:sz w:val="24"/>
          <w:szCs w:val="22"/>
        </w:rPr>
      </w:pPr>
    </w:p>
    <w:p w14:paraId="062563E1">
      <w:pPr>
        <w:pStyle w:val="11"/>
        <w:rPr>
          <w:rFonts w:hint="eastAsia" w:cs="宋体"/>
          <w:b/>
          <w:color w:val="000000"/>
          <w:sz w:val="24"/>
          <w:szCs w:val="22"/>
        </w:rPr>
      </w:pPr>
    </w:p>
    <w:p w14:paraId="35DBBB0A">
      <w:pPr>
        <w:rPr>
          <w:rFonts w:hint="eastAsia" w:ascii="宋体" w:hAnsi="宋体" w:cs="宋体"/>
          <w:b/>
          <w:color w:val="000000"/>
          <w:sz w:val="24"/>
          <w:szCs w:val="22"/>
        </w:rPr>
      </w:pPr>
    </w:p>
    <w:p w14:paraId="6F4B2243">
      <w:pPr>
        <w:pStyle w:val="11"/>
        <w:rPr>
          <w:rFonts w:hint="eastAsia"/>
        </w:rPr>
      </w:pPr>
    </w:p>
    <w:p w14:paraId="0428DB50">
      <w:pPr>
        <w:spacing w:line="360" w:lineRule="auto"/>
        <w:jc w:val="left"/>
        <w:rPr>
          <w:rFonts w:hint="eastAsia" w:ascii="宋体" w:hAnsi="宋体" w:cs="宋体"/>
          <w:b/>
          <w:color w:val="000000"/>
          <w:sz w:val="24"/>
          <w:szCs w:val="22"/>
        </w:rPr>
      </w:pPr>
    </w:p>
    <w:p w14:paraId="479F2A1D">
      <w:pPr>
        <w:spacing w:line="360" w:lineRule="auto"/>
        <w:jc w:val="left"/>
        <w:rPr>
          <w:rFonts w:hint="eastAsia" w:ascii="宋体" w:hAnsi="宋体" w:cs="宋体"/>
          <w:b/>
          <w:color w:val="000000"/>
          <w:sz w:val="24"/>
          <w:szCs w:val="22"/>
        </w:rPr>
      </w:pPr>
    </w:p>
    <w:p w14:paraId="040E6867">
      <w:pPr>
        <w:pStyle w:val="11"/>
        <w:rPr>
          <w:rFonts w:hint="eastAsia" w:ascii="宋体" w:hAnsi="宋体" w:cs="宋体"/>
          <w:b/>
          <w:color w:val="000000"/>
          <w:sz w:val="24"/>
          <w:szCs w:val="22"/>
        </w:rPr>
      </w:pPr>
    </w:p>
    <w:p w14:paraId="2071DF6F">
      <w:pPr>
        <w:rPr>
          <w:rFonts w:hint="eastAsia" w:ascii="宋体" w:hAnsi="宋体" w:cs="宋体"/>
          <w:b/>
          <w:color w:val="000000"/>
          <w:sz w:val="24"/>
          <w:szCs w:val="22"/>
        </w:rPr>
      </w:pPr>
    </w:p>
    <w:p w14:paraId="2EF4C531">
      <w:pPr>
        <w:pStyle w:val="11"/>
        <w:rPr>
          <w:rFonts w:hint="eastAsia" w:ascii="宋体" w:hAnsi="宋体" w:cs="宋体"/>
          <w:b/>
          <w:color w:val="000000"/>
          <w:sz w:val="24"/>
          <w:szCs w:val="22"/>
        </w:rPr>
      </w:pPr>
    </w:p>
    <w:p w14:paraId="2D585D28">
      <w:pPr>
        <w:rPr>
          <w:rFonts w:hint="eastAsia" w:ascii="宋体" w:hAnsi="宋体" w:cs="宋体"/>
          <w:b/>
          <w:color w:val="000000"/>
          <w:sz w:val="24"/>
          <w:szCs w:val="22"/>
        </w:rPr>
      </w:pPr>
    </w:p>
    <w:p w14:paraId="031AD474">
      <w:pPr>
        <w:pStyle w:val="11"/>
        <w:rPr>
          <w:rFonts w:hint="eastAsia" w:ascii="宋体" w:hAnsi="宋体" w:cs="宋体"/>
          <w:b/>
          <w:color w:val="000000"/>
          <w:sz w:val="24"/>
          <w:szCs w:val="22"/>
        </w:rPr>
      </w:pPr>
    </w:p>
    <w:p w14:paraId="217AD228">
      <w:pPr>
        <w:rPr>
          <w:rFonts w:hint="eastAsia" w:ascii="宋体" w:hAnsi="宋体" w:cs="宋体"/>
          <w:b/>
          <w:color w:val="000000"/>
          <w:sz w:val="24"/>
          <w:szCs w:val="22"/>
        </w:rPr>
      </w:pPr>
    </w:p>
    <w:p w14:paraId="1E7042EF">
      <w:pPr>
        <w:pStyle w:val="11"/>
        <w:rPr>
          <w:rFonts w:hint="eastAsia" w:ascii="宋体" w:hAnsi="宋体" w:cs="宋体"/>
          <w:b/>
          <w:color w:val="000000"/>
          <w:sz w:val="24"/>
          <w:szCs w:val="22"/>
        </w:rPr>
      </w:pPr>
    </w:p>
    <w:p w14:paraId="087F4D7C">
      <w:pPr>
        <w:rPr>
          <w:rFonts w:hint="eastAsia" w:ascii="宋体" w:hAnsi="宋体" w:cs="宋体"/>
          <w:b/>
          <w:color w:val="000000"/>
          <w:sz w:val="24"/>
          <w:szCs w:val="22"/>
        </w:rPr>
      </w:pPr>
    </w:p>
    <w:p w14:paraId="424BD6AE">
      <w:pPr>
        <w:pStyle w:val="11"/>
        <w:rPr>
          <w:rFonts w:hint="eastAsia" w:ascii="宋体" w:hAnsi="宋体" w:cs="宋体"/>
          <w:b/>
          <w:color w:val="000000"/>
          <w:sz w:val="24"/>
          <w:szCs w:val="22"/>
        </w:rPr>
      </w:pPr>
    </w:p>
    <w:p w14:paraId="5D33B6C1">
      <w:pPr>
        <w:rPr>
          <w:rFonts w:hint="eastAsia" w:ascii="宋体" w:hAnsi="宋体" w:cs="宋体"/>
          <w:b/>
          <w:color w:val="000000"/>
          <w:sz w:val="24"/>
          <w:szCs w:val="22"/>
        </w:rPr>
      </w:pPr>
    </w:p>
    <w:p w14:paraId="569D785E">
      <w:pPr>
        <w:pStyle w:val="11"/>
        <w:rPr>
          <w:rFonts w:hint="eastAsia" w:ascii="宋体" w:hAnsi="宋体" w:cs="宋体"/>
          <w:b/>
          <w:color w:val="000000"/>
          <w:sz w:val="24"/>
          <w:szCs w:val="22"/>
        </w:rPr>
      </w:pPr>
    </w:p>
    <w:p w14:paraId="269AA0D0">
      <w:pPr>
        <w:rPr>
          <w:rFonts w:hint="eastAsia" w:ascii="宋体" w:hAnsi="宋体" w:cs="宋体"/>
          <w:b/>
          <w:color w:val="000000"/>
          <w:sz w:val="24"/>
          <w:szCs w:val="22"/>
        </w:rPr>
      </w:pPr>
    </w:p>
    <w:p w14:paraId="70AD7A88">
      <w:pPr>
        <w:pStyle w:val="11"/>
        <w:rPr>
          <w:rFonts w:hint="eastAsia" w:ascii="宋体" w:hAnsi="宋体" w:cs="宋体"/>
          <w:b/>
          <w:color w:val="000000"/>
          <w:sz w:val="24"/>
          <w:szCs w:val="22"/>
        </w:rPr>
      </w:pPr>
    </w:p>
    <w:p w14:paraId="5DC4581B">
      <w:pPr>
        <w:rPr>
          <w:rFonts w:hint="eastAsia" w:ascii="宋体" w:hAnsi="宋体" w:cs="宋体"/>
          <w:b/>
          <w:color w:val="000000"/>
          <w:sz w:val="24"/>
          <w:szCs w:val="22"/>
        </w:rPr>
      </w:pPr>
    </w:p>
    <w:p w14:paraId="0625C98E">
      <w:pPr>
        <w:pStyle w:val="11"/>
        <w:rPr>
          <w:rFonts w:hint="eastAsia" w:ascii="宋体" w:hAnsi="宋体" w:cs="宋体"/>
          <w:b/>
          <w:color w:val="000000"/>
          <w:sz w:val="24"/>
          <w:szCs w:val="22"/>
        </w:rPr>
      </w:pPr>
    </w:p>
    <w:p w14:paraId="0D3893CB">
      <w:pPr>
        <w:rPr>
          <w:rFonts w:hint="eastAsia" w:ascii="宋体" w:hAnsi="宋体" w:cs="宋体"/>
          <w:b/>
          <w:color w:val="000000"/>
          <w:sz w:val="24"/>
          <w:szCs w:val="22"/>
        </w:rPr>
      </w:pPr>
    </w:p>
    <w:p w14:paraId="3DA5D84F">
      <w:pPr>
        <w:pStyle w:val="11"/>
        <w:rPr>
          <w:rFonts w:hint="eastAsia" w:ascii="宋体" w:hAnsi="宋体" w:cs="宋体"/>
          <w:b/>
          <w:color w:val="000000"/>
          <w:sz w:val="24"/>
          <w:szCs w:val="22"/>
        </w:rPr>
      </w:pPr>
    </w:p>
    <w:p w14:paraId="25AD6171">
      <w:pPr>
        <w:rPr>
          <w:rFonts w:hint="eastAsia" w:ascii="宋体" w:hAnsi="宋体" w:cs="宋体"/>
          <w:b/>
          <w:color w:val="000000"/>
          <w:sz w:val="24"/>
          <w:szCs w:val="22"/>
        </w:rPr>
      </w:pPr>
    </w:p>
    <w:p w14:paraId="02A724BF">
      <w:pPr>
        <w:pStyle w:val="11"/>
        <w:rPr>
          <w:rFonts w:hint="eastAsia" w:ascii="宋体" w:hAnsi="宋体" w:cs="宋体"/>
          <w:b/>
          <w:color w:val="000000"/>
          <w:sz w:val="24"/>
          <w:szCs w:val="22"/>
        </w:rPr>
      </w:pPr>
    </w:p>
    <w:p w14:paraId="5579085E">
      <w:pPr>
        <w:rPr>
          <w:rFonts w:hint="eastAsia" w:ascii="宋体" w:hAnsi="宋体" w:cs="宋体"/>
          <w:b/>
          <w:color w:val="000000"/>
          <w:sz w:val="24"/>
          <w:szCs w:val="22"/>
        </w:rPr>
      </w:pPr>
    </w:p>
    <w:p w14:paraId="08700E31">
      <w:pPr>
        <w:pStyle w:val="11"/>
        <w:rPr>
          <w:rFonts w:hint="eastAsia" w:ascii="宋体" w:hAnsi="宋体" w:cs="宋体"/>
          <w:b/>
          <w:color w:val="000000"/>
          <w:sz w:val="24"/>
          <w:szCs w:val="22"/>
        </w:rPr>
      </w:pPr>
    </w:p>
    <w:p w14:paraId="2B359F40">
      <w:pPr>
        <w:rPr>
          <w:rFonts w:hint="eastAsia" w:ascii="宋体" w:hAnsi="宋体" w:cs="宋体"/>
          <w:b/>
          <w:color w:val="000000"/>
          <w:sz w:val="24"/>
          <w:szCs w:val="22"/>
        </w:rPr>
      </w:pPr>
    </w:p>
    <w:p w14:paraId="01EE1B4E">
      <w:pPr>
        <w:pStyle w:val="11"/>
        <w:rPr>
          <w:rFonts w:hint="eastAsia" w:ascii="宋体" w:hAnsi="宋体" w:cs="宋体"/>
          <w:b/>
          <w:color w:val="000000"/>
          <w:sz w:val="24"/>
          <w:szCs w:val="22"/>
        </w:rPr>
      </w:pPr>
    </w:p>
    <w:p w14:paraId="55F7378E">
      <w:pPr>
        <w:rPr>
          <w:rFonts w:hint="eastAsia" w:ascii="宋体" w:hAnsi="宋体" w:cs="宋体"/>
          <w:b/>
          <w:color w:val="000000"/>
          <w:sz w:val="24"/>
          <w:szCs w:val="22"/>
        </w:rPr>
      </w:pPr>
    </w:p>
    <w:p w14:paraId="6CD5E312">
      <w:pPr>
        <w:pStyle w:val="11"/>
        <w:rPr>
          <w:rFonts w:hint="eastAsia" w:ascii="宋体" w:hAnsi="宋体" w:cs="宋体"/>
          <w:b/>
          <w:color w:val="000000"/>
          <w:sz w:val="24"/>
          <w:szCs w:val="22"/>
        </w:rPr>
      </w:pPr>
    </w:p>
    <w:p w14:paraId="5829E22C">
      <w:pPr>
        <w:rPr>
          <w:rFonts w:hint="eastAsia" w:ascii="宋体" w:hAnsi="宋体" w:cs="宋体"/>
          <w:b/>
          <w:color w:val="000000"/>
          <w:sz w:val="24"/>
          <w:szCs w:val="22"/>
        </w:rPr>
      </w:pPr>
    </w:p>
    <w:p w14:paraId="161A8D53">
      <w:pPr>
        <w:pStyle w:val="11"/>
        <w:rPr>
          <w:rFonts w:hint="eastAsia" w:ascii="宋体" w:hAnsi="宋体" w:cs="宋体"/>
          <w:b/>
          <w:color w:val="000000"/>
          <w:sz w:val="24"/>
          <w:szCs w:val="22"/>
        </w:rPr>
      </w:pPr>
    </w:p>
    <w:p w14:paraId="2147A086">
      <w:pPr>
        <w:rPr>
          <w:rFonts w:hint="eastAsia" w:ascii="宋体" w:hAnsi="宋体" w:cs="宋体"/>
          <w:b/>
          <w:color w:val="000000"/>
          <w:sz w:val="24"/>
          <w:szCs w:val="22"/>
        </w:rPr>
      </w:pPr>
    </w:p>
    <w:p w14:paraId="0FC950A4">
      <w:pPr>
        <w:pStyle w:val="11"/>
        <w:rPr>
          <w:rFonts w:hint="eastAsia" w:ascii="宋体" w:hAnsi="宋体" w:cs="宋体"/>
          <w:b/>
          <w:color w:val="000000"/>
          <w:sz w:val="24"/>
          <w:szCs w:val="22"/>
        </w:rPr>
      </w:pPr>
    </w:p>
    <w:p w14:paraId="2552D9DA">
      <w:pPr>
        <w:rPr>
          <w:rFonts w:hint="eastAsia" w:ascii="宋体" w:hAnsi="宋体" w:cs="宋体"/>
          <w:b/>
          <w:color w:val="000000"/>
          <w:sz w:val="24"/>
          <w:szCs w:val="22"/>
        </w:rPr>
      </w:pPr>
    </w:p>
    <w:p w14:paraId="6C2D159E">
      <w:pPr>
        <w:pStyle w:val="11"/>
        <w:rPr>
          <w:rFonts w:hint="eastAsia" w:ascii="宋体" w:hAnsi="宋体" w:cs="宋体"/>
          <w:b/>
          <w:color w:val="000000"/>
          <w:sz w:val="24"/>
          <w:szCs w:val="22"/>
        </w:rPr>
      </w:pPr>
    </w:p>
    <w:p w14:paraId="3451CFDC">
      <w:pPr>
        <w:rPr>
          <w:rFonts w:hint="eastAsia" w:ascii="宋体" w:hAnsi="宋体" w:cs="宋体"/>
          <w:b/>
          <w:color w:val="000000"/>
          <w:sz w:val="24"/>
          <w:szCs w:val="22"/>
        </w:rPr>
      </w:pPr>
    </w:p>
    <w:bookmarkEnd w:id="949"/>
    <w:p w14:paraId="5E3E5CF6">
      <w:pPr>
        <w:spacing w:line="360" w:lineRule="auto"/>
        <w:ind w:firstLine="3840" w:firstLineChars="1600"/>
        <w:jc w:val="left"/>
        <w:rPr>
          <w:rFonts w:ascii="宋体" w:hAnsi="宋体" w:cs="宋体"/>
          <w:color w:val="000000"/>
          <w:sz w:val="24"/>
          <w:szCs w:val="24"/>
        </w:rPr>
        <w:sectPr>
          <w:footerReference r:id="rId17" w:type="first"/>
          <w:footerReference r:id="rId16" w:type="default"/>
          <w:pgSz w:w="11906" w:h="16838"/>
          <w:pgMar w:top="1440" w:right="1440" w:bottom="1440" w:left="1440" w:header="851" w:footer="992" w:gutter="0"/>
          <w:lnNumType w:countBy="0" w:distance="360"/>
          <w:cols w:space="720" w:num="1"/>
          <w:titlePg/>
          <w:docGrid w:linePitch="312" w:charSpace="889"/>
        </w:sectPr>
      </w:pPr>
    </w:p>
    <w:bookmarkEnd w:id="950"/>
    <w:bookmarkEnd w:id="951"/>
    <w:bookmarkEnd w:id="952"/>
    <w:bookmarkEnd w:id="953"/>
    <w:bookmarkEnd w:id="954"/>
    <w:bookmarkEnd w:id="955"/>
    <w:bookmarkEnd w:id="956"/>
    <w:bookmarkEnd w:id="957"/>
    <w:bookmarkEnd w:id="958"/>
    <w:bookmarkEnd w:id="959"/>
    <w:bookmarkEnd w:id="960"/>
    <w:bookmarkEnd w:id="961"/>
    <w:bookmarkEnd w:id="962"/>
    <w:p w14:paraId="4101E173">
      <w:pPr>
        <w:outlineLvl w:val="0"/>
        <w:rPr>
          <w:rFonts w:hint="eastAsia" w:ascii="宋体" w:hAnsi="宋体" w:eastAsia="宋体" w:cs="宋体"/>
          <w:b/>
          <w:color w:val="000000"/>
          <w:sz w:val="24"/>
          <w:lang w:eastAsia="zh-CN"/>
        </w:rPr>
      </w:pPr>
      <w:bookmarkStart w:id="964" w:name="_Toc13422"/>
      <w:bookmarkStart w:id="965" w:name="_Toc7007"/>
      <w:bookmarkStart w:id="966" w:name="_Toc1373"/>
      <w:bookmarkStart w:id="967" w:name="_Toc3759"/>
      <w:bookmarkStart w:id="968" w:name="_Toc12082"/>
      <w:bookmarkStart w:id="969" w:name="_Toc2637"/>
      <w:bookmarkStart w:id="970" w:name="_Toc19469"/>
      <w:bookmarkStart w:id="971" w:name="_Toc150_WPSOffice_Level1"/>
      <w:r>
        <w:rPr>
          <w:rFonts w:hint="eastAsia" w:ascii="宋体" w:hAnsi="宋体" w:eastAsia="宋体" w:cs="宋体"/>
          <w:b/>
          <w:color w:val="000000"/>
          <w:sz w:val="24"/>
        </w:rPr>
        <w:t>附件</w:t>
      </w:r>
      <w:bookmarkEnd w:id="964"/>
      <w:bookmarkEnd w:id="965"/>
      <w:bookmarkEnd w:id="966"/>
      <w:bookmarkEnd w:id="967"/>
      <w:bookmarkEnd w:id="968"/>
      <w:bookmarkEnd w:id="969"/>
      <w:r>
        <w:rPr>
          <w:rFonts w:hint="eastAsia" w:ascii="宋体" w:hAnsi="宋体" w:eastAsia="宋体" w:cs="宋体"/>
          <w:b/>
          <w:color w:val="000000"/>
          <w:sz w:val="24"/>
          <w:lang w:val="en-US" w:eastAsia="zh-CN"/>
        </w:rPr>
        <w:t>1</w:t>
      </w:r>
    </w:p>
    <w:p w14:paraId="7ECCA561">
      <w:pPr>
        <w:widowControl/>
        <w:shd w:val="clear" w:color="auto" w:fill="auto"/>
        <w:spacing w:before="120" w:beforeLines="50" w:after="120" w:afterLines="50" w:line="360" w:lineRule="auto"/>
        <w:jc w:val="center"/>
        <w:textAlignment w:val="baseline"/>
        <w:rPr>
          <w:rFonts w:hint="eastAsia" w:ascii="宋体" w:hAnsi="宋体"/>
          <w:b/>
          <w:color w:val="000000"/>
          <w:kern w:val="0"/>
          <w:sz w:val="36"/>
          <w:szCs w:val="36"/>
        </w:rPr>
      </w:pPr>
    </w:p>
    <w:p w14:paraId="788E2234">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72" w:name="_Toc18601"/>
      <w:bookmarkStart w:id="973" w:name="_Toc29410"/>
      <w:bookmarkStart w:id="974" w:name="_Toc17548"/>
      <w:bookmarkStart w:id="975" w:name="_Toc24984"/>
      <w:bookmarkStart w:id="976" w:name="_Toc1051"/>
      <w:bookmarkStart w:id="977" w:name="_Toc25831"/>
      <w:r>
        <w:rPr>
          <w:rFonts w:hint="eastAsia" w:ascii="宋体" w:hAnsi="宋体"/>
          <w:b/>
          <w:color w:val="000000"/>
          <w:kern w:val="0"/>
          <w:sz w:val="28"/>
          <w:szCs w:val="28"/>
        </w:rPr>
        <w:t>残疾人福利性单位声明函（是/否）</w:t>
      </w:r>
      <w:bookmarkEnd w:id="970"/>
      <w:bookmarkEnd w:id="971"/>
      <w:bookmarkEnd w:id="972"/>
      <w:bookmarkEnd w:id="973"/>
      <w:bookmarkEnd w:id="974"/>
      <w:bookmarkEnd w:id="975"/>
      <w:bookmarkEnd w:id="976"/>
      <w:bookmarkEnd w:id="977"/>
    </w:p>
    <w:p w14:paraId="3E7A7DFB">
      <w:pPr>
        <w:widowControl/>
        <w:shd w:val="clear" w:color="auto" w:fill="auto"/>
        <w:spacing w:before="120" w:beforeLines="50" w:after="240" w:line="360" w:lineRule="auto"/>
        <w:jc w:val="left"/>
        <w:textAlignment w:val="baseline"/>
        <w:rPr>
          <w:rFonts w:hint="eastAsia" w:ascii="宋体" w:hAnsi="宋体"/>
          <w:b/>
          <w:sz w:val="24"/>
        </w:rPr>
      </w:pPr>
    </w:p>
    <w:p w14:paraId="35A87B25">
      <w:pPr>
        <w:widowControl/>
        <w:shd w:val="clear" w:color="auto" w:fill="auto"/>
        <w:spacing w:before="120" w:beforeLines="50" w:after="240" w:line="360" w:lineRule="auto"/>
        <w:jc w:val="left"/>
        <w:textAlignment w:val="baseline"/>
        <w:rPr>
          <w:rFonts w:hint="eastAsia" w:ascii="宋体" w:hAnsi="宋体"/>
          <w:b/>
          <w:color w:val="000000"/>
          <w:kern w:val="0"/>
          <w:sz w:val="36"/>
          <w:szCs w:val="36"/>
        </w:rPr>
      </w:pPr>
      <w:r>
        <w:rPr>
          <w:rFonts w:hint="eastAsia" w:ascii="宋体" w:hAnsi="宋体"/>
          <w:b/>
          <w:sz w:val="24"/>
          <w:lang w:eastAsia="zh-CN"/>
        </w:rPr>
        <w:t>陕西新招项目管理有限公司</w:t>
      </w:r>
      <w:r>
        <w:rPr>
          <w:rFonts w:hint="eastAsia" w:ascii="宋体" w:hAnsi="宋体"/>
          <w:b/>
          <w:sz w:val="24"/>
        </w:rPr>
        <w:t>：</w:t>
      </w:r>
    </w:p>
    <w:p w14:paraId="7251130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cs="宋体"/>
          <w:color w:val="000000"/>
          <w:kern w:val="0"/>
          <w:sz w:val="24"/>
          <w:u w:val="single"/>
        </w:rPr>
        <w:t xml:space="preserve">          </w:t>
      </w:r>
      <w:r>
        <w:rPr>
          <w:rFonts w:hint="eastAsia" w:ascii="宋体" w:hAnsi="宋体" w:cs="宋体"/>
          <w:color w:val="000000"/>
          <w:kern w:val="0"/>
          <w:sz w:val="24"/>
        </w:rPr>
        <w:t>（采购人）的</w:t>
      </w:r>
      <w:r>
        <w:rPr>
          <w:rFonts w:hint="eastAsia" w:ascii="宋体" w:hAnsi="宋体" w:cs="宋体"/>
          <w:color w:val="000000"/>
          <w:kern w:val="0"/>
          <w:sz w:val="24"/>
          <w:u w:val="single"/>
        </w:rPr>
        <w:t xml:space="preserve">         </w:t>
      </w:r>
      <w:r>
        <w:rPr>
          <w:rFonts w:hint="eastAsia" w:ascii="宋体" w:hAnsi="宋体" w:cs="宋体"/>
          <w:color w:val="000000"/>
          <w:kern w:val="0"/>
          <w:sz w:val="24"/>
        </w:rPr>
        <w:t>项目采购活动提供本公司制造的货物（由本单位承担工程/提供服务），或者提供其他残疾人福利性单位制造的货物（不包括使用非残疾人福利性单位注册商标的货物）。</w:t>
      </w:r>
    </w:p>
    <w:p w14:paraId="11320A8F">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16D0D7FF">
      <w:pPr>
        <w:pStyle w:val="8"/>
        <w:shd w:val="clear" w:color="auto" w:fill="auto"/>
        <w:spacing w:line="360" w:lineRule="auto"/>
        <w:ind w:firstLine="570"/>
        <w:rPr>
          <w:rFonts w:hint="eastAsia" w:ascii="宋体" w:hAnsi="宋体" w:cs="宋体"/>
          <w:sz w:val="24"/>
          <w:szCs w:val="24"/>
        </w:rPr>
      </w:pPr>
    </w:p>
    <w:p w14:paraId="192D3743">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特此声明！</w:t>
      </w:r>
    </w:p>
    <w:p w14:paraId="57AD55F1">
      <w:pPr>
        <w:pStyle w:val="8"/>
        <w:shd w:val="clear" w:color="auto" w:fill="auto"/>
        <w:spacing w:line="360" w:lineRule="auto"/>
        <w:ind w:firstLine="570"/>
        <w:rPr>
          <w:rFonts w:hint="eastAsia" w:ascii="宋体" w:hAnsi="宋体" w:cs="宋体"/>
          <w:sz w:val="24"/>
          <w:szCs w:val="24"/>
        </w:rPr>
      </w:pPr>
    </w:p>
    <w:p w14:paraId="4C3056D3">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87B5F7">
      <w:pPr>
        <w:pStyle w:val="8"/>
        <w:shd w:val="clear" w:color="auto" w:fill="auto"/>
        <w:spacing w:line="360" w:lineRule="auto"/>
        <w:ind w:firstLine="570"/>
        <w:rPr>
          <w:rFonts w:hint="eastAsia" w:ascii="宋体" w:hAnsi="宋体" w:cs="宋体"/>
          <w:sz w:val="24"/>
          <w:szCs w:val="24"/>
        </w:rPr>
      </w:pPr>
    </w:p>
    <w:p w14:paraId="5E3BD2C1">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350CBA92">
      <w:pPr>
        <w:pStyle w:val="8"/>
        <w:shd w:val="clear" w:color="auto" w:fill="auto"/>
        <w:spacing w:line="360" w:lineRule="auto"/>
        <w:ind w:firstLine="570"/>
        <w:rPr>
          <w:rFonts w:hint="eastAsia" w:ascii="宋体" w:hAnsi="宋体" w:cs="宋体"/>
          <w:sz w:val="24"/>
          <w:szCs w:val="24"/>
        </w:rPr>
      </w:pPr>
    </w:p>
    <w:p w14:paraId="07C6A5BC">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日      期：</w:t>
      </w:r>
    </w:p>
    <w:p w14:paraId="7DE6299F">
      <w:pPr>
        <w:shd w:val="clear" w:color="auto" w:fill="auto"/>
        <w:rPr>
          <w:rFonts w:hint="eastAsia"/>
        </w:rPr>
      </w:pPr>
    </w:p>
    <w:p w14:paraId="215B701F">
      <w:pPr>
        <w:shd w:val="clear" w:color="auto" w:fill="auto"/>
        <w:rPr>
          <w:rFonts w:hint="eastAsia"/>
        </w:rPr>
      </w:pPr>
    </w:p>
    <w:p w14:paraId="27FDE024">
      <w:pPr>
        <w:shd w:val="clear" w:color="auto" w:fill="auto"/>
        <w:rPr>
          <w:rFonts w:hint="eastAsia"/>
        </w:rPr>
      </w:pPr>
    </w:p>
    <w:p w14:paraId="43336F2A">
      <w:pPr>
        <w:shd w:val="clear" w:color="auto" w:fill="auto"/>
        <w:rPr>
          <w:rFonts w:hint="eastAsia"/>
        </w:rPr>
      </w:pPr>
    </w:p>
    <w:p w14:paraId="2A14AD6E">
      <w:pPr>
        <w:shd w:val="clear" w:color="auto" w:fill="auto"/>
        <w:rPr>
          <w:rFonts w:hint="eastAsia"/>
        </w:rPr>
      </w:pPr>
    </w:p>
    <w:p w14:paraId="70C95A63">
      <w:pPr>
        <w:shd w:val="clear" w:color="auto" w:fill="auto"/>
        <w:rPr>
          <w:rFonts w:hint="eastAsia"/>
        </w:rPr>
      </w:pPr>
    </w:p>
    <w:p w14:paraId="1C002A3B">
      <w:pPr>
        <w:shd w:val="clear" w:color="auto" w:fill="auto"/>
        <w:rPr>
          <w:rFonts w:hint="eastAsia"/>
        </w:rPr>
      </w:pPr>
    </w:p>
    <w:p w14:paraId="68209578">
      <w:pPr>
        <w:pStyle w:val="14"/>
        <w:shd w:val="clear" w:color="auto" w:fill="auto"/>
        <w:ind w:left="1470" w:right="1470"/>
        <w:rPr>
          <w:rFonts w:hint="eastAsia"/>
        </w:rPr>
      </w:pPr>
    </w:p>
    <w:p w14:paraId="70C0C0EA">
      <w:pPr>
        <w:pStyle w:val="14"/>
        <w:shd w:val="clear" w:color="auto" w:fill="auto"/>
        <w:ind w:left="1470" w:right="1470"/>
        <w:rPr>
          <w:rFonts w:hint="eastAsia"/>
        </w:rPr>
      </w:pPr>
    </w:p>
    <w:p w14:paraId="629A61A6">
      <w:pPr>
        <w:pStyle w:val="14"/>
        <w:shd w:val="clear" w:color="auto" w:fill="auto"/>
        <w:ind w:left="1470" w:right="1470"/>
        <w:rPr>
          <w:rFonts w:hint="eastAsia"/>
        </w:rPr>
      </w:pPr>
    </w:p>
    <w:p w14:paraId="4BC11E28">
      <w:pPr>
        <w:pStyle w:val="14"/>
        <w:shd w:val="clear" w:color="auto" w:fill="auto"/>
        <w:ind w:left="1470" w:right="1470"/>
        <w:rPr>
          <w:rFonts w:hint="eastAsia"/>
        </w:rPr>
      </w:pPr>
    </w:p>
    <w:p w14:paraId="20F34EE0">
      <w:pPr>
        <w:pStyle w:val="14"/>
        <w:shd w:val="clear" w:color="auto" w:fill="auto"/>
        <w:ind w:left="1470" w:right="1470"/>
        <w:rPr>
          <w:rFonts w:hint="eastAsia"/>
        </w:rPr>
      </w:pPr>
    </w:p>
    <w:p w14:paraId="7E02AFB1">
      <w:pPr>
        <w:pStyle w:val="14"/>
        <w:shd w:val="clear" w:color="auto" w:fill="auto"/>
        <w:ind w:left="1470" w:right="1470"/>
        <w:rPr>
          <w:rFonts w:hint="eastAsia"/>
        </w:rPr>
      </w:pPr>
    </w:p>
    <w:p w14:paraId="2E30858F">
      <w:pPr>
        <w:pStyle w:val="14"/>
        <w:shd w:val="clear" w:color="auto" w:fill="auto"/>
        <w:ind w:left="1470" w:right="1470"/>
        <w:rPr>
          <w:rFonts w:hint="eastAsia"/>
        </w:rPr>
      </w:pPr>
    </w:p>
    <w:p w14:paraId="6C309810">
      <w:pPr>
        <w:pStyle w:val="14"/>
        <w:shd w:val="clear" w:color="auto" w:fill="auto"/>
        <w:ind w:left="1470" w:right="1470"/>
        <w:rPr>
          <w:rFonts w:hint="eastAsia"/>
        </w:rPr>
      </w:pPr>
    </w:p>
    <w:p w14:paraId="1E5A3804">
      <w:pPr>
        <w:shd w:val="clear" w:color="auto" w:fill="auto"/>
        <w:outlineLvl w:val="0"/>
        <w:rPr>
          <w:rFonts w:hint="eastAsia" w:ascii="宋体" w:hAnsi="宋体" w:eastAsia="宋体" w:cs="宋体"/>
          <w:b/>
          <w:color w:val="000000"/>
          <w:sz w:val="24"/>
          <w:lang w:val="en-US" w:eastAsia="zh-CN"/>
        </w:rPr>
      </w:pPr>
      <w:bookmarkStart w:id="978" w:name="_Toc9395"/>
      <w:bookmarkStart w:id="979" w:name="_Toc8199"/>
      <w:bookmarkStart w:id="980" w:name="_Toc4164"/>
      <w:bookmarkStart w:id="981" w:name="_Toc32027"/>
      <w:bookmarkStart w:id="982" w:name="_Toc5476"/>
      <w:bookmarkStart w:id="983" w:name="_Toc15339"/>
      <w:r>
        <w:rPr>
          <w:rFonts w:hint="eastAsia" w:ascii="宋体" w:hAnsi="宋体" w:eastAsia="宋体" w:cs="宋体"/>
          <w:b/>
          <w:color w:val="000000"/>
          <w:sz w:val="24"/>
        </w:rPr>
        <w:t>附件</w:t>
      </w:r>
      <w:bookmarkEnd w:id="978"/>
      <w:bookmarkEnd w:id="979"/>
      <w:bookmarkEnd w:id="980"/>
      <w:bookmarkEnd w:id="981"/>
      <w:bookmarkEnd w:id="982"/>
      <w:bookmarkEnd w:id="983"/>
      <w:r>
        <w:rPr>
          <w:rFonts w:hint="eastAsia" w:ascii="宋体" w:hAnsi="宋体" w:eastAsia="宋体" w:cs="宋体"/>
          <w:b/>
          <w:color w:val="000000"/>
          <w:sz w:val="24"/>
          <w:lang w:val="en-US" w:eastAsia="zh-CN"/>
        </w:rPr>
        <w:t>2</w:t>
      </w:r>
    </w:p>
    <w:p w14:paraId="596E9AE5">
      <w:pPr>
        <w:shd w:val="clear" w:color="auto" w:fill="auto"/>
        <w:rPr>
          <w:rFonts w:hint="eastAsia"/>
        </w:rPr>
      </w:pPr>
    </w:p>
    <w:p w14:paraId="77D90F9A">
      <w:pPr>
        <w:shd w:val="clear" w:color="auto" w:fill="auto"/>
        <w:rPr>
          <w:rFonts w:hint="eastAsia"/>
        </w:rPr>
      </w:pPr>
    </w:p>
    <w:p w14:paraId="0345CBEC">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84" w:name="_Toc14109"/>
      <w:bookmarkStart w:id="985" w:name="_Toc21585"/>
      <w:bookmarkStart w:id="986" w:name="_Toc27208_WPSOffice_Level1"/>
      <w:bookmarkStart w:id="987" w:name="_Toc27341"/>
      <w:bookmarkStart w:id="988" w:name="_Toc31454"/>
      <w:bookmarkStart w:id="989" w:name="_Toc4712"/>
      <w:bookmarkStart w:id="990" w:name="_Toc5318"/>
      <w:bookmarkStart w:id="991" w:name="_Toc10298"/>
      <w:r>
        <w:rPr>
          <w:rFonts w:hint="eastAsia" w:ascii="宋体" w:hAnsi="宋体"/>
          <w:b/>
          <w:color w:val="000000"/>
          <w:kern w:val="0"/>
          <w:sz w:val="28"/>
          <w:szCs w:val="28"/>
        </w:rPr>
        <w:t>监狱企业证明函（是/否）</w:t>
      </w:r>
      <w:bookmarkEnd w:id="984"/>
      <w:bookmarkEnd w:id="985"/>
      <w:bookmarkEnd w:id="986"/>
      <w:bookmarkEnd w:id="987"/>
      <w:bookmarkEnd w:id="988"/>
      <w:bookmarkEnd w:id="989"/>
      <w:bookmarkEnd w:id="990"/>
      <w:bookmarkEnd w:id="991"/>
    </w:p>
    <w:p w14:paraId="64EA9843">
      <w:pPr>
        <w:widowControl/>
        <w:shd w:val="clear" w:color="auto" w:fill="auto"/>
        <w:spacing w:before="120" w:beforeLines="50" w:after="240" w:line="360" w:lineRule="auto"/>
        <w:jc w:val="left"/>
        <w:textAlignment w:val="baseline"/>
        <w:rPr>
          <w:rFonts w:hint="eastAsia" w:ascii="宋体" w:hAnsi="宋体"/>
          <w:b/>
          <w:sz w:val="24"/>
        </w:rPr>
      </w:pPr>
    </w:p>
    <w:p w14:paraId="2F0F3FC2">
      <w:pPr>
        <w:widowControl/>
        <w:shd w:val="clear" w:color="auto" w:fill="auto"/>
        <w:spacing w:before="120" w:beforeLines="50" w:after="240" w:line="360" w:lineRule="auto"/>
        <w:jc w:val="left"/>
        <w:textAlignment w:val="baseline"/>
        <w:rPr>
          <w:rFonts w:hint="eastAsia" w:ascii="宋体" w:hAnsi="宋体" w:cs="宋体"/>
          <w:color w:val="000000"/>
          <w:kern w:val="0"/>
          <w:sz w:val="24"/>
        </w:rPr>
      </w:pPr>
      <w:r>
        <w:rPr>
          <w:rFonts w:hint="eastAsia" w:ascii="宋体" w:hAnsi="宋体"/>
          <w:b/>
          <w:sz w:val="24"/>
          <w:lang w:eastAsia="zh-CN"/>
        </w:rPr>
        <w:t>陕西新招项目管理有限公司</w:t>
      </w:r>
      <w:r>
        <w:rPr>
          <w:rFonts w:hint="eastAsia" w:ascii="宋体" w:hAnsi="宋体"/>
          <w:b/>
          <w:sz w:val="24"/>
        </w:rPr>
        <w:t>：</w:t>
      </w:r>
    </w:p>
    <w:p w14:paraId="1090AC90">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4F11C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监狱企业参加政府采购活动时，应当提供由省级以上监狱管理局、戒毒管理局（含新疆生产建设兵团）出具的属于监狱企业的证明文件。</w:t>
      </w:r>
    </w:p>
    <w:p w14:paraId="2636ED89">
      <w:pPr>
        <w:widowControl/>
        <w:shd w:val="clear" w:color="auto" w:fill="auto"/>
        <w:spacing w:after="240" w:line="360" w:lineRule="auto"/>
        <w:ind w:firstLine="480"/>
        <w:jc w:val="left"/>
        <w:textAlignment w:val="baseline"/>
        <w:rPr>
          <w:rFonts w:hint="eastAsia" w:ascii="宋体" w:hAnsi="宋体" w:cs="宋体"/>
          <w:color w:val="000000"/>
          <w:kern w:val="0"/>
          <w:sz w:val="24"/>
        </w:rPr>
      </w:pPr>
    </w:p>
    <w:p w14:paraId="79F3F0B2">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78E49316">
      <w:pPr>
        <w:pStyle w:val="8"/>
        <w:shd w:val="clear" w:color="auto" w:fill="auto"/>
        <w:spacing w:line="360" w:lineRule="auto"/>
        <w:ind w:firstLine="570"/>
        <w:rPr>
          <w:rFonts w:hint="eastAsia" w:ascii="宋体" w:hAnsi="宋体" w:cs="宋体"/>
          <w:sz w:val="24"/>
          <w:szCs w:val="24"/>
        </w:rPr>
      </w:pPr>
    </w:p>
    <w:p w14:paraId="097F669E">
      <w:pPr>
        <w:pStyle w:val="8"/>
        <w:spacing w:line="360" w:lineRule="auto"/>
        <w:ind w:firstLine="570"/>
        <w:rPr>
          <w:rFonts w:hint="eastAsia" w:ascii="宋体" w:hAnsi="宋体" w:cs="宋体"/>
          <w:sz w:val="24"/>
          <w:szCs w:val="24"/>
        </w:rPr>
      </w:pPr>
      <w:r>
        <w:rPr>
          <w:rFonts w:hint="eastAsia" w:ascii="宋体" w:hAnsi="宋体" w:cs="宋体"/>
          <w:sz w:val="24"/>
          <w:szCs w:val="24"/>
        </w:rPr>
        <w:t>特此声明！</w:t>
      </w:r>
    </w:p>
    <w:p w14:paraId="7F43A684">
      <w:pPr>
        <w:pStyle w:val="8"/>
        <w:spacing w:line="360" w:lineRule="auto"/>
        <w:ind w:firstLine="570"/>
        <w:rPr>
          <w:rFonts w:hint="eastAsia" w:ascii="宋体" w:hAnsi="宋体" w:cs="宋体"/>
          <w:sz w:val="24"/>
          <w:szCs w:val="24"/>
        </w:rPr>
      </w:pPr>
    </w:p>
    <w:p w14:paraId="291DAD1E">
      <w:pPr>
        <w:pStyle w:val="8"/>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2CF0FB">
      <w:pPr>
        <w:pStyle w:val="8"/>
        <w:spacing w:line="360" w:lineRule="auto"/>
        <w:ind w:firstLine="570"/>
        <w:rPr>
          <w:rFonts w:hint="eastAsia" w:ascii="宋体" w:hAnsi="宋体" w:cs="宋体"/>
          <w:sz w:val="24"/>
          <w:szCs w:val="24"/>
        </w:rPr>
      </w:pPr>
    </w:p>
    <w:p w14:paraId="2D9BD671">
      <w:pPr>
        <w:pStyle w:val="8"/>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40A77DA4">
      <w:pPr>
        <w:pStyle w:val="8"/>
        <w:spacing w:line="360" w:lineRule="auto"/>
        <w:ind w:firstLine="570"/>
        <w:rPr>
          <w:rFonts w:hint="eastAsia" w:ascii="宋体" w:hAnsi="宋体" w:cs="宋体"/>
          <w:sz w:val="24"/>
          <w:szCs w:val="24"/>
        </w:rPr>
      </w:pPr>
    </w:p>
    <w:p w14:paraId="609B6F85">
      <w:pPr>
        <w:pStyle w:val="8"/>
        <w:spacing w:line="360" w:lineRule="auto"/>
        <w:ind w:firstLine="570"/>
        <w:rPr>
          <w:rFonts w:hint="eastAsia" w:ascii="宋体" w:hAnsi="宋体" w:cs="宋体"/>
          <w:sz w:val="24"/>
          <w:szCs w:val="24"/>
        </w:rPr>
      </w:pPr>
      <w:r>
        <w:rPr>
          <w:rFonts w:hint="eastAsia" w:ascii="宋体" w:hAnsi="宋体" w:cs="宋体"/>
          <w:sz w:val="24"/>
          <w:szCs w:val="24"/>
        </w:rPr>
        <w:t>日      期：</w:t>
      </w:r>
    </w:p>
    <w:p w14:paraId="11C5CEAF">
      <w:pPr>
        <w:pStyle w:val="8"/>
        <w:spacing w:line="360" w:lineRule="auto"/>
        <w:ind w:firstLine="570"/>
        <w:rPr>
          <w:rFonts w:hint="eastAsia" w:ascii="宋体" w:hAnsi="宋体" w:cs="宋体"/>
          <w:sz w:val="24"/>
          <w:szCs w:val="24"/>
        </w:rPr>
      </w:pPr>
    </w:p>
    <w:p w14:paraId="3BDE95D1">
      <w:pPr>
        <w:pStyle w:val="33"/>
        <w:ind w:firstLine="300"/>
        <w:rPr>
          <w:rFonts w:hint="eastAsia"/>
        </w:rPr>
      </w:pPr>
    </w:p>
    <w:p w14:paraId="37DED119"/>
    <w:sectPr>
      <w:headerReference r:id="rId18" w:type="default"/>
      <w:footerReference r:id="rId19"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华文中宋">
    <w:altName w:val="宋体"/>
    <w:panose1 w:val="02010600040101010101"/>
    <w:charset w:val="86"/>
    <w:family w:val="auto"/>
    <w:pitch w:val="default"/>
    <w:sig w:usb0="00000000" w:usb1="00000000" w:usb2="00000000" w:usb3="00000000" w:csb0="0004009F" w:csb1="DFD70000"/>
  </w:font>
  <w:font w:name="Abadi MT Condense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思源宋体 CN Light">
    <w:altName w:val="宋体"/>
    <w:panose1 w:val="00000000000000000000"/>
    <w:charset w:val="86"/>
    <w:family w:val="roman"/>
    <w:pitch w:val="default"/>
    <w:sig w:usb0="00000000" w:usb1="00000000" w:usb2="00000016" w:usb3="00000000" w:csb0="00060107"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3AE7">
    <w:pPr>
      <w:pStyle w:val="21"/>
    </w:pPr>
    <w:r>
      <w:rPr>
        <w:sz w:val="18"/>
      </w:rPr>
      <w:pict>
        <v:shape id="文本框 62"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EEE938E">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A7745">
    <w:pPr>
      <w:pStyle w:val="21"/>
      <w:rPr>
        <w:rFonts w:ascii="仿宋" w:hAnsi="仿宋" w:eastAsia="仿宋"/>
        <w:szCs w:val="18"/>
      </w:rPr>
    </w:pPr>
    <w:r>
      <w:pict>
        <v:shape id="文本框 74" o:spid="_x0000_s410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9A117E2">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CE0EE">
    <w:pPr>
      <w:pStyle w:val="21"/>
      <w:rPr>
        <w:rFonts w:ascii="仿宋" w:hAnsi="仿宋" w:eastAsia="仿宋"/>
        <w:szCs w:val="18"/>
      </w:rPr>
    </w:pPr>
    <w:r>
      <w:rPr>
        <w:sz w:val="18"/>
      </w:rPr>
      <w:pict>
        <v:shape id="文本框 72"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7B1D9AD5">
                <w:pPr>
                  <w:pStyle w:val="21"/>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FB8A">
    <w:pPr>
      <w:pStyle w:val="21"/>
    </w:pPr>
    <w:r>
      <w:rPr>
        <w:sz w:val="18"/>
      </w:rPr>
      <w:pict>
        <v:shape id="文本框 73" o:spid="_x0000_s4108"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350AEC48">
                <w:pPr>
                  <w:pStyle w:val="21"/>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AD116">
    <w:pPr>
      <w:pStyle w:val="21"/>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15740FC3">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61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65F9">
    <w:pPr>
      <w:pStyle w:val="21"/>
      <w:rPr>
        <w:rFonts w:ascii="仿宋" w:hAnsi="仿宋" w:eastAsia="仿宋"/>
        <w:szCs w:val="18"/>
      </w:rPr>
    </w:pPr>
    <w:r>
      <w:pict>
        <v:shape id="文本框 65" o:spid="_x0000_s4100" o:spt="202" type="#_x0000_t202" style="position:absolute;left:0pt;margin-top:0pt;height:11.65pt;width:36.15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1FC52AD">
                <w:pPr>
                  <w:pStyle w:val="21"/>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16DD">
    <w:pPr>
      <w:pStyle w:val="21"/>
      <w:rPr>
        <w:rFonts w:ascii="仿宋" w:hAnsi="仿宋" w:eastAsia="仿宋"/>
        <w:szCs w:val="18"/>
      </w:rPr>
    </w:pPr>
    <w:r>
      <w:pict>
        <v:shape id="文本框 66" o:spid="_x0000_s4099" o:spt="202" type="#_x0000_t202" style="position:absolute;left:0pt;margin-top:0pt;height:11.65pt;width:36.15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9D28E6D">
                <w:pPr>
                  <w:pStyle w:val="21"/>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9B3F">
    <w:pPr>
      <w:pStyle w:val="21"/>
      <w:rPr>
        <w:rFonts w:ascii="仿宋" w:hAnsi="仿宋" w:eastAsia="仿宋"/>
        <w:szCs w:val="18"/>
      </w:rPr>
    </w:pPr>
    <w:r>
      <w:rPr>
        <w:sz w:val="18"/>
      </w:rP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12A6A55">
                <w:pPr>
                  <w:pStyle w:val="21"/>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FF94">
    <w:pPr>
      <w:pStyle w:val="21"/>
      <w:rPr>
        <w:rFonts w:ascii="仿宋" w:hAnsi="仿宋" w:eastAsia="仿宋"/>
        <w:szCs w:val="18"/>
      </w:rPr>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675953D">
                <w:pPr>
                  <w:pStyle w:val="21"/>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1FC0">
    <w:pPr>
      <w:pStyle w:val="21"/>
      <w:jc w:val="center"/>
      <w:rPr>
        <w:rFonts w:hint="default" w:eastAsia="宋体"/>
        <w:lang w:val="en-US" w:eastAsia="zh-CN"/>
      </w:rPr>
    </w:pPr>
    <w:r>
      <w:rPr>
        <w:sz w:val="18"/>
      </w:rPr>
      <w:pict>
        <v:shape id="文本框 67"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0F2504EA">
                <w:pPr>
                  <w:pStyle w:val="21"/>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37823">
    <w:pPr>
      <w:pStyle w:val="2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911A4">
                          <w:pPr>
                            <w:pStyle w:val="21"/>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E2911A4">
                    <w:pPr>
                      <w:pStyle w:val="21"/>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E0DD">
    <w:pPr>
      <w:pStyle w:val="21"/>
    </w:pPr>
    <w:r>
      <w:rPr>
        <w:sz w:val="18"/>
      </w:rPr>
      <w:pict>
        <v:shape id="文本框 69" o:spid="_x0000_s410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30117FDA">
                <w:pPr>
                  <w:pStyle w:val="21"/>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E2F6">
    <w:pPr>
      <w:pStyle w:val="21"/>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FC46">
    <w:pPr>
      <w:pStyle w:val="21"/>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D839">
    <w:pPr>
      <w:pStyle w:val="21"/>
      <w:textAlignment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A3E4">
    <w:pPr>
      <w:pStyle w:val="2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8C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2DBD6"/>
    <w:multiLevelType w:val="singleLevel"/>
    <w:tmpl w:val="8402DBD6"/>
    <w:lvl w:ilvl="0" w:tentative="0">
      <w:start w:val="5"/>
      <w:numFmt w:val="chineseCounting"/>
      <w:suff w:val="space"/>
      <w:lvlText w:val="第%1章"/>
      <w:lvlJc w:val="left"/>
      <w:rPr>
        <w:rFonts w:hint="eastAsia"/>
      </w:rPr>
    </w:lvl>
  </w:abstractNum>
  <w:abstractNum w:abstractNumId="1">
    <w:nsid w:val="91FCCA6C"/>
    <w:multiLevelType w:val="singleLevel"/>
    <w:tmpl w:val="91FCCA6C"/>
    <w:lvl w:ilvl="0" w:tentative="0">
      <w:start w:val="1"/>
      <w:numFmt w:val="chineseCounting"/>
      <w:suff w:val="space"/>
      <w:lvlText w:val="第%1章"/>
      <w:lvlJc w:val="left"/>
      <w:rPr>
        <w:rFonts w:hint="eastAsia"/>
      </w:rPr>
    </w:lvl>
  </w:abstractNum>
  <w:abstractNum w:abstractNumId="2">
    <w:nsid w:val="00000001"/>
    <w:multiLevelType w:val="singleLevel"/>
    <w:tmpl w:val="00000001"/>
    <w:lvl w:ilvl="0" w:tentative="0">
      <w:start w:val="9"/>
      <w:numFmt w:val="decimal"/>
      <w:suff w:val="nothing"/>
      <w:lvlText w:val="%1．"/>
      <w:lvlJc w:val="left"/>
    </w:lvl>
  </w:abstractNum>
  <w:abstractNum w:abstractNumId="3">
    <w:nsid w:val="00000004"/>
    <w:multiLevelType w:val="singleLevel"/>
    <w:tmpl w:val="00000004"/>
    <w:lvl w:ilvl="0" w:tentative="0">
      <w:start w:val="6"/>
      <w:numFmt w:val="chineseCounting"/>
      <w:suff w:val="space"/>
      <w:lvlText w:val="第%1章"/>
      <w:lvlJc w:val="left"/>
      <w:rPr>
        <w:rFonts w:hint="eastAsia"/>
      </w:rPr>
    </w:lvl>
  </w:abstractNum>
  <w:abstractNum w:abstractNumId="4">
    <w:nsid w:val="33101AD5"/>
    <w:multiLevelType w:val="multilevel"/>
    <w:tmpl w:val="33101AD5"/>
    <w:lvl w:ilvl="0" w:tentative="0">
      <w:start w:val="1"/>
      <w:numFmt w:val="decimal"/>
      <w:pStyle w:val="107"/>
      <w:suff w:val="space"/>
      <w:lvlText w:val="%1、"/>
      <w:lvlJc w:val="left"/>
      <w:pPr>
        <w:ind w:left="0" w:firstLine="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4488"/>
    <w:rsid w:val="000B0726"/>
    <w:rsid w:val="000C3939"/>
    <w:rsid w:val="000C5832"/>
    <w:rsid w:val="000E729D"/>
    <w:rsid w:val="00184185"/>
    <w:rsid w:val="00272743"/>
    <w:rsid w:val="002B1AB4"/>
    <w:rsid w:val="00354463"/>
    <w:rsid w:val="00394593"/>
    <w:rsid w:val="003C1B47"/>
    <w:rsid w:val="004A02C2"/>
    <w:rsid w:val="004D3FF0"/>
    <w:rsid w:val="00537B6A"/>
    <w:rsid w:val="005B4DEB"/>
    <w:rsid w:val="005C66C7"/>
    <w:rsid w:val="00753092"/>
    <w:rsid w:val="007C2C00"/>
    <w:rsid w:val="007D6BA7"/>
    <w:rsid w:val="007E0017"/>
    <w:rsid w:val="00800A01"/>
    <w:rsid w:val="0087241D"/>
    <w:rsid w:val="00962672"/>
    <w:rsid w:val="009D6233"/>
    <w:rsid w:val="009E70F5"/>
    <w:rsid w:val="00A46141"/>
    <w:rsid w:val="00A54974"/>
    <w:rsid w:val="00AE3A75"/>
    <w:rsid w:val="00B5509F"/>
    <w:rsid w:val="00B90E32"/>
    <w:rsid w:val="00B918D9"/>
    <w:rsid w:val="00BB30AE"/>
    <w:rsid w:val="00BF2ECC"/>
    <w:rsid w:val="00C30A68"/>
    <w:rsid w:val="00C31809"/>
    <w:rsid w:val="00C42D8D"/>
    <w:rsid w:val="00C73039"/>
    <w:rsid w:val="00D074CA"/>
    <w:rsid w:val="00D36C30"/>
    <w:rsid w:val="00D71F1E"/>
    <w:rsid w:val="00DE3A60"/>
    <w:rsid w:val="00E02D68"/>
    <w:rsid w:val="00E75CDE"/>
    <w:rsid w:val="00E84814"/>
    <w:rsid w:val="00EA45AA"/>
    <w:rsid w:val="00EF4366"/>
    <w:rsid w:val="00F831DE"/>
    <w:rsid w:val="00F930D0"/>
    <w:rsid w:val="01086C64"/>
    <w:rsid w:val="011E0236"/>
    <w:rsid w:val="01207B0A"/>
    <w:rsid w:val="01877DA5"/>
    <w:rsid w:val="02182ED7"/>
    <w:rsid w:val="021F6199"/>
    <w:rsid w:val="022950E4"/>
    <w:rsid w:val="02385327"/>
    <w:rsid w:val="0239504F"/>
    <w:rsid w:val="02587777"/>
    <w:rsid w:val="02596B98"/>
    <w:rsid w:val="0261686C"/>
    <w:rsid w:val="029635FE"/>
    <w:rsid w:val="02DA1F3A"/>
    <w:rsid w:val="02DE302E"/>
    <w:rsid w:val="02EF2BF8"/>
    <w:rsid w:val="02F9145C"/>
    <w:rsid w:val="03146D17"/>
    <w:rsid w:val="032D18E3"/>
    <w:rsid w:val="033E7281"/>
    <w:rsid w:val="03AA58EB"/>
    <w:rsid w:val="03B92498"/>
    <w:rsid w:val="0433224A"/>
    <w:rsid w:val="04936845"/>
    <w:rsid w:val="04A44EF6"/>
    <w:rsid w:val="04B90889"/>
    <w:rsid w:val="04B9275B"/>
    <w:rsid w:val="04E74E13"/>
    <w:rsid w:val="04F45672"/>
    <w:rsid w:val="050E6A2A"/>
    <w:rsid w:val="05435813"/>
    <w:rsid w:val="055D6E6F"/>
    <w:rsid w:val="056A70FC"/>
    <w:rsid w:val="05776140"/>
    <w:rsid w:val="057B766B"/>
    <w:rsid w:val="05887D16"/>
    <w:rsid w:val="058A7C48"/>
    <w:rsid w:val="058F02ED"/>
    <w:rsid w:val="05AE4D87"/>
    <w:rsid w:val="05D75C0F"/>
    <w:rsid w:val="061B32E1"/>
    <w:rsid w:val="0620235A"/>
    <w:rsid w:val="06711074"/>
    <w:rsid w:val="06901390"/>
    <w:rsid w:val="06915834"/>
    <w:rsid w:val="06CF20B8"/>
    <w:rsid w:val="06D05B2E"/>
    <w:rsid w:val="06D93C44"/>
    <w:rsid w:val="06F44BBD"/>
    <w:rsid w:val="06FB0BDE"/>
    <w:rsid w:val="071D3188"/>
    <w:rsid w:val="07415A18"/>
    <w:rsid w:val="07654E8E"/>
    <w:rsid w:val="07830DF3"/>
    <w:rsid w:val="079062EC"/>
    <w:rsid w:val="07941252"/>
    <w:rsid w:val="07AD4403"/>
    <w:rsid w:val="07D478A0"/>
    <w:rsid w:val="07D53346"/>
    <w:rsid w:val="07E27C47"/>
    <w:rsid w:val="08161C67"/>
    <w:rsid w:val="08202AE5"/>
    <w:rsid w:val="08337DD0"/>
    <w:rsid w:val="083D2DCD"/>
    <w:rsid w:val="086230FE"/>
    <w:rsid w:val="088346AD"/>
    <w:rsid w:val="08990CC5"/>
    <w:rsid w:val="089B6813"/>
    <w:rsid w:val="08D17D55"/>
    <w:rsid w:val="08DF739F"/>
    <w:rsid w:val="08E103A8"/>
    <w:rsid w:val="08E47540"/>
    <w:rsid w:val="092E2FE0"/>
    <w:rsid w:val="094C0544"/>
    <w:rsid w:val="09510A7C"/>
    <w:rsid w:val="09890ED0"/>
    <w:rsid w:val="098E1D4D"/>
    <w:rsid w:val="09984B50"/>
    <w:rsid w:val="09BF48F7"/>
    <w:rsid w:val="09C53944"/>
    <w:rsid w:val="09C73718"/>
    <w:rsid w:val="0A0B5130"/>
    <w:rsid w:val="0A176D97"/>
    <w:rsid w:val="0A495A73"/>
    <w:rsid w:val="0A4C7BC2"/>
    <w:rsid w:val="0A5D1DCF"/>
    <w:rsid w:val="0A6441EF"/>
    <w:rsid w:val="0A70084C"/>
    <w:rsid w:val="0A7D632B"/>
    <w:rsid w:val="0A8615A5"/>
    <w:rsid w:val="0ABB4B5F"/>
    <w:rsid w:val="0AD46554"/>
    <w:rsid w:val="0AD61641"/>
    <w:rsid w:val="0B4D3BF1"/>
    <w:rsid w:val="0B6B4BD2"/>
    <w:rsid w:val="0B8415DD"/>
    <w:rsid w:val="0B896BF3"/>
    <w:rsid w:val="0B98569A"/>
    <w:rsid w:val="0B9F3A93"/>
    <w:rsid w:val="0BB726A1"/>
    <w:rsid w:val="0BC358B3"/>
    <w:rsid w:val="0BD22349"/>
    <w:rsid w:val="0C215002"/>
    <w:rsid w:val="0C3034C5"/>
    <w:rsid w:val="0C563D8F"/>
    <w:rsid w:val="0CA65091"/>
    <w:rsid w:val="0CAC7F34"/>
    <w:rsid w:val="0CB83C95"/>
    <w:rsid w:val="0CBB2DDD"/>
    <w:rsid w:val="0CCE00B5"/>
    <w:rsid w:val="0D076022"/>
    <w:rsid w:val="0D1515C6"/>
    <w:rsid w:val="0D2067BE"/>
    <w:rsid w:val="0D230FAC"/>
    <w:rsid w:val="0D727778"/>
    <w:rsid w:val="0DB96E09"/>
    <w:rsid w:val="0DC856C6"/>
    <w:rsid w:val="0DE81498"/>
    <w:rsid w:val="0DF377D1"/>
    <w:rsid w:val="0E012A71"/>
    <w:rsid w:val="0E197DBB"/>
    <w:rsid w:val="0E590AFF"/>
    <w:rsid w:val="0E892065"/>
    <w:rsid w:val="0E8C712B"/>
    <w:rsid w:val="0EA53D44"/>
    <w:rsid w:val="0ECD0C5B"/>
    <w:rsid w:val="0ED66DC4"/>
    <w:rsid w:val="0F39623B"/>
    <w:rsid w:val="0F3A7AFB"/>
    <w:rsid w:val="0F4C3944"/>
    <w:rsid w:val="0F6D52FB"/>
    <w:rsid w:val="0FF41731"/>
    <w:rsid w:val="10282537"/>
    <w:rsid w:val="10790FE5"/>
    <w:rsid w:val="10AA65CB"/>
    <w:rsid w:val="10BC17FC"/>
    <w:rsid w:val="10CB60ED"/>
    <w:rsid w:val="10DE2E5B"/>
    <w:rsid w:val="11036E24"/>
    <w:rsid w:val="110B0047"/>
    <w:rsid w:val="11252F1A"/>
    <w:rsid w:val="11452848"/>
    <w:rsid w:val="11643A43"/>
    <w:rsid w:val="116934C3"/>
    <w:rsid w:val="118A1061"/>
    <w:rsid w:val="11A0126A"/>
    <w:rsid w:val="11D23CCC"/>
    <w:rsid w:val="11EB6937"/>
    <w:rsid w:val="11FC011F"/>
    <w:rsid w:val="1208797B"/>
    <w:rsid w:val="123173E3"/>
    <w:rsid w:val="124A0BA3"/>
    <w:rsid w:val="127557DC"/>
    <w:rsid w:val="12B860AC"/>
    <w:rsid w:val="13127C55"/>
    <w:rsid w:val="13685340"/>
    <w:rsid w:val="13710699"/>
    <w:rsid w:val="13B10D13"/>
    <w:rsid w:val="13B642FE"/>
    <w:rsid w:val="13C54960"/>
    <w:rsid w:val="13D9316F"/>
    <w:rsid w:val="13E72709"/>
    <w:rsid w:val="13EE71E9"/>
    <w:rsid w:val="13FD093F"/>
    <w:rsid w:val="142D2812"/>
    <w:rsid w:val="144B0499"/>
    <w:rsid w:val="14736D6A"/>
    <w:rsid w:val="147C3EC5"/>
    <w:rsid w:val="148443FC"/>
    <w:rsid w:val="14B12728"/>
    <w:rsid w:val="14B31851"/>
    <w:rsid w:val="14B31E79"/>
    <w:rsid w:val="14D4244E"/>
    <w:rsid w:val="151D7694"/>
    <w:rsid w:val="151F277D"/>
    <w:rsid w:val="15224301"/>
    <w:rsid w:val="154D4ED9"/>
    <w:rsid w:val="154F4200"/>
    <w:rsid w:val="15567E5A"/>
    <w:rsid w:val="155B6F0B"/>
    <w:rsid w:val="155C7370"/>
    <w:rsid w:val="1564486A"/>
    <w:rsid w:val="156D4E90"/>
    <w:rsid w:val="157936A8"/>
    <w:rsid w:val="159A7D3E"/>
    <w:rsid w:val="15BF700F"/>
    <w:rsid w:val="15C50828"/>
    <w:rsid w:val="15F53C26"/>
    <w:rsid w:val="15F76B65"/>
    <w:rsid w:val="15FB06EE"/>
    <w:rsid w:val="16203B24"/>
    <w:rsid w:val="16357D37"/>
    <w:rsid w:val="16643EC6"/>
    <w:rsid w:val="168F61E3"/>
    <w:rsid w:val="16AA7FE8"/>
    <w:rsid w:val="16AD7C3A"/>
    <w:rsid w:val="16B52E8E"/>
    <w:rsid w:val="16B9038D"/>
    <w:rsid w:val="16EF7538"/>
    <w:rsid w:val="17163DEF"/>
    <w:rsid w:val="1727797E"/>
    <w:rsid w:val="17375756"/>
    <w:rsid w:val="173A35B9"/>
    <w:rsid w:val="17440E55"/>
    <w:rsid w:val="176E0E48"/>
    <w:rsid w:val="17B90714"/>
    <w:rsid w:val="18053E35"/>
    <w:rsid w:val="18166331"/>
    <w:rsid w:val="18380573"/>
    <w:rsid w:val="183C74C7"/>
    <w:rsid w:val="183F12A7"/>
    <w:rsid w:val="18544A22"/>
    <w:rsid w:val="18670228"/>
    <w:rsid w:val="187464B2"/>
    <w:rsid w:val="18856E61"/>
    <w:rsid w:val="188B3FAB"/>
    <w:rsid w:val="18A230A3"/>
    <w:rsid w:val="18A8667F"/>
    <w:rsid w:val="18AA467D"/>
    <w:rsid w:val="18B76B4E"/>
    <w:rsid w:val="18B84674"/>
    <w:rsid w:val="18CE16DB"/>
    <w:rsid w:val="18D21BDA"/>
    <w:rsid w:val="18D3325C"/>
    <w:rsid w:val="18D46C70"/>
    <w:rsid w:val="18ED7B4F"/>
    <w:rsid w:val="18FE5269"/>
    <w:rsid w:val="19133E51"/>
    <w:rsid w:val="193009FE"/>
    <w:rsid w:val="194C6677"/>
    <w:rsid w:val="19542075"/>
    <w:rsid w:val="195E6A2C"/>
    <w:rsid w:val="19675F86"/>
    <w:rsid w:val="196E00F8"/>
    <w:rsid w:val="198F3627"/>
    <w:rsid w:val="199E386A"/>
    <w:rsid w:val="19A213F5"/>
    <w:rsid w:val="19A418B9"/>
    <w:rsid w:val="19C257AA"/>
    <w:rsid w:val="19DB3D80"/>
    <w:rsid w:val="19E04F6D"/>
    <w:rsid w:val="19F416DC"/>
    <w:rsid w:val="1A1C35E6"/>
    <w:rsid w:val="1A240213"/>
    <w:rsid w:val="1A2E39E6"/>
    <w:rsid w:val="1A2F4534"/>
    <w:rsid w:val="1A64731D"/>
    <w:rsid w:val="1A72469F"/>
    <w:rsid w:val="1A8379DF"/>
    <w:rsid w:val="1A9B15F2"/>
    <w:rsid w:val="1A9C424D"/>
    <w:rsid w:val="1AB1581F"/>
    <w:rsid w:val="1AB25E6A"/>
    <w:rsid w:val="1AB772D9"/>
    <w:rsid w:val="1ABC31F0"/>
    <w:rsid w:val="1ACB068F"/>
    <w:rsid w:val="1B333272"/>
    <w:rsid w:val="1B494D39"/>
    <w:rsid w:val="1B5E7755"/>
    <w:rsid w:val="1B7A71F5"/>
    <w:rsid w:val="1B822020"/>
    <w:rsid w:val="1B8A22F8"/>
    <w:rsid w:val="1B976520"/>
    <w:rsid w:val="1BB455D7"/>
    <w:rsid w:val="1BBA678A"/>
    <w:rsid w:val="1BCC2910"/>
    <w:rsid w:val="1BFB64CC"/>
    <w:rsid w:val="1C0E117B"/>
    <w:rsid w:val="1C1C5678"/>
    <w:rsid w:val="1C246367"/>
    <w:rsid w:val="1C4B2D6F"/>
    <w:rsid w:val="1C844DEB"/>
    <w:rsid w:val="1CC85451"/>
    <w:rsid w:val="1CD035FF"/>
    <w:rsid w:val="1CEF1145"/>
    <w:rsid w:val="1D233D8F"/>
    <w:rsid w:val="1D3459FF"/>
    <w:rsid w:val="1D4D35A2"/>
    <w:rsid w:val="1D575319"/>
    <w:rsid w:val="1D7C1034"/>
    <w:rsid w:val="1DCD18A1"/>
    <w:rsid w:val="1DCD2970"/>
    <w:rsid w:val="1DDC3C8D"/>
    <w:rsid w:val="1DF30372"/>
    <w:rsid w:val="1E03164B"/>
    <w:rsid w:val="1E0F4076"/>
    <w:rsid w:val="1E682E27"/>
    <w:rsid w:val="1E707F95"/>
    <w:rsid w:val="1EA27958"/>
    <w:rsid w:val="1EA94202"/>
    <w:rsid w:val="1F0E1492"/>
    <w:rsid w:val="1F212F73"/>
    <w:rsid w:val="1F213D24"/>
    <w:rsid w:val="1F6249F6"/>
    <w:rsid w:val="1F992B7C"/>
    <w:rsid w:val="1FA06DAA"/>
    <w:rsid w:val="1FB06288"/>
    <w:rsid w:val="1FDA2639"/>
    <w:rsid w:val="1FED0380"/>
    <w:rsid w:val="1FEE1188"/>
    <w:rsid w:val="201347C7"/>
    <w:rsid w:val="201964A9"/>
    <w:rsid w:val="20457BE4"/>
    <w:rsid w:val="207B4905"/>
    <w:rsid w:val="20A0436C"/>
    <w:rsid w:val="20A200E4"/>
    <w:rsid w:val="20B36BB2"/>
    <w:rsid w:val="20C61714"/>
    <w:rsid w:val="20D54675"/>
    <w:rsid w:val="21076EAA"/>
    <w:rsid w:val="21097C94"/>
    <w:rsid w:val="21164B43"/>
    <w:rsid w:val="21311D33"/>
    <w:rsid w:val="215C01EE"/>
    <w:rsid w:val="21AE2AB8"/>
    <w:rsid w:val="21C9307F"/>
    <w:rsid w:val="21E40288"/>
    <w:rsid w:val="220A1D98"/>
    <w:rsid w:val="22123047"/>
    <w:rsid w:val="2217735B"/>
    <w:rsid w:val="2218797D"/>
    <w:rsid w:val="22275EF8"/>
    <w:rsid w:val="22370854"/>
    <w:rsid w:val="22370D00"/>
    <w:rsid w:val="226D1CB5"/>
    <w:rsid w:val="22755A4F"/>
    <w:rsid w:val="228B76CE"/>
    <w:rsid w:val="229F0C93"/>
    <w:rsid w:val="22AA0132"/>
    <w:rsid w:val="22B731D5"/>
    <w:rsid w:val="22F17100"/>
    <w:rsid w:val="22FA640F"/>
    <w:rsid w:val="23125B7E"/>
    <w:rsid w:val="231A1F84"/>
    <w:rsid w:val="231A56E9"/>
    <w:rsid w:val="23241284"/>
    <w:rsid w:val="235B0525"/>
    <w:rsid w:val="2375388E"/>
    <w:rsid w:val="237C665A"/>
    <w:rsid w:val="23850D1F"/>
    <w:rsid w:val="238C6E29"/>
    <w:rsid w:val="23D762F6"/>
    <w:rsid w:val="24082241"/>
    <w:rsid w:val="241A4435"/>
    <w:rsid w:val="24343980"/>
    <w:rsid w:val="244B0A92"/>
    <w:rsid w:val="24896773"/>
    <w:rsid w:val="249047E8"/>
    <w:rsid w:val="24BE2A29"/>
    <w:rsid w:val="24C846D9"/>
    <w:rsid w:val="24EA483E"/>
    <w:rsid w:val="24FD7FDE"/>
    <w:rsid w:val="25150BF1"/>
    <w:rsid w:val="25206C08"/>
    <w:rsid w:val="25490D83"/>
    <w:rsid w:val="255C3EFC"/>
    <w:rsid w:val="255F5E6B"/>
    <w:rsid w:val="257F5A79"/>
    <w:rsid w:val="25A66C6A"/>
    <w:rsid w:val="25B74631"/>
    <w:rsid w:val="25C60AA9"/>
    <w:rsid w:val="25E27D38"/>
    <w:rsid w:val="263022DC"/>
    <w:rsid w:val="264777FE"/>
    <w:rsid w:val="264F3B85"/>
    <w:rsid w:val="265549B9"/>
    <w:rsid w:val="265A0BD7"/>
    <w:rsid w:val="266F42B5"/>
    <w:rsid w:val="269C3271"/>
    <w:rsid w:val="26A10655"/>
    <w:rsid w:val="26A771A4"/>
    <w:rsid w:val="26AA549D"/>
    <w:rsid w:val="26D13E3E"/>
    <w:rsid w:val="26D14828"/>
    <w:rsid w:val="26D44D6F"/>
    <w:rsid w:val="26D737EE"/>
    <w:rsid w:val="26EA264A"/>
    <w:rsid w:val="272A498F"/>
    <w:rsid w:val="272C0707"/>
    <w:rsid w:val="27563F4C"/>
    <w:rsid w:val="27734588"/>
    <w:rsid w:val="27A90FEA"/>
    <w:rsid w:val="27AB5D10"/>
    <w:rsid w:val="27B54BA0"/>
    <w:rsid w:val="27C41D16"/>
    <w:rsid w:val="27E77E1F"/>
    <w:rsid w:val="27F6519C"/>
    <w:rsid w:val="27FE388E"/>
    <w:rsid w:val="2812526C"/>
    <w:rsid w:val="2833209D"/>
    <w:rsid w:val="283F090E"/>
    <w:rsid w:val="285E3A0B"/>
    <w:rsid w:val="28844E1A"/>
    <w:rsid w:val="288F0A5E"/>
    <w:rsid w:val="28AB7D51"/>
    <w:rsid w:val="28B014CE"/>
    <w:rsid w:val="28D01566"/>
    <w:rsid w:val="28DF17A9"/>
    <w:rsid w:val="28E55011"/>
    <w:rsid w:val="292D69B8"/>
    <w:rsid w:val="293E75FA"/>
    <w:rsid w:val="29540C2B"/>
    <w:rsid w:val="295F7D1D"/>
    <w:rsid w:val="299407E6"/>
    <w:rsid w:val="29E17ECF"/>
    <w:rsid w:val="2A0374F8"/>
    <w:rsid w:val="2A102562"/>
    <w:rsid w:val="2A222295"/>
    <w:rsid w:val="2A5266D7"/>
    <w:rsid w:val="2AAB4C72"/>
    <w:rsid w:val="2AAF04D5"/>
    <w:rsid w:val="2AE73BC4"/>
    <w:rsid w:val="2B0B05BB"/>
    <w:rsid w:val="2B163D4A"/>
    <w:rsid w:val="2B1E0CAF"/>
    <w:rsid w:val="2B1E2A5D"/>
    <w:rsid w:val="2B606681"/>
    <w:rsid w:val="2B6C5576"/>
    <w:rsid w:val="2B812E55"/>
    <w:rsid w:val="2B8B2BFC"/>
    <w:rsid w:val="2BC25ADE"/>
    <w:rsid w:val="2BD63891"/>
    <w:rsid w:val="2C023378"/>
    <w:rsid w:val="2C066227"/>
    <w:rsid w:val="2C525F5C"/>
    <w:rsid w:val="2CA535F8"/>
    <w:rsid w:val="2CA57561"/>
    <w:rsid w:val="2CBA5C99"/>
    <w:rsid w:val="2D04656C"/>
    <w:rsid w:val="2D187BB2"/>
    <w:rsid w:val="2D200A23"/>
    <w:rsid w:val="2D216834"/>
    <w:rsid w:val="2D231874"/>
    <w:rsid w:val="2D2B159E"/>
    <w:rsid w:val="2D306A77"/>
    <w:rsid w:val="2D443CA7"/>
    <w:rsid w:val="2D4E6396"/>
    <w:rsid w:val="2D551834"/>
    <w:rsid w:val="2D6F72CD"/>
    <w:rsid w:val="2D742B32"/>
    <w:rsid w:val="2D7A4435"/>
    <w:rsid w:val="2D856DC3"/>
    <w:rsid w:val="2DC478E8"/>
    <w:rsid w:val="2DD517D4"/>
    <w:rsid w:val="2DDB2E87"/>
    <w:rsid w:val="2DEA4E78"/>
    <w:rsid w:val="2E112405"/>
    <w:rsid w:val="2E3031D3"/>
    <w:rsid w:val="2E3F12F9"/>
    <w:rsid w:val="2E555FE9"/>
    <w:rsid w:val="2E6B5FB9"/>
    <w:rsid w:val="2E80644F"/>
    <w:rsid w:val="2E84538B"/>
    <w:rsid w:val="2E9A689E"/>
    <w:rsid w:val="2EBA2A9C"/>
    <w:rsid w:val="2EC16F1A"/>
    <w:rsid w:val="2ECD5480"/>
    <w:rsid w:val="2F0500D5"/>
    <w:rsid w:val="2F177EEF"/>
    <w:rsid w:val="2F7D080C"/>
    <w:rsid w:val="2FC55B9D"/>
    <w:rsid w:val="2FD8767E"/>
    <w:rsid w:val="2FF31D0A"/>
    <w:rsid w:val="301A5EE8"/>
    <w:rsid w:val="3030231C"/>
    <w:rsid w:val="30366D06"/>
    <w:rsid w:val="30C92320"/>
    <w:rsid w:val="30D83C45"/>
    <w:rsid w:val="30E66DCC"/>
    <w:rsid w:val="314174A5"/>
    <w:rsid w:val="314A45AB"/>
    <w:rsid w:val="31552B73"/>
    <w:rsid w:val="31610A38"/>
    <w:rsid w:val="31994BEB"/>
    <w:rsid w:val="3220530C"/>
    <w:rsid w:val="323A7360"/>
    <w:rsid w:val="323D0A84"/>
    <w:rsid w:val="324C6101"/>
    <w:rsid w:val="32531F47"/>
    <w:rsid w:val="326076FA"/>
    <w:rsid w:val="32770D8A"/>
    <w:rsid w:val="32A7158A"/>
    <w:rsid w:val="32C91500"/>
    <w:rsid w:val="32D24BA4"/>
    <w:rsid w:val="32D86AF0"/>
    <w:rsid w:val="32FA7732"/>
    <w:rsid w:val="3330157F"/>
    <w:rsid w:val="333762E3"/>
    <w:rsid w:val="33483797"/>
    <w:rsid w:val="336B0809"/>
    <w:rsid w:val="337825D1"/>
    <w:rsid w:val="338B2CC0"/>
    <w:rsid w:val="33BA4BF5"/>
    <w:rsid w:val="33BE254B"/>
    <w:rsid w:val="33D51773"/>
    <w:rsid w:val="34000EC8"/>
    <w:rsid w:val="340B2F58"/>
    <w:rsid w:val="340F1183"/>
    <w:rsid w:val="34105922"/>
    <w:rsid w:val="34251EF7"/>
    <w:rsid w:val="34311A53"/>
    <w:rsid w:val="347B2E07"/>
    <w:rsid w:val="348F6779"/>
    <w:rsid w:val="349D28F7"/>
    <w:rsid w:val="34BF1F7E"/>
    <w:rsid w:val="34CB2DEE"/>
    <w:rsid w:val="34D452B4"/>
    <w:rsid w:val="34E26997"/>
    <w:rsid w:val="355359F9"/>
    <w:rsid w:val="35C038EE"/>
    <w:rsid w:val="35D94150"/>
    <w:rsid w:val="35EC2ECC"/>
    <w:rsid w:val="36592683"/>
    <w:rsid w:val="36873605"/>
    <w:rsid w:val="368C2F70"/>
    <w:rsid w:val="36B215D8"/>
    <w:rsid w:val="36D36DF1"/>
    <w:rsid w:val="36D40815"/>
    <w:rsid w:val="36E52680"/>
    <w:rsid w:val="36F5338D"/>
    <w:rsid w:val="3708606E"/>
    <w:rsid w:val="37732382"/>
    <w:rsid w:val="37864191"/>
    <w:rsid w:val="378C0D4E"/>
    <w:rsid w:val="37985EC1"/>
    <w:rsid w:val="379E11AD"/>
    <w:rsid w:val="37E413C0"/>
    <w:rsid w:val="380171FD"/>
    <w:rsid w:val="38402233"/>
    <w:rsid w:val="384B29B7"/>
    <w:rsid w:val="38712298"/>
    <w:rsid w:val="388C5B1D"/>
    <w:rsid w:val="38A04DF7"/>
    <w:rsid w:val="38C77976"/>
    <w:rsid w:val="38E74525"/>
    <w:rsid w:val="390200C3"/>
    <w:rsid w:val="39174448"/>
    <w:rsid w:val="39225E0E"/>
    <w:rsid w:val="392331A3"/>
    <w:rsid w:val="39363667"/>
    <w:rsid w:val="3963370B"/>
    <w:rsid w:val="397836F4"/>
    <w:rsid w:val="397D4DF2"/>
    <w:rsid w:val="39952DF3"/>
    <w:rsid w:val="399D0939"/>
    <w:rsid w:val="39B5337F"/>
    <w:rsid w:val="39CC45AC"/>
    <w:rsid w:val="39EF3677"/>
    <w:rsid w:val="39FF1BFA"/>
    <w:rsid w:val="3A0F0CCD"/>
    <w:rsid w:val="3A521691"/>
    <w:rsid w:val="3A663A3E"/>
    <w:rsid w:val="3A6A181A"/>
    <w:rsid w:val="3A993EAE"/>
    <w:rsid w:val="3AAE6E0A"/>
    <w:rsid w:val="3AF13CEA"/>
    <w:rsid w:val="3B085695"/>
    <w:rsid w:val="3B385475"/>
    <w:rsid w:val="3B5947AB"/>
    <w:rsid w:val="3B622EC6"/>
    <w:rsid w:val="3B9A280D"/>
    <w:rsid w:val="3BBD3BCC"/>
    <w:rsid w:val="3BEA7430"/>
    <w:rsid w:val="3BF81716"/>
    <w:rsid w:val="3BFD527E"/>
    <w:rsid w:val="3C1B6C41"/>
    <w:rsid w:val="3C424E8F"/>
    <w:rsid w:val="3C477B6F"/>
    <w:rsid w:val="3C8702E7"/>
    <w:rsid w:val="3C9C124F"/>
    <w:rsid w:val="3CB94393"/>
    <w:rsid w:val="3CC83199"/>
    <w:rsid w:val="3CF571F3"/>
    <w:rsid w:val="3D140C5C"/>
    <w:rsid w:val="3D2F43E0"/>
    <w:rsid w:val="3D655D60"/>
    <w:rsid w:val="3D9F2C3C"/>
    <w:rsid w:val="3DAC43F9"/>
    <w:rsid w:val="3DB50FFF"/>
    <w:rsid w:val="3DD02553"/>
    <w:rsid w:val="3DED0D09"/>
    <w:rsid w:val="3DEE556E"/>
    <w:rsid w:val="3E13326D"/>
    <w:rsid w:val="3E616B4B"/>
    <w:rsid w:val="3E6E2B1B"/>
    <w:rsid w:val="3E955746"/>
    <w:rsid w:val="3ED205EC"/>
    <w:rsid w:val="3ED74FA5"/>
    <w:rsid w:val="3EE142D2"/>
    <w:rsid w:val="3F062C40"/>
    <w:rsid w:val="3F0835D9"/>
    <w:rsid w:val="3F446ADE"/>
    <w:rsid w:val="3F4D5267"/>
    <w:rsid w:val="3F4F166A"/>
    <w:rsid w:val="3F593C86"/>
    <w:rsid w:val="3F744629"/>
    <w:rsid w:val="3FB85A65"/>
    <w:rsid w:val="3FCC0118"/>
    <w:rsid w:val="3FCF3F18"/>
    <w:rsid w:val="3FD421E8"/>
    <w:rsid w:val="400118CA"/>
    <w:rsid w:val="40252995"/>
    <w:rsid w:val="40302BBE"/>
    <w:rsid w:val="40332828"/>
    <w:rsid w:val="40A44C63"/>
    <w:rsid w:val="40D00B2F"/>
    <w:rsid w:val="40DC0786"/>
    <w:rsid w:val="41232723"/>
    <w:rsid w:val="41300C0B"/>
    <w:rsid w:val="41464C85"/>
    <w:rsid w:val="417F6B17"/>
    <w:rsid w:val="41840BE1"/>
    <w:rsid w:val="418C6658"/>
    <w:rsid w:val="41964E73"/>
    <w:rsid w:val="419F529D"/>
    <w:rsid w:val="41B55086"/>
    <w:rsid w:val="41EE6E13"/>
    <w:rsid w:val="42084EC3"/>
    <w:rsid w:val="423A6411"/>
    <w:rsid w:val="42786A9F"/>
    <w:rsid w:val="42B23685"/>
    <w:rsid w:val="42D71A17"/>
    <w:rsid w:val="42FE6FA4"/>
    <w:rsid w:val="4361439B"/>
    <w:rsid w:val="43946CA9"/>
    <w:rsid w:val="43A86F10"/>
    <w:rsid w:val="44290050"/>
    <w:rsid w:val="44427F52"/>
    <w:rsid w:val="4447497A"/>
    <w:rsid w:val="444B50A7"/>
    <w:rsid w:val="446564DF"/>
    <w:rsid w:val="4467501D"/>
    <w:rsid w:val="44913E48"/>
    <w:rsid w:val="44B6499C"/>
    <w:rsid w:val="44DC4453"/>
    <w:rsid w:val="44EE129A"/>
    <w:rsid w:val="45044441"/>
    <w:rsid w:val="45180211"/>
    <w:rsid w:val="452B1BA6"/>
    <w:rsid w:val="45744DF5"/>
    <w:rsid w:val="458B38D1"/>
    <w:rsid w:val="45A35BE1"/>
    <w:rsid w:val="45B52D68"/>
    <w:rsid w:val="45C174FE"/>
    <w:rsid w:val="45DE7FFD"/>
    <w:rsid w:val="460348D1"/>
    <w:rsid w:val="460D64F3"/>
    <w:rsid w:val="461D1E37"/>
    <w:rsid w:val="464F1C02"/>
    <w:rsid w:val="466F2638"/>
    <w:rsid w:val="469A7FF6"/>
    <w:rsid w:val="46EE732F"/>
    <w:rsid w:val="47060312"/>
    <w:rsid w:val="470C53AE"/>
    <w:rsid w:val="47170479"/>
    <w:rsid w:val="4719209A"/>
    <w:rsid w:val="47794A11"/>
    <w:rsid w:val="47A143A2"/>
    <w:rsid w:val="47B71069"/>
    <w:rsid w:val="48132F14"/>
    <w:rsid w:val="483B0352"/>
    <w:rsid w:val="48811D03"/>
    <w:rsid w:val="48A31FE1"/>
    <w:rsid w:val="48AC1250"/>
    <w:rsid w:val="48D66C7A"/>
    <w:rsid w:val="48E105FA"/>
    <w:rsid w:val="48F86243"/>
    <w:rsid w:val="48FC2F4A"/>
    <w:rsid w:val="49036E3A"/>
    <w:rsid w:val="49180694"/>
    <w:rsid w:val="49506444"/>
    <w:rsid w:val="49557B3A"/>
    <w:rsid w:val="4957464A"/>
    <w:rsid w:val="49620E28"/>
    <w:rsid w:val="496F2273"/>
    <w:rsid w:val="49DB1022"/>
    <w:rsid w:val="49E669E4"/>
    <w:rsid w:val="49E71F57"/>
    <w:rsid w:val="49ED46D6"/>
    <w:rsid w:val="4A08695A"/>
    <w:rsid w:val="4A1D33CB"/>
    <w:rsid w:val="4A2F2139"/>
    <w:rsid w:val="4A4B0CBA"/>
    <w:rsid w:val="4A7C615F"/>
    <w:rsid w:val="4AA41178"/>
    <w:rsid w:val="4AAA3236"/>
    <w:rsid w:val="4AEE1C45"/>
    <w:rsid w:val="4AF35701"/>
    <w:rsid w:val="4AF74536"/>
    <w:rsid w:val="4AF8077D"/>
    <w:rsid w:val="4B1B12F2"/>
    <w:rsid w:val="4B1E34DF"/>
    <w:rsid w:val="4B283107"/>
    <w:rsid w:val="4B392546"/>
    <w:rsid w:val="4B4614E8"/>
    <w:rsid w:val="4B4657DE"/>
    <w:rsid w:val="4B491A26"/>
    <w:rsid w:val="4B65281E"/>
    <w:rsid w:val="4B6E4EE3"/>
    <w:rsid w:val="4B840262"/>
    <w:rsid w:val="4B8C6395"/>
    <w:rsid w:val="4BF624AA"/>
    <w:rsid w:val="4BF90C50"/>
    <w:rsid w:val="4C2D4456"/>
    <w:rsid w:val="4C5D2FD0"/>
    <w:rsid w:val="4C981C3F"/>
    <w:rsid w:val="4CA7245A"/>
    <w:rsid w:val="4CA74208"/>
    <w:rsid w:val="4CD718F5"/>
    <w:rsid w:val="4D204A83"/>
    <w:rsid w:val="4D267F84"/>
    <w:rsid w:val="4D2B547F"/>
    <w:rsid w:val="4D832F3E"/>
    <w:rsid w:val="4D99574F"/>
    <w:rsid w:val="4D9B5CE1"/>
    <w:rsid w:val="4DC52777"/>
    <w:rsid w:val="4DDA3031"/>
    <w:rsid w:val="4E053C7B"/>
    <w:rsid w:val="4E0E5A4F"/>
    <w:rsid w:val="4E4435E1"/>
    <w:rsid w:val="4E630603"/>
    <w:rsid w:val="4ED67027"/>
    <w:rsid w:val="4EE52C6D"/>
    <w:rsid w:val="4EE555E0"/>
    <w:rsid w:val="4F01127F"/>
    <w:rsid w:val="4F493C9D"/>
    <w:rsid w:val="4FAB2D1B"/>
    <w:rsid w:val="4FB731DD"/>
    <w:rsid w:val="4FBF2ED5"/>
    <w:rsid w:val="50067498"/>
    <w:rsid w:val="50096F88"/>
    <w:rsid w:val="50131BB5"/>
    <w:rsid w:val="50146059"/>
    <w:rsid w:val="503E4E84"/>
    <w:rsid w:val="50416722"/>
    <w:rsid w:val="50681F00"/>
    <w:rsid w:val="506D5769"/>
    <w:rsid w:val="50833C86"/>
    <w:rsid w:val="50836D3A"/>
    <w:rsid w:val="50E36F44"/>
    <w:rsid w:val="50E45A03"/>
    <w:rsid w:val="51150190"/>
    <w:rsid w:val="512A5408"/>
    <w:rsid w:val="512C2F2E"/>
    <w:rsid w:val="51D5048D"/>
    <w:rsid w:val="51E51FEE"/>
    <w:rsid w:val="51F779E0"/>
    <w:rsid w:val="520B7D74"/>
    <w:rsid w:val="52100AA2"/>
    <w:rsid w:val="522768AD"/>
    <w:rsid w:val="523251E2"/>
    <w:rsid w:val="52500E9E"/>
    <w:rsid w:val="527B46FD"/>
    <w:rsid w:val="52853F43"/>
    <w:rsid w:val="528E51B8"/>
    <w:rsid w:val="52A6664F"/>
    <w:rsid w:val="52B15411"/>
    <w:rsid w:val="52B87A54"/>
    <w:rsid w:val="52CC7DF3"/>
    <w:rsid w:val="52CE1289"/>
    <w:rsid w:val="52EB079C"/>
    <w:rsid w:val="531B4AC6"/>
    <w:rsid w:val="53277BCE"/>
    <w:rsid w:val="535004C8"/>
    <w:rsid w:val="538423E9"/>
    <w:rsid w:val="538B7847"/>
    <w:rsid w:val="5398065B"/>
    <w:rsid w:val="539F3E8B"/>
    <w:rsid w:val="53A22BE3"/>
    <w:rsid w:val="53A53928"/>
    <w:rsid w:val="53C673CA"/>
    <w:rsid w:val="540A1104"/>
    <w:rsid w:val="54420CBA"/>
    <w:rsid w:val="54800E8E"/>
    <w:rsid w:val="5483555B"/>
    <w:rsid w:val="54A408D5"/>
    <w:rsid w:val="54B57808"/>
    <w:rsid w:val="54F621D1"/>
    <w:rsid w:val="552A2DE1"/>
    <w:rsid w:val="553920BD"/>
    <w:rsid w:val="5540169E"/>
    <w:rsid w:val="55676834"/>
    <w:rsid w:val="55733821"/>
    <w:rsid w:val="557E0A27"/>
    <w:rsid w:val="55A5503C"/>
    <w:rsid w:val="56037CFF"/>
    <w:rsid w:val="56334D5F"/>
    <w:rsid w:val="563B33DC"/>
    <w:rsid w:val="56814E3E"/>
    <w:rsid w:val="56982E14"/>
    <w:rsid w:val="56B87FF7"/>
    <w:rsid w:val="56D12D5D"/>
    <w:rsid w:val="56E95B74"/>
    <w:rsid w:val="56F53225"/>
    <w:rsid w:val="57047B95"/>
    <w:rsid w:val="57236B81"/>
    <w:rsid w:val="573174F0"/>
    <w:rsid w:val="573773E9"/>
    <w:rsid w:val="57527466"/>
    <w:rsid w:val="57593089"/>
    <w:rsid w:val="576D604E"/>
    <w:rsid w:val="577949F3"/>
    <w:rsid w:val="5794682F"/>
    <w:rsid w:val="57B91A6F"/>
    <w:rsid w:val="57D0356B"/>
    <w:rsid w:val="57D52571"/>
    <w:rsid w:val="57E82455"/>
    <w:rsid w:val="58022C3B"/>
    <w:rsid w:val="582564D7"/>
    <w:rsid w:val="58264E59"/>
    <w:rsid w:val="582B34CF"/>
    <w:rsid w:val="583848AE"/>
    <w:rsid w:val="58402AE0"/>
    <w:rsid w:val="58603F84"/>
    <w:rsid w:val="5881429E"/>
    <w:rsid w:val="58B0750F"/>
    <w:rsid w:val="58B35CA0"/>
    <w:rsid w:val="58E41F09"/>
    <w:rsid w:val="58FE1654"/>
    <w:rsid w:val="590651C6"/>
    <w:rsid w:val="59255A95"/>
    <w:rsid w:val="592866D1"/>
    <w:rsid w:val="59312499"/>
    <w:rsid w:val="59372DB8"/>
    <w:rsid w:val="59754D64"/>
    <w:rsid w:val="599F5584"/>
    <w:rsid w:val="59B66E8F"/>
    <w:rsid w:val="59BF0C4D"/>
    <w:rsid w:val="59F640F1"/>
    <w:rsid w:val="5A2B3EF4"/>
    <w:rsid w:val="5A32585F"/>
    <w:rsid w:val="5A3776B2"/>
    <w:rsid w:val="5A5939ED"/>
    <w:rsid w:val="5A780863"/>
    <w:rsid w:val="5AA10B95"/>
    <w:rsid w:val="5ACD3059"/>
    <w:rsid w:val="5AEE5383"/>
    <w:rsid w:val="5B056235"/>
    <w:rsid w:val="5B0C581F"/>
    <w:rsid w:val="5B8D79ED"/>
    <w:rsid w:val="5BA04C44"/>
    <w:rsid w:val="5BA46702"/>
    <w:rsid w:val="5BA83B17"/>
    <w:rsid w:val="5BBE7DF7"/>
    <w:rsid w:val="5BC62257"/>
    <w:rsid w:val="5BDB5C7C"/>
    <w:rsid w:val="5C0B5D25"/>
    <w:rsid w:val="5C182A2D"/>
    <w:rsid w:val="5C26298E"/>
    <w:rsid w:val="5C6006D9"/>
    <w:rsid w:val="5C9127DF"/>
    <w:rsid w:val="5C913374"/>
    <w:rsid w:val="5C9218B6"/>
    <w:rsid w:val="5CA076CB"/>
    <w:rsid w:val="5CAE1C5C"/>
    <w:rsid w:val="5CBE07F4"/>
    <w:rsid w:val="5CEA4624"/>
    <w:rsid w:val="5CF36FF6"/>
    <w:rsid w:val="5CFC234E"/>
    <w:rsid w:val="5D2B3347"/>
    <w:rsid w:val="5D3149E8"/>
    <w:rsid w:val="5D3F66DF"/>
    <w:rsid w:val="5D6879E4"/>
    <w:rsid w:val="5D762135"/>
    <w:rsid w:val="5D7E3D19"/>
    <w:rsid w:val="5D916F3A"/>
    <w:rsid w:val="5DA153CA"/>
    <w:rsid w:val="5DBC1DC9"/>
    <w:rsid w:val="5DC43727"/>
    <w:rsid w:val="5DCD5A99"/>
    <w:rsid w:val="5DDC3B9C"/>
    <w:rsid w:val="5DFF67AF"/>
    <w:rsid w:val="5E2E21D3"/>
    <w:rsid w:val="5E5D0BCB"/>
    <w:rsid w:val="5E64625A"/>
    <w:rsid w:val="5E67591F"/>
    <w:rsid w:val="5E953FF5"/>
    <w:rsid w:val="5E9A7EDB"/>
    <w:rsid w:val="5EBB4155"/>
    <w:rsid w:val="5EC0115A"/>
    <w:rsid w:val="5EC22FE7"/>
    <w:rsid w:val="5ED33DDE"/>
    <w:rsid w:val="5EE057F0"/>
    <w:rsid w:val="5EFE107F"/>
    <w:rsid w:val="5F170E02"/>
    <w:rsid w:val="5F6661A5"/>
    <w:rsid w:val="5FC812E1"/>
    <w:rsid w:val="60181471"/>
    <w:rsid w:val="604D4C6F"/>
    <w:rsid w:val="60716B51"/>
    <w:rsid w:val="608A7C71"/>
    <w:rsid w:val="609F0BE8"/>
    <w:rsid w:val="611759A9"/>
    <w:rsid w:val="61325D85"/>
    <w:rsid w:val="613C715F"/>
    <w:rsid w:val="6162741E"/>
    <w:rsid w:val="619C0D54"/>
    <w:rsid w:val="619F7BAF"/>
    <w:rsid w:val="61AA24B2"/>
    <w:rsid w:val="61B33B64"/>
    <w:rsid w:val="61B559C9"/>
    <w:rsid w:val="61BF20D1"/>
    <w:rsid w:val="61F61177"/>
    <w:rsid w:val="61FA7BC0"/>
    <w:rsid w:val="61FE4473"/>
    <w:rsid w:val="62061579"/>
    <w:rsid w:val="620850D8"/>
    <w:rsid w:val="6223212B"/>
    <w:rsid w:val="62293020"/>
    <w:rsid w:val="624B51DE"/>
    <w:rsid w:val="625D388F"/>
    <w:rsid w:val="626F5193"/>
    <w:rsid w:val="62700306"/>
    <w:rsid w:val="627B785A"/>
    <w:rsid w:val="62EE6294"/>
    <w:rsid w:val="62F873C6"/>
    <w:rsid w:val="6338786C"/>
    <w:rsid w:val="635F1070"/>
    <w:rsid w:val="63663C6E"/>
    <w:rsid w:val="63846BFA"/>
    <w:rsid w:val="63DC35A2"/>
    <w:rsid w:val="64322AF9"/>
    <w:rsid w:val="64497237"/>
    <w:rsid w:val="644A6763"/>
    <w:rsid w:val="6458713F"/>
    <w:rsid w:val="64C134D4"/>
    <w:rsid w:val="64D17DD0"/>
    <w:rsid w:val="64D92D39"/>
    <w:rsid w:val="64F1286C"/>
    <w:rsid w:val="64FA7837"/>
    <w:rsid w:val="65257F68"/>
    <w:rsid w:val="6539772E"/>
    <w:rsid w:val="65773904"/>
    <w:rsid w:val="657E3284"/>
    <w:rsid w:val="65AD3AC0"/>
    <w:rsid w:val="65B51681"/>
    <w:rsid w:val="65BC5116"/>
    <w:rsid w:val="65D04378"/>
    <w:rsid w:val="65E9543A"/>
    <w:rsid w:val="65FC1361"/>
    <w:rsid w:val="662D5327"/>
    <w:rsid w:val="66634A35"/>
    <w:rsid w:val="666D1BC7"/>
    <w:rsid w:val="66703465"/>
    <w:rsid w:val="66711486"/>
    <w:rsid w:val="66772B67"/>
    <w:rsid w:val="667F610B"/>
    <w:rsid w:val="66A6332B"/>
    <w:rsid w:val="66A838D4"/>
    <w:rsid w:val="66D460EA"/>
    <w:rsid w:val="66D659BE"/>
    <w:rsid w:val="670C7632"/>
    <w:rsid w:val="670D4EDB"/>
    <w:rsid w:val="676A6010"/>
    <w:rsid w:val="67732054"/>
    <w:rsid w:val="678E52A3"/>
    <w:rsid w:val="67AF3709"/>
    <w:rsid w:val="67B927F7"/>
    <w:rsid w:val="67C07B0C"/>
    <w:rsid w:val="67F45EB1"/>
    <w:rsid w:val="6800627B"/>
    <w:rsid w:val="68077DF9"/>
    <w:rsid w:val="685017A0"/>
    <w:rsid w:val="687E00BB"/>
    <w:rsid w:val="68B735CD"/>
    <w:rsid w:val="68BD1306"/>
    <w:rsid w:val="68CC0A7B"/>
    <w:rsid w:val="690A5DF3"/>
    <w:rsid w:val="69252C2D"/>
    <w:rsid w:val="693A3C94"/>
    <w:rsid w:val="695D48EB"/>
    <w:rsid w:val="699072D5"/>
    <w:rsid w:val="699A48C1"/>
    <w:rsid w:val="699B6A4B"/>
    <w:rsid w:val="69B12712"/>
    <w:rsid w:val="69C97A5C"/>
    <w:rsid w:val="69EF3CFC"/>
    <w:rsid w:val="69F04FE9"/>
    <w:rsid w:val="6A1E78CE"/>
    <w:rsid w:val="6A36452B"/>
    <w:rsid w:val="6A60677C"/>
    <w:rsid w:val="6A6854FB"/>
    <w:rsid w:val="6A6E22DE"/>
    <w:rsid w:val="6A815C41"/>
    <w:rsid w:val="6AE12B83"/>
    <w:rsid w:val="6AE22020"/>
    <w:rsid w:val="6AFE7F06"/>
    <w:rsid w:val="6B163F01"/>
    <w:rsid w:val="6B3449D8"/>
    <w:rsid w:val="6B6A1504"/>
    <w:rsid w:val="6B7660F1"/>
    <w:rsid w:val="6B8805B7"/>
    <w:rsid w:val="6B8C31C6"/>
    <w:rsid w:val="6BC37EBD"/>
    <w:rsid w:val="6BCC3834"/>
    <w:rsid w:val="6BE50272"/>
    <w:rsid w:val="6BEE1B1F"/>
    <w:rsid w:val="6BF222BC"/>
    <w:rsid w:val="6BFD5ADD"/>
    <w:rsid w:val="6C0703C8"/>
    <w:rsid w:val="6C0A7EB8"/>
    <w:rsid w:val="6C496C32"/>
    <w:rsid w:val="6C553313"/>
    <w:rsid w:val="6C5555D7"/>
    <w:rsid w:val="6C5E29A1"/>
    <w:rsid w:val="6C8247FD"/>
    <w:rsid w:val="6C8469CD"/>
    <w:rsid w:val="6C883B28"/>
    <w:rsid w:val="6C965960"/>
    <w:rsid w:val="6D055307"/>
    <w:rsid w:val="6D0B294D"/>
    <w:rsid w:val="6D0F2724"/>
    <w:rsid w:val="6D580A73"/>
    <w:rsid w:val="6D6503A1"/>
    <w:rsid w:val="6D853231"/>
    <w:rsid w:val="6D8A12B0"/>
    <w:rsid w:val="6D9A533D"/>
    <w:rsid w:val="6DA47FDB"/>
    <w:rsid w:val="6DC24155"/>
    <w:rsid w:val="6DCF13B9"/>
    <w:rsid w:val="6DFB5D0A"/>
    <w:rsid w:val="6E1A3DCB"/>
    <w:rsid w:val="6E237077"/>
    <w:rsid w:val="6E390A34"/>
    <w:rsid w:val="6E6164B5"/>
    <w:rsid w:val="6EA77C40"/>
    <w:rsid w:val="6EAE5472"/>
    <w:rsid w:val="6F392F8E"/>
    <w:rsid w:val="6F6B6B85"/>
    <w:rsid w:val="6F7A10AD"/>
    <w:rsid w:val="6FC43A9D"/>
    <w:rsid w:val="6FDF1606"/>
    <w:rsid w:val="6FE86762"/>
    <w:rsid w:val="6FF814B9"/>
    <w:rsid w:val="702D1E02"/>
    <w:rsid w:val="7037771F"/>
    <w:rsid w:val="707149AA"/>
    <w:rsid w:val="70743576"/>
    <w:rsid w:val="70A63B08"/>
    <w:rsid w:val="70C3758A"/>
    <w:rsid w:val="70C525FF"/>
    <w:rsid w:val="70D162B1"/>
    <w:rsid w:val="70DF7033"/>
    <w:rsid w:val="70E64A50"/>
    <w:rsid w:val="71003969"/>
    <w:rsid w:val="71045017"/>
    <w:rsid w:val="71073633"/>
    <w:rsid w:val="71162BC3"/>
    <w:rsid w:val="71257C6E"/>
    <w:rsid w:val="7129096F"/>
    <w:rsid w:val="718A3BCA"/>
    <w:rsid w:val="71B57799"/>
    <w:rsid w:val="71CD79BE"/>
    <w:rsid w:val="71EF0F7D"/>
    <w:rsid w:val="720A3423"/>
    <w:rsid w:val="72344F88"/>
    <w:rsid w:val="72A526E9"/>
    <w:rsid w:val="72B7759F"/>
    <w:rsid w:val="72D372AF"/>
    <w:rsid w:val="72D52FCE"/>
    <w:rsid w:val="72F042DC"/>
    <w:rsid w:val="73445EC6"/>
    <w:rsid w:val="734C778A"/>
    <w:rsid w:val="737F118B"/>
    <w:rsid w:val="737F4524"/>
    <w:rsid w:val="73874C52"/>
    <w:rsid w:val="739B6B88"/>
    <w:rsid w:val="739F0A39"/>
    <w:rsid w:val="73A36C4B"/>
    <w:rsid w:val="73CA0EB2"/>
    <w:rsid w:val="73FD3278"/>
    <w:rsid w:val="741928EC"/>
    <w:rsid w:val="741E260C"/>
    <w:rsid w:val="742C4E6F"/>
    <w:rsid w:val="7434641A"/>
    <w:rsid w:val="747D1B6F"/>
    <w:rsid w:val="749C3ABE"/>
    <w:rsid w:val="751029E3"/>
    <w:rsid w:val="753A7112"/>
    <w:rsid w:val="75DF6571"/>
    <w:rsid w:val="75F61C4F"/>
    <w:rsid w:val="75FC6AC3"/>
    <w:rsid w:val="75FE7663"/>
    <w:rsid w:val="7611222F"/>
    <w:rsid w:val="76165DD7"/>
    <w:rsid w:val="761A7C28"/>
    <w:rsid w:val="7623456A"/>
    <w:rsid w:val="76485DDD"/>
    <w:rsid w:val="76601FFC"/>
    <w:rsid w:val="766306AC"/>
    <w:rsid w:val="76665F88"/>
    <w:rsid w:val="76B2751A"/>
    <w:rsid w:val="76B876CE"/>
    <w:rsid w:val="76BF67F2"/>
    <w:rsid w:val="76CC02DA"/>
    <w:rsid w:val="76D57A40"/>
    <w:rsid w:val="770A12C8"/>
    <w:rsid w:val="770F5ED0"/>
    <w:rsid w:val="77471FC0"/>
    <w:rsid w:val="774861C7"/>
    <w:rsid w:val="774E77F3"/>
    <w:rsid w:val="778E5D01"/>
    <w:rsid w:val="77AD760B"/>
    <w:rsid w:val="77C83F73"/>
    <w:rsid w:val="78174088"/>
    <w:rsid w:val="78362F6E"/>
    <w:rsid w:val="78415AB7"/>
    <w:rsid w:val="78454752"/>
    <w:rsid w:val="7858084F"/>
    <w:rsid w:val="78674A79"/>
    <w:rsid w:val="786D7B25"/>
    <w:rsid w:val="78787715"/>
    <w:rsid w:val="787B4617"/>
    <w:rsid w:val="78812D47"/>
    <w:rsid w:val="78A32AA7"/>
    <w:rsid w:val="78CB43CD"/>
    <w:rsid w:val="78E9795B"/>
    <w:rsid w:val="790673B4"/>
    <w:rsid w:val="790E548B"/>
    <w:rsid w:val="792E3346"/>
    <w:rsid w:val="79314CD6"/>
    <w:rsid w:val="795B6260"/>
    <w:rsid w:val="797029FD"/>
    <w:rsid w:val="798028C5"/>
    <w:rsid w:val="79AE27CB"/>
    <w:rsid w:val="79BF7C3B"/>
    <w:rsid w:val="79C21A2B"/>
    <w:rsid w:val="79CA006C"/>
    <w:rsid w:val="7A232871"/>
    <w:rsid w:val="7A384B54"/>
    <w:rsid w:val="7A3E2302"/>
    <w:rsid w:val="7A691309"/>
    <w:rsid w:val="7A837C4E"/>
    <w:rsid w:val="7A8F5FE5"/>
    <w:rsid w:val="7A947A86"/>
    <w:rsid w:val="7A9856F3"/>
    <w:rsid w:val="7AA67B95"/>
    <w:rsid w:val="7ABD5135"/>
    <w:rsid w:val="7AE80C9A"/>
    <w:rsid w:val="7B40617B"/>
    <w:rsid w:val="7B670E83"/>
    <w:rsid w:val="7B752FA7"/>
    <w:rsid w:val="7B777F7A"/>
    <w:rsid w:val="7B9003DA"/>
    <w:rsid w:val="7BA16DDF"/>
    <w:rsid w:val="7BAE37D0"/>
    <w:rsid w:val="7BAE62E8"/>
    <w:rsid w:val="7BB0282A"/>
    <w:rsid w:val="7BBF4352"/>
    <w:rsid w:val="7BD45C18"/>
    <w:rsid w:val="7C241981"/>
    <w:rsid w:val="7C597EB8"/>
    <w:rsid w:val="7C6D4277"/>
    <w:rsid w:val="7C6F6241"/>
    <w:rsid w:val="7C7A24E5"/>
    <w:rsid w:val="7CA40E8B"/>
    <w:rsid w:val="7CC055E5"/>
    <w:rsid w:val="7CDE5175"/>
    <w:rsid w:val="7CE06A63"/>
    <w:rsid w:val="7CF77868"/>
    <w:rsid w:val="7D117BBB"/>
    <w:rsid w:val="7D87580C"/>
    <w:rsid w:val="7D890ACB"/>
    <w:rsid w:val="7D902913"/>
    <w:rsid w:val="7D910439"/>
    <w:rsid w:val="7DA017BF"/>
    <w:rsid w:val="7DAB2EFC"/>
    <w:rsid w:val="7DCF3B2B"/>
    <w:rsid w:val="7DD02D0F"/>
    <w:rsid w:val="7DD50326"/>
    <w:rsid w:val="7E5409CF"/>
    <w:rsid w:val="7E7228FB"/>
    <w:rsid w:val="7E725BA0"/>
    <w:rsid w:val="7E890F19"/>
    <w:rsid w:val="7E9204D6"/>
    <w:rsid w:val="7EA32746"/>
    <w:rsid w:val="7EAF1681"/>
    <w:rsid w:val="7EBF4B32"/>
    <w:rsid w:val="7ED2292F"/>
    <w:rsid w:val="7EF5276F"/>
    <w:rsid w:val="7EFC017C"/>
    <w:rsid w:val="7F0E52CF"/>
    <w:rsid w:val="7F0F7842"/>
    <w:rsid w:val="7F1460DC"/>
    <w:rsid w:val="7F7B3F7D"/>
    <w:rsid w:val="7F896D93"/>
    <w:rsid w:val="7F9A3684"/>
    <w:rsid w:val="7FB56661"/>
    <w:rsid w:val="7FCA378E"/>
    <w:rsid w:val="7FE54E2A"/>
    <w:rsid w:val="7FE5632B"/>
    <w:rsid w:val="7FE5681A"/>
    <w:rsid w:val="7FEB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2"/>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3">
    <w:name w:val="heading 2"/>
    <w:basedOn w:val="1"/>
    <w:next w:val="1"/>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7">
    <w:name w:val="Default Paragraph Font"/>
    <w:qFormat/>
    <w:uiPriority w:val="0"/>
  </w:style>
  <w:style w:type="table" w:default="1" w:styleId="35">
    <w:name w:val="Normal Table"/>
    <w:qFormat/>
    <w:uiPriority w:val="0"/>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Calibri" w:hAnsi="Calibri" w:eastAsia="宋体" w:cs="Times New Roman"/>
    </w:rPr>
  </w:style>
  <w:style w:type="paragraph" w:styleId="8">
    <w:name w:val="Normal Indent"/>
    <w:basedOn w:val="1"/>
    <w:qFormat/>
    <w:uiPriority w:val="0"/>
    <w:pPr>
      <w:widowControl/>
      <w:ind w:firstLine="420"/>
      <w:jc w:val="left"/>
    </w:pPr>
    <w:rPr>
      <w:rFonts w:ascii="Calibri" w:hAnsi="Calibri" w:eastAsia="宋体" w:cs="Times New Roman"/>
      <w:kern w:val="0"/>
      <w:sz w:val="20"/>
    </w:rPr>
  </w:style>
  <w:style w:type="paragraph" w:styleId="9">
    <w:name w:val="annotation text"/>
    <w:basedOn w:val="1"/>
    <w:qFormat/>
    <w:uiPriority w:val="0"/>
    <w:pPr>
      <w:adjustRightInd w:val="0"/>
      <w:spacing w:line="360" w:lineRule="atLeast"/>
      <w:jc w:val="left"/>
      <w:textAlignment w:val="baseline"/>
    </w:pPr>
    <w:rPr>
      <w:rFonts w:ascii="Calibri" w:hAnsi="Calibri" w:eastAsia="宋体" w:cs="Times New Roman"/>
      <w:kern w:val="0"/>
      <w:sz w:val="24"/>
    </w:r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next w:val="12"/>
    <w:qFormat/>
    <w:uiPriority w:val="0"/>
    <w:rPr>
      <w:rFonts w:ascii="宋体" w:hAnsi="宋体" w:eastAsia="宋体" w:cs="Times New Roman"/>
      <w:sz w:val="30"/>
      <w:szCs w:val="20"/>
    </w:rPr>
  </w:style>
  <w:style w:type="paragraph" w:styleId="12">
    <w:name w:val="Body Text 2"/>
    <w:basedOn w:val="1"/>
    <w:qFormat/>
    <w:uiPriority w:val="0"/>
    <w:pPr>
      <w:spacing w:line="440" w:lineRule="exact"/>
    </w:pPr>
    <w:rPr>
      <w:rFonts w:ascii="宋体" w:hAnsi="宋体"/>
      <w:color w:val="000000"/>
      <w:kern w:val="0"/>
    </w:rPr>
  </w:style>
  <w:style w:type="paragraph" w:styleId="13">
    <w:name w:val="Body Text Indent"/>
    <w:basedOn w:val="1"/>
    <w:qFormat/>
    <w:uiPriority w:val="0"/>
    <w:pPr>
      <w:ind w:firstLine="600" w:firstLineChars="200"/>
    </w:pPr>
    <w:rPr>
      <w:rFonts w:ascii="宋体" w:hAnsi="宋体" w:eastAsia="宋体" w:cs="Times New Roman"/>
      <w:sz w:val="30"/>
      <w:szCs w:val="20"/>
    </w:rPr>
  </w:style>
  <w:style w:type="paragraph" w:styleId="14">
    <w:name w:val="Block Text"/>
    <w:basedOn w:val="1"/>
    <w:qFormat/>
    <w:uiPriority w:val="0"/>
    <w:pPr>
      <w:ind w:left="1440" w:leftChars="700" w:right="700" w:rightChars="700"/>
    </w:pPr>
    <w:rPr>
      <w:rFonts w:ascii="Calibri" w:hAnsi="Calibri" w:eastAsia="宋体" w:cs="Times New Roman"/>
    </w:rPr>
  </w:style>
  <w:style w:type="paragraph" w:styleId="15">
    <w:name w:val="toc 5"/>
    <w:basedOn w:val="1"/>
    <w:next w:val="1"/>
    <w:qFormat/>
    <w:uiPriority w:val="0"/>
    <w:pPr>
      <w:ind w:left="1680" w:leftChars="800"/>
    </w:pPr>
    <w:rPr>
      <w:rFonts w:ascii="Calibri" w:hAnsi="Calibri" w:eastAsia="宋体" w:cs="Times New Roman"/>
    </w:rPr>
  </w:style>
  <w:style w:type="paragraph" w:styleId="16">
    <w:name w:val="toc 3"/>
    <w:basedOn w:val="1"/>
    <w:next w:val="1"/>
    <w:qFormat/>
    <w:uiPriority w:val="0"/>
    <w:pPr>
      <w:ind w:left="840" w:leftChars="400"/>
    </w:pPr>
    <w:rPr>
      <w:rFonts w:ascii="Calibri" w:hAnsi="Calibri" w:eastAsia="宋体" w:cs="Times New Roman"/>
    </w:rPr>
  </w:style>
  <w:style w:type="paragraph" w:styleId="17">
    <w:name w:val="Plain Text"/>
    <w:basedOn w:val="1"/>
    <w:qFormat/>
    <w:uiPriority w:val="0"/>
    <w:rPr>
      <w:rFonts w:ascii="宋体" w:hAnsi="Courier New" w:eastAsia="宋体" w:cs="宋体"/>
      <w:szCs w:val="21"/>
    </w:rPr>
  </w:style>
  <w:style w:type="paragraph" w:styleId="18">
    <w:name w:val="toc 8"/>
    <w:basedOn w:val="1"/>
    <w:next w:val="1"/>
    <w:qFormat/>
    <w:uiPriority w:val="0"/>
    <w:pPr>
      <w:ind w:left="2940" w:leftChars="1400"/>
    </w:pPr>
    <w:rPr>
      <w:rFonts w:ascii="Calibri" w:hAnsi="Calibri" w:eastAsia="宋体" w:cs="Times New Roman"/>
    </w:rPr>
  </w:style>
  <w:style w:type="paragraph" w:styleId="19">
    <w:name w:val="Date"/>
    <w:basedOn w:val="1"/>
    <w:next w:val="1"/>
    <w:qFormat/>
    <w:uiPriority w:val="0"/>
    <w:pPr>
      <w:ind w:left="100" w:leftChars="2500"/>
    </w:pPr>
    <w:rPr>
      <w:rFonts w:ascii="Calibri" w:hAnsi="Calibri" w:eastAsia="宋体" w:cs="Times New Roman"/>
    </w:rPr>
  </w:style>
  <w:style w:type="paragraph" w:styleId="20">
    <w:name w:val="Body Text Indent 2"/>
    <w:basedOn w:val="1"/>
    <w:qFormat/>
    <w:uiPriority w:val="0"/>
    <w:pPr>
      <w:autoSpaceDE w:val="0"/>
      <w:autoSpaceDN w:val="0"/>
      <w:adjustRightInd w:val="0"/>
      <w:spacing w:line="640" w:lineRule="exact"/>
      <w:ind w:firstLine="645"/>
    </w:pPr>
    <w:rPr>
      <w:rFonts w:ascii="楷体_GB2312" w:hAnsi="Calibri" w:eastAsia="楷体_GB2312" w:cs="Times New Roman"/>
      <w:kern w:val="0"/>
      <w:sz w:val="32"/>
      <w:szCs w:val="32"/>
    </w:rPr>
  </w:style>
  <w:style w:type="paragraph" w:styleId="21">
    <w:name w:val="footer"/>
    <w:basedOn w:val="1"/>
    <w:link w:val="53"/>
    <w:qFormat/>
    <w:uiPriority w:val="0"/>
    <w:pPr>
      <w:tabs>
        <w:tab w:val="center" w:pos="4153"/>
        <w:tab w:val="right" w:pos="8306"/>
      </w:tabs>
      <w:snapToGrid w:val="0"/>
      <w:jc w:val="left"/>
    </w:pPr>
    <w:rPr>
      <w:rFonts w:ascii="Calibri" w:hAnsi="Calibri" w:eastAsia="宋体" w:cs="Times New Roman"/>
      <w:sz w:val="18"/>
      <w:szCs w:val="20"/>
    </w:rPr>
  </w:style>
  <w:style w:type="paragraph" w:styleId="22">
    <w:name w:val="envelope return"/>
    <w:basedOn w:val="1"/>
    <w:qFormat/>
    <w:uiPriority w:val="0"/>
    <w:pPr>
      <w:snapToGrid w:val="0"/>
    </w:pPr>
    <w:rPr>
      <w:rFonts w:ascii="Arial" w:hAnsi="Arial" w:eastAsia="宋体" w:cs="Times New Roman"/>
    </w:rPr>
  </w:style>
  <w:style w:type="paragraph" w:styleId="23">
    <w:name w:val="header"/>
    <w:basedOn w:val="1"/>
    <w:link w:val="5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4">
    <w:name w:val="toc 1"/>
    <w:basedOn w:val="1"/>
    <w:next w:val="1"/>
    <w:qFormat/>
    <w:uiPriority w:val="0"/>
    <w:rPr>
      <w:rFonts w:ascii="Calibri" w:hAnsi="Calibri" w:eastAsia="宋体" w:cs="Times New Roman"/>
    </w:rPr>
  </w:style>
  <w:style w:type="paragraph" w:styleId="25">
    <w:name w:val="toc 4"/>
    <w:basedOn w:val="1"/>
    <w:next w:val="1"/>
    <w:qFormat/>
    <w:uiPriority w:val="0"/>
    <w:pPr>
      <w:ind w:left="1260" w:leftChars="600"/>
    </w:pPr>
    <w:rPr>
      <w:rFonts w:ascii="Calibri" w:hAnsi="Calibri" w:eastAsia="宋体" w:cs="Times New Roman"/>
    </w:rPr>
  </w:style>
  <w:style w:type="paragraph" w:styleId="26">
    <w:name w:val="toc 6"/>
    <w:basedOn w:val="1"/>
    <w:next w:val="1"/>
    <w:qFormat/>
    <w:uiPriority w:val="0"/>
    <w:pPr>
      <w:ind w:left="2100" w:leftChars="1000"/>
    </w:pPr>
    <w:rPr>
      <w:rFonts w:ascii="Calibri" w:hAnsi="Calibri" w:eastAsia="宋体" w:cs="Times New Roman"/>
    </w:rPr>
  </w:style>
  <w:style w:type="paragraph" w:styleId="27">
    <w:name w:val="toc 2"/>
    <w:basedOn w:val="1"/>
    <w:next w:val="1"/>
    <w:qFormat/>
    <w:uiPriority w:val="0"/>
    <w:pPr>
      <w:ind w:left="420" w:leftChars="200"/>
    </w:pPr>
    <w:rPr>
      <w:rFonts w:ascii="Calibri" w:hAnsi="Calibri" w:eastAsia="宋体" w:cs="Times New Roman"/>
    </w:rPr>
  </w:style>
  <w:style w:type="paragraph" w:styleId="28">
    <w:name w:val="toc 9"/>
    <w:basedOn w:val="1"/>
    <w:next w:val="1"/>
    <w:qFormat/>
    <w:uiPriority w:val="0"/>
    <w:pPr>
      <w:ind w:left="3360" w:leftChars="1600"/>
    </w:pPr>
    <w:rPr>
      <w:rFonts w:ascii="Calibri" w:hAnsi="Calibri" w:eastAsia="宋体" w:cs="Times New Roman"/>
    </w:rPr>
  </w:style>
  <w:style w:type="paragraph" w:styleId="29">
    <w:name w:val="List Continue 2"/>
    <w:basedOn w:val="1"/>
    <w:qFormat/>
    <w:uiPriority w:val="0"/>
    <w:pPr>
      <w:spacing w:after="120" w:afterLines="0"/>
      <w:ind w:left="840" w:leftChars="400"/>
    </w:pPr>
    <w:rPr>
      <w:rFonts w:ascii="Calibri" w:hAnsi="Calibri" w:eastAsia="宋体" w:cs="Times New Roman"/>
      <w:szCs w:val="20"/>
    </w:rPr>
  </w:style>
  <w:style w:type="paragraph" w:styleId="3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1">
    <w:name w:val="HTML Preformatted"/>
    <w:basedOn w:val="1"/>
    <w:link w:val="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32">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3">
    <w:name w:val="Body Text First Indent"/>
    <w:basedOn w:val="11"/>
    <w:qFormat/>
    <w:uiPriority w:val="0"/>
    <w:pPr>
      <w:ind w:firstLine="420" w:firstLineChars="100"/>
    </w:pPr>
    <w:rPr>
      <w:rFonts w:ascii="Calibri" w:hAnsi="Calibri" w:eastAsia="宋体" w:cs="Times New Roman"/>
    </w:rPr>
  </w:style>
  <w:style w:type="paragraph" w:styleId="34">
    <w:name w:val="Body Text First Indent 2"/>
    <w:basedOn w:val="13"/>
    <w:qFormat/>
    <w:uiPriority w:val="0"/>
    <w:pPr>
      <w:adjustRightInd w:val="0"/>
      <w:spacing w:after="80"/>
      <w:textAlignment w:val="baseline"/>
    </w:pPr>
    <w:rPr>
      <w:rFonts w:ascii="宋体" w:hAnsi="宋体"/>
      <w:color w:val="000000"/>
      <w:kern w:val="0"/>
      <w:szCs w:val="20"/>
    </w:rPr>
  </w:style>
  <w:style w:type="table" w:styleId="36">
    <w:name w:val="Table Grid"/>
    <w:basedOn w:val="3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ascii="Calibri" w:hAnsi="Calibri" w:eastAsia="宋体" w:cs="Times New Roman"/>
      <w:b/>
    </w:rPr>
  </w:style>
  <w:style w:type="character" w:styleId="39">
    <w:name w:val="page number"/>
    <w:qFormat/>
    <w:uiPriority w:val="0"/>
    <w:rPr>
      <w:rFonts w:ascii="Calibri" w:hAnsi="Calibri" w:eastAsia="宋体" w:cs="Times New Roman"/>
    </w:rPr>
  </w:style>
  <w:style w:type="character" w:styleId="40">
    <w:name w:val="FollowedHyperlink"/>
    <w:qFormat/>
    <w:uiPriority w:val="0"/>
    <w:rPr>
      <w:rFonts w:ascii="Calibri" w:hAnsi="Calibri" w:eastAsia="宋体" w:cs="Times New Roman"/>
      <w:color w:val="333333"/>
      <w:u w:val="none"/>
    </w:rPr>
  </w:style>
  <w:style w:type="character" w:styleId="41">
    <w:name w:val="Emphasis"/>
    <w:qFormat/>
    <w:uiPriority w:val="0"/>
    <w:rPr>
      <w:rFonts w:ascii="Calibri" w:hAnsi="Calibri" w:eastAsia="宋体" w:cs="Times New Roman"/>
    </w:rPr>
  </w:style>
  <w:style w:type="character" w:styleId="42">
    <w:name w:val="HTML Definition"/>
    <w:qFormat/>
    <w:uiPriority w:val="0"/>
    <w:rPr>
      <w:rFonts w:ascii="Calibri" w:hAnsi="Calibri" w:eastAsia="宋体" w:cs="Times New Roman"/>
      <w:i/>
      <w:sz w:val="20"/>
      <w:szCs w:val="20"/>
    </w:rPr>
  </w:style>
  <w:style w:type="character" w:styleId="43">
    <w:name w:val="HTML Typewriter"/>
    <w:basedOn w:val="37"/>
    <w:qFormat/>
    <w:uiPriority w:val="0"/>
    <w:rPr>
      <w:rFonts w:hint="default" w:ascii="monospace" w:hAnsi="monospace" w:eastAsia="monospace" w:cs="monospace"/>
      <w:sz w:val="20"/>
    </w:rPr>
  </w:style>
  <w:style w:type="character" w:styleId="44">
    <w:name w:val="HTML Acronym"/>
    <w:basedOn w:val="37"/>
    <w:qFormat/>
    <w:uiPriority w:val="0"/>
    <w:rPr>
      <w:rFonts w:ascii="Calibri" w:hAnsi="Calibri" w:eastAsia="宋体" w:cs="Times New Roman"/>
    </w:rPr>
  </w:style>
  <w:style w:type="character" w:styleId="45">
    <w:name w:val="HTML Variable"/>
    <w:basedOn w:val="37"/>
    <w:qFormat/>
    <w:uiPriority w:val="0"/>
    <w:rPr>
      <w:rFonts w:ascii="Calibri" w:hAnsi="Calibri" w:eastAsia="宋体" w:cs="Times New Roman"/>
    </w:rPr>
  </w:style>
  <w:style w:type="character" w:styleId="46">
    <w:name w:val="Hyperlink"/>
    <w:qFormat/>
    <w:uiPriority w:val="0"/>
    <w:rPr>
      <w:rFonts w:hint="default" w:ascii="Times New Roman" w:hAnsi="Times New Roman" w:eastAsia="宋体" w:cs="Times New Roman"/>
      <w:color w:val="0000FF"/>
      <w:u w:val="single"/>
    </w:rPr>
  </w:style>
  <w:style w:type="character" w:styleId="47">
    <w:name w:val="HTML Code"/>
    <w:qFormat/>
    <w:uiPriority w:val="0"/>
    <w:rPr>
      <w:rFonts w:ascii="Consolas" w:hAnsi="Consolas" w:eastAsia="Consolas" w:cs="Consolas"/>
      <w:color w:val="C7254E"/>
      <w:sz w:val="21"/>
      <w:szCs w:val="21"/>
      <w:shd w:val="clear" w:color="auto" w:fill="F9F2F4"/>
    </w:rPr>
  </w:style>
  <w:style w:type="character" w:styleId="48">
    <w:name w:val="annotation reference"/>
    <w:qFormat/>
    <w:uiPriority w:val="0"/>
    <w:rPr>
      <w:rFonts w:ascii="Calibri" w:hAnsi="Calibri" w:eastAsia="宋体" w:cs="Times New Roman"/>
      <w:sz w:val="21"/>
      <w:szCs w:val="21"/>
    </w:rPr>
  </w:style>
  <w:style w:type="character" w:styleId="49">
    <w:name w:val="HTML Cite"/>
    <w:basedOn w:val="37"/>
    <w:qFormat/>
    <w:uiPriority w:val="0"/>
    <w:rPr>
      <w:rFonts w:ascii="Calibri" w:hAnsi="Calibri" w:eastAsia="宋体" w:cs="Times New Roman"/>
    </w:rPr>
  </w:style>
  <w:style w:type="character" w:styleId="50">
    <w:name w:val="HTML Keyboard"/>
    <w:qFormat/>
    <w:uiPriority w:val="0"/>
    <w:rPr>
      <w:rFonts w:hint="default" w:ascii="Consolas" w:hAnsi="Consolas" w:eastAsia="Consolas" w:cs="Consolas"/>
      <w:color w:val="FFFFFF"/>
      <w:sz w:val="21"/>
      <w:szCs w:val="21"/>
      <w:shd w:val="clear" w:color="auto" w:fill="333333"/>
    </w:rPr>
  </w:style>
  <w:style w:type="character" w:styleId="51">
    <w:name w:val="HTML Sample"/>
    <w:qFormat/>
    <w:uiPriority w:val="0"/>
    <w:rPr>
      <w:rFonts w:hint="default" w:ascii="Consolas" w:hAnsi="Consolas" w:eastAsia="Consolas" w:cs="Consolas"/>
      <w:sz w:val="21"/>
      <w:szCs w:val="21"/>
    </w:rPr>
  </w:style>
  <w:style w:type="character" w:customStyle="1" w:styleId="52">
    <w:name w:val="标题 1 字符"/>
    <w:link w:val="2"/>
    <w:qFormat/>
    <w:uiPriority w:val="0"/>
    <w:rPr>
      <w:rFonts w:ascii="Times New Roman" w:hAnsi="Times New Roman" w:eastAsia="宋体" w:cs="Times New Roman"/>
      <w:b/>
      <w:bCs/>
      <w:kern w:val="44"/>
      <w:sz w:val="28"/>
      <w:szCs w:val="44"/>
    </w:rPr>
  </w:style>
  <w:style w:type="character" w:customStyle="1" w:styleId="53">
    <w:name w:val="页脚 字符"/>
    <w:link w:val="21"/>
    <w:qFormat/>
    <w:uiPriority w:val="0"/>
    <w:rPr>
      <w:rFonts w:ascii="Calibri" w:hAnsi="Calibri" w:eastAsia="宋体" w:cs="Times New Roman"/>
      <w:sz w:val="18"/>
      <w:szCs w:val="20"/>
    </w:rPr>
  </w:style>
  <w:style w:type="character" w:customStyle="1" w:styleId="54">
    <w:name w:val="页眉 字符"/>
    <w:link w:val="23"/>
    <w:qFormat/>
    <w:uiPriority w:val="0"/>
    <w:rPr>
      <w:rFonts w:ascii="Calibri" w:hAnsi="Calibri" w:eastAsia="宋体" w:cs="Times New Roman"/>
      <w:sz w:val="18"/>
      <w:szCs w:val="18"/>
    </w:rPr>
  </w:style>
  <w:style w:type="character" w:customStyle="1" w:styleId="55">
    <w:name w:val="HTML 预设格式 字符"/>
    <w:link w:val="31"/>
    <w:qFormat/>
    <w:uiPriority w:val="0"/>
    <w:rPr>
      <w:rFonts w:ascii="Arial" w:hAnsi="Arial" w:eastAsia="宋体" w:cs="Arial"/>
      <w:kern w:val="0"/>
      <w:szCs w:val="21"/>
    </w:rPr>
  </w:style>
  <w:style w:type="paragraph" w:customStyle="1" w:styleId="56">
    <w:name w:val="BodyText"/>
    <w:basedOn w:val="1"/>
    <w:next w:val="1"/>
    <w:qFormat/>
    <w:uiPriority w:val="0"/>
    <w:pPr>
      <w:jc w:val="center"/>
      <w:textAlignment w:val="baseline"/>
    </w:pPr>
  </w:style>
  <w:style w:type="character" w:customStyle="1" w:styleId="57">
    <w:name w:val="button"/>
    <w:qFormat/>
    <w:uiPriority w:val="0"/>
    <w:rPr>
      <w:rFonts w:ascii="Calibri" w:hAnsi="Calibri" w:eastAsia="宋体" w:cs="Times New Roman"/>
    </w:rPr>
  </w:style>
  <w:style w:type="character" w:customStyle="1" w:styleId="58">
    <w:name w:val="glyphicon4"/>
    <w:qFormat/>
    <w:uiPriority w:val="0"/>
    <w:rPr>
      <w:rFonts w:ascii="Calibri" w:hAnsi="Calibri" w:eastAsia="宋体" w:cs="Times New Roman"/>
    </w:rPr>
  </w:style>
  <w:style w:type="character" w:customStyle="1" w:styleId="59">
    <w:name w:val="font71"/>
    <w:qFormat/>
    <w:uiPriority w:val="0"/>
    <w:rPr>
      <w:rFonts w:hint="eastAsia" w:ascii="宋体" w:hAnsi="宋体" w:eastAsia="宋体" w:cs="宋体"/>
      <w:color w:val="000000"/>
      <w:sz w:val="21"/>
      <w:szCs w:val="21"/>
      <w:u w:val="none"/>
    </w:rPr>
  </w:style>
  <w:style w:type="character" w:customStyle="1" w:styleId="60">
    <w:name w:val="font12"/>
    <w:qFormat/>
    <w:uiPriority w:val="0"/>
    <w:rPr>
      <w:rFonts w:hint="eastAsia" w:ascii="宋体" w:hAnsi="宋体" w:eastAsia="宋体" w:cs="宋体"/>
      <w:color w:val="000000"/>
      <w:sz w:val="18"/>
      <w:szCs w:val="18"/>
      <w:u w:val="none"/>
      <w:vertAlign w:val="superscript"/>
    </w:rPr>
  </w:style>
  <w:style w:type="character" w:customStyle="1" w:styleId="61">
    <w:name w:val="hour_am"/>
    <w:qFormat/>
    <w:uiPriority w:val="0"/>
    <w:rPr>
      <w:rFonts w:ascii="Calibri" w:hAnsi="Calibri" w:eastAsia="宋体" w:cs="Times New Roman"/>
    </w:rPr>
  </w:style>
  <w:style w:type="character" w:customStyle="1" w:styleId="62">
    <w:name w:val="font121"/>
    <w:qFormat/>
    <w:uiPriority w:val="0"/>
    <w:rPr>
      <w:rFonts w:hint="default" w:ascii="Times New Roman" w:hAnsi="Times New Roman" w:eastAsia="宋体" w:cs="Times New Roman"/>
      <w:color w:val="000000"/>
      <w:sz w:val="20"/>
      <w:szCs w:val="20"/>
      <w:u w:val="none"/>
    </w:rPr>
  </w:style>
  <w:style w:type="character" w:customStyle="1" w:styleId="63">
    <w:name w:val="indent"/>
    <w:qFormat/>
    <w:uiPriority w:val="0"/>
    <w:rPr>
      <w:rFonts w:ascii="Calibri" w:hAnsi="Calibri" w:eastAsia="宋体" w:cs="Times New Roman"/>
    </w:rPr>
  </w:style>
  <w:style w:type="character" w:customStyle="1" w:styleId="64">
    <w:name w:val="font21"/>
    <w:qFormat/>
    <w:uiPriority w:val="0"/>
    <w:rPr>
      <w:rFonts w:hint="eastAsia" w:ascii="宋体" w:hAnsi="宋体" w:eastAsia="宋体" w:cs="宋体"/>
      <w:color w:val="000000"/>
      <w:sz w:val="18"/>
      <w:szCs w:val="18"/>
      <w:u w:val="none"/>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font81"/>
    <w:qFormat/>
    <w:uiPriority w:val="0"/>
    <w:rPr>
      <w:rFonts w:hint="eastAsia" w:ascii="宋体" w:hAnsi="宋体" w:eastAsia="宋体" w:cs="宋体"/>
      <w:color w:val="000000"/>
      <w:sz w:val="21"/>
      <w:szCs w:val="21"/>
      <w:u w:val="none"/>
      <w:vertAlign w:val="superscript"/>
    </w:rPr>
  </w:style>
  <w:style w:type="character" w:customStyle="1" w:styleId="67">
    <w:name w:val="font01"/>
    <w:qFormat/>
    <w:uiPriority w:val="0"/>
    <w:rPr>
      <w:rFonts w:hint="eastAsia" w:ascii="宋体" w:hAnsi="宋体" w:eastAsia="宋体" w:cs="宋体"/>
      <w:color w:val="000000"/>
      <w:sz w:val="20"/>
      <w:szCs w:val="20"/>
      <w:u w:val="none"/>
      <w:vertAlign w:val="superscript"/>
    </w:rPr>
  </w:style>
  <w:style w:type="character" w:customStyle="1" w:styleId="68">
    <w:name w:val="hover3"/>
    <w:qFormat/>
    <w:uiPriority w:val="0"/>
    <w:rPr>
      <w:rFonts w:ascii="Calibri" w:hAnsi="Calibri" w:eastAsia="宋体" w:cs="Times New Roman"/>
      <w:shd w:val="clear" w:color="auto" w:fill="EEEEEE"/>
    </w:rPr>
  </w:style>
  <w:style w:type="character" w:customStyle="1" w:styleId="69">
    <w:name w:val="font51"/>
    <w:qFormat/>
    <w:uiPriority w:val="0"/>
    <w:rPr>
      <w:rFonts w:hint="eastAsia" w:ascii="宋体" w:hAnsi="宋体" w:eastAsia="宋体" w:cs="宋体"/>
      <w:color w:val="000000"/>
      <w:sz w:val="18"/>
      <w:szCs w:val="18"/>
      <w:u w:val="none"/>
    </w:rPr>
  </w:style>
  <w:style w:type="character" w:customStyle="1" w:styleId="70">
    <w:name w:val="font41"/>
    <w:qFormat/>
    <w:uiPriority w:val="0"/>
    <w:rPr>
      <w:rFonts w:hint="eastAsia" w:ascii="宋体" w:hAnsi="宋体" w:eastAsia="宋体" w:cs="宋体"/>
      <w:color w:val="000000"/>
      <w:sz w:val="22"/>
      <w:szCs w:val="22"/>
      <w:u w:val="none"/>
    </w:rPr>
  </w:style>
  <w:style w:type="character" w:customStyle="1" w:styleId="71">
    <w:name w:val="hour_pm"/>
    <w:qFormat/>
    <w:uiPriority w:val="0"/>
    <w:rPr>
      <w:rFonts w:ascii="Calibri" w:hAnsi="Calibri" w:eastAsia="宋体" w:cs="Times New Roman"/>
    </w:rPr>
  </w:style>
  <w:style w:type="character" w:customStyle="1" w:styleId="72">
    <w:name w:val="old"/>
    <w:qFormat/>
    <w:uiPriority w:val="0"/>
    <w:rPr>
      <w:rFonts w:ascii="Calibri" w:hAnsi="Calibri" w:eastAsia="宋体" w:cs="Times New Roman"/>
      <w:color w:val="999999"/>
    </w:rPr>
  </w:style>
  <w:style w:type="character" w:customStyle="1" w:styleId="73">
    <w:name w:val="font61"/>
    <w:qFormat/>
    <w:uiPriority w:val="0"/>
    <w:rPr>
      <w:rFonts w:hint="eastAsia" w:ascii="宋体" w:hAnsi="宋体" w:eastAsia="宋体" w:cs="宋体"/>
      <w:b/>
      <w:color w:val="000000"/>
      <w:sz w:val="20"/>
      <w:szCs w:val="20"/>
      <w:u w:val="none"/>
    </w:rPr>
  </w:style>
  <w:style w:type="character" w:customStyle="1" w:styleId="74">
    <w:name w:val="font101"/>
    <w:qFormat/>
    <w:uiPriority w:val="0"/>
    <w:rPr>
      <w:rFonts w:ascii="华文中宋" w:hAnsi="华文中宋" w:eastAsia="华文中宋" w:cs="华文中宋"/>
      <w:color w:val="000000"/>
      <w:sz w:val="21"/>
      <w:szCs w:val="21"/>
      <w:u w:val="none"/>
      <w:vertAlign w:val="superscript"/>
    </w:rPr>
  </w:style>
  <w:style w:type="character" w:customStyle="1" w:styleId="75">
    <w:name w:val="tmpztreemove_arrow"/>
    <w:qFormat/>
    <w:uiPriority w:val="0"/>
    <w:rPr>
      <w:rFonts w:ascii="Calibri" w:hAnsi="Calibri" w:eastAsia="宋体" w:cs="Times New Roman"/>
      <w:shd w:val="clear" w:color="auto" w:fill="FFFFFF"/>
    </w:rPr>
  </w:style>
  <w:style w:type="character" w:customStyle="1" w:styleId="76">
    <w:name w:val="font31"/>
    <w:qFormat/>
    <w:uiPriority w:val="0"/>
    <w:rPr>
      <w:rFonts w:hint="eastAsia" w:ascii="宋体" w:hAnsi="宋体" w:eastAsia="宋体" w:cs="宋体"/>
      <w:color w:val="000000"/>
      <w:sz w:val="22"/>
      <w:szCs w:val="22"/>
      <w:u w:val="none"/>
    </w:rPr>
  </w:style>
  <w:style w:type="character" w:customStyle="1" w:styleId="77">
    <w:name w:val="正文1"/>
    <w:qFormat/>
    <w:uiPriority w:val="0"/>
    <w:rPr>
      <w:rFonts w:hint="eastAsia" w:ascii="宋体" w:hAnsi="宋体" w:eastAsia="宋体" w:cs="Times New Roman"/>
      <w:sz w:val="22"/>
      <w:szCs w:val="22"/>
    </w:rPr>
  </w:style>
  <w:style w:type="paragraph" w:customStyle="1" w:styleId="78">
    <w:name w:val="WPSOffice手动目录 1"/>
    <w:qFormat/>
    <w:uiPriority w:val="0"/>
    <w:rPr>
      <w:rFonts w:ascii="Calibri" w:hAnsi="Calibri" w:eastAsia="宋体" w:cs="Times New Roman"/>
      <w:lang w:val="en-US" w:eastAsia="zh-CN" w:bidi="ar-SA"/>
    </w:rPr>
  </w:style>
  <w:style w:type="paragraph" w:customStyle="1" w:styleId="79">
    <w:name w:val="_Style 7"/>
    <w:basedOn w:val="1"/>
    <w:qFormat/>
    <w:uiPriority w:val="0"/>
    <w:pPr>
      <w:ind w:firstLine="420" w:firstLineChars="200"/>
    </w:pPr>
    <w:rPr>
      <w:rFonts w:ascii="Calibri" w:hAnsi="Calibri" w:eastAsia="宋体" w:cs="Times New Roman"/>
    </w:rPr>
  </w:style>
  <w:style w:type="paragraph" w:customStyle="1" w:styleId="80">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8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_Style 3"/>
    <w:basedOn w:val="2"/>
    <w:next w:val="1"/>
    <w:qFormat/>
    <w:uiPriority w:val="0"/>
    <w:pPr>
      <w:widowControl/>
      <w:spacing w:before="480" w:after="0" w:line="276" w:lineRule="auto"/>
      <w:jc w:val="left"/>
      <w:outlineLvl w:val="9"/>
    </w:pPr>
    <w:rPr>
      <w:rFonts w:ascii="Cambria" w:hAnsi="Cambria" w:eastAsia="宋体" w:cs="Times New Roman"/>
      <w:color w:val="365F91"/>
      <w:kern w:val="0"/>
      <w:szCs w:val="28"/>
    </w:rPr>
  </w:style>
  <w:style w:type="paragraph" w:customStyle="1" w:styleId="84">
    <w:name w:val="_Style 1"/>
    <w:basedOn w:val="1"/>
    <w:qFormat/>
    <w:uiPriority w:val="0"/>
    <w:pPr>
      <w:adjustRightInd/>
      <w:spacing w:line="240" w:lineRule="auto"/>
      <w:ind w:firstLine="420" w:firstLineChars="200"/>
      <w:textAlignment w:val="auto"/>
    </w:pPr>
    <w:rPr>
      <w:rFonts w:ascii="Abadi MT Condensed Light" w:hAnsi="Abadi MT Condensed Light" w:eastAsia="仿宋_GB2312" w:cs="Times New Roman"/>
      <w:kern w:val="2"/>
      <w:sz w:val="10"/>
    </w:rPr>
  </w:style>
  <w:style w:type="paragraph" w:customStyle="1" w:styleId="85">
    <w:name w:val="Char Char Char Char"/>
    <w:basedOn w:val="1"/>
    <w:qFormat/>
    <w:uiPriority w:val="0"/>
    <w:rPr>
      <w:rFonts w:ascii="Calibri" w:hAnsi="Calibri" w:eastAsia="宋体" w:cs="Times New Roman"/>
    </w:rPr>
  </w:style>
  <w:style w:type="paragraph" w:customStyle="1" w:styleId="86">
    <w:name w:val="表内文字1"/>
    <w:basedOn w:val="17"/>
    <w:qFormat/>
    <w:uiPriority w:val="0"/>
    <w:pPr>
      <w:adjustRightInd w:val="0"/>
      <w:snapToGrid w:val="0"/>
      <w:spacing w:before="78" w:beforeLines="25" w:line="300" w:lineRule="auto"/>
      <w:jc w:val="center"/>
    </w:pPr>
    <w:rPr>
      <w:rFonts w:ascii="Times New Roman" w:hAnsi="Times New Roman" w:eastAsia="宋体" w:cs="Courier New"/>
      <w:snapToGrid w:val="0"/>
      <w:spacing w:val="10"/>
      <w:kern w:val="0"/>
      <w:sz w:val="24"/>
      <w:szCs w:val="21"/>
    </w:rPr>
  </w:style>
  <w:style w:type="paragraph" w:customStyle="1" w:styleId="87">
    <w:name w:val="p0"/>
    <w:basedOn w:val="1"/>
    <w:qFormat/>
    <w:uiPriority w:val="0"/>
    <w:rPr>
      <w:rFonts w:ascii="Calibri" w:hAnsi="Calibri" w:eastAsia="宋体" w:cs="Times New Roman"/>
      <w:kern w:val="0"/>
    </w:rPr>
  </w:style>
  <w:style w:type="paragraph" w:customStyle="1" w:styleId="88">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89">
    <w:name w:val="样式 标题 3 + (中文) 黑体 小四 非加粗 段前: 7.8 磅 段后: 0 磅 行距: 固定值 20 磅"/>
    <w:basedOn w:val="4"/>
    <w:qFormat/>
    <w:uiPriority w:val="0"/>
    <w:pPr>
      <w:spacing w:before="0" w:beforeLines="0" w:after="0" w:afterLines="0" w:line="400" w:lineRule="exact"/>
    </w:pPr>
    <w:rPr>
      <w:rFonts w:ascii="Calibri" w:hAnsi="Calibri" w:eastAsia="黑体" w:cs="宋体"/>
      <w:b w:val="0"/>
      <w:bCs w:val="0"/>
      <w:sz w:val="24"/>
      <w:szCs w:val="20"/>
    </w:rPr>
  </w:style>
  <w:style w:type="paragraph" w:customStyle="1" w:styleId="90">
    <w:name w:val="表内文字"/>
    <w:basedOn w:val="17"/>
    <w:qFormat/>
    <w:uiPriority w:val="0"/>
    <w:pPr>
      <w:adjustRightInd w:val="0"/>
      <w:snapToGrid w:val="0"/>
      <w:spacing w:before="78" w:beforeLines="25"/>
      <w:jc w:val="center"/>
    </w:pPr>
    <w:rPr>
      <w:rFonts w:ascii="Times New Roman" w:hAnsi="Times New Roman" w:eastAsia="宋体" w:cs="Times New Roman"/>
      <w:snapToGrid w:val="0"/>
      <w:spacing w:val="10"/>
      <w:kern w:val="0"/>
      <w:sz w:val="24"/>
      <w:szCs w:val="24"/>
    </w:rPr>
  </w:style>
  <w:style w:type="paragraph" w:customStyle="1" w:styleId="91">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92">
    <w:name w:val="List Paragraph"/>
    <w:basedOn w:val="1"/>
    <w:qFormat/>
    <w:uiPriority w:val="0"/>
    <w:pPr>
      <w:ind w:firstLine="420" w:firstLineChars="200"/>
    </w:pPr>
    <w:rPr>
      <w:rFonts w:ascii="Calibri" w:hAnsi="Calibri" w:eastAsia="宋体" w:cs="Times New Roman"/>
    </w:rPr>
  </w:style>
  <w:style w:type="paragraph" w:customStyle="1" w:styleId="93">
    <w:name w:val="MessageHeader"/>
    <w:basedOn w:val="1"/>
    <w:next w:val="56"/>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94">
    <w:name w:val="彩色列表 - 着色 11"/>
    <w:basedOn w:val="1"/>
    <w:qFormat/>
    <w:uiPriority w:val="0"/>
    <w:pPr>
      <w:ind w:firstLine="420" w:firstLineChars="200"/>
    </w:pPr>
    <w:rPr>
      <w:rFonts w:ascii="Calibri" w:hAnsi="Calibri" w:eastAsia="宋体" w:cs="Times New Roman"/>
      <w:szCs w:val="22"/>
    </w:rPr>
  </w:style>
  <w:style w:type="paragraph" w:customStyle="1" w:styleId="95">
    <w:name w:val="Table Paragraph"/>
    <w:basedOn w:val="1"/>
    <w:qFormat/>
    <w:uiPriority w:val="0"/>
    <w:rPr>
      <w:rFonts w:ascii="PMingLiU" w:hAnsi="PMingLiU" w:eastAsia="PMingLiU" w:cs="PMingLiU"/>
      <w:lang w:val="zh-CN" w:eastAsia="zh-CN" w:bidi="zh-CN"/>
    </w:rPr>
  </w:style>
  <w:style w:type="paragraph" w:customStyle="1" w:styleId="96">
    <w:name w:val="BodyText1I2"/>
    <w:basedOn w:val="97"/>
    <w:qFormat/>
    <w:uiPriority w:val="0"/>
    <w:pPr>
      <w:spacing w:after="0"/>
      <w:ind w:left="0" w:leftChars="0" w:firstLine="420"/>
    </w:pPr>
    <w:rPr>
      <w:rFonts w:ascii="宋体" w:hAnsi="Calibri"/>
      <w:szCs w:val="20"/>
    </w:rPr>
  </w:style>
  <w:style w:type="paragraph" w:customStyle="1" w:styleId="97">
    <w:name w:val="BodyTextIndent"/>
    <w:basedOn w:val="1"/>
    <w:qFormat/>
    <w:uiPriority w:val="0"/>
    <w:pPr>
      <w:spacing w:after="120" w:line="360" w:lineRule="auto"/>
      <w:ind w:left="420" w:leftChars="200" w:firstLine="200" w:firstLineChars="200"/>
    </w:pPr>
    <w:rPr>
      <w:rFonts w:ascii="Arial" w:hAnsi="Arial"/>
      <w:sz w:val="24"/>
    </w:rPr>
  </w:style>
  <w:style w:type="paragraph" w:customStyle="1" w:styleId="98">
    <w:name w:val="09正文_wh"/>
    <w:next w:val="1"/>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9">
    <w:name w:val="正文_2_0"/>
    <w:next w:val="1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正文文本_2"/>
    <w:basedOn w:val="99"/>
    <w:next w:val="99"/>
    <w:qFormat/>
    <w:uiPriority w:val="1"/>
    <w:pPr>
      <w:ind w:firstLine="0" w:firstLineChars="0"/>
    </w:pPr>
    <w:rPr>
      <w:rFonts w:cs="Times New Roman"/>
      <w:kern w:val="0"/>
      <w:lang w:val="zh-CN"/>
    </w:rPr>
  </w:style>
  <w:style w:type="paragraph" w:customStyle="1" w:styleId="101">
    <w:name w:val="正文文本_1"/>
    <w:basedOn w:val="99"/>
    <w:unhideWhenUsed/>
    <w:qFormat/>
    <w:uiPriority w:val="0"/>
    <w:pPr>
      <w:widowControl/>
      <w:spacing w:after="160"/>
      <w:jc w:val="left"/>
    </w:pPr>
    <w:rPr>
      <w:rFonts w:ascii="宋体" w:hAnsi="宋体" w:cs="宋体"/>
      <w:kern w:val="0"/>
      <w:sz w:val="24"/>
      <w:szCs w:val="24"/>
      <w:lang w:val="zh-CN" w:bidi="zh-CN"/>
    </w:rPr>
  </w:style>
  <w:style w:type="paragraph" w:customStyle="1" w:styleId="102">
    <w:name w:val="正文_1_0"/>
    <w:next w:val="1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文本_1_0"/>
    <w:basedOn w:val="102"/>
    <w:unhideWhenUsed/>
    <w:qFormat/>
    <w:uiPriority w:val="0"/>
    <w:pPr>
      <w:widowControl/>
      <w:spacing w:after="160"/>
      <w:jc w:val="left"/>
    </w:pPr>
    <w:rPr>
      <w:rFonts w:ascii="宋体" w:hAnsi="宋体" w:cs="宋体"/>
      <w:kern w:val="0"/>
      <w:sz w:val="24"/>
      <w:szCs w:val="24"/>
      <w:lang w:val="zh-CN" w:bidi="zh-CN"/>
    </w:rPr>
  </w:style>
  <w:style w:type="paragraph" w:customStyle="1" w:styleId="104">
    <w:name w:val="目录"/>
    <w:basedOn w:val="1"/>
    <w:qFormat/>
    <w:uiPriority w:val="0"/>
    <w:pPr>
      <w:spacing w:line="540" w:lineRule="exact"/>
      <w:ind w:left="53" w:firstLine="560" w:firstLineChars="200"/>
    </w:pPr>
    <w:rPr>
      <w:rFonts w:eastAsia="仿宋_GB2312"/>
      <w:sz w:val="28"/>
      <w:szCs w:val="28"/>
    </w:rPr>
  </w:style>
  <w:style w:type="paragraph" w:customStyle="1" w:styleId="105">
    <w:name w:val="正文_3"/>
    <w:next w:val="106"/>
    <w:qFormat/>
    <w:uiPriority w:val="0"/>
    <w:pPr>
      <w:widowControl w:val="0"/>
      <w:spacing w:line="360" w:lineRule="auto"/>
      <w:ind w:firstLine="420" w:firstLineChars="200"/>
      <w:jc w:val="both"/>
    </w:pPr>
    <w:rPr>
      <w:rFonts w:ascii="Times New Roman" w:hAnsi="Times New Roman" w:eastAsia="宋体" w:cs="思源宋体 CN Light"/>
      <w:kern w:val="2"/>
      <w:sz w:val="21"/>
      <w:szCs w:val="24"/>
      <w:lang w:val="en-US" w:eastAsia="zh-CN" w:bidi="ar-SA"/>
    </w:rPr>
  </w:style>
  <w:style w:type="paragraph" w:customStyle="1" w:styleId="106">
    <w:name w:val="样式 首行缩进:  2 字符_1"/>
    <w:basedOn w:val="105"/>
    <w:qFormat/>
    <w:uiPriority w:val="0"/>
    <w:pPr>
      <w:ind w:firstLine="480"/>
    </w:pPr>
    <w:rPr>
      <w:rFonts w:ascii="Calibri" w:hAnsi="Calibri" w:cs="宋体"/>
      <w:color w:val="000000"/>
      <w:szCs w:val="20"/>
    </w:rPr>
  </w:style>
  <w:style w:type="paragraph" w:customStyle="1" w:styleId="107">
    <w:name w:val="正文(1)"/>
    <w:basedOn w:val="1"/>
    <w:qFormat/>
    <w:uiPriority w:val="0"/>
    <w:pPr>
      <w:numPr>
        <w:ilvl w:val="0"/>
        <w:numId w:val="1"/>
      </w:numPr>
      <w:ind w:firstLine="200"/>
    </w:pPr>
    <w:rPr>
      <w:b/>
    </w:rPr>
  </w:style>
  <w:style w:type="paragraph" w:customStyle="1" w:styleId="108">
    <w:name w:val="Heading4"/>
    <w:basedOn w:val="1"/>
    <w:next w:val="1"/>
    <w:qFormat/>
    <w:uiPriority w:val="0"/>
    <w:pPr>
      <w:keepNext/>
      <w:spacing w:line="600" w:lineRule="exact"/>
      <w:jc w:val="center"/>
    </w:pPr>
    <w:rPr>
      <w:rFonts w:ascii="楷体_GB2312" w:hAnsi="Times New Roman" w:eastAsia="楷体_GB2312"/>
      <w:sz w:val="32"/>
      <w:szCs w:val="32"/>
    </w:rPr>
  </w:style>
  <w:style w:type="character" w:customStyle="1" w:styleId="109">
    <w:name w:val="NormalCharacter"/>
    <w:qFormat/>
    <w:uiPriority w:val="0"/>
    <w:rPr>
      <w:rFonts w:hint="eastAsia"/>
      <w:kern w:val="2"/>
      <w:sz w:val="21"/>
      <w:szCs w:val="22"/>
      <w:lang w:val="en-US" w:eastAsia="zh-CN" w:bidi="ar-SA"/>
    </w:rPr>
  </w:style>
  <w:style w:type="paragraph" w:customStyle="1" w:styleId="110">
    <w:name w:val="null3"/>
    <w:hidden/>
    <w:qFormat/>
    <w:uiPriority w:val="0"/>
    <w:rPr>
      <w:rFonts w:hint="eastAsia" w:asciiTheme="minorHAnsi" w:hAnsiTheme="minorHAnsi" w:eastAsiaTheme="minorEastAsia" w:cstheme="minorBidi"/>
      <w:lang w:val="en-US" w:eastAsia="zh-Hans"/>
    </w:rPr>
  </w:style>
  <w:style w:type="paragraph" w:customStyle="1" w:styleId="111">
    <w:name w:val="_正文"/>
    <w:basedOn w:val="1"/>
    <w:qFormat/>
    <w:uiPriority w:val="0"/>
    <w:pPr>
      <w:spacing w:line="360" w:lineRule="auto"/>
      <w:ind w:firstLine="482" w:firstLineChars="200"/>
    </w:pPr>
    <w:rPr>
      <w:rFonts w:ascii="宋体" w:hAnsi="宋体" w:eastAsia="宋体" w:cs="Times New Roman"/>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textRotate="1"/>
    <customShpInfo spid="_x0000_s4097"/>
    <customShpInfo spid="_x0000_s4100" textRotate="1"/>
    <customShpInfo spid="_x0000_s4099" textRotate="1"/>
    <customShpInfo spid="_x0000_s4102" textRotate="1"/>
    <customShpInfo spid="_x0000_s4101" textRotate="1"/>
    <customShpInfo spid="_x0000_s4103" textRotate="1"/>
    <customShpInfo spid="_x0000_s1026"/>
    <customShpInfo spid="_x0000_s4105" textRotate="1"/>
    <customShpInfo spid="_x0000_s4107" textRotate="1"/>
    <customShpInfo spid="_x0000_s4106"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23706</Words>
  <Characters>25288</Characters>
  <Lines>0</Lines>
  <Paragraphs>0</Paragraphs>
  <TotalTime>0</TotalTime>
  <ScaleCrop>false</ScaleCrop>
  <LinksUpToDate>false</LinksUpToDate>
  <CharactersWithSpaces>27327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2025-09-04T07:38:00Z</dcterms:created>
  <dc:creator>Administrator</dc:creator>
  <cp:lastModifiedBy>Administrator</cp:lastModifiedBy>
  <dcterms:modified xsi:type="dcterms:W3CDTF">2026-03-31T09:51:02Z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851BAB9ADBD74C42980577919622CB7E_13</vt:lpwstr>
  </property>
  <property fmtid="{D5CDD505-2E9C-101B-9397-08002B2CF9AE}" pid="4" name="KSOTemplateDocerSaveRecord">
    <vt:lpwstr>eyJoZGlkIjoiODNhZDEzMmQyMzMzNzU3MWU2YjBiZjY1ODhiMGE4MDkiLCJ1c2VySWQiOiI2MzI0NTIwNjUifQ==</vt:lpwstr>
  </property>
</Properties>
</file>