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00064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77D361E9">
      <w:pPr>
        <w:pStyle w:val="4"/>
      </w:pPr>
      <w:r>
        <w:rPr>
          <w:rFonts w:ascii="仿宋_GB2312" w:hAnsi="仿宋_GB2312" w:eastAsia="仿宋_GB2312" w:cs="仿宋_GB2312"/>
        </w:rPr>
        <w:t>标的名称：</w:t>
      </w:r>
      <w:r>
        <w:rPr>
          <w:rFonts w:hint="eastAsia" w:ascii="仿宋_GB2312" w:hAnsi="仿宋_GB2312" w:eastAsia="仿宋_GB2312" w:cs="仿宋_GB2312"/>
        </w:rPr>
        <w:t>中心机电系统配件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771"/>
        <w:gridCol w:w="6771"/>
      </w:tblGrid>
      <w:tr w14:paraId="18645D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 w14:paraId="25E6A0B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序号</w:t>
            </w:r>
          </w:p>
        </w:tc>
        <w:tc>
          <w:tcPr>
            <w:tcW w:w="771" w:type="dxa"/>
          </w:tcPr>
          <w:p w14:paraId="2F0BF19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参数性质</w:t>
            </w:r>
          </w:p>
        </w:tc>
        <w:tc>
          <w:tcPr>
            <w:tcW w:w="6771" w:type="dxa"/>
          </w:tcPr>
          <w:p w14:paraId="5296FBD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技术参数与性能指标</w:t>
            </w:r>
          </w:p>
        </w:tc>
      </w:tr>
      <w:tr w14:paraId="7015F9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 w14:paraId="2FA92CB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771" w:type="dxa"/>
          </w:tcPr>
          <w:p w14:paraId="520BF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771" w:type="dxa"/>
          </w:tcPr>
          <w:p w14:paraId="39FD98F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（一）主要参数要求</w:t>
            </w:r>
          </w:p>
          <w:p w14:paraId="210A9F5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本次采购须符合本国产品标准，设备名称及技术参数、数量具体如下：</w:t>
            </w:r>
          </w:p>
          <w:tbl>
            <w:tblPr>
              <w:tblStyle w:val="2"/>
              <w:tblW w:w="6555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14"/>
              <w:gridCol w:w="4404"/>
              <w:gridCol w:w="652"/>
              <w:gridCol w:w="585"/>
            </w:tblGrid>
            <w:tr w14:paraId="0CBD460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3" w:hRule="atLeast"/>
                <w:tblHeader/>
                <w:jc w:val="center"/>
              </w:trPr>
              <w:tc>
                <w:tcPr>
                  <w:tcW w:w="9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0DA9FE9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bidi w:val="0"/>
                    <w:adjustRightInd/>
                    <w:spacing w:line="56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采购内容</w:t>
                  </w:r>
                </w:p>
              </w:tc>
              <w:tc>
                <w:tcPr>
                  <w:tcW w:w="44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1C36AE6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bidi w:val="0"/>
                    <w:adjustRightInd/>
                    <w:spacing w:line="56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参数要求</w:t>
                  </w:r>
                </w:p>
              </w:tc>
              <w:tc>
                <w:tcPr>
                  <w:tcW w:w="6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2D9B421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bidi w:val="0"/>
                    <w:adjustRightInd/>
                    <w:spacing w:line="56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5F2776F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bidi w:val="0"/>
                    <w:adjustRightInd/>
                    <w:spacing w:line="56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6F10576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6" w:hRule="atLeast"/>
                <w:jc w:val="center"/>
              </w:trPr>
              <w:tc>
                <w:tcPr>
                  <w:tcW w:w="9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56D1BE26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光模块</w:t>
                  </w:r>
                </w:p>
              </w:tc>
              <w:tc>
                <w:tcPr>
                  <w:tcW w:w="44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4809CB3F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SFP+万兆多模模块，波长850nm，传输距离300m，LC接口，适配现有设备</w:t>
                  </w:r>
                </w:p>
              </w:tc>
              <w:tc>
                <w:tcPr>
                  <w:tcW w:w="6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2B48DF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174BDE3F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69AB6F2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6" w:hRule="atLeast"/>
                <w:jc w:val="center"/>
              </w:trPr>
              <w:tc>
                <w:tcPr>
                  <w:tcW w:w="9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17574B6A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电模块</w:t>
                  </w:r>
                </w:p>
              </w:tc>
              <w:tc>
                <w:tcPr>
                  <w:tcW w:w="44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7A1AF760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SFP千兆电口模块，RJ45接口，传输距离100m，适配现有设备</w:t>
                  </w:r>
                </w:p>
              </w:tc>
              <w:tc>
                <w:tcPr>
                  <w:tcW w:w="6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4A4026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21320EB6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20AE9B0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6" w:hRule="atLeast"/>
                <w:jc w:val="center"/>
              </w:trPr>
              <w:tc>
                <w:tcPr>
                  <w:tcW w:w="9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65849C6A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光纤</w:t>
                  </w:r>
                </w:p>
              </w:tc>
              <w:tc>
                <w:tcPr>
                  <w:tcW w:w="44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7D40A270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MPO-MPO连接线，12芯多模OM3，40G速率，长度20米，B极性</w:t>
                  </w:r>
                </w:p>
              </w:tc>
              <w:tc>
                <w:tcPr>
                  <w:tcW w:w="6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102BC4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4830A287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26099E2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6" w:hRule="atLeast"/>
                <w:jc w:val="center"/>
              </w:trPr>
              <w:tc>
                <w:tcPr>
                  <w:tcW w:w="9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04BF8F6A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网线</w:t>
                  </w:r>
                </w:p>
              </w:tc>
              <w:tc>
                <w:tcPr>
                  <w:tcW w:w="44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7D9467D4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超六类 (Cat6A) 成品网线，屏蔽/非屏蔽，支持1000M/2500M速率，长度15米</w:t>
                  </w:r>
                </w:p>
              </w:tc>
              <w:tc>
                <w:tcPr>
                  <w:tcW w:w="6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6AE32B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5ADDDBE7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7ECC24A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6" w:hRule="atLeast"/>
                <w:jc w:val="center"/>
              </w:trPr>
              <w:tc>
                <w:tcPr>
                  <w:tcW w:w="9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462D6107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网线</w:t>
                  </w:r>
                </w:p>
              </w:tc>
              <w:tc>
                <w:tcPr>
                  <w:tcW w:w="44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67A9016F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超六类 (Cat6A) 成品网线，屏蔽/非屏蔽，支持1000M/2500M速率，长度20米</w:t>
                  </w:r>
                </w:p>
              </w:tc>
              <w:tc>
                <w:tcPr>
                  <w:tcW w:w="6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287BED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21465619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0FE145C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6" w:hRule="atLeast"/>
                <w:jc w:val="center"/>
              </w:trPr>
              <w:tc>
                <w:tcPr>
                  <w:tcW w:w="91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50DCDED6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服务器硬盘</w:t>
                  </w:r>
                </w:p>
              </w:tc>
              <w:tc>
                <w:tcPr>
                  <w:tcW w:w="44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0F8DA18B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M.2接口 （NVMe/SATA)，480GB/512GB SSD，企业级/高耐久读写型</w:t>
                  </w:r>
                </w:p>
              </w:tc>
              <w:tc>
                <w:tcPr>
                  <w:tcW w:w="6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7652CD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7FE4ABDF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提供一年原厂质保</w:t>
                  </w:r>
                </w:p>
              </w:tc>
            </w:tr>
            <w:tr w14:paraId="634E682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6" w:hRule="atLeast"/>
                <w:jc w:val="center"/>
              </w:trPr>
              <w:tc>
                <w:tcPr>
                  <w:tcW w:w="914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3091FD2C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4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4E49C8AD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SATA接口，2.5寸，1TB SSD，企业级标准，适配主流服务器</w:t>
                  </w:r>
                </w:p>
              </w:tc>
              <w:tc>
                <w:tcPr>
                  <w:tcW w:w="6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43A3DC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0" w:type="auto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215DCB0A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63599B5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6" w:hRule="atLeast"/>
                <w:jc w:val="center"/>
              </w:trPr>
              <w:tc>
                <w:tcPr>
                  <w:tcW w:w="914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3F7CEDBF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4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09A122A5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12TB 7.2K RPM SAS 12Gb/s，3.5寸企业级硬盘，适配现有服务器</w:t>
                  </w:r>
                </w:p>
              </w:tc>
              <w:tc>
                <w:tcPr>
                  <w:tcW w:w="6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5BA905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2F3D1044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0360D65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6" w:hRule="atLeast"/>
                <w:jc w:val="center"/>
              </w:trPr>
              <w:tc>
                <w:tcPr>
                  <w:tcW w:w="914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127E4D91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4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42172A13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4TB 7.2K RPM SATA 6Gb/s，3.5寸企业级硬盘，适配现有服务器</w:t>
                  </w:r>
                </w:p>
              </w:tc>
              <w:tc>
                <w:tcPr>
                  <w:tcW w:w="6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21BC65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1145803C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7788D12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6" w:hRule="atLeast"/>
                <w:jc w:val="center"/>
              </w:trPr>
              <w:tc>
                <w:tcPr>
                  <w:tcW w:w="91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269C6113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DLP大屏幕配件</w:t>
                  </w:r>
                </w:p>
              </w:tc>
              <w:tc>
                <w:tcPr>
                  <w:tcW w:w="44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4080C4A2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</w:rPr>
                    <w:t>冗余电源驱动模组，适配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lang w:val="en-US" w:eastAsia="zh-CN"/>
                    </w:rPr>
                    <w:t>现有大屏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</w:rPr>
                    <w:t>机芯</w:t>
                  </w:r>
                </w:p>
              </w:tc>
              <w:tc>
                <w:tcPr>
                  <w:tcW w:w="6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15F23B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6293C5CB">
                  <w:pPr>
                    <w:rPr>
                      <w:rFonts w:hint="eastAsia" w:ascii="仿宋" w:hAnsi="仿宋" w:eastAsia="仿宋" w:cs="仿宋"/>
                      <w:color w:val="0000FF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1D11EE3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6" w:hRule="atLeast"/>
                <w:jc w:val="center"/>
              </w:trPr>
              <w:tc>
                <w:tcPr>
                  <w:tcW w:w="91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1AB19EC4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4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024901D4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</w:rPr>
                    <w:t>LED红绿蓝1X3光源组，适配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lang w:val="en-US" w:eastAsia="zh-CN"/>
                    </w:rPr>
                    <w:t>现有大屏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</w:rPr>
                    <w:t>机芯</w:t>
                  </w:r>
                </w:p>
              </w:tc>
              <w:tc>
                <w:tcPr>
                  <w:tcW w:w="6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2BA348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top"/>
                </w:tcPr>
                <w:p w14:paraId="6CB4A6E3">
                  <w:pPr>
                    <w:rPr>
                      <w:rFonts w:hint="eastAsia" w:ascii="仿宋" w:hAnsi="仿宋" w:eastAsia="仿宋" w:cs="仿宋"/>
                      <w:color w:val="0000FF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660645E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6" w:hRule="atLeast"/>
                <w:jc w:val="center"/>
              </w:trPr>
              <w:tc>
                <w:tcPr>
                  <w:tcW w:w="9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0F14DD70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</w:rPr>
                    <w:t>计算机终端</w:t>
                  </w:r>
                </w:p>
              </w:tc>
              <w:tc>
                <w:tcPr>
                  <w:tcW w:w="44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2A4AA40A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lang w:val="en-US" w:eastAsia="zh-CN"/>
                    </w:rPr>
                    <w:t>国产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</w:rPr>
                    <w:t>处理器（CPU）：16核32线程，主频不低于3.0GHz</w:t>
                  </w:r>
                </w:p>
                <w:p w14:paraId="5FFB7F80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</w:rPr>
                    <w:t>内存：不低于32GB</w:t>
                  </w:r>
                </w:p>
                <w:p w14:paraId="790AF982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</w:rPr>
                    <w:t>存储：系统盘：512GB SSD ，数据盘： 4TB HDD</w:t>
                  </w:r>
                </w:p>
                <w:p w14:paraId="35F593EF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</w:rPr>
                    <w:t>显卡（GPU）：显存不低于8GB</w:t>
                  </w:r>
                </w:p>
                <w:p w14:paraId="159FC181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</w:rPr>
                    <w:t>预装操作系统：国产桌面操作系统。</w:t>
                  </w:r>
                </w:p>
              </w:tc>
              <w:tc>
                <w:tcPr>
                  <w:tcW w:w="6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51C025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29472A4D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提供三年原厂质保</w:t>
                  </w:r>
                </w:p>
              </w:tc>
            </w:tr>
            <w:tr w14:paraId="4FA71D0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10" w:hRule="atLeast"/>
                <w:jc w:val="center"/>
              </w:trPr>
              <w:tc>
                <w:tcPr>
                  <w:tcW w:w="9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466F6DDB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OTN通信系统电池</w:t>
                  </w:r>
                </w:p>
              </w:tc>
              <w:tc>
                <w:tcPr>
                  <w:tcW w:w="44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4574369A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2V400AH铅酸蓄电池共48块；50mm2电池线缆4根，每根50米；电池架2套。</w:t>
                  </w:r>
                </w:p>
              </w:tc>
              <w:tc>
                <w:tcPr>
                  <w:tcW w:w="6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7C4C3A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206D498E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 w:bidi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提供三年原厂质保</w:t>
                  </w:r>
                </w:p>
              </w:tc>
            </w:tr>
            <w:tr w14:paraId="47AAE74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6" w:hRule="atLeast"/>
                <w:jc w:val="center"/>
              </w:trPr>
              <w:tc>
                <w:tcPr>
                  <w:tcW w:w="9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2AEC7856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</w:rPr>
                    <w:t>沙箱安全检测设备</w:t>
                  </w:r>
                  <w:r>
                    <w:rPr>
                      <w:rFonts w:hint="eastAsia" w:cs="仿宋"/>
                      <w:b/>
                      <w:bCs/>
                      <w:color w:val="auto"/>
                      <w:sz w:val="22"/>
                      <w:szCs w:val="22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eastAsia" w:cs="仿宋"/>
                      <w:b/>
                      <w:bCs/>
                      <w:color w:val="auto"/>
                      <w:sz w:val="22"/>
                      <w:szCs w:val="22"/>
                      <w:highlight w:val="none"/>
                      <w:lang w:val="en-US" w:eastAsia="zh-CN"/>
                    </w:rPr>
                    <w:t>核心产品</w:t>
                  </w:r>
                  <w:r>
                    <w:rPr>
                      <w:rFonts w:hint="eastAsia" w:cs="仿宋"/>
                      <w:b/>
                      <w:bCs/>
                      <w:color w:val="auto"/>
                      <w:sz w:val="22"/>
                      <w:szCs w:val="22"/>
                      <w:highlight w:val="none"/>
                      <w:lang w:eastAsia="zh-CN"/>
                    </w:rPr>
                    <w:t>）</w:t>
                  </w:r>
                </w:p>
              </w:tc>
              <w:tc>
                <w:tcPr>
                  <w:tcW w:w="44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04C3EF1E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国产化CPU、操作系统，极速模式≥150000个/天，标准模式≥10000个/天；内存≥384GB，硬盘≥1.92TBx2；≥2个千兆电口、2个万兆光口，提供威胁情报、多引擎、动静态行为特征、网络行为和流量检测等多维检测能力。</w:t>
                  </w:r>
                </w:p>
              </w:tc>
              <w:tc>
                <w:tcPr>
                  <w:tcW w:w="6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1653F4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5EA70E45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提供五年原厂质保</w:t>
                  </w:r>
                </w:p>
              </w:tc>
            </w:tr>
            <w:tr w14:paraId="3F08450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9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761A5D73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日志审计设备</w:t>
                  </w:r>
                </w:p>
              </w:tc>
              <w:tc>
                <w:tcPr>
                  <w:tcW w:w="44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7E4CFF79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国产化CPU及操作系统；性能：日志源授权≥500，处理能力≥2500EPS；配置：内存≥16G，硬盘≥4T，冗余电源；接口：≥6千兆电口、2万兆光口。</w:t>
                  </w:r>
                </w:p>
              </w:tc>
              <w:tc>
                <w:tcPr>
                  <w:tcW w:w="6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0E0358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6C63B7D8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提供五年原厂质保</w:t>
                  </w:r>
                </w:p>
              </w:tc>
            </w:tr>
            <w:tr w14:paraId="17DC09F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91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6A0B138C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大屏控制器配件</w:t>
                  </w:r>
                </w:p>
              </w:tc>
              <w:tc>
                <w:tcPr>
                  <w:tcW w:w="44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457400D0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视频H_4路HDMI输入卡，适配现有视频拼接服务器。</w:t>
                  </w:r>
                </w:p>
              </w:tc>
              <w:tc>
                <w:tcPr>
                  <w:tcW w:w="6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5CC2E6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60682302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提供一年原厂质保</w:t>
                  </w:r>
                </w:p>
              </w:tc>
            </w:tr>
            <w:tr w14:paraId="11952A6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914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4C3171C3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4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4369052A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视频H_4路HDMI输出卡，适配现有视频拼接服务器。</w:t>
                  </w:r>
                </w:p>
              </w:tc>
              <w:tc>
                <w:tcPr>
                  <w:tcW w:w="6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721D36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0" w:type="auto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 w:val="0"/>
                  <w:vAlign w:val="center"/>
                </w:tcPr>
                <w:p w14:paraId="0CC1DA9A">
                  <w:pPr>
                    <w:rPr>
                      <w:rFonts w:hint="eastAsia" w:ascii="仿宋" w:hAnsi="仿宋" w:eastAsia="仿宋" w:cs="仿宋"/>
                      <w:color w:val="auto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48F73AD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3E1FE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 w14:paraId="6B9E065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71" w:type="dxa"/>
          </w:tcPr>
          <w:p w14:paraId="4A16E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6771" w:type="dxa"/>
          </w:tcPr>
          <w:p w14:paraId="2A60664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服务要求：</w:t>
            </w:r>
          </w:p>
          <w:p w14:paraId="733465E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质量要求。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提供的货物须国家及相关部门的相应产业标准，所有设备必须为原厂产品。</w:t>
            </w:r>
          </w:p>
          <w:p w14:paraId="3BA3D22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知识产权。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应保证在本项目中使用的任何产品和服务（包括部分使用），不会产生因第三方提出侵犯其专利权、商标权或其它知识产权而引起的法律和经济纠纷。</w:t>
            </w:r>
          </w:p>
          <w:p w14:paraId="5014699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供应链管理要求。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应严格落实网络安全和保密及人员管理要求，承担相应人员的网络安全和保密及人员管理责任，按要求签订协议和承诺书。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应强化货物供应的及时性，确保不发生货物的变更。</w:t>
            </w:r>
          </w:p>
          <w:p w14:paraId="69A2C39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合同签订。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应配合采购方在法定时间内完成合同的签订工作，签订地点由采购方指定。</w:t>
            </w:r>
          </w:p>
          <w:p w14:paraId="2ECAFB0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网络安全要求</w:t>
            </w:r>
          </w:p>
          <w:p w14:paraId="6D42B30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所提供的产品应符合国家及行业相关网络安全技术标准与规范要求，能够有效保障设备运行安全与数据安全，按照要求签署网络安全责任协议。</w:t>
            </w:r>
          </w:p>
          <w:p w14:paraId="24CB96E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资产管理要求。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应整理本项目实施过程中所涉及的相关资产，包括但不限于产品合格证、资产台账、网络拓扑等资产，并及时向采购人提交纸质资料和电子资料。</w:t>
            </w:r>
          </w:p>
          <w:p w14:paraId="717C883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质量保证期要求</w:t>
            </w:r>
          </w:p>
          <w:p w14:paraId="152568D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质量保证期从履约验收合格之日（含）起计算。</w:t>
            </w:r>
          </w:p>
          <w:p w14:paraId="1F01CC0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质量保证期服务方式要求采用7*24小时远程电话值守。</w:t>
            </w:r>
          </w:p>
          <w:p w14:paraId="3AC7B6F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质量保证期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须按约定提供相应年限原厂质保，其中硬盘须提供不返还服务。</w:t>
            </w:r>
          </w:p>
          <w:p w14:paraId="51DC2AB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质量保证期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所提供的所有技术支持和服务费用以及上门维修、更换零部件费用由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提供，采购人不在另行支付。</w:t>
            </w:r>
          </w:p>
          <w:p w14:paraId="152F444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8、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保密要求。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应对在项目实施及履行过程中所接触的采购人信息，包括但不限于知识产权、技术资料、内部管理及其他相关信息，负有保密义务。保密期限不受合同有效期的限制，在合同有效期结束后，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仍应承担保密义务。</w:t>
            </w:r>
          </w:p>
        </w:tc>
      </w:tr>
    </w:tbl>
    <w:p w14:paraId="2B682B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D6CBE"/>
    <w:rsid w:val="47BD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2026-04-01T06:30:00Z</dcterms:created>
  <dc:creator>833</dc:creator>
  <cp:lastModifiedBy>833</cp:lastModifiedBy>
  <dcterms:modified xsi:type="dcterms:W3CDTF">2026-04-01T06:30:41Z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21E169875CDC40059AFE6ECAA20FBC59_11</vt:lpwstr>
  </property>
  <property fmtid="{D5CDD505-2E9C-101B-9397-08002B2CF9AE}" pid="4" name="KSOTemplateDocerSaveRecord">
    <vt:lpwstr>eyJoZGlkIjoiNTI1OGU5NzEwNjlmOTA0NzYwMTIyZGJlNThjMzMxOGYiLCJ1c2VySWQiOiIzMTI3MDEwNzEifQ==</vt:lpwstr>
  </property>
</Properties>
</file>