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YAFY-2026-01</w:t>
      </w:r>
    </w:p>
    <w:p w14:paraId="6428750F">
      <w:pPr>
        <w:pStyle w:val="33"/>
        <w:rPr>
          <w:rFonts w:hint="eastAsia" w:ascii="宋体" w:hAnsi="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宜川县云岩镇人民政府宜川县云岩镇镇区道路改造工程</w:t>
      </w:r>
    </w:p>
    <w:p w14:paraId="519C1A17">
      <w:pPr>
        <w:pStyle w:val="17"/>
        <w:rPr>
          <w:rFonts w:hint="eastAsia"/>
        </w:rPr>
      </w:pPr>
    </w:p>
    <w:p w14:paraId="1ACCCA84">
      <w:pPr>
        <w:rPr>
          <w:rFonts w:hint="eastAsia"/>
        </w:rPr>
      </w:pPr>
    </w:p>
    <w:p w14:paraId="4616DEEA">
      <w:pPr>
        <w:pStyle w:val="17"/>
        <w:rPr>
          <w:rFonts w:hint="eastAsia"/>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0AF35700">
      <w:pPr>
        <w:pStyle w:val="7"/>
        <w:rPr>
          <w:rFonts w:hint="eastAsia" w:ascii="宋体" w:hAnsi="宋体" w:eastAsia="宋体" w:cs="宋体"/>
          <w:b/>
          <w:color w:val="000000" w:themeColor="text1"/>
          <w:sz w:val="32"/>
          <w:szCs w:val="32"/>
          <w14:textFill>
            <w14:solidFill>
              <w14:schemeClr w14:val="tx1"/>
            </w14:solidFill>
          </w14:textFill>
        </w:rPr>
      </w:pPr>
    </w:p>
    <w:p w14:paraId="6712AFA3">
      <w:pPr>
        <w:rPr>
          <w:rFonts w:hint="eastAsia"/>
        </w:rPr>
      </w:pPr>
    </w:p>
    <w:p w14:paraId="70B86A7B">
      <w:pPr>
        <w:rPr>
          <w:rFonts w:hint="eastAsia"/>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宜川县云岩镇人民政府</w:t>
      </w:r>
    </w:p>
    <w:p w14:paraId="1E3E9F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延安方逸造价咨询有限公司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051D3A71">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六</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三</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800" w:bottom="1440" w:left="1800" w:header="851" w:footer="992" w:gutter="0"/>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rPr>
      </w:pPr>
    </w:p>
    <w:p w14:paraId="47DFA7B2">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0FAC6C46">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14:paraId="2013799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14:paraId="09F99F79">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14:paraId="0A86AAD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4</w:t>
      </w:r>
    </w:p>
    <w:p w14:paraId="1C4C913F">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5</w:t>
      </w: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6F9A76A1">
      <w:pPr>
        <w:pStyle w:val="69"/>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rPr>
      </w:pPr>
    </w:p>
    <w:p w14:paraId="0CFB20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150" w:beforeAutospacing="0" w:after="150" w:afterAutospacing="0" w:line="400" w:lineRule="exact"/>
        <w:ind w:left="0" w:right="0"/>
        <w:jc w:val="left"/>
        <w:textAlignment w:val="auto"/>
        <w:rPr>
          <w:rFonts w:hint="eastAsia" w:ascii="宋体" w:hAnsi="宋体" w:eastAsia="宋体" w:cs="宋体"/>
          <w:b w:val="0"/>
          <w:bCs w:val="0"/>
          <w:color w:val="auto"/>
          <w:sz w:val="24"/>
          <w:szCs w:val="24"/>
        </w:rPr>
      </w:pPr>
      <w:r>
        <w:rPr>
          <w:rStyle w:val="38"/>
          <w:rFonts w:hint="eastAsia" w:ascii="宋体" w:hAnsi="宋体" w:eastAsia="宋体" w:cs="宋体"/>
          <w:b/>
          <w:bCs/>
          <w:i w:val="0"/>
          <w:iCs w:val="0"/>
          <w:caps w:val="0"/>
          <w:color w:val="auto"/>
          <w:spacing w:val="0"/>
          <w:sz w:val="24"/>
          <w:szCs w:val="24"/>
          <w:shd w:val="clear" w:fill="FFFFFF"/>
        </w:rPr>
        <w:t>项目概况</w:t>
      </w:r>
    </w:p>
    <w:p w14:paraId="1D5F338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150" w:beforeAutospacing="0" w:after="15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宜川县云岩镇镇区道路改造工程采购项目的潜在供应商应在陕西省延安市宝塔区新区上城华府15号楼1单元902室获取采购文件，并于 2026年04月09日 15时30分 （北京时间）前提交响应文件。</w:t>
      </w:r>
    </w:p>
    <w:p w14:paraId="4A57B5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一、项目基本情况</w:t>
      </w:r>
    </w:p>
    <w:p w14:paraId="30838C5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项目编号：YAFY-2026-01</w:t>
      </w:r>
    </w:p>
    <w:p w14:paraId="590F95A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项目名称：宜川县云岩镇镇区道路改造工程</w:t>
      </w:r>
    </w:p>
    <w:p w14:paraId="522F11F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24FA49C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预算金额：2,405,595.36元</w:t>
      </w:r>
    </w:p>
    <w:p w14:paraId="5884028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3B157DB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合同包1(宜川县云岩镇人民政府宜川县云岩镇镇区道路改造工程):</w:t>
      </w:r>
    </w:p>
    <w:p w14:paraId="397263D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合同包预算金额：2,405,595.36元</w:t>
      </w:r>
    </w:p>
    <w:p w14:paraId="0FD60A4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合同包最高限价：2,405,008.90元</w:t>
      </w:r>
    </w:p>
    <w:tbl>
      <w:tblPr>
        <w:tblStyle w:val="35"/>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7"/>
        <w:gridCol w:w="1536"/>
        <w:gridCol w:w="1276"/>
        <w:gridCol w:w="1355"/>
        <w:gridCol w:w="2781"/>
        <w:gridCol w:w="1931"/>
      </w:tblGrid>
      <w:tr w14:paraId="617E7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5" w:hRule="atLeast"/>
          <w:tblHeader/>
          <w:jc w:val="center"/>
        </w:trPr>
        <w:tc>
          <w:tcPr>
            <w:tcW w:w="9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01C7D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3AE7F">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F5594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2A122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57F00CF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27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3A112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753AD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14:paraId="37A617F6">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r>
      <w:tr w14:paraId="1817BB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0" w:hRule="atLeast"/>
          <w:jc w:val="center"/>
        </w:trPr>
        <w:tc>
          <w:tcPr>
            <w:tcW w:w="9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1051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49F95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城市道路工程施工</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BC069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道路改造</w:t>
            </w:r>
          </w:p>
        </w:tc>
        <w:tc>
          <w:tcPr>
            <w:tcW w:w="13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0F4CE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27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76D1CB">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DFFB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2,405,595.36</w:t>
            </w:r>
          </w:p>
        </w:tc>
      </w:tr>
    </w:tbl>
    <w:p w14:paraId="4E524DF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E7E5EC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合同履行期限：30天</w:t>
      </w:r>
    </w:p>
    <w:p w14:paraId="4AB585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二、申请人的资格要求：</w:t>
      </w:r>
    </w:p>
    <w:p w14:paraId="78F3361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12450A7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1BC54FA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合同包1(宜川县云岩镇人民政府宜川县云岩镇镇区道路改造工程)落实政府采购政策需满足的资格要求如下:</w:t>
      </w:r>
    </w:p>
    <w:p w14:paraId="67A6132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 民政部 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（10）&lt;陕西省财政厅关于进一步落实政府采购支持中小企业相关政策的通知》(陕财办采(2023)3号)；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（12）其他需要落实的政府采购政策。</w:t>
      </w:r>
    </w:p>
    <w:p w14:paraId="3B29A25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7287706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合同包1(宜川县云岩镇人民政府宜川县云岩镇镇区道路改造工程)特定资格要求如下:</w:t>
      </w:r>
    </w:p>
    <w:p w14:paraId="3192731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（1）提供经年检有效的“三证合一”的营业执照（附2024年度报告书）；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（7）税收缴纳证明：提供2025年06月至今已缴纳的至少一个月的纳税证明或完税证明（不限税种），依法免税的单位应提供相关证明材料；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（8）社会保障资金缴纳证明：提供2025年06月至今已缴存至少一个月的社会保障资金缴存单据或社保机构开具的社会保险参保缴费情况证明，依法不需要缴纳社会保障资金的单位应提供相关证明材料；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（11）本项目专门面向中小企业采购（供应商需提供中小企业声明函或残疾人福利性单位声明函或监狱企业声明函）；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（12）本项目不接受联合体磋商。</w:t>
      </w:r>
    </w:p>
    <w:p w14:paraId="14F2A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三、获取采购文件</w:t>
      </w:r>
    </w:p>
    <w:p w14:paraId="4ED05BD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2026年03月27日 至 2026年04月02日 ，每天上午 09:00:00 至 12:00:00 ，下午 14:30:00 至 17:00:00 （北京时间）</w:t>
      </w:r>
    </w:p>
    <w:p w14:paraId="2D042E5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途径：陕西省延安市宝塔区新区上城华府15号楼1单元902室</w:t>
      </w:r>
    </w:p>
    <w:p w14:paraId="3D60770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2B79276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500元</w:t>
      </w:r>
    </w:p>
    <w:p w14:paraId="2C45B2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四、响应文件提交</w:t>
      </w:r>
    </w:p>
    <w:p w14:paraId="483F427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 2026年04月09日 15时30分00秒 （北京时间）</w:t>
      </w:r>
    </w:p>
    <w:p w14:paraId="43DD0D0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地点：延安市公共资源交易中心交易四厅</w:t>
      </w:r>
    </w:p>
    <w:p w14:paraId="544991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五、开启</w:t>
      </w:r>
    </w:p>
    <w:p w14:paraId="78770C3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2026年04月09日 15时30分00秒 （北京时间）</w:t>
      </w:r>
    </w:p>
    <w:p w14:paraId="40748B2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地点：延安市公共资源交易中心交易四厅</w:t>
      </w:r>
    </w:p>
    <w:p w14:paraId="4BD896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六、公告期限</w:t>
      </w:r>
    </w:p>
    <w:p w14:paraId="08DE533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301A4D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七、其他补充事宜</w:t>
      </w:r>
    </w:p>
    <w:p w14:paraId="60B9046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1.请供应商按照陕西省财政厅关于政府采购供应商注册登记有关事项的通知中的要求，通过陕西省政府采购网注册登记加入陕西省政府采购供应商库。</w:t>
      </w:r>
    </w:p>
    <w:p w14:paraId="42BE5E9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2.本项目专门面向中小企业。</w:t>
      </w:r>
    </w:p>
    <w:p w14:paraId="73CFB43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3.本次竞争性磋商公告在《陕西省政府采购网》、《全国公共资源交易平台（陕西省·延安市）》媒介上发布。</w:t>
      </w:r>
    </w:p>
    <w:p w14:paraId="3A771C3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4.领取竞争性磋商文件时，请携带介绍信及本人有效身份证原件（加盖公章复印件一份）(现场领取）。</w:t>
      </w:r>
    </w:p>
    <w:p w14:paraId="025709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150" w:beforeAutospacing="0" w:after="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八、对本次招标提出询问，请按以下方式联系。</w:t>
      </w:r>
    </w:p>
    <w:p w14:paraId="061991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1324773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名称：宜川县云岩镇人民政府</w:t>
      </w:r>
    </w:p>
    <w:p w14:paraId="510E151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地址：陕西省延安市宜川县云岩镇云岩村</w:t>
      </w:r>
    </w:p>
    <w:p w14:paraId="7A13647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联系方式：15191132365</w:t>
      </w:r>
    </w:p>
    <w:p w14:paraId="01D5A0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6602DEC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名称：延安方逸造价咨询有限公司</w:t>
      </w:r>
    </w:p>
    <w:p w14:paraId="2F8A1FF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地址：陕西省延安市宝塔区新区上城华府15号楼1单元902室</w:t>
      </w:r>
    </w:p>
    <w:p w14:paraId="5FACB53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联系方式：15667678999</w:t>
      </w:r>
    </w:p>
    <w:p w14:paraId="5FC3CC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55476DA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项目联系人：韩成</w:t>
      </w:r>
    </w:p>
    <w:p w14:paraId="43B734E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电话：15667678999</w:t>
      </w:r>
    </w:p>
    <w:p w14:paraId="5743D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59CDD3C6">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13F94938">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655269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000000" w:themeColor="text1"/>
          <w:sz w:val="28"/>
          <w:szCs w:val="28"/>
          <w14:textFill>
            <w14:solidFill>
              <w14:schemeClr w14:val="tx1"/>
            </w14:solidFill>
          </w14:textFill>
        </w:rPr>
      </w:pPr>
    </w:p>
    <w:p w14:paraId="45F35ED7">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421778363"/>
      <w:bookmarkStart w:id="4" w:name="_Toc10488"/>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15103"/>
      <w:bookmarkStart w:id="6" w:name="_Toc526842682"/>
      <w:bookmarkStart w:id="7" w:name="_Toc500323094"/>
      <w:bookmarkStart w:id="8" w:name="_Toc420591642"/>
      <w:bookmarkStart w:id="9" w:name="_Toc421778364"/>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4CCDD3F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宜川县云岩镇人民政府</w:t>
            </w:r>
          </w:p>
          <w:p w14:paraId="1568100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ascii="宋体" w:hAnsi="宋体" w:cs="宋体"/>
                <w:sz w:val="24"/>
                <w:szCs w:val="24"/>
                <w:lang w:eastAsia="zh-CN"/>
              </w:rPr>
              <w:t>陕西省延安市宜川县云岩镇云岩村</w:t>
            </w:r>
          </w:p>
          <w:p w14:paraId="338143A4">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kern w:val="2"/>
                <w:sz w:val="24"/>
                <w:szCs w:val="24"/>
                <w:lang w:val="en-US" w:eastAsia="zh-CN"/>
              </w:rPr>
              <w:t>曹甜</w:t>
            </w:r>
          </w:p>
          <w:p w14:paraId="35C64DD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cs="宋体"/>
                <w:i w:val="0"/>
                <w:iCs w:val="0"/>
                <w:caps w:val="0"/>
                <w:color w:val="333333"/>
                <w:spacing w:val="0"/>
                <w:sz w:val="24"/>
                <w:szCs w:val="24"/>
                <w:shd w:val="clear" w:fill="FFFFFF"/>
                <w:lang w:eastAsia="zh-CN"/>
              </w:rPr>
              <w:t>15191132365</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延安方逸造价咨询有限公司</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cs="宋体"/>
                <w:color w:val="000000"/>
                <w:sz w:val="24"/>
                <w:szCs w:val="24"/>
                <w:lang w:val="en-US" w:eastAsia="zh-CN"/>
              </w:rPr>
              <w:t>陕西省延安市宝塔区新区上城华府15号楼1单元902室</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韩成</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3399D61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15667678999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宜川县云岩镇人民政府宜川县云岩镇镇区道路改造工程</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lang w:val="en-US" w:eastAsia="zh-CN"/>
              </w:rPr>
              <w:t>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2,405,595.36元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sz w:val="24"/>
                <w:szCs w:val="24"/>
                <w:lang w:val="en-US" w:eastAsia="zh-CN"/>
              </w:rPr>
              <w:t>2,405,008.90</w:t>
            </w:r>
            <w:r>
              <w:rPr>
                <w:rFonts w:hint="default" w:ascii="宋体" w:hAnsi="宋体" w:eastAsia="宋体" w:cs="宋体"/>
                <w:color w:val="000000" w:themeColor="text1"/>
                <w:sz w:val="24"/>
                <w:szCs w:val="24"/>
                <w:lang w:val="en-US" w:eastAsia="zh-CN"/>
                <w14:textFill>
                  <w14:solidFill>
                    <w14:schemeClr w14:val="tx1"/>
                  </w14:solidFill>
                </w14:textFill>
              </w:rPr>
              <w:t>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宜川县云岩镇镇区道路改造工程项目</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651556E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w:t>
            </w:r>
            <w:r>
              <w:rPr>
                <w:rFonts w:hint="eastAsia" w:ascii="宋体" w:hAnsi="宋体" w:cs="宋体"/>
                <w:i w:val="0"/>
                <w:iCs w:val="0"/>
                <w:caps w:val="0"/>
                <w:color w:val="auto"/>
                <w:spacing w:val="0"/>
                <w:sz w:val="24"/>
                <w:szCs w:val="24"/>
                <w:shd w:val="clear" w:fill="FFFFFF"/>
                <w:lang w:eastAsia="zh-CN"/>
              </w:rPr>
              <w:t>提供经年检有效的“三证合一”的营业执照（附2024年度报告书）</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cs="宋体"/>
                <w:i w:val="0"/>
                <w:iCs w:val="0"/>
                <w:caps w:val="0"/>
                <w:color w:val="auto"/>
                <w:spacing w:val="0"/>
                <w:sz w:val="24"/>
                <w:szCs w:val="24"/>
                <w:shd w:val="clear" w:fill="FFFFFF"/>
                <w:lang w:eastAsia="zh-CN"/>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w:t>
            </w:r>
            <w:r>
              <w:rPr>
                <w:rFonts w:hint="eastAsia" w:ascii="宋体" w:hAnsi="宋体" w:cs="宋体"/>
                <w:i w:val="0"/>
                <w:iCs w:val="0"/>
                <w:caps w:val="0"/>
                <w:color w:val="auto"/>
                <w:spacing w:val="0"/>
                <w:sz w:val="24"/>
                <w:szCs w:val="24"/>
                <w:shd w:val="clear" w:fill="FFFFFF"/>
                <w:lang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w:t>
            </w:r>
            <w:r>
              <w:rPr>
                <w:rFonts w:hint="eastAsia" w:ascii="宋体" w:hAnsi="宋体" w:cs="宋体"/>
                <w:i w:val="0"/>
                <w:iCs w:val="0"/>
                <w:caps w:val="0"/>
                <w:color w:val="auto"/>
                <w:spacing w:val="0"/>
                <w:sz w:val="24"/>
                <w:szCs w:val="24"/>
                <w:shd w:val="clear" w:fill="FFFFFF"/>
                <w:lang w:eastAsia="zh-CN"/>
              </w:rPr>
              <w:t>提供2025年06月至今已缴纳的至少一个月的纳税证明或完税证明（不限税种），依法免税的单位应提供相关证明材料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w:t>
            </w:r>
            <w:r>
              <w:rPr>
                <w:rFonts w:hint="eastAsia" w:ascii="宋体" w:hAnsi="宋体" w:cs="宋体"/>
                <w:i w:val="0"/>
                <w:iCs w:val="0"/>
                <w:caps w:val="0"/>
                <w:color w:val="auto"/>
                <w:spacing w:val="0"/>
                <w:sz w:val="24"/>
                <w:szCs w:val="24"/>
                <w:shd w:val="clear" w:fill="FFFFFF"/>
                <w:lang w:eastAsia="zh-CN"/>
              </w:rPr>
              <w:t>提供2025年06月至今已缴存至少一个月的社会保障资金缴存单据或社保机构开具的社会保险参保缴费情况证明，依法不需要缴纳社会保障资金的单位应提供相关证明材料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cs="宋体"/>
                <w:i w:val="0"/>
                <w:iCs w:val="0"/>
                <w:caps w:val="0"/>
                <w:color w:val="auto"/>
                <w:spacing w:val="0"/>
                <w:sz w:val="24"/>
                <w:szCs w:val="24"/>
                <w:shd w:val="clear" w:fill="FFFFFF"/>
                <w:lang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（12）本项目不接受联合体磋商。</w:t>
            </w: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88206654</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88206654</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sz w:val="24"/>
                <w:szCs w:val="24"/>
              </w:rPr>
              <w:t>2026年</w:t>
            </w:r>
            <w:r>
              <w:rPr>
                <w:rFonts w:hint="eastAsia" w:ascii="宋体" w:hAnsi="宋体" w:cs="宋体"/>
                <w:sz w:val="24"/>
                <w:szCs w:val="24"/>
                <w:lang w:val="en-US" w:eastAsia="zh-CN"/>
              </w:rPr>
              <w:t>04</w:t>
            </w:r>
            <w:r>
              <w:rPr>
                <w:rFonts w:hint="eastAsia" w:ascii="宋体" w:hAnsi="宋体" w:eastAsia="宋体" w:cs="宋体"/>
                <w:sz w:val="24"/>
                <w:szCs w:val="24"/>
              </w:rPr>
              <w:t>月</w:t>
            </w:r>
            <w:r>
              <w:rPr>
                <w:rFonts w:hint="eastAsia" w:ascii="宋体" w:hAnsi="宋体" w:cs="宋体"/>
                <w:sz w:val="24"/>
                <w:szCs w:val="24"/>
                <w:lang w:val="en-US" w:eastAsia="zh-CN"/>
              </w:rPr>
              <w:t>09</w:t>
            </w:r>
            <w:r>
              <w:rPr>
                <w:rFonts w:hint="eastAsia" w:ascii="宋体" w:hAnsi="宋体" w:eastAsia="宋体" w:cs="宋体"/>
                <w:sz w:val="24"/>
                <w:szCs w:val="24"/>
              </w:rPr>
              <w:t>日</w:t>
            </w:r>
            <w:r>
              <w:rPr>
                <w:rFonts w:hint="eastAsia" w:ascii="宋体" w:hAnsi="宋体" w:cs="宋体"/>
                <w:sz w:val="24"/>
                <w:szCs w:val="24"/>
                <w:lang w:val="en-US" w:eastAsia="zh-CN"/>
              </w:rPr>
              <w:t>15</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rPr>
              <w:t>0分00秒</w:t>
            </w:r>
            <w:r>
              <w:rPr>
                <w:rFonts w:hint="eastAsia" w:ascii="宋体" w:hAnsi="宋体" w:eastAsia="宋体" w:cs="宋体"/>
                <w:color w:val="000000" w:themeColor="text1"/>
                <w:sz w:val="24"/>
                <w:szCs w:val="24"/>
                <w:lang w:val="en-US"/>
                <w14:textFill>
                  <w14:solidFill>
                    <w14:schemeClr w14:val="tx1"/>
                  </w14:solidFill>
                </w14:textFill>
              </w:rPr>
              <w:t>（北京时间）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shd w:val="clear" w:color="auto" w:fill="auto"/>
            <w:vAlign w:val="center"/>
          </w:tcPr>
          <w:p w14:paraId="1814E3CB">
            <w:pPr>
              <w:spacing w:line="360" w:lineRule="auto"/>
              <w:ind w:firstLine="482"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b/>
                <w:bCs/>
                <w:color w:val="auto"/>
                <w:kern w:val="2"/>
                <w:sz w:val="24"/>
                <w:szCs w:val="24"/>
                <w:lang w:val="en-US" w:eastAsia="zh-CN"/>
              </w:rPr>
              <w:t>不缴纳</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四厅</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sz w:val="24"/>
                <w:szCs w:val="24"/>
              </w:rPr>
              <w:t>2026年</w:t>
            </w:r>
            <w:r>
              <w:rPr>
                <w:rFonts w:hint="eastAsia" w:ascii="宋体" w:hAnsi="宋体" w:cs="宋体"/>
                <w:sz w:val="24"/>
                <w:szCs w:val="24"/>
                <w:lang w:val="en-US" w:eastAsia="zh-CN"/>
              </w:rPr>
              <w:t>04</w:t>
            </w:r>
            <w:r>
              <w:rPr>
                <w:rFonts w:hint="eastAsia" w:ascii="宋体" w:hAnsi="宋体" w:eastAsia="宋体" w:cs="宋体"/>
                <w:sz w:val="24"/>
                <w:szCs w:val="24"/>
              </w:rPr>
              <w:t>月</w:t>
            </w:r>
            <w:r>
              <w:rPr>
                <w:rFonts w:hint="eastAsia" w:ascii="宋体" w:hAnsi="宋体" w:cs="宋体"/>
                <w:sz w:val="24"/>
                <w:szCs w:val="24"/>
                <w:lang w:val="en-US" w:eastAsia="zh-CN"/>
              </w:rPr>
              <w:t>09</w:t>
            </w:r>
            <w:r>
              <w:rPr>
                <w:rFonts w:hint="eastAsia" w:ascii="宋体" w:hAnsi="宋体" w:eastAsia="宋体" w:cs="宋体"/>
                <w:sz w:val="24"/>
                <w:szCs w:val="24"/>
              </w:rPr>
              <w:t>日</w:t>
            </w:r>
            <w:r>
              <w:rPr>
                <w:rFonts w:hint="eastAsia" w:ascii="宋体" w:hAnsi="宋体" w:cs="宋体"/>
                <w:sz w:val="24"/>
                <w:szCs w:val="24"/>
                <w:lang w:val="en-US" w:eastAsia="zh-CN"/>
              </w:rPr>
              <w:t>15</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rPr>
              <w:t>0分00秒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eastAsia="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09252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cs="宋体"/>
                <w:i w:val="0"/>
                <w:iCs w:val="0"/>
                <w:caps w:val="0"/>
                <w:color w:val="auto"/>
                <w:spacing w:val="0"/>
                <w:kern w:val="2"/>
                <w:sz w:val="24"/>
                <w:szCs w:val="24"/>
                <w:shd w:val="clear" w:fill="FFFFFF"/>
                <w:lang w:val="zh-CN" w:eastAsia="zh-CN" w:bidi="ar-SA"/>
              </w:rPr>
              <w:t>提供经年检有效的“三证合一”的营业执照（附2024年度报告书）</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（5）</w:t>
            </w:r>
            <w:r>
              <w:rPr>
                <w:rFonts w:hint="eastAsia" w:ascii="宋体" w:hAnsi="宋体" w:cs="宋体"/>
                <w:i w:val="0"/>
                <w:iCs w:val="0"/>
                <w:caps w:val="0"/>
                <w:color w:val="auto"/>
                <w:spacing w:val="0"/>
                <w:kern w:val="2"/>
                <w:sz w:val="24"/>
                <w:szCs w:val="24"/>
                <w:shd w:val="clear" w:fill="FFFFFF"/>
                <w:lang w:val="zh-CN" w:eastAsia="zh-CN" w:bidi="ar-SA"/>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（7）税收缴纳证明：</w:t>
            </w:r>
            <w:r>
              <w:rPr>
                <w:rFonts w:hint="eastAsia" w:ascii="宋体" w:hAnsi="宋体" w:cs="宋体"/>
                <w:i w:val="0"/>
                <w:iCs w:val="0"/>
                <w:caps w:val="0"/>
                <w:color w:val="auto"/>
                <w:spacing w:val="0"/>
                <w:kern w:val="2"/>
                <w:sz w:val="24"/>
                <w:szCs w:val="24"/>
                <w:shd w:val="clear" w:fill="FFFFFF"/>
                <w:lang w:val="zh-CN" w:eastAsia="zh-CN" w:bidi="ar-SA"/>
              </w:rPr>
              <w:t>提供2025年06月至今已缴纳的至少一个月的纳税证明或完税证明（不限税种），依法免税的单位应提供相关证明材料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w:t>
            </w:r>
            <w:r>
              <w:rPr>
                <w:rFonts w:hint="eastAsia" w:ascii="宋体" w:hAnsi="宋体" w:cs="宋体"/>
                <w:i w:val="0"/>
                <w:iCs w:val="0"/>
                <w:caps w:val="0"/>
                <w:color w:val="auto"/>
                <w:spacing w:val="0"/>
                <w:kern w:val="2"/>
                <w:sz w:val="24"/>
                <w:szCs w:val="24"/>
                <w:shd w:val="clear" w:fill="FFFFFF"/>
                <w:lang w:val="zh-CN" w:eastAsia="zh-CN" w:bidi="ar-SA"/>
              </w:rPr>
              <w:t>提供2025年06月至今已缴存至少一个月的社会保障资金缴存单据或社保机构开具的社会保险参保缴费情况证明，依法不需要缴纳社会保障资金的单位应提供相关证明材料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（9）</w:t>
            </w:r>
            <w:r>
              <w:rPr>
                <w:rFonts w:hint="eastAsia" w:ascii="宋体" w:hAnsi="宋体" w:cs="宋体"/>
                <w:i w:val="0"/>
                <w:iCs w:val="0"/>
                <w:caps w:val="0"/>
                <w:color w:val="auto"/>
                <w:spacing w:val="0"/>
                <w:kern w:val="2"/>
                <w:sz w:val="24"/>
                <w:szCs w:val="24"/>
                <w:shd w:val="clear" w:fill="FFFFFF"/>
                <w:lang w:val="zh-CN" w:eastAsia="zh-CN" w:bidi="ar-SA"/>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（10）参加政府采购活动前3年内经营活动中没有重大违法记录声明</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）本项目不接受联合体磋商。</w:t>
            </w:r>
          </w:p>
          <w:p w14:paraId="105F7A98">
            <w:pPr>
              <w:pStyle w:val="44"/>
              <w:spacing w:line="360" w:lineRule="auto"/>
              <w:ind w:firstLine="482" w:firstLineChars="200"/>
              <w:rPr>
                <w:rFonts w:hint="eastAsia"/>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097ECFE2">
            <w:pPr>
              <w:pStyle w:val="20"/>
              <w:spacing w:line="400" w:lineRule="exact"/>
              <w:jc w:val="left"/>
              <w:rPr>
                <w:rFonts w:hint="eastAsia" w:hAnsi="宋体" w:cs="Times New Roman"/>
                <w:b/>
                <w:bCs/>
                <w:sz w:val="24"/>
                <w:szCs w:val="24"/>
                <w:lang w:eastAsia="zh-CN"/>
              </w:rPr>
            </w:pPr>
            <w:r>
              <w:rPr>
                <w:rFonts w:hint="eastAsia" w:hAnsi="宋体" w:cs="Times New Roman"/>
                <w:b/>
                <w:bCs/>
                <w:sz w:val="24"/>
                <w:szCs w:val="24"/>
                <w:lang w:val="en-US" w:eastAsia="zh-CN"/>
              </w:rPr>
              <w:t>本项目为专门面向中小企业预留份额项目</w:t>
            </w:r>
            <w:r>
              <w:rPr>
                <w:rFonts w:hAnsi="宋体" w:cs="Times New Roman"/>
                <w:b/>
                <w:bCs/>
                <w:sz w:val="24"/>
                <w:szCs w:val="24"/>
              </w:rPr>
              <w:t>,</w:t>
            </w:r>
            <w:r>
              <w:rPr>
                <w:rFonts w:hint="eastAsia" w:hAnsi="宋体" w:cs="Times New Roman"/>
                <w:b/>
                <w:bCs/>
                <w:sz w:val="24"/>
                <w:szCs w:val="24"/>
                <w:lang w:val="en-US" w:eastAsia="zh-CN"/>
              </w:rPr>
              <w:t>不</w:t>
            </w:r>
            <w:r>
              <w:rPr>
                <w:rFonts w:hint="eastAsia" w:hAnsi="宋体" w:cs="Times New Roman"/>
                <w:b/>
                <w:bCs/>
                <w:sz w:val="24"/>
                <w:szCs w:val="24"/>
              </w:rPr>
              <w:t>执行</w:t>
            </w:r>
            <w:r>
              <w:rPr>
                <w:rFonts w:hAnsi="宋体" w:cs="Times New Roman"/>
                <w:b/>
                <w:bCs/>
                <w:sz w:val="24"/>
                <w:szCs w:val="24"/>
              </w:rPr>
              <w:t>价格分扣除</w:t>
            </w:r>
            <w:r>
              <w:rPr>
                <w:rFonts w:hint="eastAsia" w:hAnsi="宋体" w:cs="Times New Roman"/>
                <w:b/>
                <w:bCs/>
                <w:sz w:val="24"/>
                <w:szCs w:val="24"/>
                <w:lang w:eastAsia="zh-CN"/>
              </w:rPr>
              <w:t>。</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hAnsi="宋体" w:cs="Times New Roman"/>
                <w:b/>
                <w:bCs/>
                <w:color w:val="000000"/>
                <w:sz w:val="24"/>
                <w:szCs w:val="24"/>
              </w:rPr>
              <w:t>采购标的对应的中小企业划分标准所属行业：</w:t>
            </w:r>
            <w:r>
              <w:rPr>
                <w:rFonts w:hint="eastAsia" w:hAnsi="宋体" w:cs="Times New Roman"/>
                <w:b/>
                <w:bCs/>
                <w:color w:val="000000"/>
                <w:sz w:val="24"/>
                <w:szCs w:val="24"/>
                <w:lang w:val="en-US" w:eastAsia="zh-CN"/>
              </w:rPr>
              <w:t>建筑业</w:t>
            </w:r>
            <w:r>
              <w:rPr>
                <w:rFonts w:hint="eastAsia" w:ascii="宋体" w:hAnsi="宋体" w:eastAsia="宋体" w:cs="Times New Roman"/>
                <w:b/>
                <w:bCs/>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Ansi="宋体"/>
                <w:sz w:val="24"/>
                <w:szCs w:val="24"/>
              </w:rPr>
            </w:pPr>
            <w:r>
              <w:rPr>
                <w:rFonts w:hint="eastAsia" w:hAnsi="宋体"/>
                <w:sz w:val="24"/>
                <w:szCs w:val="24"/>
              </w:rPr>
              <w:t>残疾人福利性单位可视同小微企业。</w:t>
            </w:r>
          </w:p>
          <w:p w14:paraId="63B45A96">
            <w:pPr>
              <w:pStyle w:val="20"/>
              <w:spacing w:line="400" w:lineRule="exact"/>
              <w:jc w:val="left"/>
              <w:rPr>
                <w:rFonts w:hAnsi="宋体"/>
                <w:sz w:val="24"/>
                <w:szCs w:val="24"/>
              </w:rPr>
            </w:pPr>
            <w:r>
              <w:rPr>
                <w:rFonts w:hint="eastAsia" w:hAnsi="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残疾人福利性单位应符合《财政部、民政部、中国残疾人联合会关于促进残疾人就业政府采购政策的通知》（财库[2017]141号）文件规定，并提供《残疾人福利性单位声明函》。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陕西省财政厅关于印发《陕西省中小企业政府采购信用融资办法》（陕财办采〔2018〕23号）</w:t>
            </w:r>
            <w:r>
              <w:rPr>
                <w:rFonts w:hint="eastAsia" w:ascii="宋体" w:hAnsi="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63B70C0C">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20C707C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1778365"/>
      <w:bookmarkStart w:id="12" w:name="_Toc425240464"/>
      <w:bookmarkStart w:id="13" w:name="_Toc13586"/>
      <w:bookmarkStart w:id="14" w:name="_Toc526842683"/>
      <w:bookmarkStart w:id="15" w:name="_Toc420591643"/>
      <w:bookmarkStart w:id="16" w:name="_Toc246996985"/>
      <w:bookmarkStart w:id="17" w:name="_Toc123211617"/>
      <w:bookmarkStart w:id="18" w:name="_Toc179632617"/>
      <w:bookmarkStart w:id="19" w:name="_Toc397585167"/>
      <w:bookmarkStart w:id="20" w:name="_Toc246996242"/>
      <w:bookmarkStart w:id="21" w:name="_Toc18142"/>
      <w:bookmarkStart w:id="22" w:name="_Toc112236889"/>
      <w:bookmarkStart w:id="23" w:name="_Toc397585236"/>
      <w:bookmarkStart w:id="24" w:name="_Toc152045599"/>
      <w:bookmarkStart w:id="25" w:name="_Toc169940988"/>
      <w:bookmarkStart w:id="26" w:name="_Toc144974566"/>
      <w:bookmarkStart w:id="27" w:name="_Toc394320898"/>
      <w:bookmarkStart w:id="28" w:name="_Toc361406429"/>
      <w:bookmarkStart w:id="29" w:name="_Toc361406350"/>
      <w:bookmarkStart w:id="30" w:name="_Toc343511682"/>
      <w:bookmarkStart w:id="31" w:name="_Toc225592722"/>
      <w:bookmarkStart w:id="32" w:name="_Toc395711817"/>
      <w:bookmarkStart w:id="33" w:name="_Toc221523517"/>
      <w:bookmarkStart w:id="34" w:name="_Toc132684599"/>
      <w:bookmarkStart w:id="35" w:name="_Toc456197085"/>
      <w:bookmarkStart w:id="36" w:name="_Toc397410469"/>
      <w:bookmarkStart w:id="37" w:name="_Toc152042376"/>
      <w:bookmarkStart w:id="38" w:name="_Toc247085757"/>
      <w:bookmarkStart w:id="39" w:name="_Toc397410656"/>
      <w:bookmarkStart w:id="40" w:name="_Toc145989485"/>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5F74B06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25EF395F">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71D47E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3CC47B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685215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4D4EAC1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03D8D2B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7C3AE6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0AB6AA5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40D93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7FB97F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9BC815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70C4816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2F9705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7CCB4A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1D8416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62862D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78D100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6E4A67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50F963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DF66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213C1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10409F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1A3E2D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9DD99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10E31A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00E482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75CA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5FCCEE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07B44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269D62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1F7CF8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2533B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46222D7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78E991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3B52100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00A531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7314C4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2C93CA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03E6CDE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7C7385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2106844E">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33D6C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1"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41"/>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4CAA6C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2"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42"/>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1DE6E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3"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43"/>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048FCBFC">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2DEB8F70">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2F1DF529">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4A87D8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5C89BF2F">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48A72DF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4" w:name="_Toc32145"/>
      <w:bookmarkStart w:id="45" w:name="_Toc421778366"/>
      <w:bookmarkStart w:id="46" w:name="_Toc425240465"/>
      <w:bookmarkStart w:id="47" w:name="_Toc526842684"/>
      <w:bookmarkStart w:id="48" w:name="_Toc420591644"/>
      <w:r>
        <w:rPr>
          <w:rFonts w:hint="eastAsia" w:ascii="宋体" w:hAnsi="宋体" w:eastAsia="宋体" w:cs="宋体"/>
          <w:b/>
          <w:color w:val="000000" w:themeColor="text1"/>
          <w:sz w:val="28"/>
          <w:szCs w:val="28"/>
          <w14:textFill>
            <w14:solidFill>
              <w14:schemeClr w14:val="tx1"/>
            </w14:solidFill>
          </w14:textFill>
        </w:rPr>
        <w:t>2．磋商文件</w:t>
      </w:r>
      <w:bookmarkEnd w:id="44"/>
      <w:bookmarkEnd w:id="45"/>
      <w:bookmarkEnd w:id="46"/>
      <w:bookmarkEnd w:id="47"/>
      <w:bookmarkEnd w:id="48"/>
    </w:p>
    <w:p w14:paraId="6D8D4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7CDB55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330E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4CF18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765CB4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568750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15C8F1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997A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6940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866D4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38004AF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642297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49"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49"/>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471993164@qq.com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54458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745AE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5778AD0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1D5520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2FA71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0"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1DF664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51"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51"/>
    <w:p w14:paraId="10AFCF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2E0821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7139A6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1243F8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88D047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BE7C1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3A5CB4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6DF6F9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837D09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2" w:name="_Toc526842685"/>
      <w:bookmarkStart w:id="53" w:name="_Toc425240466"/>
      <w:bookmarkStart w:id="54" w:name="_Toc27230"/>
      <w:bookmarkStart w:id="55" w:name="_Toc421778367"/>
      <w:r>
        <w:rPr>
          <w:rFonts w:hint="eastAsia" w:ascii="宋体" w:hAnsi="宋体" w:eastAsia="宋体" w:cs="宋体"/>
          <w:b/>
          <w:color w:val="000000" w:themeColor="text1"/>
          <w:sz w:val="28"/>
          <w:szCs w:val="28"/>
          <w14:textFill>
            <w14:solidFill>
              <w14:schemeClr w14:val="tx1"/>
            </w14:solidFill>
          </w14:textFill>
        </w:rPr>
        <w:t>3．磋商响应文件</w:t>
      </w:r>
      <w:bookmarkEnd w:id="50"/>
      <w:bookmarkEnd w:id="52"/>
      <w:bookmarkEnd w:id="53"/>
      <w:bookmarkEnd w:id="54"/>
      <w:bookmarkEnd w:id="55"/>
    </w:p>
    <w:p w14:paraId="1CFB5AF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3B277C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2980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 响应函</w:t>
      </w:r>
    </w:p>
    <w:p w14:paraId="28B5C4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磋商一览表（一次）</w:t>
      </w:r>
    </w:p>
    <w:p w14:paraId="19023C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法定代表人身份证明</w:t>
      </w:r>
    </w:p>
    <w:p w14:paraId="22978A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 法定代表人授权委托书</w:t>
      </w:r>
    </w:p>
    <w:p w14:paraId="729673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技术方案</w:t>
      </w:r>
    </w:p>
    <w:p w14:paraId="206314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商务方案</w:t>
      </w:r>
    </w:p>
    <w:p w14:paraId="6CE6C3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 供应商承诺书</w:t>
      </w:r>
    </w:p>
    <w:p w14:paraId="2E920A49">
      <w:pPr>
        <w:spacing w:line="360" w:lineRule="auto"/>
        <w:ind w:firstLine="560"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8)陕西省政府采购供应商拒绝政府采购领域商业贿赂承诺书</w:t>
      </w:r>
    </w:p>
    <w:p w14:paraId="62C1FB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9)资格审查资料</w:t>
      </w:r>
    </w:p>
    <w:p w14:paraId="1A852D0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10)其它资料</w:t>
      </w:r>
    </w:p>
    <w:p w14:paraId="17528F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0A6CDE8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21346C9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4D0590BE">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5F4A066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6953EE0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0F0632AD">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42E1F04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372D61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35F799D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7947E2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14D067DA">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56" w:name="_Toc4322_WPSOffice_Level1"/>
      <w:bookmarkStart w:id="57"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56"/>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57"/>
    </w:p>
    <w:p w14:paraId="72E80FF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5A0E3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7907E7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743648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224AD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33806E9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713ECD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Hlk522170699"/>
      <w:bookmarkStart w:id="59"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14:paraId="30BCF4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58"/>
    <w:bookmarkEnd w:id="59"/>
    <w:p w14:paraId="598E30E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Toc343511517"/>
      <w:r>
        <w:rPr>
          <w:rFonts w:hint="eastAsia" w:ascii="宋体" w:hAnsi="宋体" w:eastAsia="宋体" w:cs="宋体"/>
          <w:color w:val="000000" w:themeColor="text1"/>
          <w:sz w:val="28"/>
          <w:szCs w:val="28"/>
          <w14:textFill>
            <w14:solidFill>
              <w14:schemeClr w14:val="tx1"/>
            </w14:solidFill>
          </w14:textFill>
        </w:rPr>
        <w:t>3.4.3</w:t>
      </w:r>
      <w:bookmarkEnd w:id="60"/>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03EC706">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68E0F4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5FAAAE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2A01EC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2CAEB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77E1E1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4D82A3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4D1A4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0422A6F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61" w:name="_Toc343511518"/>
      <w:bookmarkStart w:id="62"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6687B7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61"/>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4E6D6A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0F2B26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62"/>
    <w:bookmarkEnd w:id="63"/>
    <w:p w14:paraId="4E4DA4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9C7E4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14:paraId="55FEE5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1A601C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746CF9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79D44F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5484B7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BF2FD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3596261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334EF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7475D1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320FE2FE">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特定资格条件：</w:t>
      </w:r>
    </w:p>
    <w:p w14:paraId="4C37B38A">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具有独立承担民事责任能力的法人、其他组织或自然人，法人或其他组织提供营业执照（事业单位法人证书），自然人提供身份证明。</w:t>
      </w:r>
    </w:p>
    <w:p w14:paraId="756C105B">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cs="宋体"/>
          <w:b w:val="0"/>
          <w:bCs/>
          <w:color w:val="000000" w:themeColor="text1"/>
          <w:sz w:val="28"/>
          <w:szCs w:val="28"/>
          <w:lang w:val="en-US" w:eastAsia="zh-CN"/>
          <w14:textFill>
            <w14:solidFill>
              <w14:schemeClr w14:val="tx1"/>
            </w14:solidFill>
          </w14:textFill>
        </w:rPr>
        <w:t>提供经年检有效的“三证合一”的营业执照（附2024年度报告书）</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（2）银行开户许可证或开户行基本信息；</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（3）法定代表人授权委托书及被授权人身份证（法定代表人直接参加时，只须出示法定代表人身份证)；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（4）具备建设行政主管部门颁发的安全生产许可证；</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cs="宋体"/>
          <w:b w:val="0"/>
          <w:bCs/>
          <w:color w:val="000000" w:themeColor="text1"/>
          <w:sz w:val="28"/>
          <w:szCs w:val="28"/>
          <w:lang w:val="en-US" w:eastAsia="zh-CN"/>
          <w14:textFill>
            <w14:solidFill>
              <w14:schemeClr w14:val="tx1"/>
            </w14:solidFill>
          </w14:textFill>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（7）税收缴纳证明：</w:t>
      </w:r>
      <w:r>
        <w:rPr>
          <w:rFonts w:hint="eastAsia" w:ascii="宋体" w:hAnsi="宋体" w:cs="宋体"/>
          <w:b w:val="0"/>
          <w:bCs/>
          <w:color w:val="000000" w:themeColor="text1"/>
          <w:sz w:val="28"/>
          <w:szCs w:val="28"/>
          <w:lang w:val="en-US" w:eastAsia="zh-CN"/>
          <w14:textFill>
            <w14:solidFill>
              <w14:schemeClr w14:val="tx1"/>
            </w14:solidFill>
          </w14:textFill>
        </w:rPr>
        <w:t>提供2025年06月至今已缴纳的至少一个月的纳税证明或完税证明（不限税种），依法免税的单位应提供相关证明材料</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（8）社会保障资金缴纳证明：</w:t>
      </w:r>
      <w:r>
        <w:rPr>
          <w:rFonts w:hint="eastAsia" w:ascii="宋体" w:hAnsi="宋体" w:cs="宋体"/>
          <w:b w:val="0"/>
          <w:bCs/>
          <w:color w:val="000000" w:themeColor="text1"/>
          <w:sz w:val="28"/>
          <w:szCs w:val="28"/>
          <w:lang w:val="en-US" w:eastAsia="zh-CN"/>
          <w14:textFill>
            <w14:solidFill>
              <w14:schemeClr w14:val="tx1"/>
            </w14:solidFill>
          </w14:textFill>
        </w:rPr>
        <w:t>提供2025年06月至今已缴存至少一个月的社会保障资金缴存单据或社保机构开具的社会保险参保缴费情况证明，依法不需要缴纳社会保障资金的单位应提供相关证明材料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（10）参加政府采购活动前3年内经营活动中没有重大违法记录声明（11）</w:t>
      </w:r>
      <w:r>
        <w:rPr>
          <w:rFonts w:hint="eastAsia" w:ascii="宋体" w:hAnsi="宋体" w:cs="宋体"/>
          <w:b w:val="0"/>
          <w:bCs/>
          <w:color w:val="000000" w:themeColor="text1"/>
          <w:sz w:val="28"/>
          <w:szCs w:val="28"/>
          <w:lang w:val="en-US"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lang w:val="en-US"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br w:type="textWrapping"/>
      </w: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lang w:val="en-US" w:eastAsia="zh-CN"/>
          <w14:textFill>
            <w14:solidFill>
              <w14:schemeClr w14:val="tx1"/>
            </w14:solidFill>
          </w14:textFill>
        </w:rPr>
        <w:t>）本项目不接受联合体磋商。</w:t>
      </w:r>
    </w:p>
    <w:p w14:paraId="52C7F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6ACB4F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E9EEDD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2FCF4C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420591646"/>
      <w:bookmarkStart w:id="65" w:name="_Toc425240467"/>
      <w:bookmarkStart w:id="66" w:name="_Toc526842686"/>
      <w:bookmarkStart w:id="67" w:name="_Toc20940"/>
      <w:bookmarkStart w:id="68" w:name="_Toc421778368"/>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669B77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0C94DE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2AF347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3EFFA2A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9"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41E3BF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65907A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B963FF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69"/>
    <w:p w14:paraId="4CF1063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64"/>
      <w:bookmarkEnd w:id="65"/>
      <w:bookmarkEnd w:id="66"/>
      <w:bookmarkEnd w:id="67"/>
      <w:bookmarkEnd w:id="68"/>
    </w:p>
    <w:p w14:paraId="58EFCCBF">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0" w:name="_Toc526842688"/>
      <w:bookmarkStart w:id="71" w:name="_Toc420591648"/>
      <w:bookmarkStart w:id="72" w:name="_Toc15987"/>
      <w:bookmarkStart w:id="73" w:name="_Toc425240469"/>
      <w:bookmarkStart w:id="74" w:name="_Toc421778370"/>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17F77B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75"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75"/>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10EF5E5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76"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76"/>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1481FA2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556BEB6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7FD33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66A7F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4FF810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5001F5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77" w:name="_Hlk522174718"/>
      <w:r>
        <w:rPr>
          <w:rFonts w:hint="eastAsia" w:ascii="宋体" w:hAnsi="宋体" w:eastAsia="宋体" w:cs="宋体"/>
          <w:color w:val="000000"/>
          <w:sz w:val="28"/>
          <w:szCs w:val="28"/>
        </w:rPr>
        <w:t>采购人收到磋商响应文件后，供应商须登记填写《响应文件递交登记表》。</w:t>
      </w:r>
    </w:p>
    <w:p w14:paraId="0681D585">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48661102">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45A78849">
      <w:pPr>
        <w:pStyle w:val="3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77"/>
    <w:p w14:paraId="60B07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2F0B5C9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4CD9361D">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7B731F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382113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0888C8E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B878FC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8" w:name="_Toc421778369"/>
      <w:bookmarkStart w:id="79" w:name="_Toc526842687"/>
      <w:bookmarkStart w:id="80" w:name="_Toc420591647"/>
      <w:bookmarkStart w:id="81" w:name="_Toc425240468"/>
      <w:bookmarkStart w:id="82" w:name="_Toc20463"/>
      <w:r>
        <w:rPr>
          <w:rFonts w:hint="eastAsia" w:ascii="宋体" w:hAnsi="宋体" w:eastAsia="宋体" w:cs="宋体"/>
          <w:b w:val="0"/>
          <w:bCs/>
          <w:color w:val="000000" w:themeColor="text1"/>
          <w:sz w:val="28"/>
          <w:szCs w:val="28"/>
          <w14:textFill>
            <w14:solidFill>
              <w14:schemeClr w14:val="tx1"/>
            </w14:solidFill>
          </w14:textFill>
        </w:rPr>
        <w:t>5．磋商</w:t>
      </w:r>
      <w:bookmarkEnd w:id="78"/>
      <w:bookmarkEnd w:id="79"/>
      <w:bookmarkEnd w:id="80"/>
      <w:bookmarkEnd w:id="81"/>
      <w:bookmarkEnd w:id="82"/>
    </w:p>
    <w:p w14:paraId="7A8BE7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4B626D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83"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3E00B4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83"/>
    <w:p w14:paraId="4C95B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0BEA8C3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14948E6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213294D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49C5C7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56D105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1CFE6C0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32D512C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E57C4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E55AA1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4D71033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0D1F2A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第二次磋商报价，并作为成交价格，参与综合比较与评价。</w:t>
      </w:r>
    </w:p>
    <w:p w14:paraId="4153532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F7F7C1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70"/>
      <w:bookmarkEnd w:id="71"/>
      <w:bookmarkEnd w:id="72"/>
      <w:bookmarkEnd w:id="73"/>
      <w:bookmarkEnd w:id="74"/>
    </w:p>
    <w:p w14:paraId="009485B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744B4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193C3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0C201C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03DCBE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294A23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1CA64F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239E9BB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4E58EC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086AE36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4C695E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632AA3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4" w:name="_Toc425240470"/>
      <w:bookmarkStart w:id="85" w:name="_Toc421778371"/>
      <w:bookmarkStart w:id="86" w:name="_Toc420591649"/>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127DD8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0DC1D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2D112E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5916CA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70D7C3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056698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72C63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56C640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E257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7"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68FCD4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213AD6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7B5640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77E32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9BB00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4CD444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4CB19A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42D8E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62051B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257E11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6EFDD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09F56F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4C4D470A">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234F3AC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51A1F0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5846C3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165404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440AD0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136AB4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24174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8848C7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EDEFB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52151F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340C87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269372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0945C5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2B29F43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87"/>
    </w:p>
    <w:p w14:paraId="2D216B4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8" w:name="_Toc526842689"/>
      <w:bookmarkStart w:id="89" w:name="_Toc26000"/>
      <w:r>
        <w:rPr>
          <w:rFonts w:hint="eastAsia" w:ascii="宋体" w:hAnsi="宋体" w:eastAsia="宋体" w:cs="宋体"/>
          <w:b/>
          <w:color w:val="000000" w:themeColor="text1"/>
          <w:sz w:val="28"/>
          <w:szCs w:val="28"/>
          <w14:textFill>
            <w14:solidFill>
              <w14:schemeClr w14:val="tx1"/>
            </w14:solidFill>
          </w14:textFill>
        </w:rPr>
        <w:t>7．合同授予</w:t>
      </w:r>
      <w:bookmarkEnd w:id="84"/>
      <w:bookmarkEnd w:id="85"/>
      <w:bookmarkEnd w:id="86"/>
      <w:bookmarkEnd w:id="88"/>
      <w:bookmarkEnd w:id="89"/>
    </w:p>
    <w:p w14:paraId="2BFD14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0EC166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0"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01C4E9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0ABEC3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1098E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44FFE9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90"/>
    <w:p w14:paraId="3812A1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7BD32A5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1"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32B461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69D684D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222672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0DD3B1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91"/>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14:paraId="09211D3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68337B3">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。中标或成交供应商合同主要义务履行完毕后，采购人或采购代理机构应按照合同约定及时退还。</w:t>
      </w:r>
    </w:p>
    <w:p w14:paraId="25C6C57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E909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2"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2297F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92"/>
    <w:p w14:paraId="479DC3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7CD639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3" w:name="_Toc420591650"/>
      <w:bookmarkStart w:id="94" w:name="_Toc526842690"/>
      <w:bookmarkStart w:id="95" w:name="_Toc20459"/>
      <w:bookmarkStart w:id="96" w:name="_Toc421778372"/>
      <w:bookmarkStart w:id="97" w:name="_Toc425240471"/>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98"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70A73B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98"/>
    <w:p w14:paraId="07D0D4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AF250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14:paraId="5C74C3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464C717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5F31177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1A7A0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9"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E53DE8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407B84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7E5550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99"/>
    <w:p w14:paraId="4355C52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93"/>
      <w:bookmarkEnd w:id="94"/>
      <w:bookmarkEnd w:id="95"/>
      <w:bookmarkEnd w:id="96"/>
      <w:bookmarkEnd w:id="97"/>
    </w:p>
    <w:p w14:paraId="4194D7B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007232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7EC2CF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83AE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8F51BC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7D1240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FFF467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0" w:name="_Toc2742"/>
      <w:bookmarkStart w:id="101" w:name="_Toc425240472"/>
      <w:bookmarkStart w:id="102" w:name="_Toc421778373"/>
      <w:bookmarkStart w:id="103" w:name="_Toc420591651"/>
      <w:bookmarkStart w:id="104" w:name="_Toc526842691"/>
      <w:r>
        <w:rPr>
          <w:rFonts w:hint="eastAsia" w:ascii="宋体" w:hAnsi="宋体" w:eastAsia="宋体" w:cs="宋体"/>
          <w:b/>
          <w:color w:val="000000" w:themeColor="text1"/>
          <w:sz w:val="28"/>
          <w:szCs w:val="28"/>
          <w14:textFill>
            <w14:solidFill>
              <w14:schemeClr w14:val="tx1"/>
            </w14:solidFill>
          </w14:textFill>
        </w:rPr>
        <w:t>9．纪律和监督</w:t>
      </w:r>
      <w:bookmarkEnd w:id="100"/>
      <w:bookmarkEnd w:id="101"/>
      <w:bookmarkEnd w:id="102"/>
      <w:bookmarkEnd w:id="103"/>
      <w:bookmarkEnd w:id="104"/>
    </w:p>
    <w:p w14:paraId="5540828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1A4224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2709717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56D2E9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09F22D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78949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433C24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66306C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6025AF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3F8DF8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265C1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252C9F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91C79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57FDD2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68BE71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08FA06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165A0C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274308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226A5B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4A9574B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01FF99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E0594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078381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41EEC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1E8CE14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A8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7D6628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2B77A3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3FE713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71D445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4E9321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289ED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098A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8FA3A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99554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718FD7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741E6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0C336B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00334F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20722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43168E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545652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54416E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0672C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1E829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1C7B43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7450E3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9CCF1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7D757B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B7C51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396A47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163C1C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398646F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40DF91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59FA3E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73EB4E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49FFF0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28705B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31747A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63198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361EF4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782478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05ADAF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033160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21C15F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5C94246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D0572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62C27F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21EE51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45A7CC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151ADF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87A78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17E088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368CA4D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099EE3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C40F9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6D79E5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54EDDF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2551486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834E7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5"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5560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436626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6476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81D9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4CE55B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096E42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51C4F1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06ECCB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105"/>
    </w:p>
    <w:p w14:paraId="68A870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6A8C30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49FC35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14DD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34248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4AF78D5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FF240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677AA80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5CF4C1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BFDBF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BD2A4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4317E0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5D3C2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095819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71FD67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67D61B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21C478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3DB70F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3783F2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34187B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3E57A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2B4D11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214C8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2D1E4D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E64F3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8D51B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326590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6DCC74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A2E9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A7278F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19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0A8804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76A189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0E6691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7EDB89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DBB86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63CF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539FD0B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3B412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73D14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42237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39C5E767">
      <w:pPr>
        <w:rPr>
          <w:rFonts w:hint="eastAsia" w:ascii="宋体" w:hAnsi="宋体" w:eastAsia="宋体" w:cs="宋体"/>
          <w:b/>
          <w:color w:val="000000" w:themeColor="text1"/>
          <w:sz w:val="28"/>
          <w:szCs w:val="28"/>
          <w14:textFill>
            <w14:solidFill>
              <w14:schemeClr w14:val="tx1"/>
            </w14:solidFill>
          </w14:textFill>
        </w:rPr>
      </w:pPr>
    </w:p>
    <w:p w14:paraId="1CC80E12">
      <w:pPr>
        <w:rPr>
          <w:rFonts w:hint="eastAsia" w:ascii="宋体" w:hAnsi="宋体" w:eastAsia="宋体" w:cs="宋体"/>
          <w:b/>
          <w:color w:val="000000" w:themeColor="text1"/>
          <w:sz w:val="28"/>
          <w:szCs w:val="28"/>
          <w14:textFill>
            <w14:solidFill>
              <w14:schemeClr w14:val="tx1"/>
            </w14:solidFill>
          </w14:textFill>
        </w:rPr>
      </w:pPr>
    </w:p>
    <w:p w14:paraId="5E41A039">
      <w:pPr>
        <w:rPr>
          <w:rFonts w:hint="eastAsia" w:ascii="宋体" w:hAnsi="宋体" w:eastAsia="宋体" w:cs="宋体"/>
          <w:b/>
          <w:color w:val="000000" w:themeColor="text1"/>
          <w:sz w:val="28"/>
          <w:szCs w:val="28"/>
          <w14:textFill>
            <w14:solidFill>
              <w14:schemeClr w14:val="tx1"/>
            </w14:solidFill>
          </w14:textFill>
        </w:rPr>
      </w:pPr>
    </w:p>
    <w:p w14:paraId="29742A17">
      <w:pPr>
        <w:rPr>
          <w:rFonts w:hint="eastAsia" w:ascii="宋体" w:hAnsi="宋体" w:eastAsia="宋体" w:cs="宋体"/>
          <w:b/>
          <w:color w:val="000000" w:themeColor="text1"/>
          <w:sz w:val="28"/>
          <w:szCs w:val="28"/>
          <w14:textFill>
            <w14:solidFill>
              <w14:schemeClr w14:val="tx1"/>
            </w14:solidFill>
          </w14:textFill>
        </w:rPr>
      </w:pPr>
    </w:p>
    <w:p w14:paraId="2670E867">
      <w:pPr>
        <w:rPr>
          <w:rFonts w:hint="eastAsia" w:ascii="宋体" w:hAnsi="宋体" w:eastAsia="宋体" w:cs="宋体"/>
          <w:b/>
          <w:color w:val="000000" w:themeColor="text1"/>
          <w:sz w:val="28"/>
          <w:szCs w:val="28"/>
          <w14:textFill>
            <w14:solidFill>
              <w14:schemeClr w14:val="tx1"/>
            </w14:solidFill>
          </w14:textFill>
        </w:rPr>
      </w:pPr>
    </w:p>
    <w:p w14:paraId="0481254A">
      <w:pPr>
        <w:rPr>
          <w:rFonts w:hint="eastAsia" w:ascii="宋体" w:hAnsi="宋体" w:eastAsia="宋体" w:cs="宋体"/>
          <w:b/>
          <w:color w:val="000000" w:themeColor="text1"/>
          <w:sz w:val="28"/>
          <w:szCs w:val="28"/>
          <w14:textFill>
            <w14:solidFill>
              <w14:schemeClr w14:val="tx1"/>
            </w14:solidFill>
          </w14:textFill>
        </w:rPr>
      </w:pPr>
    </w:p>
    <w:p w14:paraId="23EA6801">
      <w:pPr>
        <w:pStyle w:val="44"/>
        <w:rPr>
          <w:rFonts w:hint="eastAsia" w:ascii="宋体" w:hAnsi="宋体" w:eastAsia="宋体" w:cs="宋体"/>
          <w:b/>
          <w:color w:val="000000" w:themeColor="text1"/>
          <w:sz w:val="28"/>
          <w:szCs w:val="28"/>
          <w14:textFill>
            <w14:solidFill>
              <w14:schemeClr w14:val="tx1"/>
            </w14:solidFill>
          </w14:textFill>
        </w:rPr>
      </w:pPr>
    </w:p>
    <w:p w14:paraId="40444DB8">
      <w:pPr>
        <w:pStyle w:val="44"/>
        <w:rPr>
          <w:rFonts w:hint="eastAsia" w:ascii="宋体" w:hAnsi="宋体" w:eastAsia="宋体" w:cs="宋体"/>
          <w:b/>
          <w:color w:val="000000" w:themeColor="text1"/>
          <w:sz w:val="28"/>
          <w:szCs w:val="28"/>
          <w14:textFill>
            <w14:solidFill>
              <w14:schemeClr w14:val="tx1"/>
            </w14:solidFill>
          </w14:textFill>
        </w:rPr>
      </w:pPr>
    </w:p>
    <w:p w14:paraId="07FCC416">
      <w:pPr>
        <w:pStyle w:val="44"/>
        <w:rPr>
          <w:rFonts w:hint="eastAsia" w:ascii="宋体" w:hAnsi="宋体" w:eastAsia="宋体" w:cs="宋体"/>
          <w:b/>
          <w:color w:val="000000" w:themeColor="text1"/>
          <w:sz w:val="28"/>
          <w:szCs w:val="28"/>
          <w14:textFill>
            <w14:solidFill>
              <w14:schemeClr w14:val="tx1"/>
            </w14:solidFill>
          </w14:textFill>
        </w:rPr>
      </w:pPr>
    </w:p>
    <w:p w14:paraId="0112D9DD">
      <w:pPr>
        <w:pStyle w:val="44"/>
        <w:rPr>
          <w:rFonts w:hint="eastAsia" w:ascii="宋体" w:hAnsi="宋体" w:eastAsia="宋体" w:cs="宋体"/>
          <w:b/>
          <w:color w:val="000000" w:themeColor="text1"/>
          <w:sz w:val="28"/>
          <w:szCs w:val="28"/>
          <w14:textFill>
            <w14:solidFill>
              <w14:schemeClr w14:val="tx1"/>
            </w14:solidFill>
          </w14:textFill>
        </w:rPr>
      </w:pPr>
    </w:p>
    <w:p w14:paraId="69627DE9">
      <w:pPr>
        <w:pStyle w:val="44"/>
        <w:rPr>
          <w:rFonts w:hint="eastAsia" w:ascii="宋体" w:hAnsi="宋体" w:eastAsia="宋体" w:cs="宋体"/>
          <w:b/>
          <w:color w:val="000000" w:themeColor="text1"/>
          <w:sz w:val="28"/>
          <w:szCs w:val="28"/>
          <w14:textFill>
            <w14:solidFill>
              <w14:schemeClr w14:val="tx1"/>
            </w14:solidFill>
          </w14:textFill>
        </w:rPr>
      </w:pPr>
    </w:p>
    <w:p w14:paraId="20484718">
      <w:pPr>
        <w:pStyle w:val="44"/>
        <w:rPr>
          <w:rFonts w:hint="eastAsia" w:ascii="宋体" w:hAnsi="宋体" w:eastAsia="宋体" w:cs="宋体"/>
          <w:b/>
          <w:color w:val="000000" w:themeColor="text1"/>
          <w:sz w:val="28"/>
          <w:szCs w:val="28"/>
          <w14:textFill>
            <w14:solidFill>
              <w14:schemeClr w14:val="tx1"/>
            </w14:solidFill>
          </w14:textFill>
        </w:rPr>
      </w:pPr>
    </w:p>
    <w:p w14:paraId="2CBBA90F">
      <w:pPr>
        <w:pStyle w:val="44"/>
        <w:rPr>
          <w:rFonts w:hint="eastAsia" w:ascii="宋体" w:hAnsi="宋体" w:eastAsia="宋体" w:cs="宋体"/>
          <w:b/>
          <w:color w:val="000000" w:themeColor="text1"/>
          <w:sz w:val="28"/>
          <w:szCs w:val="28"/>
          <w14:textFill>
            <w14:solidFill>
              <w14:schemeClr w14:val="tx1"/>
            </w14:solidFill>
          </w14:textFill>
        </w:rPr>
      </w:pPr>
    </w:p>
    <w:p w14:paraId="3CDE9BD3">
      <w:pPr>
        <w:rPr>
          <w:rFonts w:hint="eastAsia" w:ascii="宋体" w:hAnsi="宋体" w:eastAsia="宋体" w:cs="宋体"/>
          <w:b/>
          <w:color w:val="000000" w:themeColor="text1"/>
          <w:sz w:val="28"/>
          <w:szCs w:val="28"/>
          <w14:textFill>
            <w14:solidFill>
              <w14:schemeClr w14:val="tx1"/>
            </w14:solidFill>
          </w14:textFill>
        </w:rPr>
      </w:pPr>
    </w:p>
    <w:p w14:paraId="5406082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1CCAB2A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7293A8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6950A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E6EEF0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C0FB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1DA5D95">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4D3D7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2476A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04C3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A59932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BD1595">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DBE6A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3A08A3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A5F37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2B8CD2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28BD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704D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A8C39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666D65F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85D2C7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5C21E9C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91DAE3">
      <w:pPr>
        <w:spacing w:line="360" w:lineRule="auto"/>
        <w:rPr>
          <w:rFonts w:hint="eastAsia" w:ascii="宋体" w:hAnsi="宋体" w:eastAsia="宋体" w:cs="宋体"/>
          <w:color w:val="000000" w:themeColor="text1"/>
          <w:sz w:val="28"/>
          <w:szCs w:val="28"/>
          <w14:textFill>
            <w14:solidFill>
              <w14:schemeClr w14:val="tx1"/>
            </w14:solidFill>
          </w14:textFill>
        </w:rPr>
      </w:pPr>
    </w:p>
    <w:p w14:paraId="7ACFD41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0FB75A0">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3BB0582E">
      <w:pPr>
        <w:spacing w:line="360" w:lineRule="auto"/>
        <w:rPr>
          <w:rFonts w:hint="eastAsia" w:ascii="宋体" w:hAnsi="宋体" w:eastAsia="宋体" w:cs="宋体"/>
          <w:b/>
          <w:color w:val="000000" w:themeColor="text1"/>
          <w:sz w:val="28"/>
          <w:szCs w:val="28"/>
          <w14:textFill>
            <w14:solidFill>
              <w14:schemeClr w14:val="tx1"/>
            </w14:solidFill>
          </w14:textFill>
        </w:rPr>
      </w:pPr>
    </w:p>
    <w:p w14:paraId="67BB9A4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162CB21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72ADBEA6">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03CD4CE1">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0B643E0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75D9828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3012EB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C59A5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099FB25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1A0ADD9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12DF191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7758E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38563E">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879A47">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AD94F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6F0DB9">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1F4624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992D90D">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D54E0A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81828D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5575572">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EF7DA2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50ACA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BA46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6E50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52C9D01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D0BDB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3540A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2D395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96F1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9D13B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1F60B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53646D83">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84D6F6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6257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44EA7447">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1FE10F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9A1A2B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F0592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F6BE35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76391B7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7C3EBA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BFD0C2">
      <w:pPr>
        <w:spacing w:line="360" w:lineRule="auto"/>
        <w:rPr>
          <w:rFonts w:hint="eastAsia" w:ascii="宋体" w:hAnsi="宋体" w:eastAsia="宋体" w:cs="宋体"/>
          <w:color w:val="000000" w:themeColor="text1"/>
          <w:sz w:val="28"/>
          <w:szCs w:val="28"/>
          <w14:textFill>
            <w14:solidFill>
              <w14:schemeClr w14:val="tx1"/>
            </w14:solidFill>
          </w14:textFill>
        </w:rPr>
      </w:pPr>
    </w:p>
    <w:p w14:paraId="591910F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2561C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52767EB">
      <w:pPr>
        <w:spacing w:line="360" w:lineRule="auto"/>
        <w:rPr>
          <w:rFonts w:hint="eastAsia" w:ascii="宋体" w:hAnsi="宋体" w:eastAsia="宋体" w:cs="宋体"/>
          <w:b/>
          <w:color w:val="000000" w:themeColor="text1"/>
          <w:sz w:val="28"/>
          <w:szCs w:val="28"/>
          <w14:textFill>
            <w14:solidFill>
              <w14:schemeClr w14:val="tx1"/>
            </w14:solidFill>
          </w14:textFill>
        </w:rPr>
      </w:pPr>
    </w:p>
    <w:p w14:paraId="6B835B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0C39BD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2BD567D0">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2E21A24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BD9C76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3C0FB7F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60C1272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6566CC9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435FC0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E77B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2482804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06" w:name="_Toc25074"/>
      <w:bookmarkStart w:id="107" w:name="_Toc526842692"/>
      <w:bookmarkStart w:id="108" w:name="_Toc420591652"/>
      <w:bookmarkStart w:id="109" w:name="_Toc425240473"/>
      <w:bookmarkStart w:id="110"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106"/>
      <w:bookmarkEnd w:id="107"/>
      <w:bookmarkStart w:id="111" w:name="_Toc356305901"/>
    </w:p>
    <w:bookmarkEnd w:id="108"/>
    <w:bookmarkEnd w:id="109"/>
    <w:bookmarkEnd w:id="110"/>
    <w:bookmarkEnd w:id="111"/>
    <w:p w14:paraId="060E34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112"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112"/>
    <w:p w14:paraId="008BBCE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113"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113"/>
      <w:r>
        <w:rPr>
          <w:rFonts w:hint="eastAsia" w:ascii="宋体" w:hAnsi="宋体" w:eastAsia="宋体" w:cs="宋体"/>
          <w:b/>
          <w:color w:val="000000" w:themeColor="text1"/>
          <w:sz w:val="28"/>
          <w:szCs w:val="28"/>
          <w14:textFill>
            <w14:solidFill>
              <w14:schemeClr w14:val="tx1"/>
            </w14:solidFill>
          </w14:textFill>
        </w:rPr>
        <w:t>--财库〔2015〕124号</w:t>
      </w:r>
    </w:p>
    <w:p w14:paraId="7F77F9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C342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290602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3B4FEC3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E313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6CC3CF4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61699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371A8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53116E8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0E9FA6B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006C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1986CF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61450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2CB96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78415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7D3C24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25B55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68AB3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9840D7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981BE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B497B13">
      <w:pPr>
        <w:pStyle w:val="2"/>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114" w:name="_Toc421778376"/>
      <w:bookmarkStart w:id="115" w:name="_Toc9686"/>
      <w:r>
        <w:rPr>
          <w:rFonts w:hint="eastAsia" w:ascii="宋体" w:hAnsi="宋体" w:eastAsia="宋体" w:cs="宋体"/>
          <w:color w:val="000000" w:themeColor="text1"/>
          <w:sz w:val="32"/>
          <w:szCs w:val="32"/>
          <w14:textFill>
            <w14:solidFill>
              <w14:schemeClr w14:val="tx1"/>
            </w14:solidFill>
          </w14:textFill>
        </w:rPr>
        <w:t>评标办法</w:t>
      </w:r>
      <w:bookmarkEnd w:id="114"/>
      <w:bookmarkEnd w:id="115"/>
    </w:p>
    <w:p w14:paraId="0BEF07F5">
      <w:pPr>
        <w:pStyle w:val="3"/>
        <w:spacing w:before="0" w:after="0" w:line="360" w:lineRule="auto"/>
        <w:jc w:val="center"/>
        <w:rPr>
          <w:rFonts w:hint="eastAsia"/>
          <w:highlight w:val="yellow"/>
        </w:rPr>
      </w:pPr>
      <w:bookmarkStart w:id="116"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116"/>
    </w:p>
    <w:tbl>
      <w:tblPr>
        <w:tblStyle w:val="35"/>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543"/>
        <w:gridCol w:w="6182"/>
      </w:tblGrid>
      <w:tr w14:paraId="7AE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4F47DFE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7" w:name="_Toc343511683"/>
            <w:r>
              <w:rPr>
                <w:rFonts w:hint="eastAsia" w:ascii="宋体" w:hAnsi="宋体" w:eastAsia="宋体" w:cs="宋体"/>
                <w:b/>
                <w:color w:val="000000" w:themeColor="text1"/>
                <w:sz w:val="28"/>
                <w:szCs w:val="28"/>
                <w14:textFill>
                  <w14:solidFill>
                    <w14:schemeClr w14:val="tx1"/>
                  </w14:solidFill>
                </w14:textFill>
              </w:rPr>
              <w:t>条款号</w:t>
            </w:r>
            <w:bookmarkEnd w:id="117"/>
          </w:p>
        </w:tc>
        <w:tc>
          <w:tcPr>
            <w:tcW w:w="2543" w:type="dxa"/>
            <w:vAlign w:val="center"/>
          </w:tcPr>
          <w:p w14:paraId="33DB4BA9">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8" w:name="_Toc343511684"/>
            <w:r>
              <w:rPr>
                <w:rFonts w:hint="eastAsia" w:ascii="宋体" w:hAnsi="宋体" w:eastAsia="宋体" w:cs="宋体"/>
                <w:b/>
                <w:color w:val="000000" w:themeColor="text1"/>
                <w:sz w:val="28"/>
                <w:szCs w:val="28"/>
                <w14:textFill>
                  <w14:solidFill>
                    <w14:schemeClr w14:val="tx1"/>
                  </w14:solidFill>
                </w14:textFill>
              </w:rPr>
              <w:t>评审因素</w:t>
            </w:r>
            <w:bookmarkEnd w:id="118"/>
          </w:p>
        </w:tc>
        <w:tc>
          <w:tcPr>
            <w:tcW w:w="6182" w:type="dxa"/>
            <w:vAlign w:val="center"/>
          </w:tcPr>
          <w:p w14:paraId="7073300B">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9" w:name="_Toc343511685"/>
            <w:r>
              <w:rPr>
                <w:rFonts w:hint="eastAsia" w:ascii="宋体" w:hAnsi="宋体" w:eastAsia="宋体" w:cs="宋体"/>
                <w:b/>
                <w:color w:val="000000" w:themeColor="text1"/>
                <w:sz w:val="28"/>
                <w:szCs w:val="28"/>
                <w14:textFill>
                  <w14:solidFill>
                    <w14:schemeClr w14:val="tx1"/>
                  </w14:solidFill>
                </w14:textFill>
              </w:rPr>
              <w:t>评审标准</w:t>
            </w:r>
            <w:bookmarkEnd w:id="119"/>
          </w:p>
        </w:tc>
      </w:tr>
      <w:tr w14:paraId="6FD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66BCE5A0">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680" w:type="dxa"/>
            <w:vAlign w:val="center"/>
          </w:tcPr>
          <w:p w14:paraId="10C4CAA6">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14:paraId="0B58A4E1">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543" w:type="dxa"/>
            <w:vAlign w:val="center"/>
          </w:tcPr>
          <w:p w14:paraId="3AB954D6">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182" w:type="dxa"/>
            <w:vAlign w:val="center"/>
          </w:tcPr>
          <w:p w14:paraId="0C4ADDA7">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14:paraId="4D3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5C7B2E5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0" w:name="_Toc343511686"/>
            <w:r>
              <w:rPr>
                <w:rFonts w:hint="eastAsia" w:ascii="宋体" w:hAnsi="宋体" w:eastAsia="宋体" w:cs="宋体"/>
                <w:color w:val="000000" w:themeColor="text1"/>
                <w:sz w:val="28"/>
                <w:szCs w:val="28"/>
                <w14:textFill>
                  <w14:solidFill>
                    <w14:schemeClr w14:val="tx1"/>
                  </w14:solidFill>
                </w14:textFill>
              </w:rPr>
              <w:t>2.1.1</w:t>
            </w:r>
            <w:bookmarkEnd w:id="120"/>
          </w:p>
        </w:tc>
        <w:tc>
          <w:tcPr>
            <w:tcW w:w="680" w:type="dxa"/>
            <w:vMerge w:val="restart"/>
            <w:vAlign w:val="center"/>
          </w:tcPr>
          <w:p w14:paraId="01F81C7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1" w:name="_Toc343511687"/>
            <w:r>
              <w:rPr>
                <w:rFonts w:hint="eastAsia" w:ascii="宋体" w:hAnsi="宋体" w:eastAsia="宋体" w:cs="宋体"/>
                <w:color w:val="000000" w:themeColor="text1"/>
                <w:sz w:val="28"/>
                <w:szCs w:val="28"/>
                <w14:textFill>
                  <w14:solidFill>
                    <w14:schemeClr w14:val="tx1"/>
                  </w14:solidFill>
                </w14:textFill>
              </w:rPr>
              <w:t>形式</w:t>
            </w:r>
          </w:p>
          <w:p w14:paraId="560C867E">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14:paraId="0C34E52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1"/>
          </w:p>
        </w:tc>
        <w:tc>
          <w:tcPr>
            <w:tcW w:w="2543" w:type="dxa"/>
            <w:vAlign w:val="center"/>
          </w:tcPr>
          <w:p w14:paraId="3237BD9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2" w:name="_Toc343511688"/>
            <w:r>
              <w:rPr>
                <w:rFonts w:hint="eastAsia" w:ascii="宋体" w:hAnsi="宋体" w:eastAsia="宋体" w:cs="宋体"/>
                <w:color w:val="000000" w:themeColor="text1"/>
                <w:sz w:val="28"/>
                <w:szCs w:val="28"/>
                <w14:textFill>
                  <w14:solidFill>
                    <w14:schemeClr w14:val="tx1"/>
                  </w14:solidFill>
                </w14:textFill>
              </w:rPr>
              <w:t>供应商名称</w:t>
            </w:r>
            <w:bookmarkEnd w:id="122"/>
          </w:p>
        </w:tc>
        <w:tc>
          <w:tcPr>
            <w:tcW w:w="6182" w:type="dxa"/>
            <w:vAlign w:val="center"/>
          </w:tcPr>
          <w:p w14:paraId="28519BC7">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3" w:name="_Toc343511689"/>
            <w:r>
              <w:rPr>
                <w:rFonts w:hint="eastAsia"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lang w:eastAsia="zh-CN"/>
                <w14:textFill>
                  <w14:solidFill>
                    <w14:schemeClr w14:val="tx1"/>
                  </w14:solidFill>
                </w14:textFill>
              </w:rPr>
              <w:t>营业执照</w:t>
            </w:r>
            <w:r>
              <w:rPr>
                <w:rFonts w:hint="eastAsia" w:ascii="宋体" w:hAnsi="宋体" w:eastAsia="宋体" w:cs="宋体"/>
                <w:color w:val="000000" w:themeColor="text1"/>
                <w:sz w:val="28"/>
                <w:szCs w:val="28"/>
                <w14:textFill>
                  <w14:solidFill>
                    <w14:schemeClr w14:val="tx1"/>
                  </w14:solidFill>
                </w14:textFill>
              </w:rPr>
              <w:t>、资质证书、安全生产许可证一致</w:t>
            </w:r>
            <w:bookmarkEnd w:id="123"/>
          </w:p>
        </w:tc>
      </w:tr>
      <w:tr w14:paraId="7A6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6F0D451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BFBF1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297EC9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4"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4"/>
          </w:p>
        </w:tc>
        <w:tc>
          <w:tcPr>
            <w:tcW w:w="6182" w:type="dxa"/>
            <w:vAlign w:val="center"/>
          </w:tcPr>
          <w:p w14:paraId="5721C733">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14:paraId="19F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4AD570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7B7523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2380A7D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5"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5"/>
          </w:p>
        </w:tc>
        <w:tc>
          <w:tcPr>
            <w:tcW w:w="6182" w:type="dxa"/>
            <w:vAlign w:val="center"/>
          </w:tcPr>
          <w:p w14:paraId="3447E84E">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6"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6"/>
          </w:p>
        </w:tc>
      </w:tr>
      <w:tr w14:paraId="5F7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2" w:type="dxa"/>
            <w:vMerge w:val="continue"/>
            <w:vAlign w:val="center"/>
          </w:tcPr>
          <w:p w14:paraId="6BD56B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8D03220">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AE24A92">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694"/>
            <w:r>
              <w:rPr>
                <w:rFonts w:hint="eastAsia" w:ascii="宋体" w:hAnsi="宋体" w:eastAsia="宋体" w:cs="宋体"/>
                <w:color w:val="000000" w:themeColor="text1"/>
                <w:sz w:val="28"/>
                <w:szCs w:val="28"/>
                <w14:textFill>
                  <w14:solidFill>
                    <w14:schemeClr w14:val="tx1"/>
                  </w14:solidFill>
                </w14:textFill>
              </w:rPr>
              <w:t>报价唯一</w:t>
            </w:r>
            <w:bookmarkEnd w:id="127"/>
          </w:p>
        </w:tc>
        <w:tc>
          <w:tcPr>
            <w:tcW w:w="6182" w:type="dxa"/>
            <w:vAlign w:val="center"/>
          </w:tcPr>
          <w:p w14:paraId="434359D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8"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28"/>
          </w:p>
        </w:tc>
      </w:tr>
      <w:tr w14:paraId="72C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159B59A3">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710"/>
            <w:r>
              <w:rPr>
                <w:rFonts w:hint="eastAsia" w:ascii="宋体" w:hAnsi="宋体" w:eastAsia="宋体" w:cs="宋体"/>
                <w:color w:val="000000" w:themeColor="text1"/>
                <w:sz w:val="28"/>
                <w:szCs w:val="28"/>
                <w14:textFill>
                  <w14:solidFill>
                    <w14:schemeClr w14:val="tx1"/>
                  </w14:solidFill>
                </w14:textFill>
              </w:rPr>
              <w:t>2.1.</w:t>
            </w:r>
            <w:bookmarkEnd w:id="129"/>
            <w:r>
              <w:rPr>
                <w:rFonts w:hint="eastAsia" w:ascii="宋体" w:hAnsi="宋体" w:eastAsia="宋体" w:cs="宋体"/>
                <w:color w:val="000000" w:themeColor="text1"/>
                <w:sz w:val="28"/>
                <w:szCs w:val="28"/>
                <w14:textFill>
                  <w14:solidFill>
                    <w14:schemeClr w14:val="tx1"/>
                  </w14:solidFill>
                </w14:textFill>
              </w:rPr>
              <w:t>2</w:t>
            </w:r>
          </w:p>
        </w:tc>
        <w:tc>
          <w:tcPr>
            <w:tcW w:w="680" w:type="dxa"/>
            <w:vMerge w:val="restart"/>
            <w:vAlign w:val="center"/>
          </w:tcPr>
          <w:p w14:paraId="62D7A0B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0" w:name="_Toc343511711"/>
            <w:r>
              <w:rPr>
                <w:rFonts w:hint="eastAsia" w:ascii="宋体" w:hAnsi="宋体" w:eastAsia="宋体" w:cs="宋体"/>
                <w:color w:val="000000" w:themeColor="text1"/>
                <w:sz w:val="28"/>
                <w:szCs w:val="28"/>
                <w14:textFill>
                  <w14:solidFill>
                    <w14:schemeClr w14:val="tx1"/>
                  </w14:solidFill>
                </w14:textFill>
              </w:rPr>
              <w:t>响应性</w:t>
            </w:r>
            <w:bookmarkEnd w:id="130"/>
          </w:p>
          <w:p w14:paraId="35ADA705">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2"/>
            <w:r>
              <w:rPr>
                <w:rFonts w:hint="eastAsia" w:ascii="宋体" w:hAnsi="宋体" w:eastAsia="宋体" w:cs="宋体"/>
                <w:color w:val="000000" w:themeColor="text1"/>
                <w:sz w:val="28"/>
                <w:szCs w:val="28"/>
                <w14:textFill>
                  <w14:solidFill>
                    <w14:schemeClr w14:val="tx1"/>
                  </w14:solidFill>
                </w14:textFill>
              </w:rPr>
              <w:t>评审</w:t>
            </w:r>
            <w:bookmarkEnd w:id="131"/>
            <w:bookmarkStart w:id="132" w:name="_Toc343511713"/>
          </w:p>
          <w:p w14:paraId="328218F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32"/>
          </w:p>
        </w:tc>
        <w:tc>
          <w:tcPr>
            <w:tcW w:w="2543" w:type="dxa"/>
            <w:vAlign w:val="center"/>
          </w:tcPr>
          <w:p w14:paraId="6F966A18">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3"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33"/>
          </w:p>
        </w:tc>
        <w:tc>
          <w:tcPr>
            <w:tcW w:w="6182" w:type="dxa"/>
            <w:vAlign w:val="center"/>
          </w:tcPr>
          <w:p w14:paraId="20E92A3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4"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项规定</w:t>
            </w:r>
            <w:bookmarkEnd w:id="134"/>
          </w:p>
        </w:tc>
      </w:tr>
      <w:tr w14:paraId="0D52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C02D9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FE07A1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145174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5"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5"/>
          </w:p>
        </w:tc>
        <w:tc>
          <w:tcPr>
            <w:tcW w:w="6182" w:type="dxa"/>
            <w:vAlign w:val="center"/>
          </w:tcPr>
          <w:p w14:paraId="2BEC875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6"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6"/>
          </w:p>
        </w:tc>
      </w:tr>
      <w:tr w14:paraId="305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14FC79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5ABF64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DF98B6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182" w:type="dxa"/>
            <w:vAlign w:val="center"/>
          </w:tcPr>
          <w:p w14:paraId="6D34453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7"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7"/>
          </w:p>
        </w:tc>
      </w:tr>
      <w:tr w14:paraId="417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9E48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61A0809A">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2AA3C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8"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38"/>
          </w:p>
        </w:tc>
        <w:tc>
          <w:tcPr>
            <w:tcW w:w="6182" w:type="dxa"/>
            <w:vAlign w:val="center"/>
          </w:tcPr>
          <w:p w14:paraId="36D9D70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9"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39"/>
          </w:p>
        </w:tc>
      </w:tr>
      <w:tr w14:paraId="799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297822E">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21432B3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77E452B">
            <w:pPr>
              <w:spacing w:line="36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已标价的工程量清单</w:t>
            </w:r>
          </w:p>
        </w:tc>
        <w:tc>
          <w:tcPr>
            <w:tcW w:w="6182" w:type="dxa"/>
            <w:vAlign w:val="center"/>
          </w:tcPr>
          <w:p w14:paraId="1BB19A73">
            <w:pPr>
              <w:spacing w:line="360" w:lineRule="auto"/>
              <w:rPr>
                <w:rFonts w:hint="default" w:ascii="宋体" w:hAnsi="宋体" w:eastAsia="宋体" w:cs="宋体"/>
                <w:color w:val="000000" w:themeColor="text1"/>
                <w:sz w:val="28"/>
                <w:szCs w:val="28"/>
                <w:lang w:val="en-US" w:eastAsia="zh-CN"/>
                <w14:textFill>
                  <w14:solidFill>
                    <w14:schemeClr w14:val="tx1"/>
                  </w14:solidFill>
                </w14:textFill>
              </w:rPr>
            </w:pPr>
            <w:bookmarkStart w:id="140" w:name="_Toc343511729"/>
            <w:r>
              <w:rPr>
                <w:rFonts w:hint="eastAsia" w:ascii="宋体" w:hAnsi="宋体" w:eastAsia="宋体" w:cs="宋体"/>
                <w:color w:val="000000" w:themeColor="text1"/>
                <w:sz w:val="28"/>
                <w:szCs w:val="28"/>
                <w14:textFill>
                  <w14:solidFill>
                    <w14:schemeClr w14:val="tx1"/>
                  </w14:solidFill>
                </w14:textFill>
              </w:rPr>
              <w:t>符合第五章“</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bookmarkEnd w:id="140"/>
            <w:r>
              <w:rPr>
                <w:rFonts w:hint="eastAsia" w:ascii="宋体" w:hAnsi="宋体" w:cs="宋体"/>
                <w:color w:val="000000" w:themeColor="text1"/>
                <w:sz w:val="28"/>
                <w:szCs w:val="28"/>
                <w:lang w:val="en-US" w:eastAsia="zh-CN"/>
                <w14:textFill>
                  <w14:solidFill>
                    <w14:schemeClr w14:val="tx1"/>
                  </w14:solidFill>
                </w14:textFill>
              </w:rPr>
              <w:t>给出的子目编码、子目名称、子目特征、计量单位和工程量。</w:t>
            </w:r>
          </w:p>
        </w:tc>
      </w:tr>
      <w:tr w14:paraId="79F3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E942C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734A039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E194CB">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182" w:type="dxa"/>
            <w:vAlign w:val="center"/>
          </w:tcPr>
          <w:p w14:paraId="5860BDD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14:paraId="638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F0F5861">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1" w:name="_Toc343511732"/>
            <w:r>
              <w:rPr>
                <w:rFonts w:hint="eastAsia" w:ascii="宋体" w:hAnsi="宋体" w:eastAsia="宋体" w:cs="宋体"/>
                <w:b/>
                <w:color w:val="000000" w:themeColor="text1"/>
                <w:sz w:val="28"/>
                <w:szCs w:val="28"/>
                <w14:textFill>
                  <w14:solidFill>
                    <w14:schemeClr w14:val="tx1"/>
                  </w14:solidFill>
                </w14:textFill>
              </w:rPr>
              <w:t>条款号</w:t>
            </w:r>
            <w:bookmarkEnd w:id="141"/>
          </w:p>
        </w:tc>
        <w:tc>
          <w:tcPr>
            <w:tcW w:w="2543" w:type="dxa"/>
            <w:vAlign w:val="center"/>
          </w:tcPr>
          <w:p w14:paraId="3D8A64D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2" w:name="_Toc343511733"/>
            <w:r>
              <w:rPr>
                <w:rFonts w:hint="eastAsia" w:ascii="宋体" w:hAnsi="宋体" w:eastAsia="宋体" w:cs="宋体"/>
                <w:b/>
                <w:color w:val="000000" w:themeColor="text1"/>
                <w:sz w:val="28"/>
                <w:szCs w:val="28"/>
                <w14:textFill>
                  <w14:solidFill>
                    <w14:schemeClr w14:val="tx1"/>
                  </w14:solidFill>
                </w14:textFill>
              </w:rPr>
              <w:t>条款内容</w:t>
            </w:r>
            <w:bookmarkEnd w:id="142"/>
          </w:p>
        </w:tc>
        <w:tc>
          <w:tcPr>
            <w:tcW w:w="6182" w:type="dxa"/>
            <w:vAlign w:val="center"/>
          </w:tcPr>
          <w:p w14:paraId="5D0D8C27">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3" w:name="_Toc343511734"/>
            <w:r>
              <w:rPr>
                <w:rFonts w:hint="eastAsia" w:ascii="宋体" w:hAnsi="宋体" w:eastAsia="宋体" w:cs="宋体"/>
                <w:b/>
                <w:color w:val="000000" w:themeColor="text1"/>
                <w:sz w:val="28"/>
                <w:szCs w:val="28"/>
                <w14:textFill>
                  <w14:solidFill>
                    <w14:schemeClr w14:val="tx1"/>
                  </w14:solidFill>
                </w14:textFill>
              </w:rPr>
              <w:t>编列内容</w:t>
            </w:r>
            <w:bookmarkEnd w:id="143"/>
          </w:p>
        </w:tc>
      </w:tr>
      <w:tr w14:paraId="3A0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DA833B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4" w:name="_Toc343511735"/>
            <w:r>
              <w:rPr>
                <w:rFonts w:hint="eastAsia" w:ascii="宋体" w:hAnsi="宋体" w:eastAsia="宋体" w:cs="宋体"/>
                <w:b/>
                <w:bCs/>
                <w:color w:val="000000" w:themeColor="text1"/>
                <w:sz w:val="28"/>
                <w:szCs w:val="28"/>
                <w14:textFill>
                  <w14:solidFill>
                    <w14:schemeClr w14:val="tx1"/>
                  </w14:solidFill>
                </w14:textFill>
              </w:rPr>
              <w:t>2.2.1</w:t>
            </w:r>
            <w:bookmarkEnd w:id="144"/>
          </w:p>
        </w:tc>
        <w:tc>
          <w:tcPr>
            <w:tcW w:w="2543" w:type="dxa"/>
            <w:vAlign w:val="center"/>
          </w:tcPr>
          <w:p w14:paraId="320DEFAF">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5" w:name="_Toc343511736"/>
            <w:r>
              <w:rPr>
                <w:rFonts w:hint="eastAsia" w:ascii="宋体" w:hAnsi="宋体" w:eastAsia="宋体" w:cs="宋体"/>
                <w:color w:val="000000" w:themeColor="text1"/>
                <w:sz w:val="28"/>
                <w:szCs w:val="28"/>
                <w14:textFill>
                  <w14:solidFill>
                    <w14:schemeClr w14:val="tx1"/>
                  </w14:solidFill>
                </w14:textFill>
              </w:rPr>
              <w:t>分值构成</w:t>
            </w:r>
            <w:bookmarkEnd w:id="145"/>
          </w:p>
          <w:p w14:paraId="4D24DD8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6" w:name="_Toc343511737"/>
            <w:r>
              <w:rPr>
                <w:rFonts w:hint="eastAsia" w:ascii="宋体" w:hAnsi="宋体" w:eastAsia="宋体" w:cs="宋体"/>
                <w:color w:val="000000" w:themeColor="text1"/>
                <w:sz w:val="28"/>
                <w:szCs w:val="28"/>
                <w14:textFill>
                  <w14:solidFill>
                    <w14:schemeClr w14:val="tx1"/>
                  </w14:solidFill>
                </w14:textFill>
              </w:rPr>
              <w:t>(总分100分)</w:t>
            </w:r>
            <w:bookmarkEnd w:id="146"/>
          </w:p>
        </w:tc>
        <w:tc>
          <w:tcPr>
            <w:tcW w:w="6182" w:type="dxa"/>
            <w:vAlign w:val="center"/>
          </w:tcPr>
          <w:p w14:paraId="3F238C2F">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7"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7"/>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p w14:paraId="3EA89CA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8"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bookmarkEnd w:id="148"/>
          </w:p>
          <w:p w14:paraId="6321C2E5">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14:paraId="4E7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7748FD26">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9" w:name="_Toc343511740"/>
            <w:r>
              <w:rPr>
                <w:rFonts w:hint="eastAsia" w:ascii="宋体" w:hAnsi="宋体" w:eastAsia="宋体" w:cs="宋体"/>
                <w:b/>
                <w:bCs/>
                <w:color w:val="000000" w:themeColor="text1"/>
                <w:sz w:val="28"/>
                <w:szCs w:val="28"/>
                <w14:textFill>
                  <w14:solidFill>
                    <w14:schemeClr w14:val="tx1"/>
                  </w14:solidFill>
                </w14:textFill>
              </w:rPr>
              <w:t>2.2.2</w:t>
            </w:r>
            <w:bookmarkEnd w:id="149"/>
          </w:p>
        </w:tc>
        <w:tc>
          <w:tcPr>
            <w:tcW w:w="2543" w:type="dxa"/>
            <w:vAlign w:val="center"/>
          </w:tcPr>
          <w:p w14:paraId="0F58D3C2">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0"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50"/>
          </w:p>
        </w:tc>
        <w:tc>
          <w:tcPr>
            <w:tcW w:w="6182" w:type="dxa"/>
            <w:vAlign w:val="center"/>
          </w:tcPr>
          <w:p w14:paraId="35423EF1">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1"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51"/>
          </w:p>
        </w:tc>
      </w:tr>
      <w:tr w14:paraId="609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635A4D96">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543" w:type="dxa"/>
            <w:vAlign w:val="center"/>
          </w:tcPr>
          <w:p w14:paraId="3A679CBF">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0FC7176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48</w:t>
            </w:r>
            <w:r>
              <w:rPr>
                <w:rFonts w:hint="eastAsia" w:ascii="宋体" w:hAnsi="宋体" w:eastAsia="宋体" w:cs="宋体"/>
                <w:b/>
                <w:color w:val="000000" w:themeColor="text1"/>
                <w:sz w:val="28"/>
                <w:szCs w:val="28"/>
                <w14:textFill>
                  <w14:solidFill>
                    <w14:schemeClr w14:val="tx1"/>
                  </w14:solidFill>
                </w14:textFill>
              </w:rPr>
              <w:t>分）</w:t>
            </w:r>
          </w:p>
        </w:tc>
      </w:tr>
      <w:tr w14:paraId="59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A52D6F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52"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14:paraId="6CBEEC98">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2CFAF52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2555D417">
            <w:pPr>
              <w:keepNext w:val="0"/>
              <w:keepLines w:val="0"/>
              <w:widowControl/>
              <w:suppressLineNumbers w:val="0"/>
              <w:spacing w:line="360" w:lineRule="auto"/>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实施方案</w:t>
            </w:r>
          </w:p>
          <w:p w14:paraId="38CF9AB7">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分）</w:t>
            </w:r>
          </w:p>
          <w:p w14:paraId="3507E0A0">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182" w:type="dxa"/>
            <w:vAlign w:val="center"/>
          </w:tcPr>
          <w:p w14:paraId="41AD39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6091DC1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8"/>
                <w:szCs w:val="28"/>
                <w:lang w:val="en-US" w:eastAsia="zh-CN"/>
                <w14:textFill>
                  <w14:solidFill>
                    <w14:schemeClr w14:val="tx1"/>
                  </w14:solidFill>
                </w14:textFill>
              </w:rPr>
              <w:t>实施</w:t>
            </w:r>
            <w:r>
              <w:rPr>
                <w:rFonts w:hint="eastAsia" w:ascii="宋体" w:hAnsi="宋体" w:eastAsia="宋体" w:cs="宋体"/>
                <w:color w:val="000000" w:themeColor="text1"/>
                <w:sz w:val="28"/>
                <w:szCs w:val="28"/>
                <w:lang w:eastAsia="zh-CN"/>
                <w14:textFill>
                  <w14:solidFill>
                    <w14:schemeClr w14:val="tx1"/>
                  </w14:solidFill>
                </w14:textFill>
              </w:rPr>
              <w:t>方案，内容包含：①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w:t>
            </w:r>
          </w:p>
          <w:p w14:paraId="1AF06AC9">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2456963C">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31251B2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B670D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431762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18</w:t>
            </w:r>
            <w:r>
              <w:rPr>
                <w:rFonts w:hint="eastAsia" w:ascii="宋体" w:hAnsi="宋体" w:eastAsia="宋体" w:cs="宋体"/>
                <w:b/>
                <w:bCs/>
                <w:color w:val="000000" w:themeColor="text1"/>
                <w:sz w:val="28"/>
                <w:szCs w:val="28"/>
                <w:lang w:eastAsia="zh-CN"/>
                <w14:textFill>
                  <w14:solidFill>
                    <w14:schemeClr w14:val="tx1"/>
                  </w14:solidFill>
                </w14:textFill>
              </w:rPr>
              <w:t>分）</w:t>
            </w:r>
          </w:p>
          <w:p w14:paraId="5AB6D3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72532B3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5A4CC2A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eastAsia="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cs="宋体"/>
                <w:color w:val="000000" w:themeColor="text1"/>
                <w:sz w:val="28"/>
                <w:szCs w:val="28"/>
                <w:lang w:eastAsia="zh-CN"/>
                <w14:textFill>
                  <w14:solidFill>
                    <w14:schemeClr w14:val="tx1"/>
                  </w14:solidFill>
                </w14:textFill>
              </w:rPr>
              <w:t>。</w:t>
            </w:r>
          </w:p>
        </w:tc>
      </w:tr>
      <w:tr w14:paraId="118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124E5808">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FF27B46">
            <w:pPr>
              <w:keepNext w:val="0"/>
              <w:keepLines w:val="0"/>
              <w:widowControl/>
              <w:suppressLineNumbers w:val="0"/>
              <w:spacing w:line="360" w:lineRule="auto"/>
              <w:ind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资源配置计划</w:t>
            </w:r>
          </w:p>
          <w:p w14:paraId="2F7C259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c>
          <w:tcPr>
            <w:tcW w:w="6182" w:type="dxa"/>
            <w:vAlign w:val="center"/>
          </w:tcPr>
          <w:p w14:paraId="747B960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4E9EA0B2">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针对本项目提供资源配置计划，内容包括①拟投入的主要施工机械设备计划②主要材料进场计划</w:t>
            </w:r>
          </w:p>
          <w:p w14:paraId="7B42CEE0">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72EA2BB4">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0098E45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303C26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11FFB3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p>
          <w:p w14:paraId="787EE0D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①拟投入的主要施工机械设备计划：每完全满足一个评审标准得1分，满分3分；</w:t>
            </w:r>
          </w:p>
          <w:p w14:paraId="2ABD1E2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②主要材料进场计划：每完全满足一个评审标准得1分，满分3分</w:t>
            </w:r>
            <w:r>
              <w:rPr>
                <w:rFonts w:hint="eastAsia" w:ascii="宋体" w:hAnsi="宋体" w:cs="宋体"/>
                <w:color w:val="000000" w:themeColor="text1"/>
                <w:sz w:val="28"/>
                <w:szCs w:val="28"/>
                <w:lang w:eastAsia="zh-CN"/>
                <w14:textFill>
                  <w14:solidFill>
                    <w14:schemeClr w14:val="tx1"/>
                  </w14:solidFill>
                </w14:textFill>
              </w:rPr>
              <w:t>。</w:t>
            </w:r>
          </w:p>
        </w:tc>
      </w:tr>
      <w:tr w14:paraId="0C2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217F72E1">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BE4F334">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进度计划及质量保证措施</w:t>
            </w:r>
          </w:p>
          <w:p w14:paraId="23CCCED2">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1174AB92">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48D26F0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347E077F">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供应商编制完善的</w:t>
            </w:r>
            <w:r>
              <w:rPr>
                <w:rFonts w:hint="eastAsia" w:ascii="宋体" w:hAnsi="宋体" w:eastAsia="宋体" w:cs="宋体"/>
                <w:color w:val="000000" w:themeColor="text1"/>
                <w:sz w:val="28"/>
                <w:szCs w:val="28"/>
                <w:lang w:val="en-US" w:eastAsia="zh-CN"/>
                <w14:textFill>
                  <w14:solidFill>
                    <w14:schemeClr w14:val="tx1"/>
                  </w14:solidFill>
                </w14:textFill>
              </w:rPr>
              <w:t>进度计划及</w:t>
            </w:r>
            <w:r>
              <w:rPr>
                <w:rFonts w:hint="eastAsia" w:ascii="宋体" w:hAnsi="宋体" w:eastAsia="宋体" w:cs="宋体"/>
                <w:color w:val="000000" w:themeColor="text1"/>
                <w:sz w:val="28"/>
                <w:szCs w:val="28"/>
                <w:lang w:eastAsia="zh-CN"/>
                <w14:textFill>
                  <w14:solidFill>
                    <w14:schemeClr w14:val="tx1"/>
                  </w14:solidFill>
                </w14:textFill>
              </w:rPr>
              <w:t>质量</w:t>
            </w:r>
            <w:r>
              <w:rPr>
                <w:rFonts w:hint="eastAsia" w:ascii="宋体" w:hAnsi="宋体" w:eastAsia="宋体" w:cs="宋体"/>
                <w:color w:val="000000" w:themeColor="text1"/>
                <w:sz w:val="28"/>
                <w:szCs w:val="28"/>
                <w:lang w:val="en-US" w:eastAsia="zh-CN"/>
                <w14:textFill>
                  <w14:solidFill>
                    <w14:schemeClr w14:val="tx1"/>
                  </w14:solidFill>
                </w14:textFill>
              </w:rPr>
              <w:t>保证</w:t>
            </w:r>
            <w:r>
              <w:rPr>
                <w:rFonts w:hint="eastAsia" w:ascii="宋体" w:hAnsi="宋体" w:eastAsia="宋体" w:cs="宋体"/>
                <w:color w:val="000000" w:themeColor="text1"/>
                <w:sz w:val="28"/>
                <w:szCs w:val="28"/>
                <w:lang w:eastAsia="zh-CN"/>
                <w14:textFill>
                  <w14:solidFill>
                    <w14:schemeClr w14:val="tx1"/>
                  </w14:solidFill>
                </w14:textFill>
              </w:rPr>
              <w:t>措施，内容包含：①工程质量目标及质量管理②施工质量保证措施方案③施工质量控制方案</w:t>
            </w: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w:t>
            </w:r>
            <w:r>
              <w:rPr>
                <w:rFonts w:hint="eastAsia" w:ascii="宋体" w:hAnsi="宋体" w:eastAsia="宋体" w:cs="宋体"/>
                <w:color w:val="000000" w:themeColor="text1"/>
                <w:sz w:val="28"/>
                <w:szCs w:val="28"/>
                <w:lang w:val="en-US" w:eastAsia="zh-CN"/>
                <w14:textFill>
                  <w14:solidFill>
                    <w14:schemeClr w14:val="tx1"/>
                  </w14:solidFill>
                </w14:textFill>
              </w:rPr>
              <w:t>。</w:t>
            </w:r>
          </w:p>
          <w:p w14:paraId="5F862D7A">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123EF9E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必须全面，对评审内容中的各项要求有详细描述；</w:t>
            </w:r>
          </w:p>
          <w:p w14:paraId="37747F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3D7923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能够紧扣项目实际情况，内容科学合理。</w:t>
            </w:r>
          </w:p>
          <w:p w14:paraId="33FA7D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分）</w:t>
            </w:r>
          </w:p>
          <w:p w14:paraId="0E46D56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①工程质量目标及质量管理：每完全满足一个评审标准得0.5分，满分1.5分；</w:t>
            </w:r>
          </w:p>
          <w:p w14:paraId="079373A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②施工质量保证措施方案：每完全满足一个评审标准得0.5分，满分1.5分；</w:t>
            </w:r>
          </w:p>
          <w:p w14:paraId="264A359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③施工质量控制方案：每完全满足一个评审标准得0.5分，满分1.5分。</w:t>
            </w:r>
          </w:p>
          <w:p w14:paraId="207F577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保证措施：每完全满足一个评审标准得0.5分，满分1.5分。</w:t>
            </w:r>
          </w:p>
        </w:tc>
      </w:tr>
      <w:tr w14:paraId="038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762B83BE">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F6066A">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14:paraId="531D6A42">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文明施工措施</w:t>
            </w:r>
          </w:p>
          <w:p w14:paraId="4051C11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分）</w:t>
            </w:r>
          </w:p>
          <w:p w14:paraId="6C8ADC63">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5BB813E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0250F6A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供应商编制完善的文明施工措施，内容包含：①成品保护措施和制度②施工现场的临时管理措施③文明施工保障措施。</w:t>
            </w:r>
          </w:p>
          <w:p w14:paraId="61B4C10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633B33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1.完整性：方案必须全面，对评审内容中的各项要求有详细描述；</w:t>
            </w:r>
          </w:p>
          <w:p w14:paraId="4DA6CD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2.可实施性：切合本项目实际情况，提出步骤清晰、合理的方案；</w:t>
            </w:r>
          </w:p>
          <w:p w14:paraId="47CC86FD">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63A72AE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①成品保护措施和制度：每完全满足一个评审标准得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9BD39B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②施工现场的临时管理措施：每完全满足一个评审标准得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0BC429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③文明施工保障措施：每完全满足一个评审标准得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tc>
      </w:tr>
      <w:tr w14:paraId="790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64EFA4B2">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456147">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安全技术措施</w:t>
            </w:r>
          </w:p>
          <w:p w14:paraId="1360FC7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7252C9B4">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0D92422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一、评审内容</w:t>
            </w:r>
          </w:p>
          <w:p w14:paraId="6C4049E0">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供应商编制完善的安全技术措施，内容包含：①安全管理体系②安全责任归属划分③安全标识：安全警戒标语、施工人员安全警示服和安全帽穿配要求④安全教育培训。</w:t>
            </w:r>
          </w:p>
          <w:p w14:paraId="48C298C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二、评审标准</w:t>
            </w:r>
          </w:p>
          <w:p w14:paraId="3665C1C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1.完整性：方案必须全面，对评审内容中的各项要求有详细描述；</w:t>
            </w:r>
          </w:p>
          <w:p w14:paraId="002B6C7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2.可实施性：切合本项目实际情况，提出步骤清晰、合理的方案；</w:t>
            </w:r>
          </w:p>
          <w:p w14:paraId="037E20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3.针对性：方案能够紧扣项目实际情况，内容科学合理。</w:t>
            </w:r>
          </w:p>
          <w:p w14:paraId="094DC08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三、赋分标准（满分6分）</w:t>
            </w:r>
          </w:p>
          <w:p w14:paraId="287BA2F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①安全管理体系：每完全满足一个评审标准得0.5分，满分1.5分；</w:t>
            </w:r>
          </w:p>
          <w:p w14:paraId="49B4523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②安全责任归属划分：每完全满足一个评审标准得0.5分，满分1.5分；</w:t>
            </w:r>
          </w:p>
          <w:p w14:paraId="591F197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③安全标识：每完全满足一个评审标准得0.5分，满分1.5分；</w:t>
            </w:r>
          </w:p>
          <w:p w14:paraId="03A042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④安全教育培训：每完全满足一个评审标准得0.5分，满分1.5分。</w:t>
            </w:r>
          </w:p>
        </w:tc>
      </w:tr>
      <w:tr w14:paraId="0F8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7A74D4F">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1CD1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应急</w:t>
            </w:r>
            <w:r>
              <w:rPr>
                <w:rFonts w:hint="eastAsia" w:ascii="宋体" w:hAnsi="宋体" w:eastAsia="宋体" w:cs="宋体"/>
                <w:color w:val="000000"/>
                <w:sz w:val="28"/>
                <w:szCs w:val="28"/>
                <w:lang w:val="en-US" w:eastAsia="zh-CN" w:bidi="ar"/>
              </w:rPr>
              <w:t>保障</w:t>
            </w:r>
            <w:r>
              <w:rPr>
                <w:rFonts w:hint="eastAsia" w:ascii="宋体" w:hAnsi="宋体" w:eastAsia="宋体" w:cs="宋体"/>
                <w:color w:val="000000"/>
                <w:sz w:val="28"/>
                <w:szCs w:val="28"/>
                <w:lang w:bidi="ar"/>
              </w:rPr>
              <w:t>措施</w:t>
            </w:r>
          </w:p>
          <w:p w14:paraId="115304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6</w:t>
            </w:r>
            <w:r>
              <w:rPr>
                <w:rFonts w:hint="eastAsia" w:ascii="宋体" w:hAnsi="宋体" w:eastAsia="宋体" w:cs="宋体"/>
                <w:color w:val="000000"/>
                <w:sz w:val="28"/>
                <w:szCs w:val="28"/>
                <w:lang w:bidi="ar"/>
              </w:rPr>
              <w:t>分）</w:t>
            </w:r>
          </w:p>
        </w:tc>
        <w:tc>
          <w:tcPr>
            <w:tcW w:w="6182" w:type="dxa"/>
            <w:vAlign w:val="center"/>
          </w:tcPr>
          <w:p w14:paraId="6268F3B0">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6063C65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供应商编制详细可靠的紧急情况应急措施，内容包含①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w:t>
            </w:r>
          </w:p>
          <w:p w14:paraId="0FFF1ED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78F13D6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1.完整性：应急</w:t>
            </w:r>
            <w:r>
              <w:rPr>
                <w:rFonts w:hint="eastAsia" w:ascii="宋体" w:hAnsi="宋体" w:eastAsia="宋体" w:cs="宋体"/>
                <w:color w:val="000000"/>
                <w:kern w:val="0"/>
                <w:sz w:val="28"/>
                <w:szCs w:val="28"/>
                <w:lang w:val="en-US" w:eastAsia="zh-CN"/>
              </w:rPr>
              <w:t>保障</w:t>
            </w:r>
            <w:r>
              <w:rPr>
                <w:rFonts w:hint="eastAsia" w:ascii="宋体" w:hAnsi="宋体" w:eastAsia="宋体" w:cs="宋体"/>
                <w:color w:val="000000"/>
                <w:kern w:val="0"/>
                <w:sz w:val="28"/>
                <w:szCs w:val="28"/>
              </w:rPr>
              <w:t>措施全面，对评审内容中的各项要求有详细描述；</w:t>
            </w:r>
          </w:p>
          <w:p w14:paraId="23E9D2C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w:t>
            </w:r>
            <w:r>
              <w:rPr>
                <w:rFonts w:hint="eastAsia" w:ascii="宋体" w:hAnsi="宋体" w:eastAsia="宋体" w:cs="宋体"/>
                <w:color w:val="000000"/>
                <w:kern w:val="0"/>
                <w:sz w:val="28"/>
                <w:szCs w:val="28"/>
                <w:lang w:val="en-US" w:eastAsia="zh-CN"/>
              </w:rPr>
              <w:t>切实可行</w:t>
            </w:r>
            <w:r>
              <w:rPr>
                <w:rFonts w:hint="eastAsia" w:ascii="宋体" w:hAnsi="宋体" w:eastAsia="宋体" w:cs="宋体"/>
                <w:color w:val="000000"/>
                <w:kern w:val="0"/>
                <w:sz w:val="28"/>
                <w:szCs w:val="28"/>
              </w:rPr>
              <w:t>的方案</w:t>
            </w:r>
            <w:r>
              <w:rPr>
                <w:rFonts w:hint="eastAsia" w:ascii="宋体" w:hAnsi="宋体" w:eastAsia="宋体" w:cs="宋体"/>
                <w:color w:val="000000"/>
                <w:kern w:val="0"/>
                <w:sz w:val="28"/>
                <w:szCs w:val="28"/>
                <w:lang w:val="en-US" w:eastAsia="zh-CN"/>
              </w:rPr>
              <w:t>措施</w:t>
            </w:r>
            <w:r>
              <w:rPr>
                <w:rFonts w:hint="eastAsia" w:ascii="宋体" w:hAnsi="宋体" w:eastAsia="宋体" w:cs="宋体"/>
                <w:color w:val="000000"/>
                <w:kern w:val="0"/>
                <w:sz w:val="28"/>
                <w:szCs w:val="28"/>
              </w:rPr>
              <w:t>；</w:t>
            </w:r>
          </w:p>
          <w:p w14:paraId="18FF5F6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 xml:space="preserve">三、赋分标准（满分 </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03C007A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1165C85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bookmarkEnd w:id="152"/>
      <w:tr w14:paraId="593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13FEFF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543" w:type="dxa"/>
            <w:vAlign w:val="center"/>
          </w:tcPr>
          <w:p w14:paraId="71B72B9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156B3B81">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22</w:t>
            </w:r>
            <w:r>
              <w:rPr>
                <w:rFonts w:hint="eastAsia" w:ascii="宋体" w:hAnsi="宋体" w:eastAsia="宋体" w:cs="宋体"/>
                <w:b/>
                <w:color w:val="000000" w:themeColor="text1"/>
                <w:sz w:val="28"/>
                <w:szCs w:val="28"/>
                <w14:textFill>
                  <w14:solidFill>
                    <w14:schemeClr w14:val="tx1"/>
                  </w14:solidFill>
                </w14:textFill>
              </w:rPr>
              <w:t>分）</w:t>
            </w:r>
          </w:p>
        </w:tc>
      </w:tr>
      <w:tr w14:paraId="7B9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7663704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14:paraId="62580144">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3314700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4C7B4F24">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p w14:paraId="21C0B05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c>
          <w:tcPr>
            <w:tcW w:w="6182" w:type="dxa"/>
            <w:vAlign w:val="center"/>
          </w:tcPr>
          <w:p w14:paraId="0F85C3C5">
            <w:pPr>
              <w:tabs>
                <w:tab w:val="left" w:pos="2292"/>
              </w:tabs>
              <w:spacing w:line="360" w:lineRule="auto"/>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供应商提供自202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月1日至今类似项目业绩（以合同签订日期为准），每提供一个业绩得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分，最高</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分。</w:t>
            </w:r>
          </w:p>
          <w:p w14:paraId="0BED9923">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sz w:val="28"/>
                <w:szCs w:val="28"/>
                <w:lang w:val="en-US" w:eastAsia="zh-CN"/>
              </w:rPr>
              <w:t>注：以响应文件中所附业绩合同或中标通知书复印件或扫描件加盖公章为准。</w:t>
            </w:r>
          </w:p>
        </w:tc>
      </w:tr>
      <w:tr w14:paraId="569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2573E9E5">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CF94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8"/>
                <w:szCs w:val="28"/>
                <w:lang w:val="en-US" w:eastAsia="zh-CN" w:bidi="ar"/>
              </w:rPr>
            </w:pPr>
            <w:r>
              <w:rPr>
                <w:rFonts w:hint="eastAsia" w:ascii="宋体" w:hAnsi="宋体" w:cs="宋体"/>
                <w:color w:val="auto"/>
                <w:sz w:val="28"/>
                <w:szCs w:val="28"/>
                <w:lang w:val="en-US" w:eastAsia="zh-CN" w:bidi="ar"/>
              </w:rPr>
              <w:t>项目团队</w:t>
            </w:r>
          </w:p>
          <w:p w14:paraId="6434FE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8"/>
                <w:szCs w:val="28"/>
                <w:lang w:val="en-US" w:eastAsia="zh-CN" w:bidi="ar"/>
              </w:rPr>
            </w:pPr>
            <w:r>
              <w:rPr>
                <w:rFonts w:hint="eastAsia" w:ascii="宋体" w:hAnsi="宋体" w:eastAsia="宋体" w:cs="宋体"/>
                <w:color w:val="auto"/>
                <w:sz w:val="28"/>
                <w:szCs w:val="28"/>
                <w:lang w:bidi="ar"/>
              </w:rPr>
              <w:t>（</w:t>
            </w:r>
            <w:r>
              <w:rPr>
                <w:rFonts w:hint="eastAsia" w:ascii="宋体" w:hAnsi="宋体" w:eastAsia="宋体" w:cs="宋体"/>
                <w:color w:val="auto"/>
                <w:sz w:val="28"/>
                <w:szCs w:val="28"/>
                <w:lang w:val="en-US" w:eastAsia="zh-CN" w:bidi="ar"/>
              </w:rPr>
              <w:t>满分</w:t>
            </w:r>
            <w:r>
              <w:rPr>
                <w:rFonts w:hint="eastAsia" w:ascii="宋体" w:hAnsi="宋体" w:cs="宋体"/>
                <w:color w:val="auto"/>
                <w:sz w:val="28"/>
                <w:szCs w:val="28"/>
                <w:lang w:val="en-US" w:eastAsia="zh-CN" w:bidi="ar"/>
              </w:rPr>
              <w:t>10</w:t>
            </w:r>
            <w:r>
              <w:rPr>
                <w:rFonts w:hint="eastAsia" w:ascii="宋体" w:hAnsi="宋体" w:eastAsia="宋体" w:cs="宋体"/>
                <w:color w:val="auto"/>
                <w:sz w:val="28"/>
                <w:szCs w:val="28"/>
                <w:lang w:bidi="ar"/>
              </w:rPr>
              <w:t>分）</w:t>
            </w:r>
          </w:p>
        </w:tc>
        <w:tc>
          <w:tcPr>
            <w:tcW w:w="6182" w:type="dxa"/>
            <w:vAlign w:val="center"/>
          </w:tcPr>
          <w:p w14:paraId="21DB7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1、拟派项目</w:t>
            </w:r>
            <w:r>
              <w:rPr>
                <w:rFonts w:hint="eastAsia" w:ascii="宋体" w:hAnsi="宋体" w:cs="宋体"/>
                <w:color w:val="auto"/>
                <w:kern w:val="0"/>
                <w:sz w:val="28"/>
                <w:szCs w:val="28"/>
                <w:lang w:val="en-US" w:eastAsia="zh-CN" w:bidi="ar-SA"/>
              </w:rPr>
              <w:t>经理</w:t>
            </w:r>
            <w:r>
              <w:rPr>
                <w:rFonts w:hint="eastAsia" w:ascii="宋体" w:hAnsi="宋体" w:eastAsia="宋体" w:cs="宋体"/>
                <w:color w:val="auto"/>
                <w:kern w:val="0"/>
                <w:sz w:val="28"/>
                <w:szCs w:val="28"/>
                <w:lang w:val="en-US" w:eastAsia="zh-CN" w:bidi="ar-SA"/>
              </w:rPr>
              <w:t>具有工程类相关专业高级技术职称得</w:t>
            </w: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分，中级技术职称得2分，初级技术职称得1分，其它情况不得分。（以加盖公章的职称证复印件为准)</w:t>
            </w:r>
            <w:r>
              <w:rPr>
                <w:rFonts w:hint="eastAsia" w:ascii="宋体" w:hAnsi="宋体" w:cs="宋体"/>
                <w:color w:val="auto"/>
                <w:kern w:val="0"/>
                <w:sz w:val="28"/>
                <w:szCs w:val="28"/>
                <w:lang w:val="en-US" w:eastAsia="zh-CN" w:bidi="ar-SA"/>
              </w:rPr>
              <w:t>；</w:t>
            </w:r>
          </w:p>
          <w:p w14:paraId="34BAC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color w:val="auto"/>
                <w:kern w:val="0"/>
                <w:sz w:val="28"/>
                <w:szCs w:val="28"/>
                <w:lang w:val="en-US" w:eastAsia="zh-CN" w:bidi="ar-SA"/>
              </w:rPr>
            </w:pPr>
            <w:r>
              <w:rPr>
                <w:rFonts w:hint="default" w:ascii="宋体" w:hAnsi="宋体" w:eastAsia="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技术负责人具有二级及以上注册建造师注册证书得2分，具有工程类相关专业技术职称得1分</w:t>
            </w:r>
            <w:r>
              <w:rPr>
                <w:rFonts w:hint="eastAsia" w:ascii="宋体" w:hAnsi="宋体" w:cs="宋体"/>
                <w:color w:val="auto"/>
                <w:kern w:val="0"/>
                <w:sz w:val="28"/>
                <w:szCs w:val="28"/>
                <w:lang w:val="en-US" w:eastAsia="zh-CN" w:bidi="ar-SA"/>
              </w:rPr>
              <w:t>；</w:t>
            </w:r>
          </w:p>
          <w:p w14:paraId="6622889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施工员、</w:t>
            </w:r>
            <w:r>
              <w:rPr>
                <w:rFonts w:hint="eastAsia" w:ascii="宋体" w:hAnsi="宋体" w:cs="宋体"/>
                <w:color w:val="auto"/>
                <w:kern w:val="0"/>
                <w:sz w:val="28"/>
                <w:szCs w:val="28"/>
                <w:lang w:val="en-US" w:eastAsia="zh-CN" w:bidi="ar-SA"/>
              </w:rPr>
              <w:t>质量</w:t>
            </w:r>
            <w:r>
              <w:rPr>
                <w:rFonts w:hint="eastAsia" w:ascii="宋体" w:hAnsi="宋体" w:eastAsia="宋体" w:cs="宋体"/>
                <w:color w:val="auto"/>
                <w:kern w:val="0"/>
                <w:sz w:val="28"/>
                <w:szCs w:val="28"/>
                <w:lang w:val="en-US" w:eastAsia="zh-CN" w:bidi="ar-SA"/>
              </w:rPr>
              <w:t>员、材料员，</w:t>
            </w:r>
            <w:r>
              <w:rPr>
                <w:rFonts w:hint="eastAsia" w:ascii="宋体" w:hAnsi="宋体" w:cs="宋体"/>
                <w:color w:val="auto"/>
                <w:kern w:val="0"/>
                <w:sz w:val="28"/>
                <w:szCs w:val="28"/>
                <w:lang w:val="en-US" w:eastAsia="zh-CN" w:bidi="ar-SA"/>
              </w:rPr>
              <w:t>安全</w:t>
            </w:r>
            <w:r>
              <w:rPr>
                <w:rFonts w:hint="eastAsia" w:ascii="宋体" w:hAnsi="宋体" w:eastAsia="宋体" w:cs="宋体"/>
                <w:color w:val="auto"/>
                <w:kern w:val="0"/>
                <w:sz w:val="28"/>
                <w:szCs w:val="28"/>
                <w:lang w:val="en-US" w:eastAsia="zh-CN" w:bidi="ar-SA"/>
              </w:rPr>
              <w:t>员均具备相应的岗位证得4分,任一人员不符合扣1分</w:t>
            </w:r>
            <w:r>
              <w:rPr>
                <w:rFonts w:hint="eastAsia" w:ascii="宋体" w:hAnsi="宋体" w:cs="宋体"/>
                <w:color w:val="auto"/>
                <w:kern w:val="0"/>
                <w:sz w:val="28"/>
                <w:szCs w:val="28"/>
                <w:lang w:val="en-US" w:eastAsia="zh-CN" w:bidi="ar-SA"/>
              </w:rPr>
              <w:t>。</w:t>
            </w:r>
          </w:p>
        </w:tc>
      </w:tr>
      <w:tr w14:paraId="3E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1B0419E0">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1BC28F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val="en-US" w:eastAsia="zh-CN" w:bidi="ar"/>
              </w:rPr>
            </w:pPr>
            <w:r>
              <w:rPr>
                <w:rFonts w:hint="eastAsia" w:ascii="宋体" w:hAnsi="宋体" w:eastAsia="宋体" w:cs="宋体"/>
                <w:color w:val="000000"/>
                <w:sz w:val="28"/>
                <w:szCs w:val="28"/>
                <w:lang w:val="en-US" w:eastAsia="zh-CN" w:bidi="ar"/>
              </w:rPr>
              <w:t>售后服务</w:t>
            </w:r>
          </w:p>
          <w:p w14:paraId="490EB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9</w:t>
            </w:r>
            <w:r>
              <w:rPr>
                <w:rFonts w:hint="eastAsia" w:ascii="宋体" w:hAnsi="宋体" w:eastAsia="宋体" w:cs="宋体"/>
                <w:color w:val="000000"/>
                <w:sz w:val="28"/>
                <w:szCs w:val="28"/>
                <w:lang w:bidi="ar"/>
              </w:rPr>
              <w:t>分)</w:t>
            </w:r>
          </w:p>
        </w:tc>
        <w:tc>
          <w:tcPr>
            <w:tcW w:w="6182" w:type="dxa"/>
            <w:vAlign w:val="center"/>
          </w:tcPr>
          <w:p w14:paraId="186EC6D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525F736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针对本项目的售后方案的合理性、实用性进行评审</w:t>
            </w:r>
            <w:r>
              <w:rPr>
                <w:rFonts w:hint="eastAsia" w:ascii="宋体" w:hAnsi="宋体" w:eastAsia="宋体" w:cs="宋体"/>
                <w:color w:val="000000"/>
                <w:kern w:val="0"/>
                <w:sz w:val="28"/>
                <w:szCs w:val="28"/>
              </w:rPr>
              <w:t>，内容包含①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提供完善的售后服务机制承诺⑤售后服务保障措施。</w:t>
            </w:r>
          </w:p>
          <w:p w14:paraId="04DD8AB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1555D5E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1.完整性：内容必须全面，对评审内容中的各项要求有详细描述；</w:t>
            </w:r>
          </w:p>
          <w:p w14:paraId="12CA805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2.落实性：切合项目具体情况，提出责任明确、要求具体的方案；</w:t>
            </w:r>
          </w:p>
          <w:p w14:paraId="1CB75F6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3.针对性：内容能够紧扣项目实际情况，内容科学合理。</w:t>
            </w:r>
          </w:p>
          <w:p w14:paraId="35978FE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9</w:t>
            </w:r>
            <w:r>
              <w:rPr>
                <w:rFonts w:hint="eastAsia" w:ascii="宋体" w:hAnsi="宋体" w:eastAsia="宋体" w:cs="宋体"/>
                <w:b/>
                <w:bCs/>
                <w:color w:val="000000"/>
                <w:kern w:val="0"/>
                <w:sz w:val="28"/>
                <w:szCs w:val="28"/>
              </w:rPr>
              <w:t>分）</w:t>
            </w:r>
          </w:p>
          <w:p w14:paraId="790A83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B0A0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AC149C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64EC96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56755AF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rPr>
              <w:t>⑤售后服务保障措施</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r>
              <w:rPr>
                <w:rFonts w:hint="eastAsia" w:ascii="宋体" w:hAnsi="宋体" w:cs="宋体"/>
                <w:color w:val="000000"/>
                <w:kern w:val="0"/>
                <w:sz w:val="28"/>
                <w:szCs w:val="28"/>
                <w:lang w:eastAsia="zh-CN"/>
              </w:rPr>
              <w:t>。</w:t>
            </w:r>
          </w:p>
        </w:tc>
      </w:tr>
      <w:tr w14:paraId="28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06ADD77B">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543" w:type="dxa"/>
            <w:vAlign w:val="center"/>
          </w:tcPr>
          <w:p w14:paraId="6D51C696">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182" w:type="dxa"/>
            <w:vAlign w:val="center"/>
          </w:tcPr>
          <w:p w14:paraId="17B8F1B7">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14:paraId="74D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4A46F88">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543" w:type="dxa"/>
            <w:vAlign w:val="center"/>
          </w:tcPr>
          <w:p w14:paraId="767C23E7">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0分</w:t>
            </w:r>
          </w:p>
        </w:tc>
        <w:tc>
          <w:tcPr>
            <w:tcW w:w="6182" w:type="dxa"/>
            <w:vAlign w:val="center"/>
          </w:tcPr>
          <w:p w14:paraId="3170E162">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预算金额</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。供应商的磋商报价超过最高投标限价的视为废标，不再参与下一步评审。</w:t>
            </w:r>
          </w:p>
          <w:p w14:paraId="278280CA">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14:paraId="240DDE16">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14:paraId="1144C2BE">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6732154A">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5E125D0">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3D01557">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0722C734">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52872E9F">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13E2C87">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206D442">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3F6394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EAE29D0">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2D01E6C">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DBBA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C43C9D4">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36B6666">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3F308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6C52AB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7C3825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宜川县云岩镇人民政府宜川县云岩镇镇区道路改造工程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延安方逸造价咨询有限公司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526842695"/>
      <w:bookmarkStart w:id="154" w:name="_Toc22424"/>
      <w:r>
        <w:rPr>
          <w:rFonts w:hint="eastAsia" w:ascii="宋体" w:hAnsi="宋体" w:eastAsia="宋体" w:cs="宋体"/>
          <w:color w:val="000000" w:themeColor="text1"/>
          <w:sz w:val="28"/>
          <w:szCs w:val="28"/>
          <w14:textFill>
            <w14:solidFill>
              <w14:schemeClr w14:val="tx1"/>
            </w14:solidFill>
          </w14:textFill>
        </w:rPr>
        <w:t>1. 评标方法</w:t>
      </w:r>
      <w:bookmarkEnd w:id="153"/>
      <w:bookmarkEnd w:id="154"/>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5" w:name="_Toc526842696"/>
      <w:bookmarkStart w:id="156" w:name="_Toc24205"/>
      <w:r>
        <w:rPr>
          <w:rFonts w:hint="eastAsia" w:ascii="宋体" w:hAnsi="宋体" w:eastAsia="宋体" w:cs="宋体"/>
          <w:color w:val="000000" w:themeColor="text1"/>
          <w:sz w:val="28"/>
          <w:szCs w:val="28"/>
          <w14:textFill>
            <w14:solidFill>
              <w14:schemeClr w14:val="tx1"/>
            </w14:solidFill>
          </w14:textFill>
        </w:rPr>
        <w:t>2. 评审标准</w:t>
      </w:r>
      <w:bookmarkEnd w:id="155"/>
      <w:bookmarkEnd w:id="156"/>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526842697"/>
      <w:bookmarkStart w:id="158"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57"/>
      <w:bookmarkEnd w:id="158"/>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9" w:name="_Toc526842698"/>
      <w:bookmarkStart w:id="160"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1" w:name="_Toc3038"/>
      <w:r>
        <w:rPr>
          <w:rFonts w:hint="eastAsia" w:ascii="宋体" w:hAnsi="宋体" w:eastAsia="宋体" w:cs="宋体"/>
          <w:b w:val="0"/>
          <w:bCs/>
          <w:color w:val="000000"/>
          <w:sz w:val="28"/>
          <w:szCs w:val="28"/>
        </w:rPr>
        <w:t>2.1.2响应性评审标准：见评标办法前附表。</w:t>
      </w:r>
      <w:bookmarkEnd w:id="161"/>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9"/>
      <w:bookmarkEnd w:id="162"/>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3" w:name="_Toc15104"/>
      <w:r>
        <w:rPr>
          <w:rFonts w:hint="eastAsia" w:ascii="宋体" w:hAnsi="宋体" w:eastAsia="宋体" w:cs="宋体"/>
          <w:color w:val="000000" w:themeColor="text1"/>
          <w:sz w:val="28"/>
          <w:szCs w:val="28"/>
          <w14:textFill>
            <w14:solidFill>
              <w14:schemeClr w14:val="tx1"/>
            </w14:solidFill>
          </w14:textFill>
        </w:rPr>
        <w:t>3. 评标程序</w:t>
      </w:r>
      <w:bookmarkEnd w:id="160"/>
      <w:bookmarkEnd w:id="163"/>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23340"/>
      <w:bookmarkStart w:id="165" w:name="_Toc526842700"/>
      <w:r>
        <w:rPr>
          <w:rFonts w:hint="eastAsia" w:ascii="宋体" w:hAnsi="宋体" w:eastAsia="宋体" w:cs="宋体"/>
          <w:color w:val="000000" w:themeColor="text1"/>
          <w:sz w:val="28"/>
          <w:szCs w:val="28"/>
          <w14:textFill>
            <w14:solidFill>
              <w14:schemeClr w14:val="tx1"/>
            </w14:solidFill>
          </w14:textFill>
        </w:rPr>
        <w:t>3.2初步评审</w:t>
      </w:r>
      <w:bookmarkEnd w:id="164"/>
      <w:bookmarkEnd w:id="165"/>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272"/>
      <w:bookmarkStart w:id="167" w:name="_Toc526842701"/>
      <w:r>
        <w:rPr>
          <w:rFonts w:hint="eastAsia" w:ascii="宋体" w:hAnsi="宋体" w:eastAsia="宋体" w:cs="宋体"/>
          <w:color w:val="000000" w:themeColor="text1"/>
          <w:sz w:val="28"/>
          <w:szCs w:val="28"/>
          <w14:textFill>
            <w14:solidFill>
              <w14:schemeClr w14:val="tx1"/>
            </w14:solidFill>
          </w14:textFill>
        </w:rPr>
        <w:t>3.3 详细评审</w:t>
      </w:r>
      <w:bookmarkEnd w:id="166"/>
      <w:bookmarkEnd w:id="167"/>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17944"/>
      <w:bookmarkStart w:id="169"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8"/>
      <w:bookmarkEnd w:id="169"/>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13592"/>
      <w:bookmarkStart w:id="171" w:name="_Toc526842703"/>
      <w:r>
        <w:rPr>
          <w:rFonts w:hint="eastAsia" w:ascii="宋体" w:hAnsi="宋体" w:eastAsia="宋体" w:cs="宋体"/>
          <w:color w:val="000000" w:themeColor="text1"/>
          <w:sz w:val="28"/>
          <w:szCs w:val="28"/>
          <w14:textFill>
            <w14:solidFill>
              <w14:schemeClr w14:val="tx1"/>
            </w14:solidFill>
          </w14:textFill>
        </w:rPr>
        <w:t>3.5 评标结果</w:t>
      </w:r>
      <w:bookmarkEnd w:id="170"/>
      <w:bookmarkEnd w:id="171"/>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2"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2"/>
      <w:bookmarkStart w:id="173" w:name="_Toc6400"/>
      <w:bookmarkStart w:id="174" w:name="_Toc15026"/>
      <w:bookmarkStart w:id="175" w:name="_Toc290389727"/>
      <w:bookmarkStart w:id="176" w:name="_Toc500323106"/>
      <w:bookmarkStart w:id="177" w:name="_Toc369361291"/>
      <w:bookmarkStart w:id="178" w:name="_Toc526842704"/>
      <w:bookmarkStart w:id="179" w:name="_Toc332199115"/>
      <w:bookmarkStart w:id="180" w:name="_Toc332199024"/>
      <w:bookmarkStart w:id="181" w:name="_Toc487726885"/>
      <w:bookmarkStart w:id="182" w:name="_Toc9257"/>
      <w:bookmarkStart w:id="183" w:name="_Toc360604917"/>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3"/>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4" w:name="_Toc2618"/>
      <w:bookmarkStart w:id="185" w:name="_Toc26075"/>
      <w:bookmarkStart w:id="186" w:name="_Toc15061"/>
      <w:bookmarkStart w:id="187" w:name="_Toc28308"/>
      <w:bookmarkStart w:id="188" w:name="_Toc10056"/>
      <w:bookmarkStart w:id="189"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4"/>
      <w:bookmarkEnd w:id="185"/>
      <w:bookmarkEnd w:id="186"/>
      <w:bookmarkEnd w:id="187"/>
      <w:bookmarkEnd w:id="188"/>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0" w:name="_Toc13145"/>
      <w:bookmarkStart w:id="191" w:name="_Toc13553"/>
      <w:bookmarkStart w:id="192" w:name="_Toc12926"/>
      <w:bookmarkStart w:id="193" w:name="_Toc29610"/>
      <w:bookmarkStart w:id="194" w:name="_Toc3750"/>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0"/>
      <w:bookmarkEnd w:id="191"/>
      <w:bookmarkEnd w:id="192"/>
      <w:bookmarkEnd w:id="193"/>
      <w:bookmarkEnd w:id="194"/>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5" w:name="_Toc10777"/>
      <w:bookmarkStart w:id="196" w:name="_Toc98"/>
      <w:bookmarkStart w:id="197" w:name="_Toc27737"/>
      <w:bookmarkStart w:id="198" w:name="_Toc5972"/>
      <w:bookmarkStart w:id="199" w:name="_Toc221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5"/>
      <w:bookmarkEnd w:id="196"/>
      <w:bookmarkEnd w:id="197"/>
      <w:bookmarkEnd w:id="198"/>
      <w:bookmarkEnd w:id="199"/>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0" w:name="_Toc2676"/>
      <w:bookmarkStart w:id="201" w:name="_Toc13181"/>
      <w:bookmarkStart w:id="202" w:name="_Toc14952"/>
      <w:bookmarkStart w:id="203" w:name="_Toc31732"/>
      <w:bookmarkStart w:id="204" w:name="_Toc30603"/>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w:t>
      </w:r>
      <w:r>
        <w:rPr>
          <w:rFonts w:hint="eastAsia" w:ascii="宋体" w:hAnsi="宋体" w:cs="宋体"/>
          <w:b w:val="0"/>
          <w:bCs/>
          <w:color w:val="000000"/>
          <w:sz w:val="28"/>
          <w:szCs w:val="28"/>
          <w:lang w:val="en-US" w:eastAsia="zh-CN"/>
        </w:rPr>
        <w:t>民法典</w:t>
      </w:r>
      <w:r>
        <w:rPr>
          <w:rFonts w:hint="eastAsia" w:ascii="宋体" w:hAnsi="宋体" w:eastAsia="宋体" w:cs="宋体"/>
          <w:b w:val="0"/>
          <w:bCs/>
          <w:color w:val="000000"/>
          <w:sz w:val="28"/>
          <w:szCs w:val="28"/>
          <w:lang w:val="en-US" w:eastAsia="zh-CN"/>
        </w:rPr>
        <w:t>》订立劳动合同的从业人员。</w:t>
      </w:r>
      <w:bookmarkEnd w:id="200"/>
      <w:bookmarkEnd w:id="201"/>
      <w:bookmarkEnd w:id="202"/>
      <w:bookmarkEnd w:id="203"/>
      <w:bookmarkEnd w:id="204"/>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5" w:name="_Toc31982"/>
      <w:bookmarkStart w:id="206" w:name="_Toc28280"/>
      <w:bookmarkStart w:id="207" w:name="_Toc9186"/>
      <w:bookmarkStart w:id="208" w:name="_Toc21217"/>
      <w:bookmarkStart w:id="209" w:name="_Toc31112"/>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5"/>
      <w:bookmarkEnd w:id="206"/>
      <w:bookmarkEnd w:id="207"/>
      <w:bookmarkEnd w:id="208"/>
      <w:bookmarkEnd w:id="209"/>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0" w:name="_Toc18434"/>
      <w:bookmarkStart w:id="211" w:name="_Toc6020"/>
      <w:bookmarkStart w:id="212" w:name="_Toc28678"/>
      <w:bookmarkStart w:id="213" w:name="_Toc23925"/>
      <w:bookmarkStart w:id="214" w:name="_Toc12766"/>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0"/>
      <w:bookmarkEnd w:id="211"/>
      <w:bookmarkEnd w:id="212"/>
      <w:bookmarkEnd w:id="213"/>
      <w:bookmarkEnd w:id="214"/>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5" w:name="_Toc28971"/>
      <w:bookmarkStart w:id="216" w:name="_Toc1848"/>
      <w:bookmarkStart w:id="217" w:name="_Toc9423"/>
      <w:bookmarkStart w:id="218" w:name="_Toc17492"/>
      <w:bookmarkStart w:id="219" w:name="_Toc24099"/>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5"/>
      <w:bookmarkEnd w:id="216"/>
      <w:bookmarkEnd w:id="217"/>
      <w:bookmarkEnd w:id="218"/>
      <w:bookmarkEnd w:id="219"/>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0" w:name="_Toc12812"/>
      <w:bookmarkStart w:id="221" w:name="_Toc7194"/>
      <w:bookmarkStart w:id="222" w:name="_Toc26502"/>
      <w:bookmarkStart w:id="223" w:name="_Toc26091"/>
      <w:bookmarkStart w:id="224" w:name="_Toc4775"/>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0"/>
      <w:bookmarkEnd w:id="221"/>
      <w:bookmarkEnd w:id="222"/>
      <w:bookmarkEnd w:id="223"/>
      <w:bookmarkEnd w:id="224"/>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5" w:name="_Toc2963"/>
      <w:bookmarkStart w:id="226" w:name="_Toc29579"/>
      <w:bookmarkStart w:id="227" w:name="_Toc4731"/>
      <w:bookmarkStart w:id="228" w:name="_Toc28497"/>
      <w:bookmarkStart w:id="229" w:name="_Toc10392"/>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5"/>
      <w:bookmarkEnd w:id="226"/>
      <w:bookmarkEnd w:id="227"/>
      <w:bookmarkEnd w:id="228"/>
      <w:bookmarkEnd w:id="229"/>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0" w:name="_Toc10033"/>
      <w:bookmarkStart w:id="231" w:name="_Toc12101"/>
      <w:bookmarkStart w:id="232" w:name="_Toc2434"/>
      <w:bookmarkStart w:id="233" w:name="_Toc25557"/>
      <w:bookmarkStart w:id="234" w:name="_Toc11983"/>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0"/>
      <w:bookmarkEnd w:id="231"/>
      <w:bookmarkEnd w:id="232"/>
      <w:bookmarkEnd w:id="233"/>
      <w:bookmarkEnd w:id="234"/>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89"/>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5"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5"/>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6"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6"/>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7"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37"/>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38"/>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9"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39"/>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0"/>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1"/>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2"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2"/>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3"/>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4"/>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5"/>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6"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6"/>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47"/>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48"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48"/>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49" w:name="_Toc802"/>
      <w:bookmarkStart w:id="250" w:name="_Toc2902"/>
      <w:bookmarkStart w:id="251" w:name="_Toc1696"/>
      <w:bookmarkStart w:id="252" w:name="_Toc2203"/>
      <w:bookmarkStart w:id="253" w:name="_Toc26044"/>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49"/>
      <w:bookmarkEnd w:id="250"/>
      <w:bookmarkEnd w:id="251"/>
      <w:bookmarkEnd w:id="252"/>
      <w:bookmarkEnd w:id="253"/>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4" w:name="_Toc30311"/>
      <w:bookmarkStart w:id="255" w:name="_Toc29619"/>
      <w:bookmarkStart w:id="256" w:name="_Toc6798"/>
      <w:bookmarkStart w:id="257" w:name="_Toc4872"/>
      <w:bookmarkStart w:id="258" w:name="_Toc31707"/>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4"/>
      <w:bookmarkEnd w:id="255"/>
      <w:bookmarkEnd w:id="256"/>
      <w:bookmarkEnd w:id="257"/>
      <w:bookmarkEnd w:id="258"/>
    </w:p>
    <w:p w14:paraId="42FAE0C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34B1D73">
      <w:pPr>
        <w:pStyle w:val="3"/>
        <w:rPr>
          <w:rFonts w:hint="eastAsia"/>
        </w:rPr>
      </w:pPr>
    </w:p>
    <w:p w14:paraId="5F54D5D9">
      <w:pPr>
        <w:rPr>
          <w:rFonts w:hint="eastAsia"/>
        </w:rPr>
      </w:pPr>
    </w:p>
    <w:p w14:paraId="356087EF">
      <w:pPr>
        <w:pStyle w:val="3"/>
        <w:rPr>
          <w:rFonts w:hint="eastAsia"/>
        </w:rPr>
      </w:pPr>
    </w:p>
    <w:p w14:paraId="3816CA3F">
      <w:pPr>
        <w:rPr>
          <w:rFonts w:hint="eastAsia"/>
        </w:rPr>
      </w:pPr>
    </w:p>
    <w:p w14:paraId="27294B23">
      <w:pPr>
        <w:pStyle w:val="3"/>
        <w:rPr>
          <w:rFonts w:hint="eastAsia"/>
        </w:rPr>
      </w:pPr>
    </w:p>
    <w:p w14:paraId="0CBF35BF">
      <w:pPr>
        <w:rPr>
          <w:rFonts w:hint="eastAsia"/>
        </w:rPr>
      </w:pPr>
    </w:p>
    <w:p w14:paraId="7B7CDA97">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B10A34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4"/>
      <w:bookmarkEnd w:id="175"/>
      <w:bookmarkEnd w:id="176"/>
      <w:bookmarkEnd w:id="177"/>
      <w:bookmarkEnd w:id="178"/>
      <w:bookmarkEnd w:id="179"/>
      <w:bookmarkEnd w:id="180"/>
      <w:bookmarkEnd w:id="181"/>
      <w:bookmarkEnd w:id="182"/>
      <w:bookmarkEnd w:id="183"/>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4"/>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4"/>
        <w:rPr>
          <w:rFonts w:hint="eastAsia" w:ascii="宋体" w:hAnsi="宋体" w:eastAsia="宋体" w:cs="宋体"/>
          <w:color w:val="000000" w:themeColor="text1"/>
          <w:sz w:val="28"/>
          <w:szCs w:val="28"/>
          <w14:textFill>
            <w14:solidFill>
              <w14:schemeClr w14:val="tx1"/>
            </w14:solidFill>
          </w14:textFill>
        </w:rPr>
      </w:pPr>
    </w:p>
    <w:p w14:paraId="4136BFF7">
      <w:pPr>
        <w:pStyle w:val="44"/>
        <w:rPr>
          <w:rFonts w:hint="eastAsia" w:ascii="宋体" w:hAnsi="宋体" w:eastAsia="宋体" w:cs="宋体"/>
          <w:color w:val="000000" w:themeColor="text1"/>
          <w:sz w:val="28"/>
          <w:szCs w:val="28"/>
          <w14:textFill>
            <w14:solidFill>
              <w14:schemeClr w14:val="tx1"/>
            </w14:solidFill>
          </w14:textFill>
        </w:rPr>
      </w:pPr>
    </w:p>
    <w:p w14:paraId="1747802D">
      <w:pPr>
        <w:pStyle w:val="44"/>
        <w:rPr>
          <w:rFonts w:hint="eastAsia" w:ascii="宋体" w:hAnsi="宋体" w:eastAsia="宋体" w:cs="宋体"/>
          <w:color w:val="000000" w:themeColor="text1"/>
          <w:sz w:val="28"/>
          <w:szCs w:val="28"/>
          <w14:textFill>
            <w14:solidFill>
              <w14:schemeClr w14:val="tx1"/>
            </w14:solidFill>
          </w14:textFill>
        </w:rPr>
      </w:pPr>
    </w:p>
    <w:p w14:paraId="105ED1C8">
      <w:pPr>
        <w:pStyle w:val="44"/>
        <w:rPr>
          <w:rFonts w:hint="eastAsia" w:ascii="宋体" w:hAnsi="宋体" w:eastAsia="宋体" w:cs="宋体"/>
          <w:color w:val="000000" w:themeColor="text1"/>
          <w:sz w:val="28"/>
          <w:szCs w:val="28"/>
          <w14:textFill>
            <w14:solidFill>
              <w14:schemeClr w14:val="tx1"/>
            </w14:solidFill>
          </w14:textFill>
        </w:rPr>
      </w:pPr>
    </w:p>
    <w:p w14:paraId="23A9DBFB">
      <w:pPr>
        <w:pStyle w:val="44"/>
        <w:rPr>
          <w:rFonts w:hint="eastAsia" w:ascii="宋体" w:hAnsi="宋体" w:eastAsia="宋体" w:cs="宋体"/>
          <w:color w:val="000000" w:themeColor="text1"/>
          <w:sz w:val="28"/>
          <w:szCs w:val="28"/>
          <w14:textFill>
            <w14:solidFill>
              <w14:schemeClr w14:val="tx1"/>
            </w14:solidFill>
          </w14:textFill>
        </w:rPr>
      </w:pPr>
    </w:p>
    <w:p w14:paraId="630F8BEE">
      <w:pPr>
        <w:pStyle w:val="44"/>
        <w:rPr>
          <w:rFonts w:hint="eastAsia" w:ascii="宋体" w:hAnsi="宋体" w:eastAsia="宋体" w:cs="宋体"/>
          <w:color w:val="000000" w:themeColor="text1"/>
          <w:sz w:val="28"/>
          <w:szCs w:val="28"/>
          <w14:textFill>
            <w14:solidFill>
              <w14:schemeClr w14:val="tx1"/>
            </w14:solidFill>
          </w14:textFill>
        </w:rPr>
      </w:pPr>
    </w:p>
    <w:p w14:paraId="267331B2">
      <w:pPr>
        <w:pStyle w:val="44"/>
        <w:rPr>
          <w:rFonts w:hint="eastAsia" w:ascii="宋体" w:hAnsi="宋体" w:eastAsia="宋体" w:cs="宋体"/>
          <w:color w:val="000000" w:themeColor="text1"/>
          <w:sz w:val="28"/>
          <w:szCs w:val="28"/>
          <w14:textFill>
            <w14:solidFill>
              <w14:schemeClr w14:val="tx1"/>
            </w14:solidFill>
          </w14:textFill>
        </w:rPr>
      </w:pPr>
    </w:p>
    <w:p w14:paraId="39073986">
      <w:pPr>
        <w:pStyle w:val="44"/>
        <w:rPr>
          <w:rFonts w:hint="eastAsia" w:ascii="宋体" w:hAnsi="宋体" w:eastAsia="宋体" w:cs="宋体"/>
          <w:color w:val="000000" w:themeColor="text1"/>
          <w:sz w:val="28"/>
          <w:szCs w:val="28"/>
          <w14:textFill>
            <w14:solidFill>
              <w14:schemeClr w14:val="tx1"/>
            </w14:solidFill>
          </w14:textFill>
        </w:rPr>
      </w:pPr>
    </w:p>
    <w:p w14:paraId="0C00A7A3">
      <w:pPr>
        <w:pStyle w:val="44"/>
        <w:rPr>
          <w:rFonts w:hint="eastAsia" w:ascii="宋体" w:hAnsi="宋体" w:eastAsia="宋体" w:cs="宋体"/>
          <w:color w:val="000000" w:themeColor="text1"/>
          <w:sz w:val="28"/>
          <w:szCs w:val="28"/>
          <w14:textFill>
            <w14:solidFill>
              <w14:schemeClr w14:val="tx1"/>
            </w14:solidFill>
          </w14:textFill>
        </w:rPr>
      </w:pPr>
    </w:p>
    <w:p w14:paraId="63955183">
      <w:pPr>
        <w:pStyle w:val="44"/>
        <w:rPr>
          <w:rFonts w:hint="eastAsia" w:ascii="宋体" w:hAnsi="宋体" w:eastAsia="宋体" w:cs="宋体"/>
          <w:color w:val="000000" w:themeColor="text1"/>
          <w:sz w:val="28"/>
          <w:szCs w:val="28"/>
          <w14:textFill>
            <w14:solidFill>
              <w14:schemeClr w14:val="tx1"/>
            </w14:solidFill>
          </w14:textFill>
        </w:rPr>
      </w:pPr>
    </w:p>
    <w:p w14:paraId="344FB934">
      <w:pPr>
        <w:pStyle w:val="44"/>
        <w:rPr>
          <w:rFonts w:hint="eastAsia" w:ascii="宋体" w:hAnsi="宋体" w:eastAsia="宋体" w:cs="宋体"/>
          <w:color w:val="000000" w:themeColor="text1"/>
          <w:sz w:val="28"/>
          <w:szCs w:val="28"/>
          <w14:textFill>
            <w14:solidFill>
              <w14:schemeClr w14:val="tx1"/>
            </w14:solidFill>
          </w14:textFill>
        </w:rPr>
      </w:pPr>
    </w:p>
    <w:p w14:paraId="08DECBFD">
      <w:pPr>
        <w:pStyle w:val="44"/>
        <w:rPr>
          <w:rFonts w:hint="eastAsia" w:ascii="宋体" w:hAnsi="宋体" w:eastAsia="宋体" w:cs="宋体"/>
          <w:color w:val="000000" w:themeColor="text1"/>
          <w:sz w:val="28"/>
          <w:szCs w:val="28"/>
          <w14:textFill>
            <w14:solidFill>
              <w14:schemeClr w14:val="tx1"/>
            </w14:solidFill>
          </w14:textFill>
        </w:rPr>
      </w:pPr>
    </w:p>
    <w:p w14:paraId="441E27C2">
      <w:pPr>
        <w:pStyle w:val="44"/>
        <w:rPr>
          <w:rFonts w:hint="eastAsia" w:ascii="宋体" w:hAnsi="宋体" w:eastAsia="宋体" w:cs="宋体"/>
          <w:color w:val="000000" w:themeColor="text1"/>
          <w:sz w:val="28"/>
          <w:szCs w:val="28"/>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427A27B1">
      <w:pPr>
        <w:pStyle w:val="2"/>
        <w:numPr>
          <w:ilvl w:val="0"/>
          <w:numId w:val="4"/>
        </w:numPr>
        <w:bidi w:val="0"/>
        <w:ind w:left="0" w:leftChars="0" w:firstLine="0" w:firstLineChars="0"/>
        <w:jc w:val="center"/>
        <w:rPr>
          <w:rFonts w:hint="eastAsia"/>
          <w:sz w:val="32"/>
          <w:szCs w:val="32"/>
          <w:lang w:eastAsia="zh-CN"/>
        </w:rPr>
      </w:pPr>
      <w:bookmarkStart w:id="259" w:name="_Toc30671"/>
      <w:bookmarkStart w:id="260" w:name="_Toc30610"/>
      <w:bookmarkStart w:id="261" w:name="_Toc457826139"/>
      <w:bookmarkStart w:id="262" w:name="_Toc406150410"/>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59"/>
      <w:bookmarkEnd w:id="260"/>
    </w:p>
    <w:p w14:paraId="7E47B22F">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7A2E251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宜川县云岩镇人民政府</w:t>
      </w:r>
    </w:p>
    <w:p w14:paraId="4AC7E49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乙方：</w:t>
      </w:r>
    </w:p>
    <w:p w14:paraId="6C36D481">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延安方逸造价咨询有限公司</w:t>
      </w:r>
      <w:r>
        <w:rPr>
          <w:rFonts w:hint="eastAsia" w:ascii="宋体" w:hAnsi="宋体" w:eastAsia="宋体" w:cs="宋体"/>
          <w:color w:val="auto"/>
          <w:kern w:val="0"/>
          <w:sz w:val="24"/>
          <w:szCs w:val="24"/>
        </w:rPr>
        <w:t xml:space="preserve">   </w:t>
      </w:r>
    </w:p>
    <w:p w14:paraId="12249AD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》、《中华人民共和国政府采购法》及其他有关法律、行政法规，遵循平等、自愿、公平和诚实信用的原则，双方就本建设工程施工协商一致，订立本合同。</w:t>
      </w:r>
    </w:p>
    <w:p w14:paraId="5B10127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24B269A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2E1E14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p>
    <w:p w14:paraId="5533B812">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sz w:val="24"/>
          <w:szCs w:val="24"/>
        </w:rPr>
      </w:pPr>
      <w:r>
        <w:rPr>
          <w:rFonts w:hint="eastAsia" w:ascii="宋体" w:hAnsi="宋体" w:eastAsia="宋体" w:cs="宋体"/>
          <w:kern w:val="0"/>
          <w:sz w:val="24"/>
          <w:szCs w:val="24"/>
        </w:rPr>
        <w:t xml:space="preserve">    工程项目内容：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EE25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资金来源：</w:t>
      </w:r>
      <w:r>
        <w:rPr>
          <w:rFonts w:hint="eastAsia" w:ascii="宋体" w:hAnsi="宋体" w:cs="宋体"/>
          <w:kern w:val="0"/>
          <w:sz w:val="24"/>
          <w:szCs w:val="24"/>
          <w:u w:val="single"/>
          <w:lang w:val="en-US" w:eastAsia="zh-CN"/>
        </w:rPr>
        <w:t>财政</w:t>
      </w:r>
      <w:r>
        <w:rPr>
          <w:rFonts w:hint="eastAsia" w:ascii="宋体" w:hAnsi="宋体" w:cs="宋体"/>
          <w:kern w:val="0"/>
          <w:sz w:val="24"/>
          <w:szCs w:val="24"/>
          <w:u w:val="single"/>
          <w:lang w:eastAsia="zh-CN"/>
        </w:rPr>
        <w:t>资金</w:t>
      </w:r>
    </w:p>
    <w:p w14:paraId="76D9D96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39066B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4E3558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110D73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37E409B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w:t>
      </w:r>
    </w:p>
    <w:p w14:paraId="0088057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7720503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AC07B0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2121B9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w:t>
      </w:r>
    </w:p>
    <w:p w14:paraId="255CE2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51782ED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1.合同总价（大写）： </w:t>
      </w:r>
    </w:p>
    <w:p w14:paraId="395E590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（小写）￥：元</w:t>
      </w:r>
    </w:p>
    <w:p w14:paraId="768FA4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6F23D8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45D734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6381C0E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eastAsia="zh-CN"/>
        </w:rPr>
        <w:t>响应</w:t>
      </w:r>
      <w:r>
        <w:rPr>
          <w:rFonts w:hint="eastAsia" w:ascii="宋体" w:hAnsi="宋体" w:eastAsia="宋体" w:cs="宋体"/>
          <w:kern w:val="0"/>
          <w:sz w:val="24"/>
          <w:szCs w:val="24"/>
          <w:lang w:eastAsia="zh-CN"/>
        </w:rPr>
        <w:t>文件</w:t>
      </w:r>
    </w:p>
    <w:p w14:paraId="28714D5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已标价的工程量清单</w:t>
      </w:r>
    </w:p>
    <w:p w14:paraId="60935E4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161F2D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5D6CEA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2D2F882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1A5265A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0EF7353D">
      <w:pPr>
        <w:pStyle w:val="44"/>
        <w:rPr>
          <w:rFonts w:hint="default" w:eastAsia="宋体"/>
          <w:u w:val="singl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预付款不低于40%                                      </w:t>
      </w:r>
    </w:p>
    <w:p w14:paraId="73632C3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5EB28DE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4F8DB4D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58DB2F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23F38CB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73B9F37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49BADB52">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5F5952D3">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69735BC0">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416D3E5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6BDE35E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3B164DF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0BB11E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3A6F169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427D1DE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1796DE09">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788607E4">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1"/>
    <w:bookmarkEnd w:id="262"/>
    <w:tbl>
      <w:tblPr>
        <w:tblStyle w:val="35"/>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11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533A652">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40E2309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C849834">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769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02B6832B">
            <w:pPr>
              <w:spacing w:line="420" w:lineRule="exact"/>
              <w:jc w:val="center"/>
              <w:rPr>
                <w:rFonts w:hint="eastAsia" w:ascii="宋体" w:hAnsi="宋体" w:eastAsia="宋体" w:cs="宋体"/>
                <w:bCs/>
                <w:sz w:val="24"/>
                <w:szCs w:val="24"/>
              </w:rPr>
            </w:pPr>
          </w:p>
          <w:p w14:paraId="7C096592">
            <w:pPr>
              <w:spacing w:line="420" w:lineRule="exact"/>
              <w:jc w:val="center"/>
              <w:rPr>
                <w:rFonts w:hint="eastAsia" w:ascii="宋体" w:hAnsi="宋体" w:eastAsia="宋体" w:cs="宋体"/>
                <w:bCs/>
                <w:sz w:val="24"/>
                <w:szCs w:val="24"/>
              </w:rPr>
            </w:pPr>
          </w:p>
          <w:p w14:paraId="19395B07">
            <w:pPr>
              <w:spacing w:line="420" w:lineRule="exact"/>
              <w:jc w:val="center"/>
              <w:rPr>
                <w:rFonts w:hint="eastAsia" w:ascii="宋体" w:hAnsi="宋体" w:eastAsia="宋体" w:cs="宋体"/>
                <w:bCs/>
                <w:sz w:val="24"/>
                <w:szCs w:val="24"/>
              </w:rPr>
            </w:pPr>
          </w:p>
          <w:p w14:paraId="35F4EFC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5AD45DB">
            <w:pPr>
              <w:spacing w:line="420" w:lineRule="exact"/>
              <w:jc w:val="center"/>
              <w:rPr>
                <w:rFonts w:hint="eastAsia" w:ascii="宋体" w:hAnsi="宋体" w:eastAsia="宋体" w:cs="宋体"/>
                <w:bCs/>
                <w:sz w:val="24"/>
                <w:szCs w:val="24"/>
              </w:rPr>
            </w:pPr>
          </w:p>
          <w:p w14:paraId="3942BD75">
            <w:pPr>
              <w:spacing w:line="420" w:lineRule="exact"/>
              <w:jc w:val="center"/>
              <w:rPr>
                <w:rFonts w:hint="eastAsia" w:ascii="宋体" w:hAnsi="宋体" w:eastAsia="宋体" w:cs="宋体"/>
                <w:bCs/>
                <w:sz w:val="24"/>
                <w:szCs w:val="24"/>
              </w:rPr>
            </w:pPr>
          </w:p>
          <w:p w14:paraId="1AFCF7CE">
            <w:pPr>
              <w:spacing w:line="420" w:lineRule="exact"/>
              <w:jc w:val="center"/>
              <w:rPr>
                <w:rFonts w:hint="eastAsia" w:ascii="宋体" w:hAnsi="宋体" w:eastAsia="宋体" w:cs="宋体"/>
                <w:bCs/>
                <w:sz w:val="24"/>
                <w:szCs w:val="24"/>
              </w:rPr>
            </w:pPr>
          </w:p>
          <w:p w14:paraId="50BD88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640D738">
            <w:pPr>
              <w:spacing w:line="420" w:lineRule="exact"/>
              <w:jc w:val="center"/>
              <w:rPr>
                <w:rFonts w:hint="eastAsia" w:ascii="宋体" w:hAnsi="宋体" w:eastAsia="宋体" w:cs="宋体"/>
                <w:bCs/>
                <w:sz w:val="24"/>
                <w:szCs w:val="24"/>
              </w:rPr>
            </w:pPr>
          </w:p>
          <w:p w14:paraId="0C44FB9F">
            <w:pPr>
              <w:spacing w:line="420" w:lineRule="exact"/>
              <w:jc w:val="center"/>
              <w:rPr>
                <w:rFonts w:hint="eastAsia" w:ascii="宋体" w:hAnsi="宋体" w:eastAsia="宋体" w:cs="宋体"/>
                <w:bCs/>
                <w:sz w:val="24"/>
                <w:szCs w:val="24"/>
              </w:rPr>
            </w:pPr>
          </w:p>
          <w:p w14:paraId="1E1CB4CB">
            <w:pPr>
              <w:spacing w:line="420" w:lineRule="exact"/>
              <w:jc w:val="center"/>
              <w:rPr>
                <w:rFonts w:hint="eastAsia" w:ascii="宋体" w:hAnsi="宋体" w:eastAsia="宋体" w:cs="宋体"/>
                <w:bCs/>
                <w:sz w:val="24"/>
                <w:szCs w:val="24"/>
              </w:rPr>
            </w:pPr>
          </w:p>
          <w:p w14:paraId="5DC8B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68F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7FA92BB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585438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594DB44D">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 xml:space="preserve">  </w:t>
            </w:r>
          </w:p>
        </w:tc>
      </w:tr>
      <w:tr w14:paraId="21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071E6911">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9E8CC94">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3F1C725">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6F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A9245D">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1AA3B50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226A2A2D">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91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6063B63">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3586AC2">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74240BF6">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17A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FDBE013">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C3A38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7C67904B">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cs="宋体"/>
                <w:bCs/>
                <w:sz w:val="24"/>
                <w:szCs w:val="24"/>
                <w:lang w:val="en-US" w:eastAsia="zh-CN"/>
              </w:rPr>
              <w:t xml:space="preserve"> </w:t>
            </w:r>
          </w:p>
        </w:tc>
      </w:tr>
      <w:tr w14:paraId="29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6AD8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61E05707">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53A82D84">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4E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A7C96D6">
            <w:pPr>
              <w:spacing w:line="420" w:lineRule="exact"/>
              <w:rPr>
                <w:rFonts w:hint="eastAsia" w:ascii="宋体" w:hAnsi="宋体" w:eastAsia="宋体" w:cs="宋体"/>
                <w:bCs/>
                <w:sz w:val="24"/>
                <w:szCs w:val="24"/>
              </w:rPr>
            </w:pPr>
          </w:p>
        </w:tc>
        <w:tc>
          <w:tcPr>
            <w:tcW w:w="3260" w:type="dxa"/>
            <w:noWrap w:val="0"/>
            <w:vAlign w:val="top"/>
          </w:tcPr>
          <w:p w14:paraId="2A2922C2">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4A599A56">
            <w:pPr>
              <w:spacing w:line="420" w:lineRule="exact"/>
              <w:rPr>
                <w:rFonts w:hint="eastAsia" w:ascii="宋体" w:hAnsi="宋体" w:eastAsia="宋体" w:cs="宋体"/>
                <w:bCs/>
                <w:sz w:val="24"/>
                <w:szCs w:val="24"/>
              </w:rPr>
            </w:pPr>
          </w:p>
        </w:tc>
      </w:tr>
      <w:tr w14:paraId="492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3EA904E">
            <w:pPr>
              <w:spacing w:line="420" w:lineRule="exact"/>
              <w:rPr>
                <w:rFonts w:hint="eastAsia" w:ascii="宋体" w:hAnsi="宋体" w:eastAsia="宋体" w:cs="宋体"/>
                <w:bCs/>
                <w:sz w:val="24"/>
                <w:szCs w:val="24"/>
              </w:rPr>
            </w:pPr>
          </w:p>
        </w:tc>
        <w:tc>
          <w:tcPr>
            <w:tcW w:w="3260" w:type="dxa"/>
            <w:noWrap w:val="0"/>
            <w:vAlign w:val="top"/>
          </w:tcPr>
          <w:p w14:paraId="1DF4F49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114A43FE">
            <w:pPr>
              <w:spacing w:line="420" w:lineRule="exact"/>
              <w:rPr>
                <w:rFonts w:hint="eastAsia" w:ascii="宋体" w:hAnsi="宋体" w:eastAsia="宋体" w:cs="宋体"/>
                <w:bCs/>
                <w:sz w:val="24"/>
                <w:szCs w:val="24"/>
              </w:rPr>
            </w:pPr>
          </w:p>
        </w:tc>
      </w:tr>
      <w:tr w14:paraId="0EB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E82DBF">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5203E9A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CC1D7B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627B1F60">
      <w:pPr>
        <w:numPr>
          <w:ilvl w:val="0"/>
          <w:numId w:val="0"/>
        </w:numPr>
        <w:rPr>
          <w:rFonts w:hint="eastAsia" w:ascii="宋体" w:hAnsi="宋体" w:eastAsia="宋体" w:cs="宋体"/>
        </w:r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0E8DCCDC">
      <w:pPr>
        <w:pStyle w:val="2"/>
        <w:keepNext w:val="0"/>
        <w:pageBreakBefore/>
        <w:numPr>
          <w:ilvl w:val="0"/>
          <w:numId w:val="4"/>
        </w:numPr>
        <w:ind w:left="0" w:leftChars="0" w:firstLine="0" w:firstLineChars="0"/>
        <w:jc w:val="center"/>
        <w:rPr>
          <w:rFonts w:hint="eastAsia"/>
        </w:rPr>
      </w:pPr>
      <w:bookmarkStart w:id="263"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63"/>
      <w:r>
        <w:rPr>
          <w:rFonts w:hint="eastAsia" w:ascii="宋体" w:hAnsi="宋体" w:cs="宋体"/>
          <w:color w:val="000000" w:themeColor="text1"/>
          <w:sz w:val="30"/>
          <w:szCs w:val="30"/>
          <w:lang w:val="en-US" w:eastAsia="zh-CN"/>
          <w14:textFill>
            <w14:solidFill>
              <w14:schemeClr w14:val="tx1"/>
            </w14:solidFill>
          </w14:textFill>
        </w:rPr>
        <w:t>工程量清单</w:t>
      </w:r>
    </w:p>
    <w:p w14:paraId="6E27B38D">
      <w:pPr>
        <w:bidi w:val="0"/>
        <w:rPr>
          <w:rFonts w:hint="eastAsia"/>
          <w:lang w:val="en-US" w:eastAsia="zh-CN"/>
        </w:rPr>
      </w:pPr>
      <w:bookmarkStart w:id="264" w:name="_Toc3645"/>
    </w:p>
    <w:p w14:paraId="1ED2224F">
      <w:pPr>
        <w:bidi w:val="0"/>
        <w:jc w:val="center"/>
        <w:rPr>
          <w:rFonts w:hint="default" w:ascii="宋体" w:hAnsi="宋体" w:eastAsia="宋体" w:cs="宋体"/>
          <w:b/>
          <w:color w:val="000000" w:themeColor="text1"/>
          <w:kern w:val="44"/>
          <w:sz w:val="30"/>
          <w:szCs w:val="30"/>
          <w:lang w:val="en-US" w:eastAsia="zh-CN" w:bidi="ar-SA"/>
          <w14:textFill>
            <w14:solidFill>
              <w14:schemeClr w14:val="tx1"/>
            </w14:solidFill>
          </w14:textFill>
        </w:rPr>
        <w:sectPr>
          <w:footerReference r:id="rId12" w:type="first"/>
          <w:footerReference r:id="rId11" w:type="default"/>
          <w:pgSz w:w="11906" w:h="16838"/>
          <w:pgMar w:top="1213" w:right="1440" w:bottom="1213" w:left="1440" w:header="851" w:footer="992" w:gutter="0"/>
          <w:pgNumType w:fmt="decimal"/>
          <w:cols w:space="720" w:num="1"/>
          <w:titlePg/>
          <w:docGrid w:linePitch="312" w:charSpace="0"/>
        </w:sectPr>
      </w:pPr>
      <w:r>
        <w:rPr>
          <w:rFonts w:hint="eastAsia" w:ascii="宋体" w:hAnsi="宋体" w:eastAsia="宋体" w:cs="宋体"/>
          <w:b/>
          <w:color w:val="000000" w:themeColor="text1"/>
          <w:kern w:val="44"/>
          <w:sz w:val="30"/>
          <w:szCs w:val="30"/>
          <w:lang w:val="en-US" w:eastAsia="zh-CN" w:bidi="ar-SA"/>
          <w14:textFill>
            <w14:solidFill>
              <w14:schemeClr w14:val="tx1"/>
            </w14:solidFill>
          </w14:textFill>
        </w:rPr>
        <w:t>另附</w:t>
      </w: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4"/>
    </w:p>
    <w:p w14:paraId="39900C36">
      <w:pPr>
        <w:numPr>
          <w:ilvl w:val="0"/>
          <w:numId w:val="0"/>
        </w:numPr>
        <w:ind w:leftChars="0"/>
        <w:rPr>
          <w:rFonts w:hint="eastAsia"/>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w:t>
      </w: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val="en-US" w:eastAsia="zh-CN"/>
        </w:rPr>
        <w:t>文件的正本和所有的副本、资格文件必须全部打印并分别装订成册，并编制目录，统一装订、编码，必须在每一页的下方清楚标明。</w:t>
      </w:r>
      <w:r>
        <w:rPr>
          <w:rFonts w:hint="eastAsia"/>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YAFY-2026-01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4"/>
        <w:rPr>
          <w:rFonts w:hint="eastAsia"/>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宜川县云岩镇人民政府宜川县云岩镇镇区道路改造工程</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4"/>
        <w:rPr>
          <w:rFonts w:hint="eastAsia" w:ascii="宋体" w:hAnsi="宋体" w:eastAsia="宋体" w:cs="宋体"/>
          <w:b/>
          <w:color w:val="000000" w:themeColor="text1"/>
          <w:sz w:val="30"/>
          <w:szCs w:val="30"/>
          <w14:textFill>
            <w14:solidFill>
              <w14:schemeClr w14:val="tx1"/>
            </w14:solidFill>
          </w14:textFill>
        </w:rPr>
      </w:pPr>
    </w:p>
    <w:p w14:paraId="70E03C7E">
      <w:pPr>
        <w:pStyle w:val="44"/>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5"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5"/>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6"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6"/>
    </w:p>
    <w:p w14:paraId="4D4DF228">
      <w:pPr>
        <w:spacing w:line="360" w:lineRule="auto"/>
        <w:rPr>
          <w:rFonts w:hint="eastAsia" w:ascii="宋体" w:hAnsi="宋体" w:eastAsia="宋体" w:cs="宋体"/>
          <w:color w:val="000000" w:themeColor="text1"/>
          <w14:textFill>
            <w14:solidFill>
              <w14:schemeClr w14:val="tx1"/>
            </w14:solidFill>
          </w14:textFill>
        </w:rPr>
        <w:sectPr>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67" w:name="_Toc420591666"/>
      <w:bookmarkStart w:id="268" w:name="_Toc420591500"/>
      <w:bookmarkStart w:id="269" w:name="_Toc421778385"/>
      <w:bookmarkStart w:id="270" w:name="_Toc372885969"/>
      <w:r>
        <w:rPr>
          <w:rFonts w:hint="eastAsia" w:ascii="宋体" w:hAnsi="宋体" w:eastAsia="宋体" w:cs="宋体"/>
          <w:b/>
          <w:color w:val="000000" w:themeColor="text1"/>
          <w:sz w:val="44"/>
          <w:szCs w:val="44"/>
          <w14:textFill>
            <w14:solidFill>
              <w14:schemeClr w14:val="tx1"/>
            </w14:solidFill>
          </w14:textFill>
        </w:rPr>
        <w:t>目    录</w:t>
      </w:r>
      <w:bookmarkEnd w:id="267"/>
      <w:bookmarkEnd w:id="268"/>
      <w:bookmarkEnd w:id="269"/>
      <w:bookmarkEnd w:id="270"/>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1" w:name="_Toc2157"/>
      <w:bookmarkStart w:id="272" w:name="_Toc500323111"/>
      <w:bookmarkStart w:id="273" w:name="_Toc420591668"/>
      <w:bookmarkStart w:id="274" w:name="_Toc421778387"/>
      <w:bookmarkStart w:id="275" w:name="_Toc3816"/>
      <w:bookmarkStart w:id="276" w:name="_Toc425240482"/>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cs="宋体"/>
        </w:rPr>
      </w:pPr>
    </w:p>
    <w:tbl>
      <w:tblPr>
        <w:tblStyle w:val="35"/>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延安方逸造价咨询有限公司</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w:t>
            </w:r>
            <w:r>
              <w:rPr>
                <w:rFonts w:hint="eastAsia" w:ascii="宋体" w:hAnsi="宋体" w:cs="宋体"/>
                <w:sz w:val="24"/>
                <w:lang w:val="en-US" w:eastAsia="zh-CN"/>
              </w:rPr>
              <w:t>证明文件</w:t>
            </w:r>
            <w:r>
              <w:rPr>
                <w:rFonts w:hint="eastAsia" w:ascii="宋体" w:hAnsi="宋体" w:eastAsia="宋体" w:cs="宋体"/>
                <w:sz w:val="24"/>
                <w:lang w:val="en-US" w:eastAsia="zh-CN"/>
              </w:rPr>
              <w:t>1份</w:t>
            </w:r>
            <w:r>
              <w:rPr>
                <w:rFonts w:hint="eastAsia" w:ascii="宋体" w:hAnsi="宋体" w:eastAsia="宋体" w:cs="宋体"/>
                <w:sz w:val="24"/>
              </w:rPr>
              <w:t>。</w:t>
            </w:r>
          </w:p>
        </w:tc>
      </w:tr>
      <w:tr w14:paraId="17A4E1C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154C4E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3CACEF6C">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7CA34F38">
            <w:pPr>
              <w:tabs>
                <w:tab w:val="left" w:pos="1260"/>
              </w:tabs>
              <w:spacing w:line="360" w:lineRule="exact"/>
              <w:rPr>
                <w:rFonts w:hint="eastAsia" w:ascii="宋体" w:hAnsi="宋体" w:eastAsia="宋体" w:cs="宋体"/>
                <w:color w:val="000000"/>
                <w:sz w:val="24"/>
                <w:lang w:eastAsia="zh-CN"/>
              </w:rPr>
            </w:pPr>
            <w:r>
              <w:rPr>
                <w:rFonts w:hint="eastAsia" w:ascii="宋体" w:hAnsi="宋体" w:cs="宋体"/>
                <w:color w:val="000000"/>
                <w:sz w:val="24"/>
                <w:lang w:val="en-US" w:eastAsia="zh-CN"/>
              </w:rPr>
              <w:t>/</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bookmarkStart w:id="369" w:name="_GoBack"/>
            <w:bookmarkEnd w:id="369"/>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7" w:name="_Toc526842726"/>
      <w:bookmarkStart w:id="278" w:name="_Toc21622"/>
      <w:r>
        <w:rPr>
          <w:rFonts w:hint="eastAsia" w:ascii="宋体" w:hAnsi="宋体" w:eastAsia="宋体" w:cs="宋体"/>
          <w:b/>
          <w:color w:val="000000" w:themeColor="text1"/>
          <w:sz w:val="44"/>
          <w:szCs w:val="44"/>
          <w14:textFill>
            <w14:solidFill>
              <w14:schemeClr w14:val="tx1"/>
            </w14:solidFill>
          </w14:textFill>
        </w:rPr>
        <w:t>二、磋商一览表</w:t>
      </w:r>
      <w:bookmarkEnd w:id="271"/>
      <w:bookmarkEnd w:id="272"/>
      <w:bookmarkEnd w:id="273"/>
      <w:bookmarkEnd w:id="274"/>
      <w:bookmarkEnd w:id="275"/>
      <w:bookmarkEnd w:id="276"/>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77"/>
      <w:bookmarkEnd w:id="278"/>
    </w:p>
    <w:p w14:paraId="2023508D">
      <w:pPr>
        <w:tabs>
          <w:tab w:val="left" w:pos="7920"/>
        </w:tabs>
        <w:jc w:val="center"/>
        <w:rPr>
          <w:rFonts w:hint="eastAsia" w:ascii="黑体" w:hAnsi="黑体" w:eastAsia="黑体" w:cs="黑体"/>
          <w:sz w:val="32"/>
          <w:szCs w:val="44"/>
          <w:u w:val="single"/>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.1</w:t>
      </w:r>
      <w:r>
        <w:rPr>
          <w:rFonts w:hint="eastAsia" w:ascii="黑体" w:hAnsi="黑体" w:eastAsia="黑体" w:cs="黑体"/>
          <w:sz w:val="32"/>
          <w:szCs w:val="44"/>
          <w:u w:val="single"/>
          <w:lang w:val="en-US" w:eastAsia="zh-CN"/>
        </w:rPr>
        <w:t>磋商</w:t>
      </w:r>
      <w:r>
        <w:rPr>
          <w:rFonts w:hint="eastAsia" w:ascii="黑体" w:hAnsi="黑体" w:eastAsia="黑体" w:cs="黑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5"/>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黑体" w:hAnsi="黑体" w:eastAsia="黑体" w:cs="黑体"/>
          <w:sz w:val="32"/>
          <w:szCs w:val="44"/>
          <w:u w:val="single"/>
        </w:rPr>
      </w:pPr>
    </w:p>
    <w:p w14:paraId="6C5DF20F">
      <w:pPr>
        <w:tabs>
          <w:tab w:val="left" w:pos="5110"/>
        </w:tabs>
        <w:ind w:right="280"/>
        <w:jc w:val="center"/>
        <w:rPr>
          <w:rFonts w:hint="eastAsia" w:ascii="黑体" w:hAnsi="黑体" w:eastAsia="黑体" w:cs="黑体"/>
          <w:sz w:val="32"/>
          <w:szCs w:val="44"/>
          <w:u w:val="single"/>
        </w:rPr>
      </w:pPr>
    </w:p>
    <w:p w14:paraId="7B91AA58">
      <w:pPr>
        <w:pStyle w:val="17"/>
        <w:rPr>
          <w:rFonts w:hint="eastAsia" w:ascii="黑体" w:hAnsi="黑体" w:eastAsia="黑体" w:cs="黑体"/>
          <w:sz w:val="32"/>
          <w:szCs w:val="44"/>
          <w:u w:val="single"/>
        </w:rPr>
      </w:pPr>
    </w:p>
    <w:p w14:paraId="3F0DBC2F">
      <w:pPr>
        <w:rPr>
          <w:rFonts w:hint="eastAsia"/>
        </w:rPr>
      </w:pPr>
    </w:p>
    <w:p w14:paraId="089817C2">
      <w:pPr>
        <w:tabs>
          <w:tab w:val="left" w:pos="5110"/>
        </w:tabs>
        <w:ind w:right="280"/>
        <w:jc w:val="center"/>
        <w:rPr>
          <w:rFonts w:hint="eastAsia" w:ascii="黑体" w:hAnsi="黑体" w:eastAsia="黑体" w:cs="黑体"/>
          <w:sz w:val="32"/>
          <w:szCs w:val="44"/>
          <w:u w:val="single"/>
          <w:lang w:val="en-US" w:eastAsia="zh-CN"/>
        </w:rPr>
      </w:pPr>
    </w:p>
    <w:p w14:paraId="7F43E91F">
      <w:pPr>
        <w:tabs>
          <w:tab w:val="left" w:pos="5110"/>
        </w:tabs>
        <w:ind w:right="280"/>
        <w:jc w:val="center"/>
        <w:rPr>
          <w:rFonts w:hint="default" w:ascii="黑体" w:hAnsi="黑体" w:eastAsia="黑体" w:cs="黑体"/>
          <w:sz w:val="32"/>
          <w:szCs w:val="44"/>
          <w:u w:val="single"/>
          <w:lang w:val="en-US" w:eastAsia="zh-CN"/>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.2</w:t>
      </w:r>
      <w:r>
        <w:rPr>
          <w:rFonts w:hint="eastAsia" w:ascii="黑体" w:hAnsi="黑体" w:eastAsia="黑体" w:cs="黑体"/>
          <w:sz w:val="32"/>
          <w:szCs w:val="44"/>
          <w:u w:val="single"/>
          <w:lang w:val="en-US" w:eastAsia="zh-CN"/>
        </w:rPr>
        <w:t>已标价工程量清单</w:t>
      </w:r>
    </w:p>
    <w:p w14:paraId="2FDD0F1D">
      <w:pPr>
        <w:tabs>
          <w:tab w:val="left" w:pos="5110"/>
        </w:tabs>
        <w:ind w:right="280"/>
        <w:jc w:val="center"/>
        <w:rPr>
          <w:rFonts w:hint="eastAsia" w:ascii="黑体" w:hAnsi="黑体" w:eastAsia="黑体" w:cs="黑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14:paraId="3A8ADD57">
      <w:pPr>
        <w:snapToGrid w:val="0"/>
        <w:spacing w:line="336" w:lineRule="auto"/>
        <w:ind w:left="-96" w:firstLine="102"/>
        <w:rPr>
          <w:rFonts w:hint="eastAsia" w:ascii="宋体" w:hAnsi="宋体" w:cs="宋体"/>
          <w:bCs/>
          <w:sz w:val="24"/>
        </w:rPr>
      </w:pPr>
    </w:p>
    <w:p w14:paraId="62E90F99">
      <w:pPr>
        <w:jc w:val="both"/>
        <w:rPr>
          <w:rFonts w:hint="eastAsia" w:ascii="宋体" w:hAnsi="宋体" w:cs="宋体"/>
          <w:sz w:val="24"/>
        </w:rPr>
      </w:pPr>
    </w:p>
    <w:p w14:paraId="0DE77837">
      <w:pPr>
        <w:pStyle w:val="18"/>
        <w:rPr>
          <w:rFonts w:hint="eastAsia" w:ascii="宋体" w:hAnsi="宋体" w:cs="宋体"/>
          <w:sz w:val="24"/>
        </w:rPr>
      </w:pPr>
    </w:p>
    <w:p w14:paraId="528A1DA7">
      <w:pPr>
        <w:pStyle w:val="18"/>
        <w:rPr>
          <w:rFonts w:hint="eastAsia" w:ascii="宋体" w:hAnsi="宋体" w:cs="宋体"/>
          <w:sz w:val="24"/>
        </w:rPr>
      </w:pPr>
    </w:p>
    <w:p w14:paraId="503DB6AF">
      <w:pPr>
        <w:pStyle w:val="18"/>
        <w:rPr>
          <w:rFonts w:hint="eastAsia" w:ascii="宋体" w:hAnsi="宋体" w:cs="宋体"/>
          <w:sz w:val="24"/>
        </w:rPr>
      </w:pPr>
    </w:p>
    <w:p w14:paraId="4380ED4F">
      <w:pPr>
        <w:pStyle w:val="18"/>
        <w:rPr>
          <w:rFonts w:hint="eastAsia" w:ascii="宋体" w:hAnsi="宋体" w:cs="宋体"/>
          <w:sz w:val="24"/>
        </w:rPr>
      </w:pPr>
    </w:p>
    <w:p w14:paraId="3A1E9C24">
      <w:pPr>
        <w:pStyle w:val="18"/>
        <w:rPr>
          <w:rFonts w:hint="eastAsia" w:ascii="宋体" w:hAnsi="宋体" w:cs="宋体"/>
          <w:sz w:val="24"/>
        </w:rPr>
      </w:pPr>
    </w:p>
    <w:p w14:paraId="69D776E6">
      <w:pPr>
        <w:pStyle w:val="18"/>
        <w:rPr>
          <w:rFonts w:hint="eastAsia" w:ascii="宋体" w:hAnsi="宋体" w:cs="宋体"/>
          <w:sz w:val="24"/>
        </w:rPr>
      </w:pPr>
    </w:p>
    <w:p w14:paraId="08E24AB5">
      <w:pPr>
        <w:pStyle w:val="18"/>
        <w:rPr>
          <w:rFonts w:hint="eastAsia" w:ascii="宋体" w:hAnsi="宋体" w:cs="宋体"/>
          <w:sz w:val="24"/>
        </w:rPr>
      </w:pPr>
    </w:p>
    <w:p w14:paraId="7BB1E881">
      <w:pPr>
        <w:pStyle w:val="18"/>
        <w:rPr>
          <w:rFonts w:hint="eastAsia" w:ascii="宋体" w:hAnsi="宋体" w:cs="宋体"/>
          <w:sz w:val="24"/>
        </w:rPr>
      </w:pPr>
    </w:p>
    <w:p w14:paraId="760618BB">
      <w:pPr>
        <w:pStyle w:val="18"/>
        <w:rPr>
          <w:rFonts w:hint="eastAsia" w:ascii="宋体" w:hAnsi="宋体" w:cs="宋体"/>
          <w:sz w:val="24"/>
        </w:rPr>
      </w:pPr>
    </w:p>
    <w:p w14:paraId="28AC21A0">
      <w:pPr>
        <w:pStyle w:val="18"/>
        <w:rPr>
          <w:rFonts w:hint="eastAsia" w:ascii="宋体" w:hAnsi="宋体" w:cs="宋体"/>
          <w:sz w:val="24"/>
        </w:rPr>
      </w:pPr>
    </w:p>
    <w:p w14:paraId="5E2C2844">
      <w:pPr>
        <w:pStyle w:val="18"/>
        <w:rPr>
          <w:rFonts w:hint="eastAsia" w:ascii="宋体" w:hAnsi="宋体" w:cs="宋体"/>
          <w:sz w:val="24"/>
        </w:rPr>
      </w:pPr>
    </w:p>
    <w:p w14:paraId="41012C4A">
      <w:pPr>
        <w:pStyle w:val="18"/>
        <w:rPr>
          <w:rFonts w:hint="eastAsia" w:ascii="宋体" w:hAnsi="宋体" w:cs="宋体"/>
          <w:sz w:val="24"/>
        </w:rPr>
      </w:pPr>
    </w:p>
    <w:p w14:paraId="55AE579C">
      <w:pPr>
        <w:pStyle w:val="18"/>
        <w:rPr>
          <w:rFonts w:hint="eastAsia" w:ascii="宋体" w:hAnsi="宋体" w:cs="宋体"/>
          <w:sz w:val="24"/>
        </w:rPr>
      </w:pPr>
    </w:p>
    <w:p w14:paraId="7588161F">
      <w:pPr>
        <w:pStyle w:val="18"/>
        <w:rPr>
          <w:rFonts w:hint="eastAsia" w:ascii="宋体" w:hAnsi="宋体" w:cs="宋体"/>
          <w:sz w:val="24"/>
        </w:rPr>
      </w:pPr>
    </w:p>
    <w:p w14:paraId="16F74565">
      <w:pPr>
        <w:pStyle w:val="18"/>
        <w:rPr>
          <w:rFonts w:hint="eastAsia" w:ascii="宋体" w:hAnsi="宋体" w:cs="宋体"/>
          <w:sz w:val="24"/>
        </w:rPr>
      </w:pPr>
    </w:p>
    <w:p w14:paraId="1FC51645">
      <w:pPr>
        <w:pStyle w:val="18"/>
        <w:rPr>
          <w:rFonts w:hint="eastAsia" w:ascii="宋体" w:hAnsi="宋体" w:cs="宋体"/>
          <w:sz w:val="24"/>
        </w:rPr>
      </w:pPr>
    </w:p>
    <w:p w14:paraId="1B0D8713">
      <w:pPr>
        <w:pStyle w:val="18"/>
        <w:rPr>
          <w:rFonts w:hint="eastAsia" w:ascii="宋体" w:hAnsi="宋体" w:cs="宋体"/>
          <w:sz w:val="24"/>
        </w:rPr>
      </w:pPr>
    </w:p>
    <w:p w14:paraId="7EDD1F87">
      <w:pPr>
        <w:pStyle w:val="18"/>
        <w:rPr>
          <w:rFonts w:hint="eastAsia" w:ascii="宋体" w:hAnsi="宋体" w:cs="宋体"/>
          <w:sz w:val="24"/>
        </w:rPr>
      </w:pPr>
    </w:p>
    <w:p w14:paraId="366BEB4F">
      <w:pPr>
        <w:pStyle w:val="18"/>
        <w:rPr>
          <w:rFonts w:hint="eastAsia" w:ascii="宋体" w:hAnsi="宋体" w:cs="宋体"/>
          <w:sz w:val="24"/>
        </w:rPr>
      </w:pPr>
    </w:p>
    <w:p w14:paraId="4E6B6E48">
      <w:pPr>
        <w:pStyle w:val="18"/>
        <w:rPr>
          <w:rFonts w:hint="eastAsia" w:ascii="宋体" w:hAnsi="宋体" w:cs="宋体"/>
          <w:sz w:val="24"/>
        </w:rPr>
      </w:pPr>
    </w:p>
    <w:p w14:paraId="2640C0D2">
      <w:pPr>
        <w:pStyle w:val="18"/>
        <w:rPr>
          <w:rFonts w:hint="eastAsia" w:ascii="宋体" w:hAnsi="宋体" w:cs="宋体"/>
          <w:sz w:val="24"/>
        </w:rPr>
      </w:pPr>
    </w:p>
    <w:p w14:paraId="37ADA4DF">
      <w:pPr>
        <w:pStyle w:val="18"/>
        <w:rPr>
          <w:rFonts w:hint="eastAsia" w:ascii="宋体" w:hAnsi="宋体" w:cs="宋体"/>
          <w:sz w:val="24"/>
        </w:rPr>
      </w:pPr>
    </w:p>
    <w:p w14:paraId="6AD3FF7D">
      <w:pPr>
        <w:pStyle w:val="18"/>
        <w:rPr>
          <w:rFonts w:hint="eastAsia" w:ascii="宋体" w:hAnsi="宋体" w:cs="宋体"/>
          <w:sz w:val="24"/>
        </w:rPr>
      </w:pPr>
    </w:p>
    <w:p w14:paraId="14A0F4FD">
      <w:pPr>
        <w:pStyle w:val="18"/>
        <w:rPr>
          <w:rFonts w:hint="eastAsia" w:ascii="宋体" w:hAnsi="宋体" w:cs="宋体"/>
          <w:sz w:val="24"/>
        </w:rPr>
      </w:pPr>
    </w:p>
    <w:p w14:paraId="1AF45614">
      <w:pPr>
        <w:pStyle w:val="18"/>
        <w:rPr>
          <w:rFonts w:hint="eastAsia" w:ascii="宋体" w:hAnsi="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cs="宋体"/>
          <w:b w:val="0"/>
          <w:bCs w:val="0"/>
          <w:color w:val="000000"/>
          <w:sz w:val="24"/>
          <w:lang w:eastAsia="zh-CN"/>
        </w:rPr>
        <w:t>签字或盖章</w:t>
      </w:r>
      <w:r>
        <w:rPr>
          <w:rFonts w:hint="eastAsia" w:ascii="宋体" w:hAnsi="宋体" w:eastAsia="宋体" w:cs="宋体"/>
          <w:b w:val="0"/>
          <w:bCs w:val="0"/>
          <w:color w:val="000000"/>
          <w:sz w:val="24"/>
        </w:rPr>
        <w:t>）</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（签字）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cs="宋体"/>
          <w:sz w:val="24"/>
        </w:rPr>
      </w:pPr>
    </w:p>
    <w:p w14:paraId="7496AFD7">
      <w:pPr>
        <w:pStyle w:val="18"/>
        <w:rPr>
          <w:rFonts w:hint="eastAsia" w:ascii="宋体" w:hAnsi="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9" w:name="_Toc425240483"/>
      <w:bookmarkStart w:id="280" w:name="_Toc526842727"/>
      <w:bookmarkStart w:id="281" w:name="_Toc500323112"/>
      <w:bookmarkStart w:id="282" w:name="_Toc421778388"/>
      <w:bookmarkStart w:id="283" w:name="_Toc8191"/>
      <w:bookmarkStart w:id="284" w:name="_Toc29180"/>
      <w:bookmarkStart w:id="285" w:name="_Toc420591669"/>
      <w:r>
        <w:rPr>
          <w:rFonts w:hint="eastAsia" w:ascii="宋体" w:hAnsi="宋体" w:eastAsia="宋体" w:cs="宋体"/>
          <w:b/>
          <w:color w:val="000000" w:themeColor="text1"/>
          <w:sz w:val="44"/>
          <w:szCs w:val="44"/>
          <w14:textFill>
            <w14:solidFill>
              <w14:schemeClr w14:val="tx1"/>
            </w14:solidFill>
          </w14:textFill>
        </w:rPr>
        <w:t>三、法定代表人身份证明</w:t>
      </w:r>
      <w:bookmarkEnd w:id="279"/>
      <w:bookmarkEnd w:id="280"/>
      <w:bookmarkEnd w:id="281"/>
      <w:bookmarkEnd w:id="282"/>
      <w:bookmarkEnd w:id="283"/>
      <w:bookmarkEnd w:id="284"/>
      <w:bookmarkEnd w:id="285"/>
    </w:p>
    <w:tbl>
      <w:tblPr>
        <w:tblStyle w:val="3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86" w:name="_Toc420591670"/>
            <w:bookmarkStart w:id="287" w:name="_Toc425240484"/>
            <w:bookmarkStart w:id="288" w:name="_Toc13782"/>
            <w:bookmarkStart w:id="289" w:name="_Toc526842728"/>
            <w:bookmarkStart w:id="290" w:name="_Toc421778389"/>
            <w:bookmarkStart w:id="291" w:name="_Toc32762"/>
            <w:bookmarkStart w:id="292" w:name="_Toc500323113"/>
            <w:r>
              <w:rPr>
                <w:rFonts w:hint="eastAsia" w:ascii="宋体" w:hAnsi="宋体" w:eastAsia="宋体" w:cs="宋体"/>
                <w:sz w:val="24"/>
              </w:rPr>
              <w:t>致：</w:t>
            </w:r>
            <w:r>
              <w:rPr>
                <w:rFonts w:hint="eastAsia" w:ascii="宋体" w:hAnsi="宋体" w:cs="宋体"/>
                <w:sz w:val="24"/>
                <w:lang w:eastAsia="zh-CN"/>
              </w:rPr>
              <w:t>延安方逸造价咨询有限公司</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3"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86"/>
      <w:bookmarkEnd w:id="287"/>
      <w:bookmarkEnd w:id="288"/>
      <w:bookmarkEnd w:id="289"/>
      <w:bookmarkEnd w:id="290"/>
      <w:bookmarkEnd w:id="291"/>
      <w:bookmarkEnd w:id="292"/>
      <w:bookmarkEnd w:id="293"/>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延安方逸造价咨询有限公司</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4" w:name="_Toc3574"/>
      <w:bookmarkStart w:id="295" w:name="_Toc500323115"/>
      <w:bookmarkStart w:id="296" w:name="_Toc526842730"/>
      <w:bookmarkStart w:id="297" w:name="_Toc18320"/>
      <w:bookmarkStart w:id="298" w:name="_Toc425240485"/>
      <w:bookmarkStart w:id="299" w:name="_Toc421778390"/>
      <w:r>
        <w:rPr>
          <w:rFonts w:hint="eastAsia" w:ascii="宋体" w:hAnsi="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4"/>
      <w:bookmarkEnd w:id="295"/>
      <w:r>
        <w:rPr>
          <w:rFonts w:hint="eastAsia" w:ascii="宋体" w:hAnsi="宋体" w:eastAsia="宋体" w:cs="宋体"/>
          <w:b/>
          <w:color w:val="000000" w:themeColor="text1"/>
          <w:sz w:val="44"/>
          <w:szCs w:val="44"/>
          <w14:textFill>
            <w14:solidFill>
              <w14:schemeClr w14:val="tx1"/>
            </w14:solidFill>
          </w14:textFill>
        </w:rPr>
        <w:t>方案</w:t>
      </w:r>
      <w:bookmarkEnd w:id="296"/>
      <w:bookmarkEnd w:id="297"/>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实施方案</w:t>
      </w:r>
      <w:r>
        <w:rPr>
          <w:rFonts w:hint="eastAsia" w:ascii="宋体" w:hAnsi="宋体" w:eastAsia="宋体" w:cs="宋体"/>
          <w:color w:val="000000" w:themeColor="text1"/>
          <w:sz w:val="28"/>
          <w:szCs w:val="28"/>
          <w14:textFill>
            <w14:solidFill>
              <w14:schemeClr w14:val="tx1"/>
            </w14:solidFill>
          </w14:textFill>
        </w:rPr>
        <w:t>；</w:t>
      </w:r>
    </w:p>
    <w:p w14:paraId="6C40DEC5">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14:textFill>
            <w14:solidFill>
              <w14:schemeClr w14:val="tx1"/>
            </w14:solidFill>
          </w14:textFill>
        </w:rPr>
        <w:t>；</w:t>
      </w:r>
    </w:p>
    <w:p w14:paraId="183ED32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进度计划及质量保证措施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文明施工措施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应急保障措施</w:t>
      </w:r>
      <w:r>
        <w:rPr>
          <w:rFonts w:hint="eastAsia" w:ascii="宋体" w:hAnsi="宋体" w:eastAsia="宋体" w:cs="宋体"/>
          <w:color w:val="000000" w:themeColor="text1"/>
          <w:sz w:val="28"/>
          <w:szCs w:val="28"/>
          <w14:textFill>
            <w14:solidFill>
              <w14:schemeClr w14:val="tx1"/>
            </w14:solidFill>
          </w14:textFill>
        </w:rPr>
        <w:t>；</w:t>
      </w:r>
    </w:p>
    <w:p w14:paraId="7EE04CCB">
      <w:pPr>
        <w:pStyle w:val="85"/>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b/>
          <w:color w:val="000000"/>
          <w:sz w:val="24"/>
        </w:rPr>
      </w:pPr>
    </w:p>
    <w:p w14:paraId="0CB2E006">
      <w:pPr>
        <w:overflowPunct w:val="0"/>
        <w:spacing w:line="360" w:lineRule="auto"/>
        <w:rPr>
          <w:rFonts w:hint="eastAsia" w:ascii="宋体" w:hAnsi="宋体"/>
          <w:b/>
          <w:color w:val="000000"/>
          <w:sz w:val="24"/>
        </w:rPr>
      </w:pPr>
    </w:p>
    <w:p w14:paraId="28114718">
      <w:pPr>
        <w:overflowPunct w:val="0"/>
        <w:spacing w:line="360" w:lineRule="auto"/>
        <w:rPr>
          <w:rFonts w:hint="eastAsia" w:ascii="宋体" w:hAnsi="宋体"/>
          <w:b/>
          <w:color w:val="000000"/>
          <w:sz w:val="24"/>
        </w:rPr>
      </w:pPr>
    </w:p>
    <w:p w14:paraId="1DCC76E7">
      <w:pPr>
        <w:overflowPunct w:val="0"/>
        <w:spacing w:line="360" w:lineRule="auto"/>
        <w:rPr>
          <w:rFonts w:hint="eastAsia" w:ascii="宋体" w:hAnsi="宋体"/>
          <w:b/>
          <w:color w:val="000000"/>
          <w:sz w:val="24"/>
        </w:rPr>
      </w:pPr>
    </w:p>
    <w:p w14:paraId="1B40C288">
      <w:pPr>
        <w:overflowPunct w:val="0"/>
        <w:spacing w:line="360" w:lineRule="auto"/>
        <w:rPr>
          <w:rFonts w:hint="eastAsia" w:ascii="宋体" w:hAnsi="宋体"/>
          <w:b/>
          <w:color w:val="000000"/>
          <w:sz w:val="24"/>
        </w:rPr>
      </w:pPr>
    </w:p>
    <w:p w14:paraId="532D39E1">
      <w:pPr>
        <w:overflowPunct w:val="0"/>
        <w:spacing w:line="360" w:lineRule="auto"/>
        <w:rPr>
          <w:rFonts w:hint="eastAsia" w:ascii="宋体" w:hAnsi="宋体"/>
          <w:b/>
          <w:color w:val="000000"/>
          <w:sz w:val="24"/>
        </w:rPr>
      </w:pPr>
    </w:p>
    <w:p w14:paraId="4EC82047">
      <w:pPr>
        <w:overflowPunct w:val="0"/>
        <w:spacing w:line="360" w:lineRule="auto"/>
        <w:rPr>
          <w:rFonts w:hint="eastAsia" w:ascii="宋体" w:hAnsi="宋体"/>
          <w:b/>
          <w:color w:val="000000"/>
          <w:sz w:val="24"/>
        </w:rPr>
      </w:pPr>
    </w:p>
    <w:p w14:paraId="33240E11">
      <w:pPr>
        <w:overflowPunct w:val="0"/>
        <w:spacing w:line="360" w:lineRule="auto"/>
        <w:rPr>
          <w:rFonts w:hint="eastAsia" w:ascii="宋体" w:hAnsi="宋体"/>
          <w:b/>
          <w:color w:val="000000"/>
          <w:sz w:val="24"/>
        </w:rPr>
      </w:pPr>
    </w:p>
    <w:p w14:paraId="34F32B20">
      <w:pPr>
        <w:overflowPunct w:val="0"/>
        <w:spacing w:line="360" w:lineRule="auto"/>
        <w:rPr>
          <w:rFonts w:hint="eastAsia" w:ascii="宋体" w:hAnsi="宋体"/>
          <w:b/>
          <w:color w:val="000000"/>
          <w:sz w:val="24"/>
        </w:rPr>
      </w:pPr>
    </w:p>
    <w:p w14:paraId="11936697">
      <w:pPr>
        <w:overflowPunct w:val="0"/>
        <w:spacing w:line="360" w:lineRule="auto"/>
        <w:rPr>
          <w:rFonts w:hint="eastAsia" w:ascii="宋体" w:hAnsi="宋体"/>
          <w:b/>
          <w:color w:val="000000"/>
          <w:sz w:val="24"/>
        </w:rPr>
      </w:pPr>
    </w:p>
    <w:p w14:paraId="66B55B2A">
      <w:pPr>
        <w:overflowPunct w:val="0"/>
        <w:spacing w:line="360" w:lineRule="auto"/>
        <w:rPr>
          <w:rFonts w:hint="eastAsia" w:ascii="宋体" w:hAnsi="宋体"/>
          <w:b/>
          <w:color w:val="000000"/>
          <w:sz w:val="24"/>
        </w:rPr>
      </w:pPr>
    </w:p>
    <w:p w14:paraId="229427F5">
      <w:pPr>
        <w:overflowPunct w:val="0"/>
        <w:spacing w:line="360" w:lineRule="auto"/>
        <w:rPr>
          <w:rFonts w:hint="eastAsia" w:ascii="宋体" w:hAnsi="宋体"/>
          <w:b/>
          <w:color w:val="000000"/>
          <w:sz w:val="24"/>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0" w:name="_Toc14452"/>
      <w:bookmarkStart w:id="301" w:name="_Toc6747"/>
      <w:bookmarkStart w:id="302" w:name="_Toc500323116"/>
      <w:bookmarkStart w:id="303" w:name="_Toc6183"/>
      <w:bookmarkStart w:id="304" w:name="_Toc526842731"/>
      <w:r>
        <w:rPr>
          <w:rFonts w:hint="eastAsia" w:ascii="宋体" w:hAnsi="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0"/>
      <w:bookmarkEnd w:id="301"/>
      <w:bookmarkEnd w:id="302"/>
      <w:r>
        <w:rPr>
          <w:rFonts w:hint="eastAsia" w:ascii="宋体" w:hAnsi="宋体" w:eastAsia="宋体" w:cs="宋体"/>
          <w:b/>
          <w:color w:val="000000" w:themeColor="text1"/>
          <w:sz w:val="44"/>
          <w:szCs w:val="44"/>
          <w14:textFill>
            <w14:solidFill>
              <w14:schemeClr w14:val="tx1"/>
            </w14:solidFill>
          </w14:textFill>
        </w:rPr>
        <w:t>方案</w:t>
      </w:r>
      <w:bookmarkEnd w:id="303"/>
      <w:bookmarkEnd w:id="304"/>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w:t>
      </w:r>
      <w:r>
        <w:rPr>
          <w:rFonts w:hint="eastAsia" w:ascii="宋体" w:hAnsi="宋体" w:cs="宋体"/>
          <w:b w:val="0"/>
          <w:bCs/>
          <w:color w:val="auto"/>
          <w:sz w:val="28"/>
          <w:szCs w:val="28"/>
          <w:highlight w:val="none"/>
          <w:lang w:val="en-US" w:eastAsia="zh-CN" w:bidi="zh-CN"/>
        </w:rPr>
        <w:t>项目团队</w:t>
      </w:r>
      <w:r>
        <w:rPr>
          <w:rFonts w:hint="eastAsia" w:ascii="宋体" w:hAnsi="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w:t>
      </w:r>
      <w:r>
        <w:rPr>
          <w:rFonts w:hint="eastAsia" w:ascii="宋体" w:hAnsi="宋体" w:eastAsia="宋体" w:cs="宋体"/>
          <w:b w:val="0"/>
          <w:bCs/>
          <w:color w:val="auto"/>
          <w:sz w:val="28"/>
          <w:szCs w:val="28"/>
          <w:highlight w:val="none"/>
          <w:lang w:val="en-US" w:eastAsia="zh-CN" w:bidi="zh-CN"/>
        </w:rPr>
        <w:t>售后服务</w:t>
      </w:r>
      <w:r>
        <w:rPr>
          <w:rFonts w:hint="eastAsia" w:ascii="宋体" w:hAnsi="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298"/>
    <w:bookmarkEnd w:id="299"/>
    <w:p w14:paraId="21AD67B1">
      <w:pPr>
        <w:overflowPunct w:val="0"/>
        <w:spacing w:line="360" w:lineRule="auto"/>
        <w:rPr>
          <w:rFonts w:hint="eastAsia" w:ascii="宋体" w:hAnsi="宋体"/>
          <w:b/>
          <w:color w:val="000000"/>
          <w:sz w:val="24"/>
        </w:rPr>
      </w:pPr>
      <w:bookmarkStart w:id="305" w:name="_Toc24350"/>
      <w:bookmarkStart w:id="306" w:name="_Toc500323117"/>
      <w:bookmarkStart w:id="307" w:name="_Toc526842732"/>
      <w:bookmarkStart w:id="308" w:name="_Toc19179"/>
    </w:p>
    <w:p w14:paraId="2071CAA7">
      <w:pPr>
        <w:overflowPunct w:val="0"/>
        <w:spacing w:line="360" w:lineRule="auto"/>
        <w:rPr>
          <w:rFonts w:hint="eastAsia" w:ascii="宋体" w:hAnsi="宋体"/>
          <w:b/>
          <w:color w:val="000000"/>
          <w:sz w:val="24"/>
        </w:rPr>
      </w:pPr>
    </w:p>
    <w:p w14:paraId="35A19391">
      <w:pPr>
        <w:overflowPunct w:val="0"/>
        <w:spacing w:line="360" w:lineRule="auto"/>
        <w:rPr>
          <w:rFonts w:hint="eastAsia" w:ascii="宋体" w:hAnsi="宋体"/>
          <w:b/>
          <w:color w:val="000000"/>
          <w:sz w:val="24"/>
        </w:rPr>
      </w:pPr>
    </w:p>
    <w:p w14:paraId="765C02A5">
      <w:pPr>
        <w:overflowPunct w:val="0"/>
        <w:spacing w:line="360" w:lineRule="auto"/>
        <w:rPr>
          <w:rFonts w:hint="eastAsia" w:ascii="宋体" w:hAnsi="宋体"/>
          <w:b/>
          <w:color w:val="000000"/>
          <w:sz w:val="24"/>
        </w:rPr>
      </w:pPr>
    </w:p>
    <w:p w14:paraId="74BADA0B">
      <w:pPr>
        <w:overflowPunct w:val="0"/>
        <w:spacing w:line="360" w:lineRule="auto"/>
        <w:rPr>
          <w:rFonts w:hint="eastAsia" w:ascii="宋体" w:hAnsi="宋体"/>
          <w:b/>
          <w:color w:val="000000"/>
          <w:sz w:val="24"/>
        </w:rPr>
      </w:pPr>
    </w:p>
    <w:p w14:paraId="36EE6691">
      <w:pPr>
        <w:overflowPunct w:val="0"/>
        <w:spacing w:line="360" w:lineRule="auto"/>
        <w:rPr>
          <w:rFonts w:hint="eastAsia" w:ascii="宋体" w:hAnsi="宋体"/>
          <w:b/>
          <w:color w:val="000000"/>
          <w:sz w:val="24"/>
        </w:rPr>
      </w:pPr>
    </w:p>
    <w:p w14:paraId="06B3F176">
      <w:pPr>
        <w:overflowPunct w:val="0"/>
        <w:spacing w:line="360" w:lineRule="auto"/>
        <w:rPr>
          <w:rFonts w:hint="eastAsia" w:ascii="宋体" w:hAnsi="宋体"/>
          <w:b/>
          <w:color w:val="000000"/>
          <w:sz w:val="24"/>
        </w:rPr>
      </w:pPr>
    </w:p>
    <w:p w14:paraId="43DCDF6E">
      <w:pPr>
        <w:overflowPunct w:val="0"/>
        <w:spacing w:line="360" w:lineRule="auto"/>
        <w:rPr>
          <w:rFonts w:hint="eastAsia" w:ascii="宋体" w:hAnsi="宋体"/>
          <w:b/>
          <w:color w:val="000000"/>
          <w:sz w:val="24"/>
        </w:rPr>
      </w:pPr>
    </w:p>
    <w:p w14:paraId="72BC9761">
      <w:pPr>
        <w:overflowPunct w:val="0"/>
        <w:spacing w:line="360" w:lineRule="auto"/>
        <w:rPr>
          <w:rFonts w:hint="eastAsia" w:ascii="宋体" w:hAnsi="宋体"/>
          <w:b/>
          <w:color w:val="000000"/>
          <w:sz w:val="24"/>
        </w:rPr>
      </w:pPr>
    </w:p>
    <w:p w14:paraId="6C11DBDC">
      <w:pPr>
        <w:overflowPunct w:val="0"/>
        <w:spacing w:line="360" w:lineRule="auto"/>
        <w:rPr>
          <w:rFonts w:hint="eastAsia" w:ascii="宋体" w:hAnsi="宋体"/>
          <w:b/>
          <w:color w:val="000000"/>
          <w:sz w:val="24"/>
        </w:rPr>
      </w:pPr>
    </w:p>
    <w:p w14:paraId="2D732F30">
      <w:pPr>
        <w:overflowPunct w:val="0"/>
        <w:spacing w:line="360" w:lineRule="auto"/>
        <w:rPr>
          <w:rFonts w:hint="eastAsia" w:ascii="宋体" w:hAnsi="宋体"/>
          <w:b/>
          <w:color w:val="000000"/>
          <w:sz w:val="24"/>
        </w:rPr>
      </w:pPr>
    </w:p>
    <w:p w14:paraId="53F9F5BF">
      <w:pPr>
        <w:overflowPunct w:val="0"/>
        <w:spacing w:line="360" w:lineRule="auto"/>
        <w:rPr>
          <w:rFonts w:hint="eastAsia" w:ascii="宋体" w:hAnsi="宋体"/>
          <w:b/>
          <w:color w:val="000000"/>
          <w:sz w:val="24"/>
        </w:rPr>
      </w:pPr>
    </w:p>
    <w:p w14:paraId="34EC7EFF">
      <w:pPr>
        <w:overflowPunct w:val="0"/>
        <w:spacing w:line="360" w:lineRule="auto"/>
        <w:rPr>
          <w:rFonts w:hint="eastAsia" w:ascii="宋体" w:hAnsi="宋体"/>
          <w:b/>
          <w:color w:val="000000"/>
          <w:sz w:val="24"/>
        </w:rPr>
      </w:pPr>
    </w:p>
    <w:p w14:paraId="64AC7E0F">
      <w:pPr>
        <w:overflowPunct w:val="0"/>
        <w:spacing w:line="360" w:lineRule="auto"/>
        <w:rPr>
          <w:rFonts w:hint="eastAsia" w:ascii="宋体" w:hAnsi="宋体"/>
          <w:b/>
          <w:color w:val="000000"/>
          <w:sz w:val="24"/>
        </w:rPr>
      </w:pPr>
    </w:p>
    <w:p w14:paraId="5A8EDD94">
      <w:pPr>
        <w:overflowPunct w:val="0"/>
        <w:spacing w:line="360" w:lineRule="auto"/>
        <w:rPr>
          <w:rFonts w:hint="eastAsia" w:ascii="宋体" w:hAnsi="宋体"/>
          <w:b/>
          <w:color w:val="000000"/>
          <w:sz w:val="24"/>
        </w:rPr>
      </w:pPr>
    </w:p>
    <w:p w14:paraId="5D3C29DD">
      <w:pPr>
        <w:overflowPunct w:val="0"/>
        <w:spacing w:line="360" w:lineRule="auto"/>
        <w:rPr>
          <w:rFonts w:hint="eastAsia" w:ascii="宋体" w:hAnsi="宋体"/>
          <w:b/>
          <w:color w:val="000000"/>
          <w:sz w:val="24"/>
        </w:rPr>
      </w:pPr>
    </w:p>
    <w:p w14:paraId="6D0ED478">
      <w:pPr>
        <w:overflowPunct w:val="0"/>
        <w:spacing w:line="360" w:lineRule="auto"/>
        <w:rPr>
          <w:rFonts w:hint="eastAsia" w:ascii="宋体" w:hAnsi="宋体"/>
          <w:b/>
          <w:color w:val="000000"/>
          <w:sz w:val="24"/>
        </w:rPr>
      </w:pPr>
    </w:p>
    <w:p w14:paraId="3CA62F12">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p w14:paraId="290CB728">
      <w:pPr>
        <w:overflowPunct w:val="0"/>
        <w:spacing w:line="360" w:lineRule="auto"/>
        <w:ind w:firstLine="480" w:firstLineChars="200"/>
        <w:rPr>
          <w:rFonts w:ascii="宋体"/>
          <w:color w:val="000000"/>
          <w:sz w:val="24"/>
        </w:rPr>
      </w:pPr>
      <w:r>
        <w:rPr>
          <w:rFonts w:hint="eastAsia" w:ascii="宋体" w:hAnsi="宋体"/>
          <w:color w:val="000000"/>
          <w:sz w:val="24"/>
        </w:rPr>
        <w:t>项目经理应附建造师</w:t>
      </w:r>
      <w:r>
        <w:rPr>
          <w:rFonts w:hint="eastAsia" w:ascii="宋体" w:hAnsi="宋体"/>
          <w:color w:val="000000"/>
          <w:sz w:val="24"/>
          <w:lang w:eastAsia="zh-CN"/>
        </w:rPr>
        <w:t>注册证</w:t>
      </w:r>
      <w:r>
        <w:rPr>
          <w:rFonts w:hint="eastAsia" w:ascii="宋体" w:hAnsi="宋体"/>
          <w:color w:val="000000"/>
          <w:sz w:val="24"/>
        </w:rPr>
        <w:t>、安全生产考核合格证书、身份证</w:t>
      </w:r>
      <w:r>
        <w:rPr>
          <w:rFonts w:hint="eastAsia" w:ascii="宋体" w:hAnsi="宋体"/>
          <w:color w:val="000000"/>
          <w:sz w:val="24"/>
          <w:lang w:eastAsia="zh-CN"/>
        </w:rPr>
        <w:t>等及</w:t>
      </w:r>
      <w:r>
        <w:rPr>
          <w:rFonts w:hint="eastAsia" w:ascii="宋体" w:hAnsi="宋体"/>
          <w:color w:val="000000"/>
          <w:sz w:val="24"/>
        </w:rPr>
        <w:t>未担任其他在施建设工程项目项目经理的承诺书，管理过的项目业绩须附合同协议书。</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0F5D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5FE20558">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14:paraId="43625383">
            <w:pPr>
              <w:overflowPunct w:val="0"/>
              <w:spacing w:line="360" w:lineRule="auto"/>
              <w:jc w:val="center"/>
              <w:rPr>
                <w:rFonts w:ascii="宋体"/>
                <w:color w:val="000000"/>
                <w:sz w:val="24"/>
              </w:rPr>
            </w:pPr>
          </w:p>
        </w:tc>
        <w:tc>
          <w:tcPr>
            <w:tcW w:w="1184" w:type="dxa"/>
            <w:noWrap w:val="0"/>
            <w:vAlign w:val="center"/>
          </w:tcPr>
          <w:p w14:paraId="58ED1712">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14:paraId="7A6A17FC">
            <w:pPr>
              <w:overflowPunct w:val="0"/>
              <w:spacing w:line="360" w:lineRule="auto"/>
              <w:jc w:val="center"/>
              <w:rPr>
                <w:rFonts w:ascii="宋体"/>
                <w:color w:val="000000"/>
                <w:sz w:val="24"/>
              </w:rPr>
            </w:pPr>
          </w:p>
        </w:tc>
        <w:tc>
          <w:tcPr>
            <w:tcW w:w="2127" w:type="dxa"/>
            <w:noWrap w:val="0"/>
            <w:vAlign w:val="center"/>
          </w:tcPr>
          <w:p w14:paraId="42F9AF1F">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14:paraId="3D502AF4">
            <w:pPr>
              <w:overflowPunct w:val="0"/>
              <w:spacing w:line="360" w:lineRule="auto"/>
              <w:jc w:val="center"/>
              <w:rPr>
                <w:rFonts w:ascii="宋体"/>
                <w:color w:val="000000"/>
                <w:sz w:val="24"/>
              </w:rPr>
            </w:pPr>
          </w:p>
        </w:tc>
      </w:tr>
      <w:tr w14:paraId="575A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0A6C9629">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14:paraId="558F2E7E">
            <w:pPr>
              <w:overflowPunct w:val="0"/>
              <w:spacing w:line="360" w:lineRule="auto"/>
              <w:jc w:val="center"/>
              <w:rPr>
                <w:rFonts w:ascii="宋体"/>
                <w:color w:val="000000"/>
                <w:sz w:val="24"/>
              </w:rPr>
            </w:pPr>
          </w:p>
        </w:tc>
        <w:tc>
          <w:tcPr>
            <w:tcW w:w="1184" w:type="dxa"/>
            <w:noWrap w:val="0"/>
            <w:vAlign w:val="center"/>
          </w:tcPr>
          <w:p w14:paraId="3A832E70">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14:paraId="01DDFBF0">
            <w:pPr>
              <w:overflowPunct w:val="0"/>
              <w:spacing w:line="360" w:lineRule="auto"/>
              <w:jc w:val="center"/>
              <w:rPr>
                <w:rFonts w:ascii="宋体"/>
                <w:color w:val="000000"/>
                <w:sz w:val="24"/>
              </w:rPr>
            </w:pPr>
          </w:p>
        </w:tc>
        <w:tc>
          <w:tcPr>
            <w:tcW w:w="2127" w:type="dxa"/>
            <w:noWrap w:val="0"/>
            <w:vAlign w:val="center"/>
          </w:tcPr>
          <w:p w14:paraId="1A9F3D68">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14:paraId="20AFBDD1">
            <w:pPr>
              <w:overflowPunct w:val="0"/>
              <w:spacing w:line="360" w:lineRule="auto"/>
              <w:jc w:val="center"/>
              <w:rPr>
                <w:rFonts w:ascii="宋体"/>
                <w:color w:val="000000"/>
                <w:sz w:val="24"/>
              </w:rPr>
            </w:pPr>
            <w:r>
              <w:rPr>
                <w:rFonts w:hint="eastAsia" w:ascii="宋体" w:hAnsi="宋体"/>
                <w:color w:val="000000"/>
                <w:sz w:val="24"/>
              </w:rPr>
              <w:t>项目经理</w:t>
            </w:r>
          </w:p>
        </w:tc>
      </w:tr>
      <w:tr w14:paraId="74D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12CD97B6">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14:paraId="1EDA3AA5">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14:paraId="40F6AB15">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14:paraId="0A7C7E6A">
            <w:pPr>
              <w:overflowPunct w:val="0"/>
              <w:spacing w:line="360" w:lineRule="auto"/>
              <w:jc w:val="center"/>
              <w:rPr>
                <w:rFonts w:ascii="宋体"/>
                <w:color w:val="000000"/>
                <w:sz w:val="24"/>
              </w:rPr>
            </w:pPr>
          </w:p>
        </w:tc>
      </w:tr>
      <w:tr w14:paraId="0034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721D341">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14:paraId="0C5F3295">
            <w:pPr>
              <w:overflowPunct w:val="0"/>
              <w:spacing w:line="360" w:lineRule="auto"/>
              <w:jc w:val="center"/>
              <w:rPr>
                <w:rFonts w:ascii="宋体"/>
                <w:color w:val="000000"/>
                <w:sz w:val="24"/>
              </w:rPr>
            </w:pPr>
          </w:p>
        </w:tc>
      </w:tr>
      <w:tr w14:paraId="73A8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945CA6B">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14:paraId="1F737915">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14:paraId="0F43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5F511AFC">
            <w:pPr>
              <w:overflowPunct w:val="0"/>
              <w:spacing w:line="360" w:lineRule="auto"/>
              <w:jc w:val="center"/>
              <w:rPr>
                <w:rFonts w:ascii="宋体"/>
                <w:color w:val="000000"/>
                <w:sz w:val="24"/>
              </w:rPr>
            </w:pPr>
            <w:r>
              <w:rPr>
                <w:rFonts w:hint="eastAsia" w:ascii="宋体" w:hAnsi="宋体"/>
                <w:color w:val="000000"/>
                <w:sz w:val="24"/>
              </w:rPr>
              <w:t>主要工作经历</w:t>
            </w:r>
          </w:p>
        </w:tc>
      </w:tr>
      <w:tr w14:paraId="124D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2CED252">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14:paraId="3BD52C77">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14:paraId="4A8C3CB1">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14:paraId="75460EBE">
            <w:pPr>
              <w:overflowPunct w:val="0"/>
              <w:spacing w:line="360" w:lineRule="auto"/>
              <w:jc w:val="center"/>
              <w:rPr>
                <w:rFonts w:ascii="宋体"/>
                <w:color w:val="000000"/>
                <w:sz w:val="24"/>
              </w:rPr>
            </w:pPr>
            <w:r>
              <w:rPr>
                <w:rFonts w:hint="eastAsia" w:ascii="宋体" w:hAnsi="宋体"/>
                <w:color w:val="000000"/>
                <w:sz w:val="24"/>
              </w:rPr>
              <w:t>发包人及联系电话</w:t>
            </w:r>
          </w:p>
        </w:tc>
      </w:tr>
      <w:tr w14:paraId="30BA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37FED3AD">
            <w:pPr>
              <w:overflowPunct w:val="0"/>
              <w:spacing w:line="360" w:lineRule="auto"/>
              <w:jc w:val="center"/>
              <w:rPr>
                <w:rFonts w:ascii="宋体"/>
                <w:color w:val="000000"/>
                <w:sz w:val="24"/>
              </w:rPr>
            </w:pPr>
          </w:p>
        </w:tc>
        <w:tc>
          <w:tcPr>
            <w:tcW w:w="3598" w:type="dxa"/>
            <w:gridSpan w:val="3"/>
            <w:noWrap w:val="0"/>
            <w:vAlign w:val="center"/>
          </w:tcPr>
          <w:p w14:paraId="7D06892E">
            <w:pPr>
              <w:overflowPunct w:val="0"/>
              <w:spacing w:line="360" w:lineRule="auto"/>
              <w:jc w:val="center"/>
              <w:rPr>
                <w:rFonts w:ascii="宋体"/>
                <w:color w:val="000000"/>
                <w:sz w:val="24"/>
              </w:rPr>
            </w:pPr>
          </w:p>
        </w:tc>
        <w:tc>
          <w:tcPr>
            <w:tcW w:w="2127" w:type="dxa"/>
            <w:noWrap w:val="0"/>
            <w:vAlign w:val="center"/>
          </w:tcPr>
          <w:p w14:paraId="2CA5DEB8">
            <w:pPr>
              <w:overflowPunct w:val="0"/>
              <w:spacing w:line="360" w:lineRule="auto"/>
              <w:jc w:val="center"/>
              <w:rPr>
                <w:rFonts w:ascii="宋体"/>
                <w:color w:val="000000"/>
                <w:sz w:val="24"/>
              </w:rPr>
            </w:pPr>
          </w:p>
        </w:tc>
        <w:tc>
          <w:tcPr>
            <w:tcW w:w="2258" w:type="dxa"/>
            <w:noWrap w:val="0"/>
            <w:vAlign w:val="center"/>
          </w:tcPr>
          <w:p w14:paraId="00822CC3">
            <w:pPr>
              <w:overflowPunct w:val="0"/>
              <w:spacing w:line="360" w:lineRule="auto"/>
              <w:jc w:val="center"/>
              <w:rPr>
                <w:rFonts w:ascii="宋体"/>
                <w:color w:val="000000"/>
                <w:sz w:val="24"/>
              </w:rPr>
            </w:pPr>
          </w:p>
        </w:tc>
      </w:tr>
      <w:tr w14:paraId="051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439659C">
            <w:pPr>
              <w:overflowPunct w:val="0"/>
              <w:spacing w:line="360" w:lineRule="auto"/>
              <w:jc w:val="center"/>
              <w:rPr>
                <w:rFonts w:ascii="宋体"/>
                <w:color w:val="000000"/>
                <w:sz w:val="24"/>
              </w:rPr>
            </w:pPr>
          </w:p>
        </w:tc>
        <w:tc>
          <w:tcPr>
            <w:tcW w:w="3598" w:type="dxa"/>
            <w:gridSpan w:val="3"/>
            <w:noWrap w:val="0"/>
            <w:vAlign w:val="center"/>
          </w:tcPr>
          <w:p w14:paraId="0F8EAE96">
            <w:pPr>
              <w:overflowPunct w:val="0"/>
              <w:spacing w:line="360" w:lineRule="auto"/>
              <w:jc w:val="center"/>
              <w:rPr>
                <w:rFonts w:ascii="宋体"/>
                <w:color w:val="000000"/>
                <w:sz w:val="24"/>
              </w:rPr>
            </w:pPr>
          </w:p>
        </w:tc>
        <w:tc>
          <w:tcPr>
            <w:tcW w:w="2127" w:type="dxa"/>
            <w:noWrap w:val="0"/>
            <w:vAlign w:val="center"/>
          </w:tcPr>
          <w:p w14:paraId="7741FE9A">
            <w:pPr>
              <w:overflowPunct w:val="0"/>
              <w:spacing w:line="360" w:lineRule="auto"/>
              <w:jc w:val="center"/>
              <w:rPr>
                <w:rFonts w:ascii="宋体"/>
                <w:color w:val="000000"/>
                <w:sz w:val="24"/>
              </w:rPr>
            </w:pPr>
          </w:p>
        </w:tc>
        <w:tc>
          <w:tcPr>
            <w:tcW w:w="2258" w:type="dxa"/>
            <w:noWrap w:val="0"/>
            <w:vAlign w:val="center"/>
          </w:tcPr>
          <w:p w14:paraId="46A3C807">
            <w:pPr>
              <w:overflowPunct w:val="0"/>
              <w:spacing w:line="360" w:lineRule="auto"/>
              <w:jc w:val="center"/>
              <w:rPr>
                <w:rFonts w:ascii="宋体"/>
                <w:color w:val="000000"/>
                <w:sz w:val="24"/>
              </w:rPr>
            </w:pPr>
          </w:p>
        </w:tc>
      </w:tr>
      <w:tr w14:paraId="49B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713D3A4">
            <w:pPr>
              <w:overflowPunct w:val="0"/>
              <w:spacing w:line="360" w:lineRule="auto"/>
              <w:jc w:val="center"/>
              <w:rPr>
                <w:rFonts w:ascii="宋体"/>
                <w:color w:val="000000"/>
                <w:sz w:val="24"/>
              </w:rPr>
            </w:pPr>
          </w:p>
        </w:tc>
        <w:tc>
          <w:tcPr>
            <w:tcW w:w="3598" w:type="dxa"/>
            <w:gridSpan w:val="3"/>
            <w:noWrap w:val="0"/>
            <w:vAlign w:val="center"/>
          </w:tcPr>
          <w:p w14:paraId="095030C8">
            <w:pPr>
              <w:overflowPunct w:val="0"/>
              <w:spacing w:line="360" w:lineRule="auto"/>
              <w:jc w:val="center"/>
              <w:rPr>
                <w:rFonts w:ascii="宋体"/>
                <w:color w:val="000000"/>
                <w:sz w:val="24"/>
              </w:rPr>
            </w:pPr>
          </w:p>
        </w:tc>
        <w:tc>
          <w:tcPr>
            <w:tcW w:w="2127" w:type="dxa"/>
            <w:noWrap w:val="0"/>
            <w:vAlign w:val="center"/>
          </w:tcPr>
          <w:p w14:paraId="77AB76BD">
            <w:pPr>
              <w:overflowPunct w:val="0"/>
              <w:spacing w:line="360" w:lineRule="auto"/>
              <w:jc w:val="center"/>
              <w:rPr>
                <w:rFonts w:ascii="宋体"/>
                <w:color w:val="000000"/>
                <w:sz w:val="24"/>
              </w:rPr>
            </w:pPr>
          </w:p>
        </w:tc>
        <w:tc>
          <w:tcPr>
            <w:tcW w:w="2258" w:type="dxa"/>
            <w:noWrap w:val="0"/>
            <w:vAlign w:val="center"/>
          </w:tcPr>
          <w:p w14:paraId="52085245">
            <w:pPr>
              <w:overflowPunct w:val="0"/>
              <w:spacing w:line="360" w:lineRule="auto"/>
              <w:jc w:val="center"/>
              <w:rPr>
                <w:rFonts w:ascii="宋体"/>
                <w:color w:val="000000"/>
                <w:sz w:val="24"/>
              </w:rPr>
            </w:pPr>
          </w:p>
        </w:tc>
      </w:tr>
      <w:tr w14:paraId="2EC9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67439C08">
            <w:pPr>
              <w:overflowPunct w:val="0"/>
              <w:spacing w:line="360" w:lineRule="auto"/>
              <w:jc w:val="center"/>
              <w:rPr>
                <w:rFonts w:ascii="宋体"/>
                <w:color w:val="000000"/>
                <w:sz w:val="24"/>
              </w:rPr>
            </w:pPr>
          </w:p>
        </w:tc>
        <w:tc>
          <w:tcPr>
            <w:tcW w:w="3598" w:type="dxa"/>
            <w:gridSpan w:val="3"/>
            <w:noWrap w:val="0"/>
            <w:vAlign w:val="center"/>
          </w:tcPr>
          <w:p w14:paraId="46F726CA">
            <w:pPr>
              <w:overflowPunct w:val="0"/>
              <w:spacing w:line="360" w:lineRule="auto"/>
              <w:jc w:val="center"/>
              <w:rPr>
                <w:rFonts w:ascii="宋体"/>
                <w:color w:val="000000"/>
                <w:sz w:val="24"/>
              </w:rPr>
            </w:pPr>
          </w:p>
        </w:tc>
        <w:tc>
          <w:tcPr>
            <w:tcW w:w="2127" w:type="dxa"/>
            <w:noWrap w:val="0"/>
            <w:vAlign w:val="center"/>
          </w:tcPr>
          <w:p w14:paraId="6C03E230">
            <w:pPr>
              <w:overflowPunct w:val="0"/>
              <w:spacing w:line="360" w:lineRule="auto"/>
              <w:jc w:val="center"/>
              <w:rPr>
                <w:rFonts w:ascii="宋体"/>
                <w:color w:val="000000"/>
                <w:sz w:val="24"/>
              </w:rPr>
            </w:pPr>
          </w:p>
        </w:tc>
        <w:tc>
          <w:tcPr>
            <w:tcW w:w="2258" w:type="dxa"/>
            <w:noWrap w:val="0"/>
            <w:vAlign w:val="center"/>
          </w:tcPr>
          <w:p w14:paraId="1D6FC268">
            <w:pPr>
              <w:overflowPunct w:val="0"/>
              <w:spacing w:line="360" w:lineRule="auto"/>
              <w:jc w:val="center"/>
              <w:rPr>
                <w:rFonts w:ascii="宋体"/>
                <w:color w:val="000000"/>
                <w:sz w:val="24"/>
              </w:rPr>
            </w:pPr>
          </w:p>
        </w:tc>
      </w:tr>
      <w:tr w14:paraId="7B11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3E7E5C8">
            <w:pPr>
              <w:overflowPunct w:val="0"/>
              <w:spacing w:line="360" w:lineRule="auto"/>
              <w:jc w:val="center"/>
              <w:rPr>
                <w:rFonts w:ascii="宋体"/>
                <w:color w:val="000000"/>
                <w:sz w:val="24"/>
              </w:rPr>
            </w:pPr>
          </w:p>
        </w:tc>
        <w:tc>
          <w:tcPr>
            <w:tcW w:w="3598" w:type="dxa"/>
            <w:gridSpan w:val="3"/>
            <w:noWrap w:val="0"/>
            <w:vAlign w:val="center"/>
          </w:tcPr>
          <w:p w14:paraId="65F00D19">
            <w:pPr>
              <w:overflowPunct w:val="0"/>
              <w:spacing w:line="360" w:lineRule="auto"/>
              <w:jc w:val="center"/>
              <w:rPr>
                <w:rFonts w:ascii="宋体"/>
                <w:color w:val="000000"/>
                <w:sz w:val="24"/>
              </w:rPr>
            </w:pPr>
          </w:p>
        </w:tc>
        <w:tc>
          <w:tcPr>
            <w:tcW w:w="2127" w:type="dxa"/>
            <w:noWrap w:val="0"/>
            <w:vAlign w:val="center"/>
          </w:tcPr>
          <w:p w14:paraId="2AD2EA46">
            <w:pPr>
              <w:overflowPunct w:val="0"/>
              <w:spacing w:line="360" w:lineRule="auto"/>
              <w:jc w:val="center"/>
              <w:rPr>
                <w:rFonts w:ascii="宋体"/>
                <w:color w:val="000000"/>
                <w:sz w:val="24"/>
              </w:rPr>
            </w:pPr>
          </w:p>
        </w:tc>
        <w:tc>
          <w:tcPr>
            <w:tcW w:w="2258" w:type="dxa"/>
            <w:noWrap w:val="0"/>
            <w:vAlign w:val="center"/>
          </w:tcPr>
          <w:p w14:paraId="4911E4B7">
            <w:pPr>
              <w:overflowPunct w:val="0"/>
              <w:spacing w:line="360" w:lineRule="auto"/>
              <w:jc w:val="center"/>
              <w:rPr>
                <w:rFonts w:ascii="宋体"/>
                <w:color w:val="000000"/>
                <w:sz w:val="24"/>
              </w:rPr>
            </w:pPr>
          </w:p>
        </w:tc>
      </w:tr>
      <w:tr w14:paraId="52C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5FA5A7E">
            <w:pPr>
              <w:overflowPunct w:val="0"/>
              <w:spacing w:line="360" w:lineRule="auto"/>
              <w:jc w:val="center"/>
              <w:rPr>
                <w:rFonts w:ascii="宋体"/>
                <w:color w:val="000000"/>
                <w:sz w:val="24"/>
              </w:rPr>
            </w:pPr>
          </w:p>
        </w:tc>
        <w:tc>
          <w:tcPr>
            <w:tcW w:w="3598" w:type="dxa"/>
            <w:gridSpan w:val="3"/>
            <w:noWrap w:val="0"/>
            <w:vAlign w:val="center"/>
          </w:tcPr>
          <w:p w14:paraId="4D68D583">
            <w:pPr>
              <w:overflowPunct w:val="0"/>
              <w:spacing w:line="360" w:lineRule="auto"/>
              <w:jc w:val="center"/>
              <w:rPr>
                <w:rFonts w:ascii="宋体"/>
                <w:color w:val="000000"/>
                <w:sz w:val="24"/>
              </w:rPr>
            </w:pPr>
          </w:p>
        </w:tc>
        <w:tc>
          <w:tcPr>
            <w:tcW w:w="2127" w:type="dxa"/>
            <w:noWrap w:val="0"/>
            <w:vAlign w:val="center"/>
          </w:tcPr>
          <w:p w14:paraId="1B07D5BA">
            <w:pPr>
              <w:overflowPunct w:val="0"/>
              <w:spacing w:line="360" w:lineRule="auto"/>
              <w:jc w:val="center"/>
              <w:rPr>
                <w:rFonts w:ascii="宋体"/>
                <w:color w:val="000000"/>
                <w:sz w:val="24"/>
              </w:rPr>
            </w:pPr>
          </w:p>
        </w:tc>
        <w:tc>
          <w:tcPr>
            <w:tcW w:w="2258" w:type="dxa"/>
            <w:noWrap w:val="0"/>
            <w:vAlign w:val="center"/>
          </w:tcPr>
          <w:p w14:paraId="20C895BD">
            <w:pPr>
              <w:overflowPunct w:val="0"/>
              <w:spacing w:line="360" w:lineRule="auto"/>
              <w:jc w:val="center"/>
              <w:rPr>
                <w:rFonts w:ascii="宋体"/>
                <w:color w:val="000000"/>
                <w:sz w:val="24"/>
              </w:rPr>
            </w:pPr>
          </w:p>
        </w:tc>
      </w:tr>
      <w:tr w14:paraId="00C7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0F348849">
            <w:pPr>
              <w:overflowPunct w:val="0"/>
              <w:spacing w:line="360" w:lineRule="auto"/>
              <w:jc w:val="center"/>
              <w:rPr>
                <w:rFonts w:ascii="宋体"/>
                <w:color w:val="000000"/>
                <w:sz w:val="24"/>
              </w:rPr>
            </w:pPr>
          </w:p>
        </w:tc>
        <w:tc>
          <w:tcPr>
            <w:tcW w:w="3598" w:type="dxa"/>
            <w:gridSpan w:val="3"/>
            <w:noWrap w:val="0"/>
            <w:vAlign w:val="center"/>
          </w:tcPr>
          <w:p w14:paraId="1E32B879">
            <w:pPr>
              <w:overflowPunct w:val="0"/>
              <w:spacing w:line="360" w:lineRule="auto"/>
              <w:jc w:val="center"/>
              <w:rPr>
                <w:rFonts w:ascii="宋体"/>
                <w:color w:val="000000"/>
                <w:sz w:val="24"/>
              </w:rPr>
            </w:pPr>
          </w:p>
        </w:tc>
        <w:tc>
          <w:tcPr>
            <w:tcW w:w="2127" w:type="dxa"/>
            <w:noWrap w:val="0"/>
            <w:vAlign w:val="center"/>
          </w:tcPr>
          <w:p w14:paraId="63A3B743">
            <w:pPr>
              <w:overflowPunct w:val="0"/>
              <w:spacing w:line="360" w:lineRule="auto"/>
              <w:jc w:val="center"/>
              <w:rPr>
                <w:rFonts w:ascii="宋体"/>
                <w:color w:val="000000"/>
                <w:sz w:val="24"/>
              </w:rPr>
            </w:pPr>
          </w:p>
        </w:tc>
        <w:tc>
          <w:tcPr>
            <w:tcW w:w="2258" w:type="dxa"/>
            <w:noWrap w:val="0"/>
            <w:vAlign w:val="center"/>
          </w:tcPr>
          <w:p w14:paraId="09FBD70C">
            <w:pPr>
              <w:overflowPunct w:val="0"/>
              <w:spacing w:line="360" w:lineRule="auto"/>
              <w:jc w:val="center"/>
              <w:rPr>
                <w:rFonts w:ascii="宋体"/>
                <w:color w:val="000000"/>
                <w:sz w:val="24"/>
              </w:rPr>
            </w:pPr>
          </w:p>
        </w:tc>
      </w:tr>
    </w:tbl>
    <w:p w14:paraId="49746F3D">
      <w:pPr>
        <w:overflowPunct w:val="0"/>
        <w:spacing w:line="360" w:lineRule="auto"/>
        <w:rPr>
          <w:rFonts w:hint="eastAsia" w:ascii="宋体" w:hAnsi="宋体"/>
          <w:b/>
          <w:color w:val="000000"/>
          <w:sz w:val="24"/>
        </w:rPr>
      </w:pPr>
    </w:p>
    <w:p w14:paraId="4E3692E9">
      <w:pPr>
        <w:overflowPunct w:val="0"/>
        <w:spacing w:line="360" w:lineRule="auto"/>
        <w:rPr>
          <w:rFonts w:hint="eastAsia" w:ascii="宋体" w:hAnsi="宋体"/>
          <w:b/>
          <w:color w:val="000000"/>
          <w:sz w:val="24"/>
        </w:rPr>
      </w:pPr>
    </w:p>
    <w:p w14:paraId="6F88F21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p>
    <w:tbl>
      <w:tblPr>
        <w:tblStyle w:val="35"/>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58A1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D980B30">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14:paraId="1C51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02BFBEF2">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14:paraId="0BA46A8F">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14:paraId="17EE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1DA16A4B">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14:paraId="38B088A6">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14:paraId="3EB7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6EDB26D7">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14:paraId="629D9EEE">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14:paraId="692B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1B856B3D">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14:paraId="2BF3576D">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14:paraId="3427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2A318453">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14:paraId="4F8CCC48">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14:paraId="53E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0FEE3139">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14:paraId="79541116">
            <w:pPr>
              <w:overflowPunct w:val="0"/>
              <w:spacing w:line="360" w:lineRule="auto"/>
              <w:ind w:firstLine="240" w:firstLineChars="100"/>
              <w:rPr>
                <w:rFonts w:ascii="宋体"/>
                <w:color w:val="000000"/>
                <w:sz w:val="24"/>
              </w:rPr>
            </w:pPr>
          </w:p>
        </w:tc>
      </w:tr>
    </w:tbl>
    <w:p w14:paraId="6D3F2484">
      <w:pPr>
        <w:spacing w:line="480" w:lineRule="exact"/>
        <w:jc w:val="both"/>
        <w:rPr>
          <w:rFonts w:hint="eastAsia" w:ascii="方正小标宋简体" w:eastAsia="方正小标宋简体"/>
          <w:bCs/>
          <w:color w:val="000000"/>
          <w:sz w:val="44"/>
          <w:szCs w:val="44"/>
        </w:rPr>
      </w:pPr>
    </w:p>
    <w:p w14:paraId="09CB3F61">
      <w:pPr>
        <w:overflowPunct w:val="0"/>
        <w:spacing w:line="360" w:lineRule="auto"/>
        <w:rPr>
          <w:rFonts w:hint="eastAsia" w:ascii="宋体" w:hAnsi="宋体"/>
          <w:b/>
          <w:color w:val="000000"/>
          <w:sz w:val="24"/>
        </w:rPr>
      </w:pPr>
    </w:p>
    <w:p w14:paraId="621371DD">
      <w:pPr>
        <w:overflowPunct w:val="0"/>
        <w:spacing w:line="360" w:lineRule="auto"/>
        <w:rPr>
          <w:rFonts w:hint="eastAsia" w:ascii="宋体" w:hAnsi="宋体"/>
          <w:b/>
          <w:color w:val="000000"/>
          <w:sz w:val="24"/>
        </w:rPr>
      </w:pPr>
    </w:p>
    <w:p w14:paraId="39C61A38">
      <w:pPr>
        <w:overflowPunct w:val="0"/>
        <w:spacing w:line="360" w:lineRule="auto"/>
        <w:rPr>
          <w:rFonts w:hint="eastAsia" w:ascii="宋体" w:hAnsi="宋体"/>
          <w:b/>
          <w:color w:val="000000"/>
          <w:sz w:val="24"/>
        </w:rPr>
      </w:pPr>
    </w:p>
    <w:p w14:paraId="042A332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14:paraId="34A56913">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14:paraId="0E3DDD14">
      <w:pPr>
        <w:pStyle w:val="17"/>
        <w:rPr>
          <w:rFonts w:hint="eastAsia" w:ascii="宋体" w:hAnsi="宋体"/>
          <w:color w:val="000000"/>
          <w:sz w:val="24"/>
        </w:rPr>
      </w:pPr>
    </w:p>
    <w:p w14:paraId="711921DB">
      <w:pPr>
        <w:rPr>
          <w:rFonts w:hint="eastAsia" w:ascii="宋体" w:hAnsi="宋体"/>
          <w:color w:val="000000"/>
          <w:sz w:val="24"/>
        </w:rPr>
      </w:pPr>
    </w:p>
    <w:p w14:paraId="673DC387">
      <w:pPr>
        <w:pStyle w:val="17"/>
      </w:pPr>
    </w:p>
    <w:p w14:paraId="7948A1FE">
      <w:pPr>
        <w:overflowPunct w:val="0"/>
        <w:spacing w:line="360" w:lineRule="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14:paraId="2B3E17D7">
      <w:pPr>
        <w:overflowPunct w:val="0"/>
        <w:spacing w:line="360" w:lineRule="auto"/>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14:paraId="464B3B8F">
      <w:pPr>
        <w:overflowPunct w:val="0"/>
        <w:spacing w:line="360" w:lineRule="auto"/>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14:paraId="472C1D19">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14:paraId="63015795">
      <w:pPr>
        <w:overflowPunct w:val="0"/>
        <w:spacing w:line="360" w:lineRule="auto"/>
        <w:ind w:firstLine="480" w:firstLineChars="200"/>
        <w:rPr>
          <w:rFonts w:ascii="宋体"/>
          <w:color w:val="000000"/>
          <w:sz w:val="24"/>
          <w:szCs w:val="24"/>
        </w:rPr>
      </w:pPr>
    </w:p>
    <w:p w14:paraId="552D2E5C">
      <w:pPr>
        <w:overflowPunct w:val="0"/>
        <w:spacing w:line="360" w:lineRule="auto"/>
        <w:ind w:firstLine="480" w:firstLineChars="200"/>
        <w:rPr>
          <w:rFonts w:ascii="宋体"/>
          <w:color w:val="000000"/>
          <w:sz w:val="24"/>
          <w:szCs w:val="24"/>
        </w:rPr>
      </w:pPr>
    </w:p>
    <w:p w14:paraId="0C0F8FC2">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14:paraId="0AB5ACB7">
      <w:pPr>
        <w:overflowPunct w:val="0"/>
        <w:spacing w:line="360" w:lineRule="auto"/>
        <w:ind w:firstLine="560" w:firstLineChars="200"/>
        <w:rPr>
          <w:rFonts w:ascii="宋体"/>
          <w:color w:val="000000"/>
          <w:sz w:val="28"/>
          <w:szCs w:val="28"/>
        </w:rPr>
      </w:pPr>
    </w:p>
    <w:p w14:paraId="4AA2DDA9">
      <w:pPr>
        <w:overflowPunct w:val="0"/>
        <w:spacing w:line="360" w:lineRule="auto"/>
        <w:ind w:firstLine="560" w:firstLineChars="200"/>
        <w:rPr>
          <w:rFonts w:ascii="宋体"/>
          <w:color w:val="000000"/>
          <w:sz w:val="28"/>
          <w:szCs w:val="28"/>
        </w:rPr>
      </w:pPr>
    </w:p>
    <w:p w14:paraId="5144370F">
      <w:pPr>
        <w:overflowPunct w:val="0"/>
        <w:spacing w:line="360" w:lineRule="auto"/>
        <w:ind w:firstLine="560" w:firstLineChars="200"/>
        <w:rPr>
          <w:rFonts w:ascii="宋体"/>
          <w:color w:val="000000"/>
          <w:sz w:val="28"/>
          <w:szCs w:val="28"/>
        </w:rPr>
      </w:pPr>
    </w:p>
    <w:p w14:paraId="30DF6CEB">
      <w:pPr>
        <w:overflowPunct w:val="0"/>
        <w:spacing w:line="360" w:lineRule="auto"/>
        <w:ind w:firstLine="560" w:firstLineChars="200"/>
        <w:rPr>
          <w:rFonts w:ascii="宋体"/>
          <w:color w:val="000000"/>
          <w:sz w:val="28"/>
          <w:szCs w:val="28"/>
        </w:rPr>
      </w:pPr>
    </w:p>
    <w:p w14:paraId="688AA4C7">
      <w:pPr>
        <w:overflowPunct w:val="0"/>
        <w:spacing w:line="360" w:lineRule="auto"/>
        <w:ind w:firstLine="480" w:firstLineChars="200"/>
        <w:rPr>
          <w:rFonts w:ascii="宋体"/>
          <w:color w:val="000000"/>
          <w:sz w:val="24"/>
          <w:szCs w:val="24"/>
        </w:rPr>
      </w:pPr>
    </w:p>
    <w:p w14:paraId="2880FFA1">
      <w:pPr>
        <w:overflowPunct w:val="0"/>
        <w:spacing w:line="360" w:lineRule="auto"/>
        <w:ind w:firstLine="480" w:firstLineChars="200"/>
        <w:rPr>
          <w:rFonts w:ascii="宋体"/>
          <w:color w:val="000000"/>
          <w:sz w:val="24"/>
          <w:szCs w:val="24"/>
        </w:rPr>
      </w:pPr>
    </w:p>
    <w:p w14:paraId="4DE6982C">
      <w:pPr>
        <w:overflowPunct w:val="0"/>
        <w:spacing w:line="360" w:lineRule="auto"/>
        <w:jc w:val="right"/>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14:paraId="7BE6B4FC">
      <w:pPr>
        <w:overflowPunct w:val="0"/>
        <w:spacing w:line="360" w:lineRule="auto"/>
        <w:jc w:val="right"/>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14:paraId="146136B2">
      <w:pPr>
        <w:overflowPunct w:val="0"/>
        <w:spacing w:line="360" w:lineRule="auto"/>
        <w:ind w:firstLine="4320" w:firstLineChars="1800"/>
        <w:jc w:val="both"/>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14:paraId="26B0A9B9">
      <w:pPr>
        <w:overflowPunct w:val="0"/>
        <w:spacing w:line="360" w:lineRule="auto"/>
        <w:jc w:val="right"/>
        <w:rPr>
          <w:rFonts w:ascii="宋体" w:hAnsi="宋体"/>
          <w:color w:val="000000"/>
          <w:sz w:val="24"/>
          <w:u w:val="single"/>
        </w:rPr>
      </w:pPr>
    </w:p>
    <w:p w14:paraId="3E969FC9">
      <w:pPr>
        <w:overflowPunct w:val="0"/>
        <w:spacing w:line="360" w:lineRule="auto"/>
        <w:jc w:val="right"/>
        <w:rPr>
          <w:rFonts w:ascii="宋体" w:hAnsi="宋体"/>
          <w:color w:val="000000"/>
          <w:sz w:val="24"/>
          <w:u w:val="single"/>
        </w:rPr>
      </w:pPr>
    </w:p>
    <w:p w14:paraId="72CB21E2">
      <w:pPr>
        <w:overflowPunct w:val="0"/>
        <w:spacing w:line="360" w:lineRule="auto"/>
        <w:jc w:val="both"/>
        <w:rPr>
          <w:rFonts w:hint="eastAsia" w:ascii="宋体" w:hAnsi="宋体"/>
          <w:color w:val="000000"/>
          <w:sz w:val="24"/>
          <w:u w:val="single"/>
        </w:rPr>
      </w:pPr>
    </w:p>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5"/>
      <w:bookmarkEnd w:id="306"/>
      <w:bookmarkEnd w:id="307"/>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09" w:name="_Toc424816795"/>
      <w:bookmarkStart w:id="310" w:name="_Toc359592510"/>
      <w:bookmarkStart w:id="311" w:name="_Toc361383542"/>
      <w:bookmarkStart w:id="312" w:name="_Toc371331512"/>
      <w:bookmarkStart w:id="313" w:name="_Toc359508067"/>
      <w:bookmarkStart w:id="314" w:name="_Toc371451563"/>
      <w:bookmarkStart w:id="315" w:name="_Toc361393208"/>
      <w:bookmarkStart w:id="316" w:name="_Toc371521419"/>
      <w:bookmarkStart w:id="317" w:name="_Toc359828206"/>
      <w:bookmarkStart w:id="318" w:name="_Toc371521076"/>
      <w:bookmarkStart w:id="319" w:name="_Toc371521013"/>
      <w:bookmarkStart w:id="320" w:name="_Toc367714248"/>
      <w:bookmarkStart w:id="321" w:name="_Toc424757670"/>
      <w:r>
        <w:rPr>
          <w:rFonts w:hint="eastAsia" w:ascii="宋体" w:hAnsi="宋体" w:eastAsia="宋体" w:cs="宋体"/>
          <w:color w:val="000000" w:themeColor="text1"/>
          <w:sz w:val="24"/>
          <w14:textFill>
            <w14:solidFill>
              <w14:schemeClr w14:val="tx1"/>
            </w14:solidFill>
          </w14:textFill>
        </w:rPr>
        <w:t>注：</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2" w:name="_Toc371451564"/>
      <w:bookmarkStart w:id="323" w:name="_Toc371331513"/>
      <w:bookmarkStart w:id="324" w:name="_Toc424757671"/>
      <w:bookmarkStart w:id="325" w:name="_Toc359508068"/>
      <w:bookmarkStart w:id="326" w:name="_Toc361393209"/>
      <w:bookmarkStart w:id="327" w:name="_Toc371521014"/>
      <w:bookmarkStart w:id="328" w:name="_Toc371521420"/>
      <w:bookmarkStart w:id="329" w:name="_Toc359592511"/>
      <w:bookmarkStart w:id="330" w:name="_Toc359828207"/>
      <w:bookmarkStart w:id="331" w:name="_Toc367714249"/>
      <w:bookmarkStart w:id="332" w:name="_Toc371521077"/>
      <w:bookmarkStart w:id="333" w:name="_Toc424816796"/>
      <w:bookmarkStart w:id="334" w:name="_Toc361383543"/>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5" w:name="_Toc361393210"/>
      <w:bookmarkStart w:id="336" w:name="_Toc424816797"/>
      <w:bookmarkStart w:id="337" w:name="_Toc424757672"/>
      <w:bookmarkStart w:id="338" w:name="_Toc371521015"/>
      <w:bookmarkStart w:id="339" w:name="_Toc371451565"/>
      <w:bookmarkStart w:id="340" w:name="_Toc361383544"/>
      <w:bookmarkStart w:id="341" w:name="_Toc371521421"/>
      <w:bookmarkStart w:id="342" w:name="_Toc359828208"/>
      <w:bookmarkStart w:id="343" w:name="_Toc359508069"/>
      <w:bookmarkStart w:id="344" w:name="_Toc359592512"/>
      <w:bookmarkStart w:id="345" w:name="_Toc371521078"/>
      <w:bookmarkStart w:id="346" w:name="_Toc367714250"/>
      <w:bookmarkStart w:id="347" w:name="_Toc371331514"/>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19F56AC0">
      <w:pPr>
        <w:bidi w:val="0"/>
        <w:rPr>
          <w:rFonts w:hint="eastAsia"/>
          <w:lang w:val="en-US" w:eastAsia="zh-CN"/>
        </w:rPr>
      </w:pPr>
    </w:p>
    <w:p w14:paraId="0653F6E3">
      <w:pPr>
        <w:bidi w:val="0"/>
        <w:rPr>
          <w:rFonts w:hint="eastAsia"/>
          <w:lang w:val="en-US" w:eastAsia="zh-CN"/>
        </w:rPr>
      </w:pPr>
    </w:p>
    <w:p w14:paraId="51C78F97">
      <w:pPr>
        <w:bidi w:val="0"/>
        <w:rPr>
          <w:rFonts w:hint="eastAsia"/>
          <w:lang w:val="en-US" w:eastAsia="zh-CN"/>
        </w:rPr>
      </w:pPr>
    </w:p>
    <w:p w14:paraId="17345489">
      <w:pPr>
        <w:bidi w:val="0"/>
        <w:rPr>
          <w:rFonts w:hint="eastAsia"/>
          <w:lang w:val="en-US" w:eastAsia="zh-CN"/>
        </w:rPr>
      </w:pPr>
    </w:p>
    <w:p w14:paraId="353CAF67">
      <w:pPr>
        <w:bidi w:val="0"/>
        <w:rPr>
          <w:rFonts w:hint="eastAsia"/>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延安方逸造价咨询有限公司</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延安方逸造价咨询有限公司</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3"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延安方逸造价咨询有限公司</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48" w:name="_Toc500323118"/>
      <w:bookmarkStart w:id="349" w:name="_Toc526842733"/>
      <w:bookmarkStart w:id="350" w:name="_Toc13811"/>
      <w:r>
        <w:rPr>
          <w:rFonts w:hint="eastAsia" w:ascii="宋体" w:hAnsi="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08"/>
      <w:bookmarkEnd w:id="348"/>
      <w:bookmarkEnd w:id="349"/>
      <w:bookmarkEnd w:id="350"/>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cs="宋体"/>
          <w:b/>
          <w:color w:val="000000" w:themeColor="text1"/>
          <w:sz w:val="44"/>
          <w:szCs w:val="44"/>
          <w:lang w:eastAsia="zh-CN"/>
          <w14:textFill>
            <w14:solidFill>
              <w14:schemeClr w14:val="tx1"/>
            </w14:solidFill>
          </w14:textFill>
        </w:rPr>
      </w:pPr>
      <w:bookmarkStart w:id="351" w:name="_Toc425240486"/>
      <w:bookmarkStart w:id="352" w:name="_Toc526842734"/>
      <w:bookmarkStart w:id="353" w:name="_Toc500323119"/>
      <w:bookmarkStart w:id="354" w:name="_Toc11275"/>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1"/>
      <w:r>
        <w:rPr>
          <w:rFonts w:hint="eastAsia" w:ascii="宋体" w:hAnsi="宋体" w:eastAsia="宋体" w:cs="宋体"/>
          <w:b/>
          <w:color w:val="000000" w:themeColor="text1"/>
          <w:sz w:val="44"/>
          <w:szCs w:val="44"/>
          <w14:textFill>
            <w14:solidFill>
              <w14:schemeClr w14:val="tx1"/>
            </w14:solidFill>
          </w14:textFill>
        </w:rPr>
        <w:t>资格审查资料</w:t>
      </w:r>
      <w:bookmarkEnd w:id="352"/>
      <w:bookmarkEnd w:id="353"/>
      <w:bookmarkEnd w:id="354"/>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55D35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55" w:name="_Toc425240488"/>
      <w:bookmarkStart w:id="356" w:name="_Toc420591675"/>
      <w:bookmarkStart w:id="357" w:name="_Toc421778393"/>
      <w:bookmarkStart w:id="358" w:name="_Toc25286"/>
      <w:bookmarkStart w:id="359" w:name="_Toc410976269"/>
      <w:bookmarkStart w:id="360" w:name="_Toc17898"/>
      <w:r>
        <w:rPr>
          <w:rFonts w:hint="eastAsia" w:ascii="宋体" w:hAnsi="宋体" w:eastAsia="宋体" w:cs="宋体"/>
          <w:sz w:val="28"/>
          <w:szCs w:val="28"/>
          <w:lang w:val="en-US" w:eastAsia="zh-CN"/>
        </w:rPr>
        <w:t>具有独立承担民事责任能力的法人、其他组织或自然人，法人或其他组织提供</w:t>
      </w:r>
      <w:r>
        <w:rPr>
          <w:rFonts w:hint="eastAsia" w:ascii="宋体" w:hAnsi="宋体" w:cs="宋体"/>
          <w:sz w:val="28"/>
          <w:szCs w:val="28"/>
          <w:lang w:val="en-US" w:eastAsia="zh-CN"/>
        </w:rPr>
        <w:t>营业执照</w:t>
      </w:r>
      <w:r>
        <w:rPr>
          <w:rFonts w:hint="eastAsia" w:ascii="宋体" w:hAnsi="宋体" w:eastAsia="宋体" w:cs="宋体"/>
          <w:sz w:val="28"/>
          <w:szCs w:val="28"/>
          <w:lang w:val="en-US" w:eastAsia="zh-CN"/>
        </w:rPr>
        <w:t xml:space="preserve">（事业单位法人证书），自然人提供身份证明。 </w:t>
      </w:r>
    </w:p>
    <w:p w14:paraId="396BA0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cs="宋体"/>
          <w:bCs/>
          <w:color w:val="000000"/>
          <w:sz w:val="28"/>
          <w:szCs w:val="28"/>
          <w:lang w:val="zh-CN" w:eastAsia="zh-CN"/>
        </w:rPr>
        <w:t>提供经年检有效的“三证合一”的营业执照（附2024年度报告书）；</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2.</w:t>
      </w:r>
      <w:r>
        <w:rPr>
          <w:rFonts w:hint="eastAsia" w:ascii="宋体" w:hAnsi="宋体" w:cs="宋体"/>
          <w:bCs/>
          <w:color w:val="000000"/>
          <w:sz w:val="28"/>
          <w:szCs w:val="28"/>
          <w:lang w:val="zh-CN" w:eastAsia="zh-CN"/>
        </w:rPr>
        <w:t>银行开户许可证或开户行基本信息；</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3.</w:t>
      </w:r>
      <w:r>
        <w:rPr>
          <w:rFonts w:hint="eastAsia" w:ascii="宋体" w:hAnsi="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4.</w:t>
      </w:r>
      <w:r>
        <w:rPr>
          <w:rFonts w:hint="eastAsia" w:ascii="宋体" w:hAnsi="宋体" w:cs="宋体"/>
          <w:bCs/>
          <w:color w:val="000000"/>
          <w:sz w:val="28"/>
          <w:szCs w:val="28"/>
          <w:lang w:val="zh-CN" w:eastAsia="zh-CN"/>
        </w:rPr>
        <w:t>具备建设行政主管部门颁发的安全生产许可证；</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5.</w:t>
      </w:r>
      <w:r>
        <w:rPr>
          <w:rFonts w:hint="eastAsia" w:ascii="宋体" w:hAnsi="宋体" w:cs="宋体"/>
          <w:bCs/>
          <w:color w:val="000000"/>
          <w:sz w:val="28"/>
          <w:szCs w:val="28"/>
          <w:lang w:val="zh-CN" w:eastAsia="zh-CN"/>
        </w:rPr>
        <w:t>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提供无在建承诺函）；</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6.</w:t>
      </w:r>
      <w:r>
        <w:rPr>
          <w:rFonts w:hint="eastAsia" w:ascii="宋体" w:hAnsi="宋体" w:cs="宋体"/>
          <w:bCs/>
          <w:color w:val="000000"/>
          <w:sz w:val="28"/>
          <w:szCs w:val="28"/>
          <w:lang w:val="zh-CN" w:eastAsia="zh-CN"/>
        </w:rPr>
        <w:t>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7.</w:t>
      </w:r>
      <w:r>
        <w:rPr>
          <w:rFonts w:hint="eastAsia" w:ascii="宋体" w:hAnsi="宋体" w:cs="宋体"/>
          <w:bCs/>
          <w:color w:val="000000"/>
          <w:sz w:val="28"/>
          <w:szCs w:val="28"/>
          <w:lang w:val="zh-CN" w:eastAsia="zh-CN"/>
        </w:rPr>
        <w:t>税收缴纳证明：提供2025年06月至今已缴纳的至少一个月的纳税证明或完税证明（不限税种），依法免税的单位应提供相关证明材料；</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8.</w:t>
      </w:r>
      <w:r>
        <w:rPr>
          <w:rFonts w:hint="eastAsia" w:ascii="宋体" w:hAnsi="宋体" w:cs="宋体"/>
          <w:bCs/>
          <w:color w:val="000000"/>
          <w:sz w:val="28"/>
          <w:szCs w:val="28"/>
          <w:lang w:val="zh-CN" w:eastAsia="zh-CN"/>
        </w:rPr>
        <w:t>社会保障资金缴纳证明：提供2025年06月至今已缴存至少一个月的社会保障资金缴存单据或社保机构开具的社会保险参保缴费情况证明，依法不需要缴纳社会保障资金的单位应提供相关证明材料；</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9.</w:t>
      </w:r>
      <w:r>
        <w:rPr>
          <w:rFonts w:hint="eastAsia" w:ascii="宋体" w:hAnsi="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cs="宋体"/>
          <w:bCs/>
          <w:color w:val="000000"/>
          <w:sz w:val="28"/>
          <w:szCs w:val="28"/>
          <w:lang w:val="zh-CN" w:eastAsia="zh-CN"/>
        </w:rPr>
        <w:br w:type="textWrapping"/>
      </w:r>
      <w:r>
        <w:rPr>
          <w:rFonts w:hint="eastAsia" w:ascii="宋体" w:hAnsi="宋体" w:cs="宋体"/>
          <w:bCs/>
          <w:color w:val="000000"/>
          <w:sz w:val="28"/>
          <w:szCs w:val="28"/>
          <w:lang w:val="en-US" w:eastAsia="zh-CN"/>
        </w:rPr>
        <w:t>10.</w:t>
      </w:r>
      <w:r>
        <w:rPr>
          <w:rFonts w:hint="eastAsia" w:ascii="宋体" w:hAnsi="宋体" w:cs="宋体"/>
          <w:bCs/>
          <w:color w:val="000000"/>
          <w:sz w:val="28"/>
          <w:szCs w:val="28"/>
          <w:lang w:val="zh-CN" w:eastAsia="zh-CN"/>
        </w:rPr>
        <w:t>参加政府采购活动前3年内经营活动中没有重大违法记录声明；</w:t>
      </w:r>
    </w:p>
    <w:p w14:paraId="17E40697">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254366C2">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本项目不接受联合体磋商。</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sz w:val="28"/>
          <w:szCs w:val="28"/>
          <w:lang w:val="en-US" w:eastAsia="zh-CN"/>
        </w:rPr>
        <w:sectPr>
          <w:footerReference r:id="rId15" w:type="first"/>
          <w:footerReference r:id="rId14"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w:t>
      </w:r>
      <w:r>
        <w:rPr>
          <w:rFonts w:hint="eastAsia" w:ascii="宋体" w:hAnsi="宋体" w:cs="宋体"/>
          <w:b/>
          <w:bCs/>
          <w:color w:val="000000"/>
          <w:kern w:val="0"/>
          <w:sz w:val="28"/>
          <w:szCs w:val="28"/>
          <w:lang w:eastAsia="zh-CN"/>
        </w:rPr>
        <w:t>胶装</w:t>
      </w:r>
      <w:r>
        <w:rPr>
          <w:rFonts w:hint="eastAsia" w:ascii="宋体" w:hAnsi="宋体" w:eastAsia="宋体" w:cs="宋体"/>
          <w:b/>
          <w:bCs/>
          <w:color w:val="000000"/>
          <w:kern w:val="0"/>
          <w:sz w:val="28"/>
          <w:szCs w:val="28"/>
          <w:lang w:eastAsia="zh-CN"/>
        </w:rPr>
        <w:t>加盖公章</w:t>
      </w:r>
      <w:r>
        <w:rPr>
          <w:rFonts w:hint="eastAsia" w:ascii="宋体" w:hAnsi="宋体" w:eastAsia="宋体" w:cs="宋体"/>
          <w:b/>
          <w:bCs/>
          <w:color w:val="000000"/>
          <w:kern w:val="0"/>
          <w:sz w:val="28"/>
          <w:szCs w:val="28"/>
        </w:rPr>
        <w:t>同</w:t>
      </w:r>
      <w:r>
        <w:rPr>
          <w:rFonts w:hint="eastAsia" w:ascii="宋体" w:hAnsi="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3"/>
        <w:rPr>
          <w:rFonts w:hint="eastAsia" w:ascii="宋体" w:hAnsi="宋体" w:eastAsia="宋体" w:cs="宋体"/>
          <w:b/>
          <w:bCs/>
          <w:sz w:val="24"/>
          <w:szCs w:val="24"/>
          <w:lang w:val="en-US" w:eastAsia="zh-CN"/>
        </w:rPr>
      </w:pPr>
      <w:bookmarkStart w:id="361" w:name="_Hlk518637502"/>
      <w:bookmarkStart w:id="362"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3"/>
        <w:rPr>
          <w:rFonts w:hint="eastAsia"/>
          <w:lang w:val="en-US" w:eastAsia="zh-CN"/>
        </w:rPr>
      </w:pPr>
    </w:p>
    <w:p w14:paraId="614809F8">
      <w:pPr>
        <w:pStyle w:val="33"/>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3"/>
        <w:rPr>
          <w:rFonts w:hint="eastAsia"/>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640599CE">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rPr>
      </w:pPr>
    </w:p>
    <w:p w14:paraId="560A2664">
      <w:pPr>
        <w:pStyle w:val="17"/>
        <w:rPr>
          <w:rFonts w:hint="eastAsia"/>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1"/>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BC55FA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0F0F1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CCBCA3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B0B18B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80BBA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202AE30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327BAFB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46846F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58EC2C6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1D0541F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8B2900C">
      <w:pPr>
        <w:spacing w:line="360" w:lineRule="auto"/>
        <w:jc w:val="both"/>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14:paraId="1AB2C2FE">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控股管理关系承诺书</w:t>
      </w:r>
    </w:p>
    <w:p w14:paraId="2D18CB3C">
      <w:pPr>
        <w:jc w:val="center"/>
        <w:rPr>
          <w:rFonts w:hint="eastAsia"/>
        </w:rPr>
      </w:pPr>
    </w:p>
    <w:p w14:paraId="0E50F93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783E37F1">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3639DD5E">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04FE29E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2A38099F">
      <w:pPr>
        <w:spacing w:line="360" w:lineRule="auto"/>
        <w:rPr>
          <w:rFonts w:hint="eastAsia" w:ascii="宋体" w:hAnsi="宋体" w:eastAsia="宋体" w:cs="宋体"/>
          <w:b/>
          <w:color w:val="000000" w:themeColor="text1"/>
          <w:sz w:val="28"/>
          <w:szCs w:val="28"/>
          <w14:textFill>
            <w14:solidFill>
              <w14:schemeClr w14:val="tx1"/>
            </w14:solidFill>
          </w14:textFill>
        </w:rPr>
      </w:pPr>
    </w:p>
    <w:p w14:paraId="483E777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53E3211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089D81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30715B4D">
      <w:pPr>
        <w:spacing w:line="360" w:lineRule="auto"/>
        <w:ind w:firstLine="56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bookmarkEnd w:id="362"/>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3" w:name="_Toc27768"/>
      <w:bookmarkStart w:id="364" w:name="_Toc500323120"/>
      <w:bookmarkStart w:id="365" w:name="_Toc526842735"/>
      <w:r>
        <w:rPr>
          <w:rFonts w:hint="eastAsia" w:ascii="宋体" w:hAnsi="宋体" w:eastAsia="宋体" w:cs="宋体"/>
          <w:b/>
          <w:color w:val="000000" w:themeColor="text1"/>
          <w:sz w:val="44"/>
          <w:szCs w:val="44"/>
          <w14:textFill>
            <w14:solidFill>
              <w14:schemeClr w14:val="tx1"/>
            </w14:solidFill>
          </w14:textFill>
        </w:rPr>
        <w:t>十、其他材</w:t>
      </w:r>
      <w:bookmarkEnd w:id="355"/>
      <w:bookmarkEnd w:id="356"/>
      <w:bookmarkEnd w:id="357"/>
      <w:bookmarkEnd w:id="358"/>
      <w:bookmarkEnd w:id="359"/>
      <w:r>
        <w:rPr>
          <w:rFonts w:hint="eastAsia" w:ascii="宋体" w:hAnsi="宋体" w:eastAsia="宋体" w:cs="宋体"/>
          <w:b/>
          <w:color w:val="000000" w:themeColor="text1"/>
          <w:sz w:val="44"/>
          <w:szCs w:val="44"/>
          <w14:textFill>
            <w14:solidFill>
              <w14:schemeClr w14:val="tx1"/>
            </w14:solidFill>
          </w14:textFill>
        </w:rPr>
        <w:t>料</w:t>
      </w:r>
      <w:bookmarkEnd w:id="360"/>
      <w:bookmarkEnd w:id="363"/>
      <w:bookmarkEnd w:id="364"/>
      <w:bookmarkEnd w:id="365"/>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66" w:name="_Toc500323121"/>
      <w:bookmarkStart w:id="367" w:name="_Toc10352"/>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66"/>
      <w:bookmarkEnd w:id="367"/>
    </w:p>
    <w:p w14:paraId="109003AE">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14:paraId="13EC3343">
      <w:pPr>
        <w:pStyle w:val="17"/>
        <w:spacing w:before="5"/>
        <w:rPr>
          <w:rFonts w:ascii="宋体" w:hAnsi="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68"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68"/>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延安方逸造价咨询有限公司</w:t>
      </w:r>
      <w:r>
        <w:rPr>
          <w:rFonts w:hint="eastAsia" w:ascii="宋体" w:hAnsi="宋体" w:eastAsia="宋体" w:cs="宋体"/>
          <w:color w:val="000000"/>
          <w:sz w:val="24"/>
          <w:szCs w:val="24"/>
          <w:lang w:eastAsia="zh-CN"/>
        </w:rPr>
        <w:t>：</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sectPr>
      <w:footerReference r:id="rId17" w:type="first"/>
      <w:footerReference r:id="rId16"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384070-CAFB-4D29-A2B4-9CC52D30B4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A2A1EDF2-CE03-4B3A-B1A1-29FFE71BFE87}"/>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034E4091-C1F9-4495-8B4F-13A02CBEEA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A44">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ED13">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F632">
    <w:pPr>
      <w:pStyle w:val="26"/>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4986">
    <w:pPr>
      <w:pStyle w:val="26"/>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D3F32CE5"/>
    <w:multiLevelType w:val="singleLevel"/>
    <w:tmpl w:val="D3F32CE5"/>
    <w:lvl w:ilvl="0" w:tentative="0">
      <w:start w:val="2"/>
      <w:numFmt w:val="decimal"/>
      <w:suff w:val="nothing"/>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14852B3"/>
    <w:rsid w:val="01AF01B8"/>
    <w:rsid w:val="01B00DBA"/>
    <w:rsid w:val="01F176F8"/>
    <w:rsid w:val="023E4257"/>
    <w:rsid w:val="02B250DA"/>
    <w:rsid w:val="0333554D"/>
    <w:rsid w:val="03F92894"/>
    <w:rsid w:val="04131BA8"/>
    <w:rsid w:val="04815C0A"/>
    <w:rsid w:val="04960E16"/>
    <w:rsid w:val="04BD020F"/>
    <w:rsid w:val="04C2712A"/>
    <w:rsid w:val="05064981"/>
    <w:rsid w:val="058D20E5"/>
    <w:rsid w:val="05A50F26"/>
    <w:rsid w:val="05F051C5"/>
    <w:rsid w:val="060C4B01"/>
    <w:rsid w:val="066E30C6"/>
    <w:rsid w:val="06EB2968"/>
    <w:rsid w:val="072C1D07"/>
    <w:rsid w:val="07BC60B3"/>
    <w:rsid w:val="08421947"/>
    <w:rsid w:val="084802A7"/>
    <w:rsid w:val="08D84090"/>
    <w:rsid w:val="097C19F4"/>
    <w:rsid w:val="09D92F4C"/>
    <w:rsid w:val="0B1F0E32"/>
    <w:rsid w:val="0B9676E3"/>
    <w:rsid w:val="0CE42333"/>
    <w:rsid w:val="0DFE7496"/>
    <w:rsid w:val="0E4532A6"/>
    <w:rsid w:val="109B1000"/>
    <w:rsid w:val="109C4CD3"/>
    <w:rsid w:val="10AB5E21"/>
    <w:rsid w:val="10AF1616"/>
    <w:rsid w:val="10B2297D"/>
    <w:rsid w:val="10B87ED6"/>
    <w:rsid w:val="112453F4"/>
    <w:rsid w:val="119751DF"/>
    <w:rsid w:val="126C5B32"/>
    <w:rsid w:val="130E2D23"/>
    <w:rsid w:val="13267D67"/>
    <w:rsid w:val="13BC31A6"/>
    <w:rsid w:val="13CB59CA"/>
    <w:rsid w:val="15A32D8A"/>
    <w:rsid w:val="16404216"/>
    <w:rsid w:val="16B54D41"/>
    <w:rsid w:val="16FC1F08"/>
    <w:rsid w:val="17716EB9"/>
    <w:rsid w:val="18954809"/>
    <w:rsid w:val="19570331"/>
    <w:rsid w:val="19CE195A"/>
    <w:rsid w:val="1A1B1C7D"/>
    <w:rsid w:val="1ACC5A04"/>
    <w:rsid w:val="1AF26BB7"/>
    <w:rsid w:val="1B1D0880"/>
    <w:rsid w:val="1B1D1603"/>
    <w:rsid w:val="1B7900EB"/>
    <w:rsid w:val="1BCB0F20"/>
    <w:rsid w:val="1D4B3D09"/>
    <w:rsid w:val="1E0D7210"/>
    <w:rsid w:val="1E1B58C1"/>
    <w:rsid w:val="1ED67506"/>
    <w:rsid w:val="1F9E2379"/>
    <w:rsid w:val="20825C93"/>
    <w:rsid w:val="20CF69FF"/>
    <w:rsid w:val="20DB53A4"/>
    <w:rsid w:val="20F93EB3"/>
    <w:rsid w:val="20FB77F4"/>
    <w:rsid w:val="22EE28F8"/>
    <w:rsid w:val="231352C9"/>
    <w:rsid w:val="23623B5A"/>
    <w:rsid w:val="240772AA"/>
    <w:rsid w:val="24596D0B"/>
    <w:rsid w:val="24780862"/>
    <w:rsid w:val="254C7A37"/>
    <w:rsid w:val="261F0366"/>
    <w:rsid w:val="27D30C61"/>
    <w:rsid w:val="27E40FE2"/>
    <w:rsid w:val="28B704A4"/>
    <w:rsid w:val="290D4568"/>
    <w:rsid w:val="29915199"/>
    <w:rsid w:val="2A5306A1"/>
    <w:rsid w:val="2AB729DE"/>
    <w:rsid w:val="2B22254D"/>
    <w:rsid w:val="2C3A179D"/>
    <w:rsid w:val="2C3C763E"/>
    <w:rsid w:val="2C5642B8"/>
    <w:rsid w:val="2D7B7464"/>
    <w:rsid w:val="2DE3735D"/>
    <w:rsid w:val="2EDE2C2F"/>
    <w:rsid w:val="2EF02962"/>
    <w:rsid w:val="2F747966"/>
    <w:rsid w:val="2FA17AB0"/>
    <w:rsid w:val="2FD96B30"/>
    <w:rsid w:val="302F1268"/>
    <w:rsid w:val="31267093"/>
    <w:rsid w:val="316F3214"/>
    <w:rsid w:val="31CE6D7A"/>
    <w:rsid w:val="32743744"/>
    <w:rsid w:val="338B2C59"/>
    <w:rsid w:val="339C4E66"/>
    <w:rsid w:val="3442504B"/>
    <w:rsid w:val="34AC10D9"/>
    <w:rsid w:val="34B800A1"/>
    <w:rsid w:val="36A279E6"/>
    <w:rsid w:val="376C0D7B"/>
    <w:rsid w:val="377759CE"/>
    <w:rsid w:val="38AF1198"/>
    <w:rsid w:val="38B9620B"/>
    <w:rsid w:val="38E946AA"/>
    <w:rsid w:val="396E2E01"/>
    <w:rsid w:val="39F94BB6"/>
    <w:rsid w:val="3A8C7FE6"/>
    <w:rsid w:val="3B1D063B"/>
    <w:rsid w:val="3B5A40FF"/>
    <w:rsid w:val="3C567805"/>
    <w:rsid w:val="3C61343C"/>
    <w:rsid w:val="3DA45AE5"/>
    <w:rsid w:val="3DD16176"/>
    <w:rsid w:val="3ED95466"/>
    <w:rsid w:val="3FAA50F9"/>
    <w:rsid w:val="40610FCA"/>
    <w:rsid w:val="41105CD2"/>
    <w:rsid w:val="413261E8"/>
    <w:rsid w:val="42AE24C0"/>
    <w:rsid w:val="42B04734"/>
    <w:rsid w:val="42C65A5C"/>
    <w:rsid w:val="42FF2D1C"/>
    <w:rsid w:val="439804EC"/>
    <w:rsid w:val="43B6162D"/>
    <w:rsid w:val="44510C48"/>
    <w:rsid w:val="446E63AB"/>
    <w:rsid w:val="44DC3315"/>
    <w:rsid w:val="46697367"/>
    <w:rsid w:val="46C646A9"/>
    <w:rsid w:val="471F725F"/>
    <w:rsid w:val="47EF4C31"/>
    <w:rsid w:val="47F40975"/>
    <w:rsid w:val="48266353"/>
    <w:rsid w:val="486A6E89"/>
    <w:rsid w:val="48881B01"/>
    <w:rsid w:val="48E63E09"/>
    <w:rsid w:val="490D6395"/>
    <w:rsid w:val="49286C39"/>
    <w:rsid w:val="4BBE1F01"/>
    <w:rsid w:val="4BFB47FD"/>
    <w:rsid w:val="4C136F17"/>
    <w:rsid w:val="4CCA594B"/>
    <w:rsid w:val="4D3A1520"/>
    <w:rsid w:val="4E690883"/>
    <w:rsid w:val="4F7A3E56"/>
    <w:rsid w:val="4F8B4896"/>
    <w:rsid w:val="4FB8672C"/>
    <w:rsid w:val="508825A3"/>
    <w:rsid w:val="50BE60DA"/>
    <w:rsid w:val="51583D23"/>
    <w:rsid w:val="516E79EA"/>
    <w:rsid w:val="52350508"/>
    <w:rsid w:val="52483D98"/>
    <w:rsid w:val="53735019"/>
    <w:rsid w:val="54153EF4"/>
    <w:rsid w:val="54DB5397"/>
    <w:rsid w:val="565672E2"/>
    <w:rsid w:val="56640A69"/>
    <w:rsid w:val="56E66275"/>
    <w:rsid w:val="583103D4"/>
    <w:rsid w:val="58825446"/>
    <w:rsid w:val="59941FB8"/>
    <w:rsid w:val="5B4B25EA"/>
    <w:rsid w:val="5C163158"/>
    <w:rsid w:val="5CA442C0"/>
    <w:rsid w:val="5CB15147"/>
    <w:rsid w:val="5CF3550D"/>
    <w:rsid w:val="5D0C00B7"/>
    <w:rsid w:val="5D3C5C3A"/>
    <w:rsid w:val="5D9205BD"/>
    <w:rsid w:val="5DCC7F73"/>
    <w:rsid w:val="5E7B54F5"/>
    <w:rsid w:val="5E7D4589"/>
    <w:rsid w:val="5ECA3D86"/>
    <w:rsid w:val="5EE84F2C"/>
    <w:rsid w:val="5F5039DE"/>
    <w:rsid w:val="60032D57"/>
    <w:rsid w:val="60114363"/>
    <w:rsid w:val="60CD06C8"/>
    <w:rsid w:val="614C5468"/>
    <w:rsid w:val="61700C15"/>
    <w:rsid w:val="61972B69"/>
    <w:rsid w:val="62182C2F"/>
    <w:rsid w:val="63C04514"/>
    <w:rsid w:val="665A1E94"/>
    <w:rsid w:val="668024BD"/>
    <w:rsid w:val="67237EBF"/>
    <w:rsid w:val="676520A4"/>
    <w:rsid w:val="69172000"/>
    <w:rsid w:val="691A6629"/>
    <w:rsid w:val="6A4964A7"/>
    <w:rsid w:val="6B113469"/>
    <w:rsid w:val="6C032026"/>
    <w:rsid w:val="6C8D649C"/>
    <w:rsid w:val="6D3671B7"/>
    <w:rsid w:val="6DC81DD9"/>
    <w:rsid w:val="6F7D69F9"/>
    <w:rsid w:val="6FA17D96"/>
    <w:rsid w:val="70950698"/>
    <w:rsid w:val="71A66D53"/>
    <w:rsid w:val="71FE04BF"/>
    <w:rsid w:val="72774A0E"/>
    <w:rsid w:val="730B5F08"/>
    <w:rsid w:val="73A11102"/>
    <w:rsid w:val="7872306D"/>
    <w:rsid w:val="79F44681"/>
    <w:rsid w:val="79FA156C"/>
    <w:rsid w:val="7AA73149"/>
    <w:rsid w:val="7AD95625"/>
    <w:rsid w:val="7AEC7106"/>
    <w:rsid w:val="7C6E23A2"/>
    <w:rsid w:val="7CDB7433"/>
    <w:rsid w:val="7EC24845"/>
    <w:rsid w:val="7F437511"/>
    <w:rsid w:val="7F480FCB"/>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8"/>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6"/>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7"/>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3"/>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7"/>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5"/>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8"/>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6"/>
    <w:autoRedefine/>
    <w:qFormat/>
    <w:uiPriority w:val="0"/>
    <w:rPr>
      <w:rFonts w:hint="default" w:ascii="宋体"/>
      <w:sz w:val="18"/>
      <w:szCs w:val="18"/>
      <w:lang w:val="zh-CN" w:eastAsia="zh-CN"/>
    </w:rPr>
  </w:style>
  <w:style w:type="paragraph" w:styleId="15">
    <w:name w:val="annotation text"/>
    <w:basedOn w:val="1"/>
    <w:link w:val="63"/>
    <w:autoRedefine/>
    <w:qFormat/>
    <w:uiPriority w:val="0"/>
    <w:pPr>
      <w:jc w:val="left"/>
    </w:pPr>
    <w:rPr>
      <w:rFonts w:hint="default"/>
      <w:lang w:val="zh-CN" w:eastAsia="zh-CN"/>
    </w:rPr>
  </w:style>
  <w:style w:type="paragraph" w:styleId="16">
    <w:name w:val="Body Text 3"/>
    <w:basedOn w:val="1"/>
    <w:link w:val="68"/>
    <w:autoRedefine/>
    <w:qFormat/>
    <w:uiPriority w:val="0"/>
    <w:pPr>
      <w:spacing w:after="120"/>
    </w:pPr>
    <w:rPr>
      <w:rFonts w:hint="default"/>
      <w:sz w:val="16"/>
      <w:szCs w:val="16"/>
      <w:lang w:val="zh-CN" w:eastAsia="zh-CN"/>
    </w:rPr>
  </w:style>
  <w:style w:type="paragraph" w:styleId="17">
    <w:name w:val="Body Text"/>
    <w:basedOn w:val="1"/>
    <w:next w:val="1"/>
    <w:link w:val="51"/>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4"/>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49"/>
    <w:autoRedefine/>
    <w:qFormat/>
    <w:uiPriority w:val="0"/>
    <w:rPr>
      <w:rFonts w:hint="default"/>
      <w:sz w:val="18"/>
      <w:szCs w:val="18"/>
      <w:lang w:val="zh-CN" w:eastAsia="zh-CN"/>
    </w:rPr>
  </w:style>
  <w:style w:type="paragraph" w:styleId="24">
    <w:name w:val="footer"/>
    <w:basedOn w:val="1"/>
    <w:link w:val="58"/>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Normal (Web)"/>
    <w:basedOn w:val="1"/>
    <w:autoRedefine/>
    <w:qFormat/>
    <w:uiPriority w:val="99"/>
    <w:pPr>
      <w:widowControl/>
      <w:spacing w:before="100" w:beforeAutospacing="1" w:after="100" w:afterAutospacing="1"/>
      <w:jc w:val="left"/>
    </w:pPr>
    <w:rPr>
      <w:rFonts w:ascii="宋体" w:hAnsi="宋体"/>
      <w:sz w:val="24"/>
    </w:rPr>
  </w:style>
  <w:style w:type="paragraph" w:styleId="32">
    <w:name w:val="annotation subject"/>
    <w:basedOn w:val="15"/>
    <w:next w:val="15"/>
    <w:link w:val="64"/>
    <w:autoRedefine/>
    <w:qFormat/>
    <w:uiPriority w:val="0"/>
    <w:rPr>
      <w:b/>
      <w:bCs/>
    </w:rPr>
  </w:style>
  <w:style w:type="paragraph" w:styleId="33">
    <w:name w:val="Body Text First Indent"/>
    <w:basedOn w:val="17"/>
    <w:autoRedefine/>
    <w:qFormat/>
    <w:uiPriority w:val="0"/>
    <w:pPr>
      <w:spacing w:after="120"/>
      <w:ind w:firstLine="420" w:firstLineChars="100"/>
      <w:jc w:val="both"/>
    </w:pPr>
  </w:style>
  <w:style w:type="paragraph" w:styleId="34">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6">
    <w:name w:val="Table Grid"/>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hint="default" w:ascii="Times New Roman" w:hAnsi="Times New Roman" w:eastAsia="宋体" w:cs="Times New Roman"/>
      <w:b/>
      <w:sz w:val="24"/>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basedOn w:val="37"/>
    <w:autoRedefine/>
    <w:qFormat/>
    <w:uiPriority w:val="0"/>
    <w:rPr>
      <w:rFonts w:ascii="Times New Roman" w:hAnsi="Times New Roman" w:eastAsia="宋体" w:cs="Times New Roman"/>
      <w:color w:val="800080"/>
      <w:u w:val="none"/>
    </w:rPr>
  </w:style>
  <w:style w:type="character" w:styleId="41">
    <w:name w:val="Emphasis"/>
    <w:basedOn w:val="37"/>
    <w:autoRedefine/>
    <w:qFormat/>
    <w:uiPriority w:val="0"/>
    <w:rPr>
      <w:rFonts w:ascii="Times New Roman" w:hAnsi="Times New Roman" w:eastAsia="宋体" w:cs="Times New Roman"/>
    </w:rPr>
  </w:style>
  <w:style w:type="character" w:styleId="42">
    <w:name w:val="Hyperlink"/>
    <w:autoRedefine/>
    <w:qFormat/>
    <w:uiPriority w:val="99"/>
    <w:rPr>
      <w:rFonts w:hint="default" w:ascii="Times New Roman" w:hAnsi="Times New Roman" w:eastAsia="宋体" w:cs="Times New Roman"/>
      <w:color w:val="0000FF"/>
      <w:sz w:val="24"/>
      <w:u w:val="single"/>
    </w:rPr>
  </w:style>
  <w:style w:type="character" w:styleId="43">
    <w:name w:val="annotation reference"/>
    <w:autoRedefine/>
    <w:qFormat/>
    <w:uiPriority w:val="0"/>
    <w:rPr>
      <w:rFonts w:ascii="Times New Roman" w:hAnsi="Times New Roman" w:eastAsia="宋体" w:cs="Times New Roman"/>
      <w:sz w:val="21"/>
      <w:szCs w:val="21"/>
    </w:rPr>
  </w:style>
  <w:style w:type="paragraph" w:customStyle="1" w:styleId="4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已访问的超链接1"/>
    <w:autoRedefine/>
    <w:qFormat/>
    <w:uiPriority w:val="0"/>
    <w:rPr>
      <w:rFonts w:ascii="Times New Roman" w:hAnsi="Times New Roman" w:eastAsia="宋体" w:cs="Times New Roman"/>
      <w:color w:val="800080"/>
      <w:u w:val="single"/>
    </w:rPr>
  </w:style>
  <w:style w:type="character" w:customStyle="1" w:styleId="46">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7">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8">
    <w:name w:val="标题 9 字符"/>
    <w:link w:val="11"/>
    <w:autoRedefine/>
    <w:qFormat/>
    <w:uiPriority w:val="0"/>
    <w:rPr>
      <w:rFonts w:hint="default" w:ascii="Arial" w:hAnsi="Arial" w:eastAsia="仿宋" w:cs="Times New Roman"/>
      <w:kern w:val="0"/>
      <w:szCs w:val="21"/>
      <w:lang w:val="zh-CN" w:eastAsia="zh-CN"/>
    </w:rPr>
  </w:style>
  <w:style w:type="character" w:customStyle="1" w:styleId="49">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0">
    <w:name w:val="正文首行缩进 Char"/>
    <w:basedOn w:val="51"/>
    <w:link w:val="52"/>
    <w:autoRedefine/>
    <w:qFormat/>
    <w:uiPriority w:val="0"/>
  </w:style>
  <w:style w:type="character" w:customStyle="1" w:styleId="51">
    <w:name w:val="正文文本 字符"/>
    <w:link w:val="17"/>
    <w:autoRedefine/>
    <w:qFormat/>
    <w:uiPriority w:val="0"/>
    <w:rPr>
      <w:rFonts w:hint="default" w:ascii="Times New Roman" w:hAnsi="Times New Roman" w:eastAsia="宋体" w:cs="Times New Roman"/>
      <w:lang w:val="zh-CN" w:eastAsia="zh-CN"/>
    </w:rPr>
  </w:style>
  <w:style w:type="paragraph" w:customStyle="1" w:styleId="52">
    <w:name w:val="正文首行缩进1"/>
    <w:basedOn w:val="17"/>
    <w:link w:val="50"/>
    <w:autoRedefine/>
    <w:qFormat/>
    <w:uiPriority w:val="0"/>
    <w:pPr>
      <w:spacing w:after="120"/>
      <w:ind w:firstLine="420" w:firstLineChars="100"/>
      <w:jc w:val="both"/>
    </w:pPr>
  </w:style>
  <w:style w:type="character" w:customStyle="1" w:styleId="53">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4">
    <w:name w:val="日期 字符1"/>
    <w:link w:val="21"/>
    <w:autoRedefine/>
    <w:qFormat/>
    <w:uiPriority w:val="0"/>
    <w:rPr>
      <w:rFonts w:hint="default" w:ascii="Times New Roman" w:hAnsi="Times New Roman" w:eastAsia="宋体" w:cs="Times New Roman"/>
      <w:lang w:val="zh-CN" w:eastAsia="zh-CN"/>
    </w:rPr>
  </w:style>
  <w:style w:type="character" w:customStyle="1" w:styleId="55">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6">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7">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8">
    <w:name w:val="页脚 字符"/>
    <w:link w:val="24"/>
    <w:autoRedefine/>
    <w:qFormat/>
    <w:uiPriority w:val="0"/>
    <w:rPr>
      <w:rFonts w:ascii="Times New Roman" w:hAnsi="Times New Roman" w:eastAsia="宋体" w:cs="Times New Roman"/>
      <w:sz w:val="18"/>
    </w:rPr>
  </w:style>
  <w:style w:type="character" w:customStyle="1" w:styleId="59">
    <w:name w:val="正文3 Char"/>
    <w:link w:val="60"/>
    <w:autoRedefine/>
    <w:qFormat/>
    <w:uiPriority w:val="0"/>
    <w:rPr>
      <w:rFonts w:ascii="仿宋" w:hAnsi="仿宋" w:eastAsia="仿宋" w:cs="Times New Roman"/>
      <w:kern w:val="0"/>
      <w:sz w:val="24"/>
      <w:szCs w:val="28"/>
    </w:rPr>
  </w:style>
  <w:style w:type="paragraph" w:customStyle="1" w:styleId="60">
    <w:name w:val="正文3"/>
    <w:basedOn w:val="52"/>
    <w:link w:val="59"/>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1">
    <w:name w:val="标题55 Char"/>
    <w:link w:val="62"/>
    <w:autoRedefine/>
    <w:qFormat/>
    <w:uiPriority w:val="0"/>
    <w:rPr>
      <w:rFonts w:ascii="Times New Roman" w:hAnsi="Times New Roman" w:eastAsia="宋体" w:cs="Times New Roman"/>
      <w:b/>
      <w:sz w:val="28"/>
    </w:rPr>
  </w:style>
  <w:style w:type="paragraph" w:customStyle="1" w:styleId="62">
    <w:name w:val="标题55"/>
    <w:basedOn w:val="6"/>
    <w:next w:val="60"/>
    <w:link w:val="61"/>
    <w:autoRedefine/>
    <w:qFormat/>
    <w:uiPriority w:val="0"/>
    <w:pPr>
      <w:spacing w:before="50" w:beforeAutospacing="0"/>
    </w:pPr>
    <w:rPr>
      <w:b/>
      <w:sz w:val="28"/>
    </w:rPr>
  </w:style>
  <w:style w:type="character" w:customStyle="1" w:styleId="63">
    <w:name w:val="批注文字 字符"/>
    <w:link w:val="15"/>
    <w:autoRedefine/>
    <w:qFormat/>
    <w:uiPriority w:val="0"/>
    <w:rPr>
      <w:rFonts w:hint="default" w:ascii="Times New Roman" w:hAnsi="Times New Roman" w:eastAsia="宋体" w:cs="Times New Roman"/>
      <w:lang w:val="zh-CN" w:eastAsia="zh-CN"/>
    </w:rPr>
  </w:style>
  <w:style w:type="character" w:customStyle="1" w:styleId="64">
    <w:name w:val="批注主题 字符"/>
    <w:link w:val="32"/>
    <w:autoRedefine/>
    <w:qFormat/>
    <w:uiPriority w:val="0"/>
    <w:rPr>
      <w:rFonts w:ascii="Times New Roman" w:hAnsi="Times New Roman" w:eastAsia="宋体" w:cs="Times New Roman"/>
      <w:b/>
      <w:bCs/>
    </w:rPr>
  </w:style>
  <w:style w:type="character" w:customStyle="1" w:styleId="65">
    <w:name w:val="日期 字符"/>
    <w:autoRedefine/>
    <w:qFormat/>
    <w:uiPriority w:val="0"/>
    <w:rPr>
      <w:rFonts w:ascii="Times New Roman" w:hAnsi="Times New Roman" w:eastAsia="宋体" w:cs="Times New Roman"/>
      <w:kern w:val="2"/>
      <w:sz w:val="21"/>
      <w:szCs w:val="24"/>
      <w:lang w:bidi="ar-SA"/>
    </w:rPr>
  </w:style>
  <w:style w:type="character" w:customStyle="1" w:styleId="66">
    <w:name w:val="06-正文 Char"/>
    <w:link w:val="67"/>
    <w:autoRedefine/>
    <w:qFormat/>
    <w:locked/>
    <w:uiPriority w:val="0"/>
    <w:rPr>
      <w:rFonts w:hint="default" w:ascii="Arial" w:hAnsi="Arial" w:eastAsia="宋体" w:cs="Times New Roman"/>
      <w:kern w:val="0"/>
      <w:sz w:val="24"/>
      <w:szCs w:val="20"/>
      <w:lang w:val="zh-CN" w:eastAsia="zh-CN"/>
    </w:rPr>
  </w:style>
  <w:style w:type="paragraph" w:customStyle="1" w:styleId="67">
    <w:name w:val="06-正文"/>
    <w:basedOn w:val="1"/>
    <w:link w:val="66"/>
    <w:autoRedefine/>
    <w:qFormat/>
    <w:uiPriority w:val="0"/>
    <w:pPr>
      <w:ind w:firstLine="480" w:firstLineChars="200"/>
    </w:pPr>
    <w:rPr>
      <w:rFonts w:hint="default" w:ascii="Arial" w:hAnsi="Arial"/>
      <w:kern w:val="0"/>
      <w:sz w:val="24"/>
      <w:szCs w:val="20"/>
      <w:lang w:val="zh-CN" w:eastAsia="zh-CN"/>
    </w:rPr>
  </w:style>
  <w:style w:type="character" w:customStyle="1" w:styleId="68">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69">
    <w:name w:val="目录 21"/>
    <w:basedOn w:val="1"/>
    <w:next w:val="1"/>
    <w:autoRedefine/>
    <w:qFormat/>
    <w:uiPriority w:val="39"/>
    <w:pPr>
      <w:ind w:left="210"/>
      <w:jc w:val="left"/>
    </w:pPr>
    <w:rPr>
      <w:rFonts w:ascii="Calibri" w:hAnsi="Calibri"/>
      <w:smallCaps/>
      <w:sz w:val="20"/>
    </w:rPr>
  </w:style>
  <w:style w:type="paragraph" w:customStyle="1" w:styleId="70">
    <w:name w:val="目录 31"/>
    <w:basedOn w:val="1"/>
    <w:next w:val="1"/>
    <w:autoRedefine/>
    <w:qFormat/>
    <w:uiPriority w:val="39"/>
    <w:pPr>
      <w:ind w:left="840" w:leftChars="400"/>
    </w:pPr>
  </w:style>
  <w:style w:type="paragraph" w:customStyle="1" w:styleId="71">
    <w:name w:val="目录 11"/>
    <w:basedOn w:val="1"/>
    <w:next w:val="1"/>
    <w:autoRedefine/>
    <w:qFormat/>
    <w:uiPriority w:val="39"/>
    <w:pPr>
      <w:spacing w:before="120" w:after="120"/>
      <w:jc w:val="left"/>
    </w:pPr>
    <w:rPr>
      <w:rFonts w:ascii="Calibri" w:hAnsi="Calibri"/>
      <w:b/>
      <w:caps/>
      <w:sz w:val="20"/>
    </w:rPr>
  </w:style>
  <w:style w:type="paragraph" w:customStyle="1" w:styleId="72">
    <w:name w:val="列表段落1"/>
    <w:basedOn w:val="1"/>
    <w:autoRedefine/>
    <w:qFormat/>
    <w:uiPriority w:val="34"/>
    <w:pPr>
      <w:ind w:firstLine="420" w:firstLineChars="200"/>
    </w:pPr>
  </w:style>
  <w:style w:type="paragraph" w:customStyle="1" w:styleId="73">
    <w:name w:val="目录"/>
    <w:basedOn w:val="1"/>
    <w:autoRedefine/>
    <w:unhideWhenUsed/>
    <w:qFormat/>
    <w:uiPriority w:val="99"/>
    <w:pPr>
      <w:widowControl/>
      <w:jc w:val="center"/>
    </w:pPr>
    <w:rPr>
      <w:rFonts w:ascii="宋体"/>
      <w:b/>
      <w:sz w:val="36"/>
    </w:rPr>
  </w:style>
  <w:style w:type="paragraph" w:customStyle="1" w:styleId="74">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5">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6">
    <w:name w:val="列出段落"/>
    <w:basedOn w:val="1"/>
    <w:autoRedefine/>
    <w:qFormat/>
    <w:uiPriority w:val="34"/>
    <w:pPr>
      <w:ind w:firstLine="420" w:firstLineChars="200"/>
    </w:pPr>
    <w:rPr>
      <w:rFonts w:hint="default" w:ascii="Calibri" w:hAnsi="Calibri"/>
    </w:rPr>
  </w:style>
  <w:style w:type="paragraph" w:customStyle="1" w:styleId="77">
    <w:name w:val="Char Char Char Char Char Char Char Char Char Char Char1 Char Char Char Char Char Char Char Char Char Char Char Char"/>
    <w:basedOn w:val="1"/>
    <w:autoRedefine/>
    <w:qFormat/>
    <w:uiPriority w:val="0"/>
    <w:rPr>
      <w:rFonts w:hint="default"/>
      <w:szCs w:val="20"/>
    </w:rPr>
  </w:style>
  <w:style w:type="paragraph" w:customStyle="1" w:styleId="78">
    <w:name w:val="_Style 3"/>
    <w:basedOn w:val="1"/>
    <w:autoRedefine/>
    <w:qFormat/>
    <w:uiPriority w:val="34"/>
    <w:pPr>
      <w:ind w:firstLine="420" w:firstLineChars="200"/>
    </w:pPr>
    <w:rPr>
      <w:rFonts w:hint="default" w:ascii="Calibri" w:hAnsi="Calibri"/>
    </w:rPr>
  </w:style>
  <w:style w:type="paragraph" w:customStyle="1" w:styleId="79">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_Style 43"/>
    <w:basedOn w:val="14"/>
    <w:autoRedefine/>
    <w:qFormat/>
    <w:uiPriority w:val="0"/>
    <w:pPr>
      <w:shd w:val="clear" w:color="auto" w:fill="000080"/>
    </w:pPr>
    <w:rPr>
      <w:rFonts w:ascii="Tahoma" w:hAnsi="Tahoma"/>
      <w:sz w:val="24"/>
      <w:szCs w:val="24"/>
    </w:rPr>
  </w:style>
  <w:style w:type="paragraph" w:customStyle="1" w:styleId="81">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p17"/>
    <w:basedOn w:val="1"/>
    <w:autoRedefine/>
    <w:qFormat/>
    <w:uiPriority w:val="0"/>
    <w:pPr>
      <w:widowControl/>
      <w:ind w:firstLine="420"/>
    </w:pPr>
    <w:rPr>
      <w:rFonts w:hint="default"/>
      <w:kern w:val="0"/>
      <w:szCs w:val="21"/>
    </w:rPr>
  </w:style>
  <w:style w:type="paragraph" w:customStyle="1" w:styleId="83">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4">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5">
    <w:name w:val="List Paragraph"/>
    <w:basedOn w:val="1"/>
    <w:autoRedefine/>
    <w:qFormat/>
    <w:uiPriority w:val="34"/>
    <w:pPr>
      <w:ind w:firstLine="420" w:firstLineChars="200"/>
    </w:pPr>
  </w:style>
  <w:style w:type="paragraph" w:customStyle="1" w:styleId="86">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7">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8">
    <w:name w:val="Table caption|2 + 10.5 pt"/>
    <w:basedOn w:val="89"/>
    <w:autoRedefine/>
    <w:semiHidden/>
    <w:unhideWhenUsed/>
    <w:qFormat/>
    <w:uiPriority w:val="0"/>
    <w:rPr>
      <w:color w:val="000000"/>
      <w:spacing w:val="0"/>
      <w:w w:val="120"/>
      <w:position w:val="0"/>
      <w:sz w:val="21"/>
      <w:szCs w:val="21"/>
      <w:lang w:val="zh-CN" w:eastAsia="zh-CN" w:bidi="zh-CN"/>
    </w:rPr>
  </w:style>
  <w:style w:type="character" w:customStyle="1" w:styleId="89">
    <w:name w:val="Table caption|2_"/>
    <w:basedOn w:val="37"/>
    <w:link w:val="90"/>
    <w:autoRedefine/>
    <w:qFormat/>
    <w:uiPriority w:val="0"/>
    <w:rPr>
      <w:rFonts w:ascii="PMingLiU" w:hAnsi="PMingLiU" w:eastAsia="PMingLiU" w:cs="PMingLiU"/>
      <w:spacing w:val="30"/>
      <w:sz w:val="28"/>
      <w:szCs w:val="28"/>
      <w:u w:val="none"/>
    </w:rPr>
  </w:style>
  <w:style w:type="paragraph" w:customStyle="1" w:styleId="90">
    <w:name w:val="Table caption|2"/>
    <w:basedOn w:val="1"/>
    <w:link w:val="89"/>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1">
    <w:name w:val="font31"/>
    <w:basedOn w:val="37"/>
    <w:autoRedefine/>
    <w:qFormat/>
    <w:uiPriority w:val="0"/>
    <w:rPr>
      <w:rFonts w:hint="eastAsia" w:ascii="宋体" w:hAnsi="宋体" w:eastAsia="宋体" w:cs="宋体"/>
      <w:color w:val="000000"/>
      <w:sz w:val="20"/>
      <w:szCs w:val="20"/>
      <w:u w:val="none"/>
    </w:rPr>
  </w:style>
  <w:style w:type="character" w:customStyle="1" w:styleId="92">
    <w:name w:val="font11"/>
    <w:basedOn w:val="37"/>
    <w:autoRedefine/>
    <w:qFormat/>
    <w:uiPriority w:val="0"/>
    <w:rPr>
      <w:rFonts w:hint="eastAsia" w:ascii="宋体" w:hAnsi="宋体" w:eastAsia="宋体" w:cs="宋体"/>
      <w:color w:val="000000"/>
      <w:sz w:val="20"/>
      <w:szCs w:val="20"/>
      <w:u w:val="none"/>
      <w:vertAlign w:val="subscript"/>
    </w:rPr>
  </w:style>
  <w:style w:type="character" w:customStyle="1" w:styleId="93">
    <w:name w:val="input-direction"/>
    <w:basedOn w:val="37"/>
    <w:autoRedefine/>
    <w:qFormat/>
    <w:uiPriority w:val="0"/>
    <w:rPr>
      <w:rFonts w:ascii="Times New Roman" w:hAnsi="Times New Roman" w:eastAsia="宋体" w:cs="Times New Roman"/>
      <w:color w:val="FF6600"/>
    </w:rPr>
  </w:style>
  <w:style w:type="character" w:customStyle="1" w:styleId="94">
    <w:name w:val="number"/>
    <w:basedOn w:val="37"/>
    <w:autoRedefine/>
    <w:qFormat/>
    <w:uiPriority w:val="0"/>
    <w:rPr>
      <w:rFonts w:ascii="Times New Roman" w:hAnsi="Times New Roman" w:eastAsia="宋体" w:cs="Times New Roman"/>
      <w:color w:val="FF8833"/>
      <w:sz w:val="18"/>
      <w:szCs w:val="18"/>
    </w:rPr>
  </w:style>
  <w:style w:type="character" w:customStyle="1" w:styleId="95">
    <w:name w:val="span-long"/>
    <w:basedOn w:val="37"/>
    <w:autoRedefine/>
    <w:qFormat/>
    <w:uiPriority w:val="0"/>
    <w:rPr>
      <w:rFonts w:ascii="Times New Roman" w:hAnsi="Times New Roman" w:eastAsia="宋体" w:cs="Times New Roman"/>
    </w:rPr>
  </w:style>
  <w:style w:type="character" w:customStyle="1" w:styleId="96">
    <w:name w:val="proollist"/>
    <w:basedOn w:val="37"/>
    <w:autoRedefine/>
    <w:qFormat/>
    <w:uiPriority w:val="0"/>
    <w:rPr>
      <w:rFonts w:ascii="Times New Roman" w:hAnsi="Times New Roman" w:eastAsia="宋体" w:cs="Times New Roman"/>
    </w:rPr>
  </w:style>
  <w:style w:type="character" w:customStyle="1" w:styleId="97">
    <w:name w:val="beforeinfotext"/>
    <w:basedOn w:val="37"/>
    <w:autoRedefine/>
    <w:qFormat/>
    <w:uiPriority w:val="0"/>
    <w:rPr>
      <w:rFonts w:ascii="Times New Roman" w:hAnsi="Times New Roman" w:eastAsia="宋体" w:cs="Times New Roman"/>
      <w:color w:val="666666"/>
    </w:rPr>
  </w:style>
  <w:style w:type="character" w:customStyle="1" w:styleId="98">
    <w:name w:val="stclosebtn"/>
    <w:basedOn w:val="37"/>
    <w:autoRedefine/>
    <w:qFormat/>
    <w:uiPriority w:val="0"/>
    <w:rPr>
      <w:rFonts w:ascii="Times New Roman" w:hAnsi="Times New Roman" w:eastAsia="宋体" w:cs="Times New Roman"/>
    </w:rPr>
  </w:style>
  <w:style w:type="character" w:customStyle="1" w:styleId="99">
    <w:name w:val="button"/>
    <w:basedOn w:val="37"/>
    <w:autoRedefine/>
    <w:qFormat/>
    <w:uiPriority w:val="0"/>
    <w:rPr>
      <w:rFonts w:ascii="Times New Roman" w:hAnsi="Times New Roman" w:eastAsia="宋体" w:cs="Times New Roman"/>
    </w:rPr>
  </w:style>
  <w:style w:type="character" w:customStyle="1" w:styleId="100">
    <w:name w:val="phone"/>
    <w:basedOn w:val="37"/>
    <w:autoRedefine/>
    <w:qFormat/>
    <w:uiPriority w:val="0"/>
    <w:rPr>
      <w:rFonts w:ascii="Times New Roman" w:hAnsi="Times New Roman" w:eastAsia="宋体" w:cs="Times New Roman"/>
      <w:color w:val="FF8833"/>
      <w:sz w:val="18"/>
      <w:szCs w:val="18"/>
    </w:rPr>
  </w:style>
  <w:style w:type="character" w:customStyle="1" w:styleId="101">
    <w:name w:val="tmpztreemove_arrow"/>
    <w:basedOn w:val="37"/>
    <w:autoRedefine/>
    <w:qFormat/>
    <w:uiPriority w:val="0"/>
    <w:rPr>
      <w:rFonts w:ascii="Times New Roman" w:hAnsi="Times New Roman" w:eastAsia="宋体" w:cs="Times New Roman"/>
    </w:rPr>
  </w:style>
  <w:style w:type="character" w:customStyle="1" w:styleId="102">
    <w:name w:val="hilite"/>
    <w:basedOn w:val="37"/>
    <w:autoRedefine/>
    <w:qFormat/>
    <w:uiPriority w:val="0"/>
    <w:rPr>
      <w:rFonts w:ascii="Times New Roman" w:hAnsi="Times New Roman" w:eastAsia="宋体" w:cs="Times New Roman"/>
      <w:color w:val="FFFFFF"/>
      <w:shd w:val="clear" w:fill="666677"/>
    </w:rPr>
  </w:style>
  <w:style w:type="character" w:customStyle="1" w:styleId="103">
    <w:name w:val="active"/>
    <w:basedOn w:val="37"/>
    <w:autoRedefine/>
    <w:qFormat/>
    <w:uiPriority w:val="0"/>
    <w:rPr>
      <w:rFonts w:ascii="Times New Roman" w:hAnsi="Times New Roman" w:eastAsia="宋体" w:cs="Times New Roman"/>
      <w:color w:val="00FF00"/>
      <w:shd w:val="clear" w:fill="000000"/>
    </w:rPr>
  </w:style>
  <w:style w:type="character" w:customStyle="1" w:styleId="104">
    <w:name w:val="button2"/>
    <w:basedOn w:val="37"/>
    <w:autoRedefine/>
    <w:qFormat/>
    <w:uiPriority w:val="0"/>
    <w:rPr>
      <w:rFonts w:ascii="Times New Roman" w:hAnsi="Times New Roman" w:eastAsia="宋体" w:cs="Times New Roman"/>
    </w:rPr>
  </w:style>
  <w:style w:type="character" w:customStyle="1" w:styleId="105">
    <w:name w:val="active4"/>
    <w:basedOn w:val="37"/>
    <w:autoRedefine/>
    <w:qFormat/>
    <w:uiPriority w:val="0"/>
    <w:rPr>
      <w:rFonts w:ascii="Times New Roman" w:hAnsi="Times New Roman" w:eastAsia="宋体" w:cs="Times New Roman"/>
      <w:color w:val="00FF00"/>
      <w:shd w:val="clear" w:fill="000000"/>
    </w:rPr>
  </w:style>
  <w:style w:type="character" w:customStyle="1" w:styleId="106">
    <w:name w:val="hilite4"/>
    <w:basedOn w:val="37"/>
    <w:autoRedefine/>
    <w:qFormat/>
    <w:uiPriority w:val="0"/>
    <w:rPr>
      <w:rFonts w:ascii="Times New Roman" w:hAnsi="Times New Roman" w:eastAsia="宋体" w:cs="Times New Roman"/>
      <w:color w:val="FFFFFF"/>
      <w:shd w:val="clear" w:fill="666677"/>
    </w:rPr>
  </w:style>
  <w:style w:type="character" w:customStyle="1" w:styleId="107">
    <w:name w:val="active6"/>
    <w:basedOn w:val="37"/>
    <w:autoRedefine/>
    <w:qFormat/>
    <w:uiPriority w:val="0"/>
    <w:rPr>
      <w:rFonts w:ascii="Times New Roman" w:hAnsi="Times New Roman" w:eastAsia="宋体" w:cs="Times New Roman"/>
      <w:color w:val="00FF00"/>
      <w:shd w:val="clear" w:fill="000000"/>
    </w:rPr>
  </w:style>
  <w:style w:type="character" w:customStyle="1" w:styleId="108">
    <w:name w:val="标题 2 Char"/>
    <w:basedOn w:val="37"/>
    <w:link w:val="3"/>
    <w:autoRedefine/>
    <w:qFormat/>
    <w:uiPriority w:val="0"/>
    <w:rPr>
      <w:rFonts w:ascii="Cambria" w:hAnsi="Cambria" w:eastAsia="宋体" w:cs="Times New Roman"/>
      <w:b/>
      <w:sz w:val="32"/>
    </w:rPr>
  </w:style>
  <w:style w:type="paragraph" w:customStyle="1" w:styleId="10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27117</Words>
  <Characters>28601</Characters>
  <Lines>334</Lines>
  <Paragraphs>94</Paragraphs>
  <TotalTime>4</TotalTime>
  <ScaleCrop>false</ScaleCrop>
  <LinksUpToDate>false</LinksUpToDate>
  <CharactersWithSpaces>30552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Administrator</cp:lastModifiedBy>
  <cp:lastPrinted>2025-06-09T11:37:00Z</cp:lastPrinted>
  <dcterms:modified xsi:type="dcterms:W3CDTF">2026-04-08T06:14:33Z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E50A132F8BFC407AB840E0A844DEA562_11</vt:lpwstr>
  </property>
  <property fmtid="{D5CDD505-2E9C-101B-9397-08002B2CF9AE}" pid="4" name="KSOTemplateDocerSaveRecord">
    <vt:lpwstr>eyJoZGlkIjoiODNhZDEzMmQyMzMzNzU3MWU2YjBiZjY1ODhiMGE4MDkiLCJ1c2VySWQiOiI2MzI0NTIwNjUifQ==</vt:lpwstr>
  </property>
</Properties>
</file>