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版本号：ZCSP-白水县-2026-00039-00220260325001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中心敬老院维修改造、适老化改造项目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ZCSP-白水县-2026-00039-002</w:t>
      </w:r>
      <w:r>
        <w:br/>
      </w:r>
      <w:r>
        <w:br/>
      </w:r>
      <w:r>
        <w:br/>
      </w:r>
    </w:p>
    <w:p>
      <w:pPr>
        <w:pStyle w:val="null3"/>
        <w:jc w:val="center"/>
        <w:outlineLvl w:val="2"/>
      </w:pPr>
      <w:r>
        <w:rPr>
          <w:rFonts w:ascii="仿宋_GB2312" w:hAnsi="仿宋_GB2312" w:cs="仿宋_GB2312" w:eastAsia="仿宋_GB2312"/>
          <w:sz w:val="28"/>
          <w:b/>
        </w:rPr>
        <w:t>白水县中心敬老院</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白水县中心敬老院</w:t>
      </w:r>
      <w:r>
        <w:rPr>
          <w:rFonts w:ascii="仿宋_GB2312" w:hAnsi="仿宋_GB2312" w:cs="仿宋_GB2312" w:eastAsia="仿宋_GB2312"/>
        </w:rPr>
        <w:t>委托，拟对</w:t>
      </w:r>
      <w:r>
        <w:rPr>
          <w:rFonts w:ascii="仿宋_GB2312" w:hAnsi="仿宋_GB2312" w:cs="仿宋_GB2312" w:eastAsia="仿宋_GB2312"/>
        </w:rPr>
        <w:t>中心敬老院维修改造、适老化改造项目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ZCSP-白水县-2026-00039-002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中心敬老院维修改造、适老化改造项目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1.项目名称：中心敬老院维修改造、适老化改造项目 2.建设地点：白水县中心敬老院。 3.建设主要内容包括：（1）配备2间管护站：包含护理站、值班室、药存房间的墙顶地面装饰层、门拆除及新做；（2）新增呼叫系统B1；（3）新增氧气系统B2(辅助器具)标准支持小型制氧机及氧气袋；（4）室内地面适老化改造3000㎡；（5）相关配套设施。 4.项目目标：为全面提升敬老院适老化硬件水平，解决地面防滑等其他安全隐患问题；完善护理服务阵地建设，实现床位呼叫及时化、失能半失能老人供氧便捷化，切实提高养老服务质量与居住安全性。 5.工期：自合同签订之日起45日历天内完成全部工程施工并达到验收条件。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采购包1（白水县中心敬老院维修改造、适老化改造项目）：属于专门面向中小企业采购。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2、营业执照：供应商提供有效存续的企业营业执照（含2024或2025年度报告）；</w:t>
      </w:r>
    </w:p>
    <w:p>
      <w:pPr>
        <w:pStyle w:val="null3"/>
      </w:pPr>
      <w:r>
        <w:rPr>
          <w:rFonts w:ascii="仿宋_GB2312" w:hAnsi="仿宋_GB2312" w:cs="仿宋_GB2312" w:eastAsia="仿宋_GB2312"/>
        </w:rPr>
        <w:t>3、资质证书：供应商具备有效的建筑工程施工总承包三级及以上资质或建筑装修装饰工程专业承包二级及以上资质；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有效的建筑工程专业二级及以上建造师注册证书，并具备有效的安全生产考核合格证书（建安B证），提供无在建项目承诺；并提供项目经理在供应商单位近3个月内任意一个月缴纳的养老保险证明；</w:t>
      </w:r>
    </w:p>
    <w:p>
      <w:pPr>
        <w:pStyle w:val="null3"/>
      </w:pPr>
      <w:r>
        <w:rPr>
          <w:rFonts w:ascii="仿宋_GB2312" w:hAnsi="仿宋_GB2312" w:cs="仿宋_GB2312" w:eastAsia="仿宋_GB2312"/>
        </w:rPr>
        <w:t>6、财务状况报告：供应商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7、社保缴纳证明：供应商提供2025年7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8、税收缴纳证明：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9、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11、书面声明：供应商提供书面声明，包括声明具有履行合同所必需的设备和专业技术能力；未为本项目提供整体设计、规范编制或者项目管理、监理、检测等服务；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12、本合同包不接受联合体磋商、不允许分包：供应商提供《非联合体磋商不分包声明》，视为独立响应、不分包。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白水县杜康中路东段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高刘平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15353104777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采购包1：846,386.73元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依据“财库[2018]2号-财政部关于印发《政府采购代理机构管理暂行办法》的通知”第十五条规定，约定代理服务费由成交单位支付。成交单位在领取成交通知书前一次性付清。参照国家计委关于《招标代理服务收费管理暂行办法》（计价格〔2002〕1980号）、《国家发展改革委关于降低部分建设项目收费标准规范收费行为等有关问题的通知》（发改价格〔2011〕534号），以成交价为基数，按标准的100%收取。成交单位的代理服务费交纳信息：开户名称：鸿民国际工程（集团）有限公司渭南分公司 开户银行：中国建设银行股份有限公司渭南朝阳大街支行 账号：61050164500800000631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白水县中心敬老院</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所有验收项目须全部合格。验收提出的问题须在10日内完成整改并提请复验，复验不合格的，采购人有权按合同约定追究违约责任并暂缓支付工程款。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846,386.73</w:t>
      </w:r>
    </w:p>
    <w:p>
      <w:pPr>
        <w:pStyle w:val="null3"/>
      </w:pPr>
      <w:r>
        <w:rPr>
          <w:rFonts w:ascii="仿宋_GB2312" w:hAnsi="仿宋_GB2312" w:cs="仿宋_GB2312" w:eastAsia="仿宋_GB2312"/>
        </w:rPr>
        <w:t>采购包最高限价（元）: 846,386.73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中心敬老院维修改造适老化改造项目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846,386.73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中心敬老院维修改造适老化改造项目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一、技术要求</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1.本项目施工必须严格遵循国家及行业现行的一系列技术规范标准，包括但不限于：</w:t>
            </w:r>
          </w:p>
          <w:p>
            <w:pPr>
              <w:pStyle w:val="null3"/>
            </w:pPr>
            <w:r>
              <w:rPr>
                <w:rFonts w:ascii="仿宋_GB2312" w:hAnsi="仿宋_GB2312" w:cs="仿宋_GB2312" w:eastAsia="仿宋_GB2312"/>
              </w:rPr>
              <w:t>《建筑工程施工质量验收统一标准》（GB 50300-2013）</w:t>
            </w:r>
          </w:p>
          <w:p>
            <w:pPr>
              <w:pStyle w:val="null3"/>
            </w:pPr>
            <w:r>
              <w:rPr>
                <w:rFonts w:ascii="仿宋_GB2312" w:hAnsi="仿宋_GB2312" w:cs="仿宋_GB2312" w:eastAsia="仿宋_GB2312"/>
              </w:rPr>
              <w:t>《建筑装饰装修工程质量验收标准》（GB 50210-2018）</w:t>
            </w:r>
          </w:p>
          <w:p>
            <w:pPr>
              <w:pStyle w:val="null3"/>
            </w:pPr>
            <w:r>
              <w:rPr>
                <w:rFonts w:ascii="仿宋_GB2312" w:hAnsi="仿宋_GB2312" w:cs="仿宋_GB2312" w:eastAsia="仿宋_GB2312"/>
              </w:rPr>
              <w:t>《建筑给水排水及采暖工程施工质量验收规范》（GB 50242-2016）</w:t>
            </w:r>
          </w:p>
          <w:p>
            <w:pPr>
              <w:pStyle w:val="null3"/>
            </w:pPr>
            <w:r>
              <w:rPr>
                <w:rFonts w:ascii="仿宋_GB2312" w:hAnsi="仿宋_GB2312" w:cs="仿宋_GB2312" w:eastAsia="仿宋_GB2312"/>
              </w:rPr>
              <w:t>《建筑电气工程施工质量验收规范》（GB 50303-2015）</w:t>
            </w:r>
          </w:p>
          <w:p>
            <w:pPr>
              <w:pStyle w:val="null3"/>
            </w:pPr>
            <w:r>
              <w:rPr>
                <w:rFonts w:ascii="仿宋_GB2312" w:hAnsi="仿宋_GB2312" w:cs="仿宋_GB2312" w:eastAsia="仿宋_GB2312"/>
              </w:rPr>
              <w:t>《民用建筑工程室内环境污染控制标准》（GB 50325-2020）</w:t>
            </w:r>
          </w:p>
          <w:p>
            <w:pPr>
              <w:pStyle w:val="null3"/>
            </w:pPr>
            <w:r>
              <w:rPr>
                <w:rFonts w:ascii="仿宋_GB2312" w:hAnsi="仿宋_GB2312" w:cs="仿宋_GB2312" w:eastAsia="仿宋_GB2312"/>
              </w:rPr>
              <w:t>《建筑设计防火规范》（GB 50016-2014，2018年版）</w:t>
            </w:r>
          </w:p>
          <w:p>
            <w:pPr>
              <w:pStyle w:val="null3"/>
            </w:pPr>
            <w:r>
              <w:rPr>
                <w:rFonts w:ascii="仿宋_GB2312" w:hAnsi="仿宋_GB2312" w:cs="仿宋_GB2312" w:eastAsia="仿宋_GB2312"/>
              </w:rPr>
              <w:t>陕西省地方相关建设标准及适老化改造专项标准。</w:t>
            </w:r>
          </w:p>
          <w:p>
            <w:pPr>
              <w:pStyle w:val="null3"/>
            </w:pPr>
            <w:r>
              <w:rPr>
                <w:rFonts w:ascii="仿宋_GB2312" w:hAnsi="仿宋_GB2312" w:cs="仿宋_GB2312" w:eastAsia="仿宋_GB2312"/>
              </w:rPr>
              <w:t>2.所有进场材料、设备须提供合格证、质量检验报告，涉及安全、节能、消防的材料须在监理见证下送检，合格后方可使用。</w:t>
            </w:r>
          </w:p>
          <w:p>
            <w:pPr>
              <w:pStyle w:val="null3"/>
            </w:pPr>
            <w:r>
              <w:rPr>
                <w:rFonts w:ascii="仿宋_GB2312" w:hAnsi="仿宋_GB2312" w:cs="仿宋_GB2312" w:eastAsia="仿宋_GB2312"/>
              </w:rPr>
              <w:t>（二）施工标准</w:t>
            </w:r>
          </w:p>
          <w:p>
            <w:pPr>
              <w:pStyle w:val="null3"/>
            </w:pPr>
            <w:r>
              <w:rPr>
                <w:rFonts w:ascii="仿宋_GB2312" w:hAnsi="仿宋_GB2312" w:cs="仿宋_GB2312" w:eastAsia="仿宋_GB2312"/>
              </w:rPr>
              <w:t>1.管理体系：建立健全质量、安全、环境管理体系，配备合格的项目管理班子。</w:t>
            </w:r>
          </w:p>
          <w:p>
            <w:pPr>
              <w:pStyle w:val="null3"/>
            </w:pPr>
            <w:r>
              <w:rPr>
                <w:rFonts w:ascii="仿宋_GB2312" w:hAnsi="仿宋_GB2312" w:cs="仿宋_GB2312" w:eastAsia="仿宋_GB2312"/>
              </w:rPr>
              <w:t>2.现场管理：实施封闭式管理，符合扬尘治理、文明施工、农民工工资支付保障等规定。</w:t>
            </w:r>
          </w:p>
          <w:p>
            <w:pPr>
              <w:pStyle w:val="null3"/>
            </w:pPr>
            <w:r>
              <w:rPr>
                <w:rFonts w:ascii="仿宋_GB2312" w:hAnsi="仿宋_GB2312" w:cs="仿宋_GB2312" w:eastAsia="仿宋_GB2312"/>
              </w:rPr>
              <w:t>3.工序管理：严格执行“三检制”与报验制，隐蔽工程须在隐蔽前验收并留存影像资料。</w:t>
            </w:r>
          </w:p>
          <w:p>
            <w:pPr>
              <w:pStyle w:val="null3"/>
            </w:pPr>
            <w:r>
              <w:rPr>
                <w:rFonts w:ascii="仿宋_GB2312" w:hAnsi="仿宋_GB2312" w:cs="仿宋_GB2312" w:eastAsia="仿宋_GB2312"/>
              </w:rPr>
              <w:t>（三）施工工艺与质量要求</w:t>
            </w:r>
          </w:p>
          <w:p>
            <w:pPr>
              <w:pStyle w:val="null3"/>
            </w:pPr>
            <w:r>
              <w:rPr>
                <w:rFonts w:ascii="仿宋_GB2312" w:hAnsi="仿宋_GB2312" w:cs="仿宋_GB2312" w:eastAsia="仿宋_GB2312"/>
              </w:rPr>
              <w:t>1.装饰装修工程：基层处理牢固平整，饰面层粘贴牢固、平整对缝、无色差、无空鼓开裂。</w:t>
            </w:r>
          </w:p>
          <w:p>
            <w:pPr>
              <w:pStyle w:val="null3"/>
            </w:pPr>
            <w:r>
              <w:rPr>
                <w:rFonts w:ascii="仿宋_GB2312" w:hAnsi="仿宋_GB2312" w:cs="仿宋_GB2312" w:eastAsia="仿宋_GB2312"/>
              </w:rPr>
              <w:t>2.适老化改造：地面防滑处理须满足老年人使用安全要求，坡度、高差、收口等细节符合适老化标准。</w:t>
            </w:r>
          </w:p>
          <w:p>
            <w:pPr>
              <w:pStyle w:val="null3"/>
            </w:pPr>
            <w:r>
              <w:rPr>
                <w:rFonts w:ascii="仿宋_GB2312" w:hAnsi="仿宋_GB2312" w:cs="仿宋_GB2312" w:eastAsia="仿宋_GB2312"/>
              </w:rPr>
              <w:t>3.呼叫系统与氧气系统：设备安装牢固、标识清晰、功能可靠，系统调试合格后方可投入使用。</w:t>
            </w:r>
          </w:p>
          <w:p>
            <w:pPr>
              <w:pStyle w:val="null3"/>
            </w:pPr>
            <w:r>
              <w:rPr>
                <w:rFonts w:ascii="仿宋_GB2312" w:hAnsi="仿宋_GB2312" w:cs="仿宋_GB2312" w:eastAsia="仿宋_GB2312"/>
              </w:rPr>
              <w:t>4.防水工程：有防水要求的房间须完成蓄水或淋水试验，合格后方可隐蔽。</w:t>
            </w:r>
          </w:p>
          <w:p>
            <w:pPr>
              <w:pStyle w:val="null3"/>
            </w:pPr>
            <w:r>
              <w:rPr>
                <w:rFonts w:ascii="仿宋_GB2312" w:hAnsi="仿宋_GB2312" w:cs="仿宋_GB2312" w:eastAsia="仿宋_GB2312"/>
              </w:rPr>
              <w:t>（四）安全技术要求</w:t>
            </w:r>
          </w:p>
          <w:p>
            <w:pPr>
              <w:pStyle w:val="null3"/>
            </w:pPr>
            <w:r>
              <w:rPr>
                <w:rFonts w:ascii="仿宋_GB2312" w:hAnsi="仿宋_GB2312" w:cs="仿宋_GB2312" w:eastAsia="仿宋_GB2312"/>
              </w:rPr>
              <w:t>1.严格执行《中华人民共和国安全生产法》《建设工程安全生产管理条例》等法律法规。</w:t>
            </w:r>
          </w:p>
          <w:p>
            <w:pPr>
              <w:pStyle w:val="null3"/>
            </w:pPr>
            <w:r>
              <w:rPr>
                <w:rFonts w:ascii="仿宋_GB2312" w:hAnsi="仿宋_GB2312" w:cs="仿宋_GB2312" w:eastAsia="仿宋_GB2312"/>
              </w:rPr>
              <w:t>2.涉及危险性较大的分部分项工程须编制专项施工方案并组织论证、审批。</w:t>
            </w:r>
          </w:p>
          <w:p>
            <w:pPr>
              <w:pStyle w:val="null3"/>
            </w:pPr>
            <w:r>
              <w:rPr>
                <w:rFonts w:ascii="仿宋_GB2312" w:hAnsi="仿宋_GB2312" w:cs="仿宋_GB2312" w:eastAsia="仿宋_GB2312"/>
              </w:rPr>
              <w:t>3.落实三级安全教育，特种作业人员100%持证上岗。</w:t>
            </w:r>
          </w:p>
          <w:p>
            <w:pPr>
              <w:pStyle w:val="null3"/>
            </w:pPr>
            <w:r>
              <w:rPr>
                <w:rFonts w:ascii="仿宋_GB2312" w:hAnsi="仿宋_GB2312" w:cs="仿宋_GB2312" w:eastAsia="仿宋_GB2312"/>
              </w:rPr>
              <w:t>4.现场安全防护、临时用电等符合《建筑施工安全检查标准》（JGJ 59-2011）要求。</w:t>
            </w:r>
          </w:p>
          <w:p>
            <w:pPr>
              <w:pStyle w:val="null3"/>
            </w:pPr>
            <w:r>
              <w:rPr>
                <w:rFonts w:ascii="仿宋_GB2312" w:hAnsi="仿宋_GB2312" w:cs="仿宋_GB2312" w:eastAsia="仿宋_GB2312"/>
              </w:rPr>
              <w:t>5.制定应急预案，配备应急物资，定期组织演练。</w:t>
            </w:r>
          </w:p>
          <w:p>
            <w:pPr>
              <w:pStyle w:val="null3"/>
            </w:pPr>
            <w:r>
              <w:rPr>
                <w:rFonts w:ascii="仿宋_GB2312" w:hAnsi="仿宋_GB2312" w:cs="仿宋_GB2312" w:eastAsia="仿宋_GB2312"/>
              </w:rPr>
              <w:t>（五）对周边环境影响的控制技术要求</w:t>
            </w:r>
          </w:p>
          <w:p>
            <w:pPr>
              <w:pStyle w:val="null3"/>
            </w:pPr>
            <w:r>
              <w:rPr>
                <w:rFonts w:ascii="仿宋_GB2312" w:hAnsi="仿宋_GB2312" w:cs="仿宋_GB2312" w:eastAsia="仿宋_GB2312"/>
              </w:rPr>
              <w:t>1.严格控制噪声、扬尘、污水、建筑垃圾，夜间施工须办理许可并公告。</w:t>
            </w:r>
          </w:p>
          <w:p>
            <w:pPr>
              <w:pStyle w:val="null3"/>
            </w:pPr>
            <w:r>
              <w:rPr>
                <w:rFonts w:ascii="仿宋_GB2312" w:hAnsi="仿宋_GB2312" w:cs="仿宋_GB2312" w:eastAsia="仿宋_GB2312"/>
              </w:rPr>
              <w:t>2.运输车辆冲洗干净后方可出场。</w:t>
            </w:r>
          </w:p>
          <w:p>
            <w:pPr>
              <w:pStyle w:val="null3"/>
            </w:pPr>
            <w:r>
              <w:rPr>
                <w:rFonts w:ascii="仿宋_GB2312" w:hAnsi="仿宋_GB2312" w:cs="仿宋_GB2312" w:eastAsia="仿宋_GB2312"/>
              </w:rPr>
              <w:t>3.施工前探明周边管线，制定保护方案，保护植被、道路及公共设施，造成损坏的须恢复或赔偿。</w:t>
            </w:r>
          </w:p>
          <w:p>
            <w:pPr>
              <w:pStyle w:val="null3"/>
            </w:pPr>
            <w:r>
              <w:rPr>
                <w:rFonts w:ascii="仿宋_GB2312" w:hAnsi="仿宋_GB2312" w:cs="仿宋_GB2312" w:eastAsia="仿宋_GB2312"/>
              </w:rPr>
              <w:t>（六）验收标准</w:t>
            </w:r>
          </w:p>
          <w:p>
            <w:pPr>
              <w:pStyle w:val="null3"/>
            </w:pPr>
            <w:r>
              <w:rPr>
                <w:rFonts w:ascii="仿宋_GB2312" w:hAnsi="仿宋_GB2312" w:cs="仿宋_GB2312" w:eastAsia="仿宋_GB2312"/>
              </w:rPr>
              <w:t>所有验收项目须全部合格。验收提出的问题须在10日内完成整改并提请复验，复验不合格的，采购人有权按合同约定追究违约责任并暂缓支付工程款。</w:t>
            </w:r>
          </w:p>
          <w:p>
            <w:pPr>
              <w:pStyle w:val="null3"/>
            </w:pPr>
            <w:r>
              <w:rPr>
                <w:rFonts w:ascii="仿宋_GB2312" w:hAnsi="仿宋_GB2312" w:cs="仿宋_GB2312" w:eastAsia="仿宋_GB2312"/>
              </w:rPr>
              <w:t>（七）验收方法</w:t>
            </w:r>
          </w:p>
          <w:p>
            <w:pPr>
              <w:pStyle w:val="null3"/>
            </w:pPr>
            <w:r>
              <w:rPr>
                <w:rFonts w:ascii="仿宋_GB2312" w:hAnsi="仿宋_GB2312" w:cs="仿宋_GB2312" w:eastAsia="仿宋_GB2312"/>
              </w:rPr>
              <w:t>1.过程验收：严格执行隐蔽工程、检验批、分项、分部工程验收制度，形成书面记录。</w:t>
            </w:r>
          </w:p>
          <w:p>
            <w:pPr>
              <w:pStyle w:val="null3"/>
            </w:pPr>
            <w:r>
              <w:rPr>
                <w:rFonts w:ascii="仿宋_GB2312" w:hAnsi="仿宋_GB2312" w:cs="仿宋_GB2312" w:eastAsia="仿宋_GB2312"/>
              </w:rPr>
              <w:t>2.竣工验收：</w:t>
            </w:r>
          </w:p>
          <w:p>
            <w:pPr>
              <w:pStyle w:val="null3"/>
            </w:pPr>
            <w:r>
              <w:rPr>
                <w:rFonts w:ascii="仿宋_GB2312" w:hAnsi="仿宋_GB2312" w:cs="仿宋_GB2312" w:eastAsia="仿宋_GB2312"/>
              </w:rPr>
              <w:t>工程完工后15日内提交竣工验收申请及完整竣工资料</w:t>
            </w:r>
          </w:p>
          <w:p>
            <w:pPr>
              <w:pStyle w:val="null3"/>
            </w:pPr>
            <w:r>
              <w:rPr>
                <w:rFonts w:ascii="仿宋_GB2312" w:hAnsi="仿宋_GB2312" w:cs="仿宋_GB2312" w:eastAsia="仿宋_GB2312"/>
              </w:rPr>
              <w:t>资料审核合格后20日内组织现场验收</w:t>
            </w:r>
          </w:p>
          <w:p>
            <w:pPr>
              <w:pStyle w:val="null3"/>
            </w:pPr>
            <w:r>
              <w:rPr>
                <w:rFonts w:ascii="仿宋_GB2312" w:hAnsi="仿宋_GB2312" w:cs="仿宋_GB2312" w:eastAsia="仿宋_GB2312"/>
              </w:rPr>
              <w:t>消防、环保等专项验收须在竣工验收前完成</w:t>
            </w:r>
          </w:p>
          <w:p>
            <w:pPr>
              <w:pStyle w:val="null3"/>
            </w:pPr>
            <w:r>
              <w:rPr>
                <w:rFonts w:ascii="仿宋_GB2312" w:hAnsi="仿宋_GB2312" w:cs="仿宋_GB2312" w:eastAsia="仿宋_GB2312"/>
              </w:rPr>
              <w:t>3.竣工资料要求：包括但不限于竣工图纸、材料合格证与复试报告、隐蔽工程记录、试验报告、验收记录、质量保修书、结算资料初稿等。</w:t>
            </w:r>
          </w:p>
          <w:p>
            <w:pPr>
              <w:pStyle w:val="null3"/>
            </w:pPr>
            <w:r>
              <w:rPr>
                <w:rFonts w:ascii="仿宋_GB2312" w:hAnsi="仿宋_GB2312" w:cs="仿宋_GB2312" w:eastAsia="仿宋_GB2312"/>
              </w:rPr>
              <w:t>（八）技术履约验收内容</w:t>
            </w:r>
          </w:p>
          <w:p>
            <w:pPr>
              <w:pStyle w:val="null3"/>
            </w:pPr>
            <w:r>
              <w:rPr>
                <w:rFonts w:ascii="仿宋_GB2312" w:hAnsi="仿宋_GB2312" w:cs="仿宋_GB2312" w:eastAsia="仿宋_GB2312"/>
              </w:rPr>
              <w:t>1.工程实体质量符合验收标准，无违反强制性条文情况</w:t>
            </w:r>
          </w:p>
          <w:p>
            <w:pPr>
              <w:pStyle w:val="null3"/>
            </w:pPr>
            <w:r>
              <w:rPr>
                <w:rFonts w:ascii="仿宋_GB2312" w:hAnsi="仿宋_GB2312" w:cs="仿宋_GB2312" w:eastAsia="仿宋_GB2312"/>
              </w:rPr>
              <w:t>2.呼叫系统、氧气系统、适老化改造等功能测试合格</w:t>
            </w:r>
          </w:p>
          <w:p>
            <w:pPr>
              <w:pStyle w:val="null3"/>
            </w:pPr>
            <w:r>
              <w:rPr>
                <w:rFonts w:ascii="仿宋_GB2312" w:hAnsi="仿宋_GB2312" w:cs="仿宋_GB2312" w:eastAsia="仿宋_GB2312"/>
              </w:rPr>
              <w:t>3.工程资料齐全、归档规范</w:t>
            </w:r>
          </w:p>
          <w:p>
            <w:pPr>
              <w:pStyle w:val="null3"/>
            </w:pPr>
            <w:r>
              <w:rPr>
                <w:rFonts w:ascii="仿宋_GB2312" w:hAnsi="仿宋_GB2312" w:cs="仿宋_GB2312" w:eastAsia="仿宋_GB2312"/>
              </w:rPr>
              <w:t>（九）履约验收结果与争议解决</w:t>
            </w:r>
          </w:p>
          <w:p>
            <w:pPr>
              <w:pStyle w:val="null3"/>
            </w:pPr>
            <w:r>
              <w:rPr>
                <w:rFonts w:ascii="仿宋_GB2312" w:hAnsi="仿宋_GB2312" w:cs="仿宋_GB2312" w:eastAsia="仿宋_GB2312"/>
              </w:rPr>
              <w:t>竣工验收由采购人组织，设计、勘察、监理、施工单位负责人及技术负责人参加。验收争议可协商解决，协商不成可向项目所在地有管辖权的人民法院提起诉讼。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二、商务要求</w:t>
            </w:r>
            <w:r>
              <w:br/>
            </w:r>
            <w:r>
              <w:rPr>
                <w:rFonts w:ascii="仿宋_GB2312" w:hAnsi="仿宋_GB2312" w:cs="仿宋_GB2312" w:eastAsia="仿宋_GB2312"/>
              </w:rPr>
              <w:t xml:space="preserve"> （一）工期</w:t>
            </w:r>
          </w:p>
          <w:p>
            <w:pPr>
              <w:pStyle w:val="null3"/>
            </w:pPr>
            <w:r>
              <w:rPr>
                <w:rFonts w:ascii="仿宋_GB2312" w:hAnsi="仿宋_GB2312" w:cs="仿宋_GB2312" w:eastAsia="仿宋_GB2312"/>
              </w:rPr>
              <w:t>自合同签订之日起45日历天内完成全部工程施工并达到验收条件。</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1.响应机制：供应商应在接到采购人或监理书面通知后24小时内响应，明确责任人及联系方式。</w:t>
            </w:r>
          </w:p>
          <w:p>
            <w:pPr>
              <w:pStyle w:val="null3"/>
            </w:pPr>
            <w:r>
              <w:rPr>
                <w:rFonts w:ascii="仿宋_GB2312" w:hAnsi="仿宋_GB2312" w:cs="仿宋_GB2312" w:eastAsia="仿宋_GB2312"/>
              </w:rPr>
              <w:t>2.进度汇报：每周五前提交工程周报，内容包括完成情况、下周计划、资源投入、问题及措施等。</w:t>
            </w:r>
          </w:p>
          <w:p>
            <w:pPr>
              <w:pStyle w:val="null3"/>
            </w:pPr>
            <w:r>
              <w:rPr>
                <w:rFonts w:ascii="仿宋_GB2312" w:hAnsi="仿宋_GB2312" w:cs="仿宋_GB2312" w:eastAsia="仿宋_GB2312"/>
              </w:rPr>
              <w:t>3.沟通协调：项目经理须参加每周工程例会，对会议纪要及工作联系单在2个工作日内书面回复。</w:t>
            </w:r>
          </w:p>
          <w:p>
            <w:pPr>
              <w:pStyle w:val="null3"/>
            </w:pPr>
            <w:r>
              <w:rPr>
                <w:rFonts w:ascii="仿宋_GB2312" w:hAnsi="仿宋_GB2312" w:cs="仿宋_GB2312" w:eastAsia="仿宋_GB2312"/>
              </w:rPr>
              <w:t>4.应急处理：发生安全、质量、环境等突发事件，须在30分钟内电话报告，2小时内提交书面初报，24小时内提交详报及处理方案，并承担相应责任。</w:t>
            </w:r>
          </w:p>
          <w:p>
            <w:pPr>
              <w:pStyle w:val="null3"/>
            </w:pPr>
            <w:r>
              <w:rPr>
                <w:rFonts w:ascii="仿宋_GB2312" w:hAnsi="仿宋_GB2312" w:cs="仿宋_GB2312" w:eastAsia="仿宋_GB2312"/>
              </w:rPr>
              <w:t>（三）质量保修相关</w:t>
            </w:r>
          </w:p>
          <w:p>
            <w:pPr>
              <w:pStyle w:val="null3"/>
            </w:pPr>
            <w:r>
              <w:rPr>
                <w:rFonts w:ascii="仿宋_GB2312" w:hAnsi="仿宋_GB2312" w:cs="仿宋_GB2312" w:eastAsia="仿宋_GB2312"/>
              </w:rPr>
              <w:t>1.保修范围：涵盖合同承包范围内的全部工程内容。</w:t>
            </w:r>
          </w:p>
          <w:p>
            <w:pPr>
              <w:pStyle w:val="null3"/>
            </w:pPr>
            <w:r>
              <w:rPr>
                <w:rFonts w:ascii="仿宋_GB2312" w:hAnsi="仿宋_GB2312" w:cs="仿宋_GB2312" w:eastAsia="仿宋_GB2312"/>
              </w:rPr>
              <w:t>2.保修期（自竣工验收合格之日起计算）：</w:t>
            </w:r>
          </w:p>
          <w:p>
            <w:pPr>
              <w:pStyle w:val="null3"/>
            </w:pPr>
            <w:r>
              <w:rPr>
                <w:rFonts w:ascii="仿宋_GB2312" w:hAnsi="仿宋_GB2312" w:cs="仿宋_GB2312" w:eastAsia="仿宋_GB2312"/>
              </w:rPr>
              <w:t>地基基础与主体结构：设计文件规定的合理使用年限</w:t>
            </w:r>
          </w:p>
          <w:p>
            <w:pPr>
              <w:pStyle w:val="null3"/>
            </w:pPr>
            <w:r>
              <w:rPr>
                <w:rFonts w:ascii="仿宋_GB2312" w:hAnsi="仿宋_GB2312" w:cs="仿宋_GB2312" w:eastAsia="仿宋_GB2312"/>
              </w:rPr>
              <w:t>屋面、卫生间等有防水要求的部位防渗漏：5年</w:t>
            </w:r>
          </w:p>
          <w:p>
            <w:pPr>
              <w:pStyle w:val="null3"/>
            </w:pPr>
            <w:r>
              <w:rPr>
                <w:rFonts w:ascii="仿宋_GB2312" w:hAnsi="仿宋_GB2312" w:cs="仿宋_GB2312" w:eastAsia="仿宋_GB2312"/>
              </w:rPr>
              <w:t>供热与供冷系统：2个采暖期、供冷期</w:t>
            </w:r>
          </w:p>
          <w:p>
            <w:pPr>
              <w:pStyle w:val="null3"/>
            </w:pPr>
            <w:r>
              <w:rPr>
                <w:rFonts w:ascii="仿宋_GB2312" w:hAnsi="仿宋_GB2312" w:cs="仿宋_GB2312" w:eastAsia="仿宋_GB2312"/>
              </w:rPr>
              <w:t>电气管线、给排水管道、设备安装：2年</w:t>
            </w:r>
          </w:p>
          <w:p>
            <w:pPr>
              <w:pStyle w:val="null3"/>
            </w:pPr>
            <w:r>
              <w:rPr>
                <w:rFonts w:ascii="仿宋_GB2312" w:hAnsi="仿宋_GB2312" w:cs="仿宋_GB2312" w:eastAsia="仿宋_GB2312"/>
              </w:rPr>
              <w:t>装饰装修工程（含适老化改造部分）：2年</w:t>
            </w:r>
          </w:p>
          <w:p>
            <w:pPr>
              <w:pStyle w:val="null3"/>
            </w:pPr>
            <w:r>
              <w:rPr>
                <w:rFonts w:ascii="仿宋_GB2312" w:hAnsi="仿宋_GB2312" w:cs="仿宋_GB2312" w:eastAsia="仿宋_GB2312"/>
              </w:rPr>
              <w:t>其他项目不得低于国家规定的最低保修期限</w:t>
            </w:r>
          </w:p>
          <w:p>
            <w:pPr>
              <w:pStyle w:val="null3"/>
            </w:pPr>
            <w:r>
              <w:rPr>
                <w:rFonts w:ascii="仿宋_GB2312" w:hAnsi="仿宋_GB2312" w:cs="仿宋_GB2312" w:eastAsia="仿宋_GB2312"/>
              </w:rPr>
              <w:t>3.保修责任：保修期内出现质量缺陷，供应商须在接到书面通知后24小时内到场维修，费用及直接损失由供应商承担。未及时响应，采购人可委托第三方维修，费用由供应商承担。</w:t>
            </w:r>
          </w:p>
          <w:p>
            <w:pPr>
              <w:pStyle w:val="null3"/>
            </w:pPr>
            <w:r>
              <w:rPr>
                <w:rFonts w:ascii="仿宋_GB2312" w:hAnsi="仿宋_GB2312" w:cs="仿宋_GB2312" w:eastAsia="仿宋_GB2312"/>
              </w:rPr>
              <w:t>（四）商务履约验收内容</w:t>
            </w:r>
          </w:p>
          <w:p>
            <w:pPr>
              <w:pStyle w:val="null3"/>
            </w:pPr>
            <w:r>
              <w:rPr>
                <w:rFonts w:ascii="仿宋_GB2312" w:hAnsi="仿宋_GB2312" w:cs="仿宋_GB2312" w:eastAsia="仿宋_GB2312"/>
              </w:rPr>
              <w:t>1.按合同约定完成全部工程量</w:t>
            </w:r>
          </w:p>
          <w:p>
            <w:pPr>
              <w:pStyle w:val="null3"/>
            </w:pPr>
            <w:r>
              <w:rPr>
                <w:rFonts w:ascii="仿宋_GB2312" w:hAnsi="仿宋_GB2312" w:cs="仿宋_GB2312" w:eastAsia="仿宋_GB2312"/>
              </w:rPr>
              <w:t>2.管理人员到位情况符合承诺</w:t>
            </w:r>
          </w:p>
          <w:p>
            <w:pPr>
              <w:pStyle w:val="null3"/>
            </w:pPr>
            <w:r>
              <w:rPr>
                <w:rFonts w:ascii="仿宋_GB2312" w:hAnsi="仿宋_GB2312" w:cs="仿宋_GB2312" w:eastAsia="仿宋_GB2312"/>
              </w:rPr>
              <w:t>3.无拖欠分包商工程款和农民工工资行为</w:t>
            </w:r>
          </w:p>
          <w:p>
            <w:pPr>
              <w:pStyle w:val="null3"/>
            </w:pPr>
            <w:r>
              <w:rPr>
                <w:rFonts w:ascii="仿宋_GB2312" w:hAnsi="仿宋_GB2312" w:cs="仿宋_GB2312" w:eastAsia="仿宋_GB2312"/>
              </w:rPr>
              <w:t>4.变更、签证手续齐全</w:t>
            </w:r>
          </w:p>
          <w:p>
            <w:pPr>
              <w:pStyle w:val="null3"/>
            </w:pPr>
            <w:r>
              <w:rPr>
                <w:rFonts w:ascii="仿宋_GB2312" w:hAnsi="仿宋_GB2312" w:cs="仿宋_GB2312" w:eastAsia="仿宋_GB2312"/>
              </w:rPr>
              <w:t>5.提交完整结算资料及合法有效发票</w:t>
            </w:r>
          </w:p>
          <w:p>
            <w:pPr>
              <w:pStyle w:val="null3"/>
            </w:pPr>
            <w:r>
              <w:rPr>
                <w:rFonts w:ascii="仿宋_GB2312" w:hAnsi="仿宋_GB2312" w:cs="仿宋_GB2312" w:eastAsia="仿宋_GB2312"/>
              </w:rPr>
              <w:t>（五）付款方式</w:t>
            </w:r>
          </w:p>
          <w:p>
            <w:pPr>
              <w:pStyle w:val="null3"/>
            </w:pPr>
            <w:r>
              <w:rPr>
                <w:rFonts w:ascii="仿宋_GB2312" w:hAnsi="仿宋_GB2312" w:cs="仿宋_GB2312" w:eastAsia="仿宋_GB2312"/>
              </w:rPr>
              <w:t>1.开工前，采购人向成交供应商支付合同总价40%的工程预付款。</w:t>
            </w:r>
          </w:p>
          <w:p>
            <w:pPr>
              <w:pStyle w:val="null3"/>
            </w:pPr>
            <w:r>
              <w:rPr>
                <w:rFonts w:ascii="仿宋_GB2312" w:hAnsi="仿宋_GB2312" w:cs="仿宋_GB2312" w:eastAsia="仿宋_GB2312"/>
              </w:rPr>
              <w:t>2.工程竣工验收合格，出具验收证书，结算审定及双方无异议后，采购人支付合同总价的60%。</w:t>
            </w:r>
          </w:p>
          <w:p>
            <w:pPr>
              <w:pStyle w:val="null3"/>
            </w:pPr>
            <w:r>
              <w:rPr>
                <w:rFonts w:ascii="仿宋_GB2312" w:hAnsi="仿宋_GB2312" w:cs="仿宋_GB2312" w:eastAsia="仿宋_GB2312"/>
              </w:rPr>
              <w:t>（六）工程量清单</w:t>
            </w:r>
          </w:p>
          <w:p>
            <w:pPr>
              <w:pStyle w:val="null3"/>
            </w:pPr>
            <w:r>
              <w:rPr>
                <w:rFonts w:ascii="仿宋_GB2312" w:hAnsi="仿宋_GB2312" w:cs="仿宋_GB2312" w:eastAsia="仿宋_GB2312"/>
              </w:rPr>
              <w:t>1.工程量清单说明</w:t>
            </w:r>
          </w:p>
          <w:p>
            <w:pPr>
              <w:pStyle w:val="null3"/>
            </w:pPr>
            <w:r>
              <w:rPr>
                <w:rFonts w:ascii="仿宋_GB2312" w:hAnsi="仿宋_GB2312" w:cs="仿宋_GB2312" w:eastAsia="仿宋_GB2312"/>
              </w:rPr>
              <w:t>1.1本工程量清单应与供应商须知、合同条款、工程技术规范及图纸等文件结合起来查阅与理解。</w:t>
            </w:r>
          </w:p>
          <w:p>
            <w:pPr>
              <w:pStyle w:val="null3"/>
            </w:pPr>
            <w:r>
              <w:rPr>
                <w:rFonts w:ascii="仿宋_GB2312" w:hAnsi="仿宋_GB2312" w:cs="仿宋_GB2312" w:eastAsia="仿宋_GB2312"/>
              </w:rPr>
              <w:t>1.2本工程量清单是依据陕西省工程建设标准《建设工程工程量清单计价标准》DB61/T5126-2025编制的，为磋商文件的组成部分，一经成交且签订合同，即成为合同的组成部分。</w:t>
            </w:r>
          </w:p>
          <w:p>
            <w:pPr>
              <w:pStyle w:val="null3"/>
            </w:pPr>
            <w:r>
              <w:rPr>
                <w:rFonts w:ascii="仿宋_GB2312" w:hAnsi="仿宋_GB2312" w:cs="仿宋_GB2312" w:eastAsia="仿宋_GB2312"/>
              </w:rPr>
              <w:t>1.3工程量清单中各项金额均以人民币（元）结算。</w:t>
            </w:r>
          </w:p>
          <w:p>
            <w:pPr>
              <w:pStyle w:val="null3"/>
            </w:pPr>
            <w:r>
              <w:rPr>
                <w:rFonts w:ascii="仿宋_GB2312" w:hAnsi="仿宋_GB2312" w:cs="仿宋_GB2312" w:eastAsia="仿宋_GB2312"/>
              </w:rPr>
              <w:t>1.4供应商不得随意改动分部分项工程量清单的编码和工程数量，否则按无效文件处理。</w:t>
            </w:r>
          </w:p>
          <w:p>
            <w:pPr>
              <w:pStyle w:val="null3"/>
            </w:pPr>
            <w:r>
              <w:rPr>
                <w:rFonts w:ascii="仿宋_GB2312" w:hAnsi="仿宋_GB2312" w:cs="仿宋_GB2312" w:eastAsia="仿宋_GB2312"/>
              </w:rPr>
              <w:t>2.电子标书说明</w:t>
            </w:r>
          </w:p>
          <w:p>
            <w:pPr>
              <w:pStyle w:val="null3"/>
            </w:pPr>
            <w:r>
              <w:rPr>
                <w:rFonts w:ascii="仿宋_GB2312" w:hAnsi="仿宋_GB2312" w:cs="仿宋_GB2312" w:eastAsia="仿宋_GB2312"/>
              </w:rPr>
              <w:t>1.2.1供应商按磋商文件电子版的内容和要求编制响应文件电子标书；</w:t>
            </w:r>
          </w:p>
          <w:p>
            <w:pPr>
              <w:pStyle w:val="null3"/>
            </w:pPr>
            <w:r>
              <w:rPr>
                <w:rFonts w:ascii="仿宋_GB2312" w:hAnsi="仿宋_GB2312" w:cs="仿宋_GB2312" w:eastAsia="仿宋_GB2312"/>
              </w:rPr>
              <w:t>1.2.2响应文件电子版是响应文件的组成部分，供应商应无条件使用采购人所发的电子版格式。</w:t>
            </w:r>
          </w:p>
          <w:p>
            <w:pPr>
              <w:pStyle w:val="null3"/>
            </w:pPr>
            <w:r>
              <w:rPr>
                <w:rFonts w:ascii="仿宋_GB2312" w:hAnsi="仿宋_GB2312" w:cs="仿宋_GB2312" w:eastAsia="仿宋_GB2312"/>
              </w:rPr>
              <w:t>3.工程量清单</w:t>
            </w:r>
          </w:p>
          <w:p>
            <w:pPr>
              <w:pStyle w:val="null3"/>
            </w:pPr>
            <w:r>
              <w:rPr>
                <w:rFonts w:ascii="仿宋_GB2312" w:hAnsi="仿宋_GB2312" w:cs="仿宋_GB2312" w:eastAsia="仿宋_GB2312"/>
              </w:rPr>
              <w:t>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1.合格2.工程质量必须符合国家、省、市现行有效的施工质量验收规范、规程和标准。3.工程质量等级目标：一次验收合格率100%。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详见上述“一、技术、服务标准和要求”相关内容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1.供应商须严格遵守国家关于安全生产、环境保护及农民工工资支付等法律法规，并制定相应保障方案。 2.完全理解并接受第八章“拟签订采购合同文本”。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供应商提供了企业声明函原件，本项目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供应商提供有效存续的企业营业执照（含2024或2025年度报告）；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供应商具备有效的建筑工程施工总承包三级及以上资质或建筑装修装饰工程专业承包二级及以上资质；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有效的建筑工程专业二级及以上建造师注册证书，并具备有效的安全生产考核合格证书（建安B证），提供无在建项目承诺；并提供项目经理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供应商提供2025年7月1日至响应文件递交截止之日任意一个月的社会保障资金缴存单据或社保机构开具的社会保险参保缴费情况证明。依法不需要缴纳社会保障资金的供应商应提供相关证明文件；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响应文件签字盖章满足磋商文件的要求</w:t>
            </w:r>
          </w:p>
        </w:tc>
        <w:tc>
          <w:tcPr>
            <w:tcW w:type="dxa" w:w="1661"/>
          </w:tcPr>
          <w:p>
            <w:pPr>
              <w:pStyle w:val="null3"/>
            </w:pPr>
            <w:r>
              <w:rPr>
                <w:rFonts w:ascii="仿宋_GB2312" w:hAnsi="仿宋_GB2312" w:cs="仿宋_GB2312" w:eastAsia="仿宋_GB2312"/>
              </w:rPr>
              <w:t>响应文件封面 近年完成类似项目情况表.docx 已标价工程量清单 拟投入本项目人员配置情况表.docx 中小企业声明函 报价函 标的清单 技术服务合同条款及其他商务要求应答表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完全响应第三章“磋商项目技术、服务、商务及其他要求”，没有负偏离。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合同文本响应</w:t>
            </w:r>
          </w:p>
        </w:tc>
        <w:tc>
          <w:tcPr>
            <w:tcW w:type="dxa" w:w="3322"/>
          </w:tcPr>
          <w:p>
            <w:pPr>
              <w:pStyle w:val="null3"/>
            </w:pPr>
            <w:r>
              <w:rPr>
                <w:rFonts w:ascii="仿宋_GB2312" w:hAnsi="仿宋_GB2312" w:cs="仿宋_GB2312" w:eastAsia="仿宋_GB2312"/>
              </w:rPr>
              <w:t>完全理解并接受第八章“拟签订采购合同文本”</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一、评审内容：供应商2022年1月1日至响应文件递交截止之日具有类似项目已完成的施工业绩（以合同签订时间为准）。 二、评审标准：完整性（业绩证明材料为施工合同）；真实性（证明材料清晰可辨并加盖公章）； 符合性（业绩数量及合同签订时间符合要求）。 三、赋分标准：每提供1个符合要求的业绩证明得1分，满分4分。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5分，每缺少1人扣1分，扣完为止；②人员储备加分：在满足基本要求的基础上，每增加1名持证项目部人员（新增岗位或以上明确的岗位新增人员）加0.5分，最多加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一、评审内容 供应商根据本项目工程量、施工难度及工期要求，拟投入的机械设备情况，包括： ①主要机械设备型号、数量、性能参数与技术先进性； ②机械设备进场计划与工期节点的匹配度； ③关键设备的备用方案及保障措施。 二、评审标准 合理性、充足性、保障性、与施工进度计划的契合度。 三、赋分标准（满分5分） 1.内容①满分2分：主要机械设备型号、数量、性能完全满足并优于施工需要，技术先进，得2分；基本满足，得1分；存在明显不足或落后，得0分。 2.内容②满分2分：进场计划详尽，与施工进度计划关键节点高度契合，得2分；计划基本合理，得1分；计划模糊或严重脱节，得0分。 3.内容③满分1分：关键设备有明确的备用或租赁渠道，维修保养体系完善，保障措施得力，得1分；无相关描述或措施不可靠，得0分。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1.拟投入机械设备配备.docx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一、评审内容：供应商对项目核心、难点及特殊工序提出的具体施工方案与技术措施，包括：①重点、难点工程的施工方法、工艺及技术保障；②主要分部分项工程的施工流程与交叉作业安排；③采用新技术、新工艺的说明及效益分析。 二、评审标准：方案的针对性、可行性、安全性，以及是否符合相关规范标准。 三、赋分标准： 1.内容①满分7分：方案针对磋商文件及图纸识别的所有重点难点，技术路线正确、先进，措施具体可靠，计算、验算或图示清晰，能有效解决工程难点。 扣分细则：每发现以下任意一种缺陷扣1.4分，扣完本项7分为止。 2.内容②满分5分：主要分部分项工程的施工流程清晰完整，工艺顺序符合施工逻辑和规范要求，交叉作业安排合理，有必要的施工进度横道图/网络图。 扣分细则：每发现以下任意一种缺陷扣1.0分，扣完本项5分为止。 3.内容③满分3分：积极采用先进、可靠的新技术、新工艺、新材料、新设备，有详细的适用性、可靠性论证，并能明确阐述其对提升工程质量、缩短工期、降低运营成本、增强使用效果或延长使用寿命的具体效益。 扣分细则：每发现以下任意一种缺陷扣0.6分，扣完本项3分为止。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2.主要工程项目的施工方案、方法与技术措施.docx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冬季雨雪天气、材料供应延迟等导致工期延误的预案及赶工措施。 二、评审标准：科学性、全面性、动态控制能力、抗风险能力。 三、赋分标准： 1.内容①满分3分：计划编制科学，采用网络图或带关键线路的横道图，工序分解合理，关键线路明确，并预留合理的调试及应急时间。 扣分细则：每发现以下任意一种缺陷扣0.6分，扣完本项3分为止。 2.内容②满分2分：体系健全，成立以项目经理为核心的工期保障小组，职责分工明确到人，有明确的进度检查（日/周报）、分析（偏差分析会）与动态调整制度。 扣分细则：每发现以下任意一种缺陷扣0.4分，扣完本项2分为止。 3.内容③满分2分：预案考虑周全，赶工措施具体、可行。 扣分细则：每发现以下任意一种缺陷扣0.4分，扣完本项2分为止。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3.工期保证体系及保证措施.docx</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一、评审内容：供应商为保障工程质量和施工安全所建立的体系与措施，包括：①质量/安全管理组织机构、职责分工及保证体系框图；②关键工序的质量控制点、检测方法、验收标准；③危险源辨识、安全专项方案及文明施工措施。 二、评审标准：体系完整性、措施针对性、可操作性、符合法规。 三、赋分标准： 1.内容①满分4分：机构健全，职责清晰，体系运行流程明确，与项目管理体系融合度高。 扣分细则：每发现以下任意一种缺陷扣0.8分，扣完本项4分为止。 2.内容②满分5分：控制点设置准确，检测方法先进，标准明确，有确保整体质量目标的创优目标和具体计划。 扣分细则：每发现以下任意一种缺陷扣1.0分，扣完本项5分为止。 3.内容③满分4分：危险源辨识全面，专项方案有针对性，安全投入明确，文明施工措施具体。 扣分细则：每发现以下任意一种缺陷扣0.8分，扣完本项4分为止。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4.质量、安全保证体系及保证措施.docx</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一、评审内容：供应商为减少施工对周边环境及居民影响及确保文明施工所采取的措施，包括：①针对施工噪音、废气、固体废弃物等的具体环保措施；②施工场地布置的合理性、规范围挡、标牌标识及卫生管理，材料设备堆放整齐，避免破坏现有设施；③与相关管理部门、周边社区等的协调措施，制定减少对周边环境干扰的施工时段方案。 二、评审标准：合规性、有效性、人性化，尤其强调对公共区域施工的精细化管理。 三、赋分标准： 1.内容①满分2分：措施全面，符合并优于地方环保要求，有量化控制目标，特别针对噪音、扬尘、废弃物等有具体的降噪、降尘、分类处理方案。 扣分细则：每发现以下任意一种缺陷扣0.4分，扣完本项2分为止。 2.内容②满分2分：场地布置科学紧凑，最小化占用公共空间，围挡、标牌规范美观，环境整洁卫生，有防止施工对周边路面、绿化、现有设施造成污染的专项措施。 扣分细则：每发现以下任意一种缺陷扣0.4分，扣完本项2分为止。 3.内容③满分1分：有详尽的分时段施工组织方案，以及与社区、相关部门的沟通协调预案，体现社会责任和公共服务意识。 扣分细则：每发现以下任意一种缺陷扣0.2分，扣完本项1分为止。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5.环境保护、文明施工保证体系及措施.docx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二、评审标准：全面性、预见性、可操作性。 三、赋分标准： 1.内容①满分2分：风险识别全面，分类清晰，评估合理。 扣分细则：每发现以下任意一种缺陷扣0.4分，扣完本项2分为止。 2.内容②满分3分：防范措施针对性强，应急预案响应等级清晰，职责明确，资源保障到位。 扣分细则：每发现以下任意一种缺陷扣0.6分，扣完本项3分为止。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6.项目风险预测与防范、事故应急预案.docx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最终磋商报价得分=(基准价／最终磋商报价)×40 满足磋商文件要求且最终磋商报价最低的为基准价，其价格分为满分。其他磋商供应商的价格分统一按照上述公式计算。 （磋商小组认为供应商的最终报价明显低于其他通过符合性审查供应商的报价，有可能影响工程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详见附件：1.拟投入机械设备配备.docx</w:t>
      </w:r>
    </w:p>
    <w:p>
      <w:pPr>
        <w:pStyle w:val="null3"/>
        <w:ind w:firstLine="960"/>
      </w:pPr>
      <w:r>
        <w:rPr>
          <w:rFonts w:ascii="仿宋_GB2312" w:hAnsi="仿宋_GB2312" w:cs="仿宋_GB2312" w:eastAsia="仿宋_GB2312"/>
        </w:rPr>
        <w:t>详见附件：2.主要工程项目的施工方案、方法与技术措施.docx</w:t>
      </w:r>
    </w:p>
    <w:p>
      <w:pPr>
        <w:pStyle w:val="null3"/>
        <w:ind w:firstLine="960"/>
      </w:pPr>
      <w:r>
        <w:rPr>
          <w:rFonts w:ascii="仿宋_GB2312" w:hAnsi="仿宋_GB2312" w:cs="仿宋_GB2312" w:eastAsia="仿宋_GB2312"/>
        </w:rPr>
        <w:t>详见附件：3.工期保证体系及保证措施.docx</w:t>
      </w:r>
    </w:p>
    <w:p>
      <w:pPr>
        <w:pStyle w:val="null3"/>
        <w:ind w:firstLine="960"/>
      </w:pPr>
      <w:r>
        <w:rPr>
          <w:rFonts w:ascii="仿宋_GB2312" w:hAnsi="仿宋_GB2312" w:cs="仿宋_GB2312" w:eastAsia="仿宋_GB2312"/>
        </w:rPr>
        <w:t>详见附件：4.质量、安全保证体系及保证措施.docx</w:t>
      </w:r>
    </w:p>
    <w:p>
      <w:pPr>
        <w:pStyle w:val="null3"/>
        <w:ind w:firstLine="960"/>
      </w:pPr>
      <w:r>
        <w:rPr>
          <w:rFonts w:ascii="仿宋_GB2312" w:hAnsi="仿宋_GB2312" w:cs="仿宋_GB2312" w:eastAsia="仿宋_GB2312"/>
        </w:rPr>
        <w:t>详见附件：5.环境保护、文明施工保证体系及措施.docx</w:t>
      </w:r>
    </w:p>
    <w:p>
      <w:pPr>
        <w:pStyle w:val="null3"/>
        <w:ind w:firstLine="960"/>
      </w:pPr>
      <w:r>
        <w:rPr>
          <w:rFonts w:ascii="仿宋_GB2312" w:hAnsi="仿宋_GB2312" w:cs="仿宋_GB2312" w:eastAsia="仿宋_GB2312"/>
        </w:rPr>
        <w:t>详见附件：6.项目风险预测与防范、事故应急预案.docx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