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5A8F2">
      <w:pPr>
        <w:pageBreakBefore w:val="0"/>
        <w:widowControl/>
        <w:kinsoku/>
        <w:wordWrap/>
        <w:overflowPunct/>
        <w:topLinePunct w:val="0"/>
        <w:bidi w:val="0"/>
        <w:spacing w:line="360" w:lineRule="auto"/>
        <w:jc w:val="center"/>
        <w:outlineLvl w:val="9"/>
        <w:rPr>
          <w:rFonts w:hint="eastAsia" w:ascii="宋体" w:hAnsi="宋体" w:eastAsia="宋体" w:cs="宋体"/>
          <w:b/>
          <w:color w:val="auto"/>
          <w:sz w:val="28"/>
          <w:highlight w:val="none"/>
          <w:lang w:eastAsia="zh-CN"/>
        </w:rPr>
      </w:pPr>
    </w:p>
    <w:p w14:paraId="3F9D554F">
      <w:pPr>
        <w:pageBreakBefore w:val="0"/>
        <w:widowControl/>
        <w:kinsoku/>
        <w:wordWrap/>
        <w:overflowPunct/>
        <w:topLinePunct w:val="0"/>
        <w:bidi w:val="0"/>
        <w:jc w:val="center"/>
        <w:outlineLvl w:val="9"/>
        <w:rPr>
          <w:rFonts w:hint="eastAsia" w:ascii="宋体" w:hAnsi="宋体" w:eastAsia="宋体" w:cs="宋体"/>
          <w:b/>
          <w:color w:val="auto"/>
          <w:sz w:val="28"/>
          <w:highlight w:val="none"/>
          <w:lang w:eastAsia="zh-CN"/>
        </w:rPr>
      </w:pPr>
      <w:r>
        <w:rPr>
          <w:rFonts w:hint="eastAsia" w:ascii="宋体" w:hAnsi="宋体" w:eastAsia="宋体" w:cs="宋体"/>
          <w:b/>
          <w:color w:val="auto"/>
          <w:sz w:val="32"/>
          <w:highlight w:val="none"/>
          <w:lang w:eastAsia="zh-CN"/>
        </w:rPr>
        <w:t>项目</w:t>
      </w:r>
      <w:r>
        <w:rPr>
          <w:rFonts w:hint="eastAsia" w:ascii="宋体" w:hAnsi="宋体" w:eastAsia="宋体" w:cs="宋体"/>
          <w:b/>
          <w:color w:val="auto"/>
          <w:sz w:val="32"/>
          <w:highlight w:val="none"/>
        </w:rPr>
        <w:t>编号：</w:t>
      </w:r>
      <w:r>
        <w:rPr>
          <w:rFonts w:hint="eastAsia" w:hAnsi="宋体" w:cs="宋体"/>
          <w:b/>
          <w:color w:val="auto"/>
          <w:sz w:val="32"/>
          <w:highlight w:val="none"/>
          <w:lang w:eastAsia="zh-CN"/>
        </w:rPr>
        <w:t>SCIT-ZC-SX2026030004</w:t>
      </w:r>
    </w:p>
    <w:p w14:paraId="5ABBF18B">
      <w:pPr>
        <w:pageBreakBefore w:val="0"/>
        <w:widowControl/>
        <w:kinsoku/>
        <w:wordWrap/>
        <w:overflowPunct/>
        <w:topLinePunct w:val="0"/>
        <w:bidi w:val="0"/>
        <w:spacing w:line="360" w:lineRule="auto"/>
        <w:outlineLvl w:val="9"/>
        <w:rPr>
          <w:rFonts w:hint="eastAsia" w:ascii="宋体" w:hAnsi="宋体" w:eastAsia="宋体" w:cs="宋体"/>
          <w:b/>
          <w:color w:val="auto"/>
          <w:sz w:val="44"/>
          <w:szCs w:val="44"/>
          <w:highlight w:val="none"/>
          <w:lang w:eastAsia="zh-CN"/>
        </w:rPr>
      </w:pPr>
    </w:p>
    <w:p w14:paraId="20915CBE">
      <w:pPr>
        <w:pStyle w:val="9"/>
        <w:keepNext w:val="0"/>
        <w:keepLines w:val="0"/>
        <w:pageBreakBefore w:val="0"/>
        <w:numPr>
          <w:ilvl w:val="0"/>
          <w:numId w:val="0"/>
        </w:numPr>
        <w:kinsoku/>
        <w:overflowPunct/>
        <w:topLinePunct w:val="0"/>
        <w:bidi w:val="0"/>
        <w:adjustRightInd/>
        <w:snapToGrid/>
        <w:spacing w:before="0" w:beforeAutospacing="0" w:after="0" w:afterAutospacing="0" w:line="360" w:lineRule="auto"/>
        <w:jc w:val="center"/>
        <w:textAlignment w:val="auto"/>
        <w:outlineLvl w:val="9"/>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西安市教育考试中心</w:t>
      </w:r>
    </w:p>
    <w:p w14:paraId="114FB521">
      <w:pPr>
        <w:pStyle w:val="9"/>
        <w:keepNext w:val="0"/>
        <w:keepLines w:val="0"/>
        <w:pageBreakBefore w:val="0"/>
        <w:numPr>
          <w:ilvl w:val="0"/>
          <w:numId w:val="0"/>
        </w:numPr>
        <w:kinsoku/>
        <w:overflowPunct/>
        <w:topLinePunct w:val="0"/>
        <w:bidi w:val="0"/>
        <w:adjustRightInd/>
        <w:snapToGrid/>
        <w:spacing w:before="0" w:beforeAutospacing="0" w:after="0" w:afterAutospacing="0" w:line="360" w:lineRule="auto"/>
        <w:jc w:val="center"/>
        <w:textAlignment w:val="auto"/>
        <w:outlineLvl w:val="9"/>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初中学业水平考试中考政策内容制作及推送服务</w:t>
      </w:r>
    </w:p>
    <w:p w14:paraId="5FA9ECE4">
      <w:pPr>
        <w:pageBreakBefore w:val="0"/>
        <w:widowControl/>
        <w:kinsoku/>
        <w:wordWrap/>
        <w:overflowPunct/>
        <w:topLinePunct w:val="0"/>
        <w:bidi w:val="0"/>
        <w:spacing w:line="360" w:lineRule="auto"/>
        <w:jc w:val="center"/>
        <w:outlineLvl w:val="9"/>
        <w:rPr>
          <w:rFonts w:hint="eastAsia" w:ascii="宋体" w:hAnsi="宋体" w:eastAsia="宋体" w:cs="宋体"/>
          <w:b/>
          <w:color w:val="auto"/>
          <w:sz w:val="32"/>
          <w:szCs w:val="32"/>
          <w:highlight w:val="none"/>
          <w:lang w:eastAsia="zh-CN"/>
        </w:rPr>
      </w:pPr>
    </w:p>
    <w:p w14:paraId="032916EC">
      <w:pPr>
        <w:pageBreakBefore w:val="0"/>
        <w:widowControl/>
        <w:kinsoku/>
        <w:wordWrap/>
        <w:overflowPunct/>
        <w:topLinePunct w:val="0"/>
        <w:bidi w:val="0"/>
        <w:spacing w:line="360" w:lineRule="auto"/>
        <w:jc w:val="center"/>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竞争性磋商文件</w:t>
      </w:r>
    </w:p>
    <w:p w14:paraId="300E5DDC">
      <w:pPr>
        <w:pageBreakBefore w:val="0"/>
        <w:widowControl/>
        <w:kinsoku/>
        <w:wordWrap/>
        <w:overflowPunct/>
        <w:topLinePunct w:val="0"/>
        <w:bidi w:val="0"/>
        <w:spacing w:line="360" w:lineRule="auto"/>
        <w:jc w:val="left"/>
        <w:outlineLvl w:val="9"/>
        <w:rPr>
          <w:rFonts w:hint="eastAsia" w:ascii="宋体" w:hAnsi="宋体" w:eastAsia="宋体" w:cs="宋体"/>
          <w:color w:val="auto"/>
          <w:sz w:val="28"/>
          <w:highlight w:val="none"/>
          <w:lang w:eastAsia="zh-CN"/>
        </w:rPr>
      </w:pPr>
    </w:p>
    <w:p w14:paraId="14715A37">
      <w:pPr>
        <w:pageBreakBefore w:val="0"/>
        <w:widowControl/>
        <w:kinsoku/>
        <w:wordWrap/>
        <w:overflowPunct/>
        <w:topLinePunct w:val="0"/>
        <w:bidi w:val="0"/>
        <w:spacing w:line="360" w:lineRule="auto"/>
        <w:ind w:firstLine="414"/>
        <w:jc w:val="left"/>
        <w:outlineLvl w:val="9"/>
        <w:rPr>
          <w:rFonts w:hint="eastAsia" w:ascii="宋体" w:hAnsi="宋体" w:eastAsia="宋体" w:cs="宋体"/>
          <w:color w:val="auto"/>
          <w:sz w:val="28"/>
          <w:highlight w:val="none"/>
        </w:rPr>
      </w:pPr>
    </w:p>
    <w:p w14:paraId="494BD3E1">
      <w:pPr>
        <w:pageBreakBefore w:val="0"/>
        <w:widowControl/>
        <w:kinsoku/>
        <w:wordWrap/>
        <w:overflowPunct/>
        <w:topLinePunct w:val="0"/>
        <w:bidi w:val="0"/>
        <w:spacing w:line="360" w:lineRule="auto"/>
        <w:ind w:firstLine="414"/>
        <w:jc w:val="left"/>
        <w:outlineLvl w:val="9"/>
        <w:rPr>
          <w:rFonts w:hint="eastAsia" w:ascii="宋体" w:hAnsi="宋体" w:eastAsia="宋体" w:cs="宋体"/>
          <w:color w:val="auto"/>
          <w:sz w:val="28"/>
          <w:highlight w:val="none"/>
        </w:rPr>
      </w:pPr>
    </w:p>
    <w:p w14:paraId="12770F7E">
      <w:pPr>
        <w:pageBreakBefore w:val="0"/>
        <w:widowControl/>
        <w:kinsoku/>
        <w:wordWrap/>
        <w:overflowPunct/>
        <w:topLinePunct w:val="0"/>
        <w:bidi w:val="0"/>
        <w:spacing w:line="360" w:lineRule="auto"/>
        <w:ind w:firstLine="414"/>
        <w:jc w:val="left"/>
        <w:outlineLvl w:val="9"/>
        <w:rPr>
          <w:rFonts w:hint="eastAsia" w:ascii="宋体" w:hAnsi="宋体" w:eastAsia="宋体" w:cs="宋体"/>
          <w:color w:val="auto"/>
          <w:sz w:val="28"/>
          <w:highlight w:val="none"/>
        </w:rPr>
      </w:pPr>
    </w:p>
    <w:p w14:paraId="19C580E4">
      <w:pPr>
        <w:pageBreakBefore w:val="0"/>
        <w:widowControl/>
        <w:kinsoku/>
        <w:wordWrap/>
        <w:overflowPunct/>
        <w:topLinePunct w:val="0"/>
        <w:bidi w:val="0"/>
        <w:spacing w:line="360" w:lineRule="auto"/>
        <w:ind w:firstLine="414"/>
        <w:jc w:val="center"/>
        <w:outlineLvl w:val="9"/>
        <w:rPr>
          <w:rFonts w:hint="eastAsia" w:ascii="宋体" w:hAnsi="宋体" w:eastAsia="宋体" w:cs="宋体"/>
          <w:b/>
          <w:color w:val="auto"/>
          <w:sz w:val="28"/>
          <w:highlight w:val="none"/>
          <w:lang w:eastAsia="zh-CN"/>
        </w:rPr>
      </w:pPr>
    </w:p>
    <w:p w14:paraId="104BFDC8">
      <w:pPr>
        <w:pageBreakBefore w:val="0"/>
        <w:widowControl/>
        <w:kinsoku/>
        <w:wordWrap/>
        <w:overflowPunct/>
        <w:topLinePunct w:val="0"/>
        <w:bidi w:val="0"/>
        <w:spacing w:line="360" w:lineRule="auto"/>
        <w:ind w:firstLine="414"/>
        <w:jc w:val="center"/>
        <w:outlineLvl w:val="9"/>
        <w:rPr>
          <w:rFonts w:hint="eastAsia" w:ascii="宋体" w:hAnsi="宋体" w:eastAsia="宋体" w:cs="宋体"/>
          <w:b/>
          <w:color w:val="auto"/>
          <w:sz w:val="28"/>
          <w:highlight w:val="none"/>
          <w:lang w:eastAsia="zh-CN"/>
        </w:rPr>
      </w:pPr>
    </w:p>
    <w:p w14:paraId="51FF1B88">
      <w:pPr>
        <w:pageBreakBefore w:val="0"/>
        <w:widowControl/>
        <w:kinsoku/>
        <w:wordWrap/>
        <w:overflowPunct/>
        <w:topLinePunct w:val="0"/>
        <w:bidi w:val="0"/>
        <w:spacing w:line="360" w:lineRule="auto"/>
        <w:ind w:firstLine="414"/>
        <w:outlineLvl w:val="9"/>
        <w:rPr>
          <w:rFonts w:hint="eastAsia" w:ascii="宋体" w:hAnsi="宋体" w:eastAsia="宋体" w:cs="宋体"/>
          <w:color w:val="auto"/>
          <w:sz w:val="28"/>
          <w:highlight w:val="none"/>
        </w:rPr>
      </w:pPr>
      <w:r>
        <w:rPr>
          <w:rFonts w:hint="eastAsia" w:ascii="宋体" w:hAnsi="宋体" w:eastAsia="宋体" w:cs="宋体"/>
          <w:b/>
          <w:color w:val="auto"/>
          <w:sz w:val="28"/>
          <w:highlight w:val="none"/>
          <w:lang w:eastAsia="zh-CN"/>
        </w:rPr>
        <w:t xml:space="preserve">                     中国</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eastAsia="zh-CN"/>
        </w:rPr>
        <w:t>陕西</w:t>
      </w:r>
    </w:p>
    <w:p w14:paraId="1DE824E4">
      <w:pPr>
        <w:pageBreakBefore w:val="0"/>
        <w:widowControl/>
        <w:kinsoku/>
        <w:wordWrap/>
        <w:overflowPunct/>
        <w:topLinePunct w:val="0"/>
        <w:bidi w:val="0"/>
        <w:jc w:val="center"/>
        <w:outlineLvl w:val="9"/>
        <w:rPr>
          <w:rFonts w:hint="eastAsia" w:ascii="宋体" w:hAnsi="宋体" w:eastAsia="宋体" w:cs="宋体"/>
          <w:b/>
          <w:color w:val="auto"/>
          <w:sz w:val="28"/>
          <w:highlight w:val="none"/>
        </w:rPr>
      </w:pPr>
      <w:r>
        <w:rPr>
          <w:rFonts w:hint="eastAsia" w:ascii="宋体" w:hAnsi="宋体" w:eastAsia="宋体" w:cs="宋体"/>
          <w:b/>
          <w:color w:val="auto"/>
          <w:sz w:val="32"/>
          <w:highlight w:val="none"/>
        </w:rPr>
        <w:t>四川国际招标有限责任公司</w:t>
      </w:r>
    </w:p>
    <w:p w14:paraId="00F792A2">
      <w:pPr>
        <w:pageBreakBefore w:val="0"/>
        <w:widowControl/>
        <w:tabs>
          <w:tab w:val="center" w:pos="4203"/>
          <w:tab w:val="right" w:pos="8406"/>
        </w:tabs>
        <w:kinsoku/>
        <w:wordWrap/>
        <w:overflowPunct/>
        <w:topLinePunct w:val="0"/>
        <w:bidi w:val="0"/>
        <w:spacing w:line="276" w:lineRule="auto"/>
        <w:jc w:val="left"/>
        <w:outlineLvl w:val="9"/>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ab/>
      </w:r>
      <w:r>
        <w:rPr>
          <w:rFonts w:hint="eastAsia" w:ascii="宋体" w:hAnsi="宋体" w:eastAsia="宋体" w:cs="宋体"/>
          <w:b/>
          <w:color w:val="auto"/>
          <w:sz w:val="28"/>
          <w:highlight w:val="none"/>
          <w:lang w:eastAsia="zh-CN"/>
        </w:rPr>
        <w:t>2026年</w:t>
      </w:r>
      <w:r>
        <w:rPr>
          <w:rFonts w:hint="eastAsia" w:hAnsi="宋体" w:cs="宋体"/>
          <w:b/>
          <w:color w:val="auto"/>
          <w:sz w:val="28"/>
          <w:highlight w:val="none"/>
          <w:lang w:val="en-US" w:eastAsia="zh-CN"/>
        </w:rPr>
        <w:t>4</w:t>
      </w:r>
      <w:r>
        <w:rPr>
          <w:rFonts w:hint="eastAsia" w:ascii="宋体" w:hAnsi="宋体" w:eastAsia="宋体" w:cs="宋体"/>
          <w:b/>
          <w:color w:val="auto"/>
          <w:sz w:val="28"/>
          <w:highlight w:val="none"/>
          <w:lang w:eastAsia="zh-CN"/>
        </w:rPr>
        <w:t>月</w:t>
      </w:r>
    </w:p>
    <w:p w14:paraId="4DEBE97A">
      <w:pPr>
        <w:pageBreakBefore w:val="0"/>
        <w:widowControl/>
        <w:tabs>
          <w:tab w:val="center" w:pos="4153"/>
          <w:tab w:val="right" w:pos="8306"/>
        </w:tabs>
        <w:kinsoku/>
        <w:wordWrap/>
        <w:overflowPunct/>
        <w:topLinePunct w:val="0"/>
        <w:bidi w:val="0"/>
        <w:spacing w:line="276" w:lineRule="auto"/>
        <w:jc w:val="center"/>
        <w:outlineLvl w:val="9"/>
        <w:rPr>
          <w:rFonts w:hint="eastAsia" w:ascii="宋体" w:hAnsi="宋体" w:eastAsia="宋体" w:cs="宋体"/>
          <w:color w:val="auto"/>
          <w:highlight w:val="none"/>
        </w:rPr>
        <w:sectPr>
          <w:footerReference r:id="rId3" w:type="default"/>
          <w:endnotePr>
            <w:numFmt w:val="decimal"/>
          </w:endnotePr>
          <w:pgSz w:w="11906" w:h="16838"/>
          <w:pgMar w:top="1440" w:right="1800" w:bottom="1440" w:left="1800" w:header="851" w:footer="992" w:gutter="0"/>
          <w:cols w:space="720" w:num="1"/>
          <w:docGrid w:type="lines" w:linePitch="360" w:charSpace="0"/>
        </w:sectPr>
      </w:pPr>
    </w:p>
    <w:p w14:paraId="6AE0B158">
      <w:pPr>
        <w:pageBreakBefore w:val="0"/>
        <w:kinsoku/>
        <w:overflowPunct/>
        <w:topLinePunct w:val="0"/>
        <w:bidi w:val="0"/>
        <w:outlineLvl w:val="9"/>
        <w:rPr>
          <w:rFonts w:hint="eastAsia" w:ascii="宋体" w:hAnsi="宋体" w:eastAsia="宋体" w:cs="宋体"/>
          <w:b/>
          <w:color w:val="auto"/>
          <w:sz w:val="36"/>
          <w:highlight w:val="none"/>
          <w:lang w:eastAsia="zh-CN"/>
        </w:rPr>
      </w:pPr>
    </w:p>
    <w:p w14:paraId="1E8D27A5">
      <w:pPr>
        <w:spacing w:before="0" w:beforeLines="0" w:after="0" w:afterLines="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ko-KR" w:bidi="ar-SA"/>
        </w:rPr>
      </w:pPr>
    </w:p>
    <w:p w14:paraId="51D20CC2">
      <w:pPr>
        <w:spacing w:before="0" w:beforeLines="0" w:after="0" w:afterLines="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ko-KR" w:bidi="ar-SA"/>
        </w:rPr>
      </w:pPr>
    </w:p>
    <w:p w14:paraId="353C55CC">
      <w:pPr>
        <w:spacing w:before="0" w:beforeLines="0" w:after="0" w:afterLines="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ko-KR" w:bidi="ar-SA"/>
        </w:rPr>
      </w:pPr>
    </w:p>
    <w:p w14:paraId="47EE04F9">
      <w:pPr>
        <w:spacing w:before="0" w:beforeLines="0" w:after="0" w:afterLines="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ko-KR" w:bidi="ar-SA"/>
        </w:rPr>
      </w:pPr>
    </w:p>
    <w:p w14:paraId="694DDE72">
      <w:pPr>
        <w:spacing w:before="0" w:beforeLines="0" w:after="0" w:afterLines="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ko-KR" w:bidi="ar-SA"/>
        </w:rPr>
      </w:pPr>
    </w:p>
    <w:sdt>
      <w:sdtPr>
        <w:rPr>
          <w:rFonts w:hint="eastAsia" w:ascii="宋体" w:hAnsi="宋体" w:eastAsia="宋体" w:cs="宋体"/>
          <w:color w:val="auto"/>
          <w:kern w:val="2"/>
          <w:sz w:val="21"/>
          <w:szCs w:val="24"/>
          <w:highlight w:val="none"/>
          <w:lang w:val="en-US" w:eastAsia="ko-KR" w:bidi="ar-SA"/>
        </w:rPr>
        <w:id w:val="147474670"/>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ko-KR" w:bidi="ar-SA"/>
        </w:rPr>
      </w:sdtEndPr>
      <w:sdtContent>
        <w:p w14:paraId="3FDBE9C6">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40"/>
              <w:highlight w:val="none"/>
            </w:rPr>
          </w:pPr>
          <w:r>
            <w:rPr>
              <w:rFonts w:hint="eastAsia" w:ascii="宋体" w:hAnsi="宋体" w:eastAsia="宋体" w:cs="宋体"/>
              <w:color w:val="auto"/>
              <w:sz w:val="32"/>
              <w:szCs w:val="40"/>
              <w:highlight w:val="none"/>
            </w:rPr>
            <w:t>目</w:t>
          </w:r>
          <w:r>
            <w:rPr>
              <w:rFonts w:hint="eastAsia" w:ascii="宋体" w:hAnsi="宋体" w:eastAsia="宋体" w:cs="宋体"/>
              <w:color w:val="auto"/>
              <w:sz w:val="32"/>
              <w:szCs w:val="40"/>
              <w:highlight w:val="none"/>
              <w:lang w:val="en-US" w:eastAsia="zh-CN"/>
            </w:rPr>
            <w:t xml:space="preserve"> </w:t>
          </w:r>
          <w:r>
            <w:rPr>
              <w:rFonts w:hint="eastAsia" w:ascii="宋体" w:hAnsi="宋体" w:eastAsia="宋体" w:cs="宋体"/>
              <w:color w:val="auto"/>
              <w:sz w:val="32"/>
              <w:szCs w:val="40"/>
              <w:highlight w:val="none"/>
            </w:rPr>
            <w:t>录</w:t>
          </w:r>
        </w:p>
        <w:p w14:paraId="124D9B58">
          <w:pPr>
            <w:pStyle w:val="18"/>
            <w:tabs>
              <w:tab w:val="right" w:leader="dot" w:pos="8306"/>
            </w:tabs>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TOC \o "1-1" \h \u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_Toc16218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第一章</w:t>
          </w:r>
          <w:r>
            <w:rPr>
              <w:rFonts w:hint="eastAsia" w:ascii="宋体" w:hAnsi="宋体" w:eastAsia="宋体" w:cs="宋体"/>
              <w:color w:val="auto"/>
              <w:sz w:val="28"/>
              <w:szCs w:val="40"/>
              <w:highlight w:val="none"/>
              <w:lang w:val="en-US" w:eastAsia="zh-CN"/>
            </w:rPr>
            <w:t xml:space="preserve">  </w:t>
          </w:r>
          <w:r>
            <w:rPr>
              <w:rFonts w:hint="eastAsia" w:ascii="宋体" w:hAnsi="宋体" w:eastAsia="宋体" w:cs="宋体"/>
              <w:color w:val="auto"/>
              <w:sz w:val="28"/>
              <w:szCs w:val="40"/>
              <w:highlight w:val="none"/>
            </w:rPr>
            <w:t>竞争性磋商邀请公告</w:t>
          </w:r>
          <w:r>
            <w:rPr>
              <w:rFonts w:hint="eastAsia" w:ascii="宋体" w:hAnsi="宋体" w:eastAsia="宋体" w:cs="宋体"/>
              <w:color w:val="auto"/>
              <w:sz w:val="28"/>
              <w:szCs w:val="40"/>
              <w:highlight w:val="none"/>
            </w:rPr>
            <w:tab/>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PAGEREF _Toc16218 \h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3</w:t>
          </w:r>
          <w:r>
            <w:rPr>
              <w:rFonts w:hint="eastAsia" w:ascii="宋体" w:hAnsi="宋体" w:eastAsia="宋体" w:cs="宋体"/>
              <w:color w:val="auto"/>
              <w:sz w:val="28"/>
              <w:szCs w:val="40"/>
              <w:highlight w:val="none"/>
            </w:rPr>
            <w:fldChar w:fldCharType="end"/>
          </w:r>
          <w:r>
            <w:rPr>
              <w:rFonts w:hint="eastAsia" w:ascii="宋体" w:hAnsi="宋体" w:eastAsia="宋体" w:cs="宋体"/>
              <w:color w:val="auto"/>
              <w:sz w:val="28"/>
              <w:szCs w:val="40"/>
              <w:highlight w:val="none"/>
            </w:rPr>
            <w:fldChar w:fldCharType="end"/>
          </w:r>
        </w:p>
        <w:p w14:paraId="295D6F60">
          <w:pPr>
            <w:pStyle w:val="18"/>
            <w:tabs>
              <w:tab w:val="right" w:leader="dot" w:pos="8306"/>
            </w:tabs>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_Toc25557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第二章  磋商须知</w:t>
          </w:r>
          <w:r>
            <w:rPr>
              <w:rFonts w:hint="eastAsia" w:ascii="宋体" w:hAnsi="宋体" w:eastAsia="宋体" w:cs="宋体"/>
              <w:color w:val="auto"/>
              <w:sz w:val="28"/>
              <w:szCs w:val="40"/>
              <w:highlight w:val="none"/>
            </w:rPr>
            <w:tab/>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PAGEREF _Toc25557 \h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6</w:t>
          </w:r>
          <w:r>
            <w:rPr>
              <w:rFonts w:hint="eastAsia" w:ascii="宋体" w:hAnsi="宋体" w:eastAsia="宋体" w:cs="宋体"/>
              <w:color w:val="auto"/>
              <w:sz w:val="28"/>
              <w:szCs w:val="40"/>
              <w:highlight w:val="none"/>
            </w:rPr>
            <w:fldChar w:fldCharType="end"/>
          </w:r>
          <w:r>
            <w:rPr>
              <w:rFonts w:hint="eastAsia" w:ascii="宋体" w:hAnsi="宋体" w:eastAsia="宋体" w:cs="宋体"/>
              <w:color w:val="auto"/>
              <w:sz w:val="28"/>
              <w:szCs w:val="40"/>
              <w:highlight w:val="none"/>
            </w:rPr>
            <w:fldChar w:fldCharType="end"/>
          </w:r>
        </w:p>
        <w:p w14:paraId="04364F41">
          <w:pPr>
            <w:pStyle w:val="18"/>
            <w:tabs>
              <w:tab w:val="right" w:leader="dot" w:pos="8306"/>
            </w:tabs>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_Toc11536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lang w:eastAsia="zh-CN"/>
            </w:rPr>
            <w:t>第三章</w:t>
          </w:r>
          <w:r>
            <w:rPr>
              <w:rFonts w:hint="eastAsia" w:ascii="宋体" w:hAnsi="宋体" w:eastAsia="宋体" w:cs="宋体"/>
              <w:color w:val="auto"/>
              <w:sz w:val="28"/>
              <w:szCs w:val="40"/>
              <w:highlight w:val="none"/>
            </w:rPr>
            <w:t xml:space="preserve"> 供应商资格证明文件</w:t>
          </w:r>
          <w:r>
            <w:rPr>
              <w:rFonts w:hint="eastAsia" w:ascii="宋体" w:hAnsi="宋体" w:eastAsia="宋体" w:cs="宋体"/>
              <w:color w:val="auto"/>
              <w:sz w:val="28"/>
              <w:szCs w:val="40"/>
              <w:highlight w:val="none"/>
            </w:rPr>
            <w:tab/>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PAGEREF _Toc11536 \h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14</w:t>
          </w:r>
          <w:r>
            <w:rPr>
              <w:rFonts w:hint="eastAsia" w:ascii="宋体" w:hAnsi="宋体" w:eastAsia="宋体" w:cs="宋体"/>
              <w:color w:val="auto"/>
              <w:sz w:val="28"/>
              <w:szCs w:val="40"/>
              <w:highlight w:val="none"/>
            </w:rPr>
            <w:fldChar w:fldCharType="end"/>
          </w:r>
          <w:r>
            <w:rPr>
              <w:rFonts w:hint="eastAsia" w:ascii="宋体" w:hAnsi="宋体" w:eastAsia="宋体" w:cs="宋体"/>
              <w:color w:val="auto"/>
              <w:sz w:val="28"/>
              <w:szCs w:val="40"/>
              <w:highlight w:val="none"/>
            </w:rPr>
            <w:fldChar w:fldCharType="end"/>
          </w:r>
        </w:p>
        <w:p w14:paraId="3C3A5CC3">
          <w:pPr>
            <w:pStyle w:val="18"/>
            <w:tabs>
              <w:tab w:val="right" w:leader="dot" w:pos="8306"/>
            </w:tabs>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_Toc23241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第四章  技术服务</w:t>
          </w:r>
          <w:r>
            <w:rPr>
              <w:rFonts w:hint="eastAsia" w:ascii="宋体" w:hAnsi="宋体" w:eastAsia="宋体" w:cs="宋体"/>
              <w:color w:val="auto"/>
              <w:sz w:val="28"/>
              <w:szCs w:val="40"/>
              <w:highlight w:val="none"/>
              <w:lang w:eastAsia="zh-CN"/>
            </w:rPr>
            <w:t>要求</w:t>
          </w:r>
          <w:r>
            <w:rPr>
              <w:rFonts w:hint="eastAsia" w:ascii="宋体" w:hAnsi="宋体" w:eastAsia="宋体" w:cs="宋体"/>
              <w:color w:val="auto"/>
              <w:sz w:val="28"/>
              <w:szCs w:val="40"/>
              <w:highlight w:val="none"/>
            </w:rPr>
            <w:t>、商务条件说明</w:t>
          </w:r>
          <w:r>
            <w:rPr>
              <w:rFonts w:hint="eastAsia" w:ascii="宋体" w:hAnsi="宋体" w:eastAsia="宋体" w:cs="宋体"/>
              <w:color w:val="auto"/>
              <w:sz w:val="28"/>
              <w:szCs w:val="40"/>
              <w:highlight w:val="none"/>
            </w:rPr>
            <w:tab/>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PAGEREF _Toc23241 \h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16</w:t>
          </w:r>
          <w:r>
            <w:rPr>
              <w:rFonts w:hint="eastAsia" w:ascii="宋体" w:hAnsi="宋体" w:eastAsia="宋体" w:cs="宋体"/>
              <w:color w:val="auto"/>
              <w:sz w:val="28"/>
              <w:szCs w:val="40"/>
              <w:highlight w:val="none"/>
            </w:rPr>
            <w:fldChar w:fldCharType="end"/>
          </w:r>
          <w:r>
            <w:rPr>
              <w:rFonts w:hint="eastAsia" w:ascii="宋体" w:hAnsi="宋体" w:eastAsia="宋体" w:cs="宋体"/>
              <w:color w:val="auto"/>
              <w:sz w:val="28"/>
              <w:szCs w:val="40"/>
              <w:highlight w:val="none"/>
            </w:rPr>
            <w:fldChar w:fldCharType="end"/>
          </w:r>
        </w:p>
        <w:p w14:paraId="3123A52A">
          <w:pPr>
            <w:pStyle w:val="18"/>
            <w:tabs>
              <w:tab w:val="right" w:leader="dot" w:pos="8306"/>
            </w:tabs>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_Toc27920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第五章  磋商程序</w:t>
          </w:r>
          <w:r>
            <w:rPr>
              <w:rFonts w:hint="eastAsia" w:ascii="宋体" w:hAnsi="宋体" w:eastAsia="宋体" w:cs="宋体"/>
              <w:color w:val="auto"/>
              <w:sz w:val="28"/>
              <w:szCs w:val="40"/>
              <w:highlight w:val="none"/>
            </w:rPr>
            <w:tab/>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PAGEREF _Toc27920 \h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21</w:t>
          </w:r>
          <w:r>
            <w:rPr>
              <w:rFonts w:hint="eastAsia" w:ascii="宋体" w:hAnsi="宋体" w:eastAsia="宋体" w:cs="宋体"/>
              <w:color w:val="auto"/>
              <w:sz w:val="28"/>
              <w:szCs w:val="40"/>
              <w:highlight w:val="none"/>
            </w:rPr>
            <w:fldChar w:fldCharType="end"/>
          </w:r>
          <w:r>
            <w:rPr>
              <w:rFonts w:hint="eastAsia" w:ascii="宋体" w:hAnsi="宋体" w:eastAsia="宋体" w:cs="宋体"/>
              <w:color w:val="auto"/>
              <w:sz w:val="28"/>
              <w:szCs w:val="40"/>
              <w:highlight w:val="none"/>
            </w:rPr>
            <w:fldChar w:fldCharType="end"/>
          </w:r>
        </w:p>
        <w:p w14:paraId="0ECD0CDE">
          <w:pPr>
            <w:pStyle w:val="18"/>
            <w:tabs>
              <w:tab w:val="right" w:leader="dot" w:pos="8306"/>
            </w:tabs>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_Toc31959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4"/>
              <w:highlight w:val="none"/>
            </w:rPr>
            <w:t>第六章  合同草案条款（参考文本）</w:t>
          </w:r>
          <w:r>
            <w:rPr>
              <w:rFonts w:hint="eastAsia" w:ascii="宋体" w:hAnsi="宋体" w:eastAsia="宋体" w:cs="宋体"/>
              <w:color w:val="auto"/>
              <w:sz w:val="28"/>
              <w:szCs w:val="40"/>
              <w:highlight w:val="none"/>
            </w:rPr>
            <w:tab/>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PAGEREF _Toc31959 \h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27</w:t>
          </w:r>
          <w:r>
            <w:rPr>
              <w:rFonts w:hint="eastAsia" w:ascii="宋体" w:hAnsi="宋体" w:eastAsia="宋体" w:cs="宋体"/>
              <w:color w:val="auto"/>
              <w:sz w:val="28"/>
              <w:szCs w:val="40"/>
              <w:highlight w:val="none"/>
            </w:rPr>
            <w:fldChar w:fldCharType="end"/>
          </w:r>
          <w:r>
            <w:rPr>
              <w:rFonts w:hint="eastAsia" w:ascii="宋体" w:hAnsi="宋体" w:eastAsia="宋体" w:cs="宋体"/>
              <w:color w:val="auto"/>
              <w:sz w:val="28"/>
              <w:szCs w:val="40"/>
              <w:highlight w:val="none"/>
            </w:rPr>
            <w:fldChar w:fldCharType="end"/>
          </w:r>
        </w:p>
        <w:p w14:paraId="10DAE8DC">
          <w:pPr>
            <w:pStyle w:val="18"/>
            <w:tabs>
              <w:tab w:val="right" w:leader="dot" w:pos="8306"/>
            </w:tabs>
            <w:rPr>
              <w:rFonts w:hint="eastAsia" w:ascii="宋体" w:hAnsi="宋体" w:eastAsia="宋体" w:cs="宋体"/>
              <w:color w:val="auto"/>
              <w:sz w:val="28"/>
              <w:szCs w:val="40"/>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_Toc28384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第七章  响应文件（格式）</w:t>
          </w:r>
          <w:r>
            <w:rPr>
              <w:rFonts w:hint="eastAsia" w:ascii="宋体" w:hAnsi="宋体" w:eastAsia="宋体" w:cs="宋体"/>
              <w:color w:val="auto"/>
              <w:sz w:val="28"/>
              <w:szCs w:val="40"/>
              <w:highlight w:val="none"/>
            </w:rPr>
            <w:tab/>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PAGEREF _Toc28384 \h </w:instrText>
          </w:r>
          <w:r>
            <w:rPr>
              <w:rFonts w:hint="eastAsia" w:ascii="宋体" w:hAnsi="宋体" w:eastAsia="宋体" w:cs="宋体"/>
              <w:color w:val="auto"/>
              <w:sz w:val="28"/>
              <w:szCs w:val="40"/>
              <w:highlight w:val="none"/>
            </w:rPr>
            <w:fldChar w:fldCharType="separate"/>
          </w:r>
          <w:r>
            <w:rPr>
              <w:rFonts w:hint="eastAsia" w:ascii="宋体" w:hAnsi="宋体" w:eastAsia="宋体" w:cs="宋体"/>
              <w:color w:val="auto"/>
              <w:sz w:val="28"/>
              <w:szCs w:val="40"/>
              <w:highlight w:val="none"/>
            </w:rPr>
            <w:t>30</w:t>
          </w:r>
          <w:r>
            <w:rPr>
              <w:rFonts w:hint="eastAsia" w:ascii="宋体" w:hAnsi="宋体" w:eastAsia="宋体" w:cs="宋体"/>
              <w:color w:val="auto"/>
              <w:sz w:val="28"/>
              <w:szCs w:val="40"/>
              <w:highlight w:val="none"/>
            </w:rPr>
            <w:fldChar w:fldCharType="end"/>
          </w:r>
          <w:r>
            <w:rPr>
              <w:rFonts w:hint="eastAsia" w:ascii="宋体" w:hAnsi="宋体" w:eastAsia="宋体" w:cs="宋体"/>
              <w:color w:val="auto"/>
              <w:sz w:val="28"/>
              <w:szCs w:val="40"/>
              <w:highlight w:val="none"/>
            </w:rPr>
            <w:fldChar w:fldCharType="end"/>
          </w:r>
        </w:p>
        <w:p w14:paraId="4FB2309A">
          <w:pPr>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sdtContent>
    </w:sdt>
    <w:p w14:paraId="6ACA9B26">
      <w:pPr>
        <w:rPr>
          <w:rFonts w:hint="eastAsia" w:ascii="宋体" w:hAnsi="宋体" w:eastAsia="宋体" w:cs="宋体"/>
          <w:color w:val="auto"/>
          <w:highlight w:val="none"/>
        </w:rPr>
      </w:pPr>
    </w:p>
    <w:p w14:paraId="44CBB623">
      <w:pPr>
        <w:keepNext/>
        <w:keepLines/>
        <w:pageBreakBefore w:val="0"/>
        <w:widowControl/>
        <w:tabs>
          <w:tab w:val="left" w:pos="425"/>
          <w:tab w:val="left" w:pos="4265"/>
        </w:tabs>
        <w:kinsoku/>
        <w:wordWrap/>
        <w:overflowPunct/>
        <w:topLinePunct w:val="0"/>
        <w:autoSpaceDE w:val="0"/>
        <w:autoSpaceDN w:val="0"/>
        <w:bidi w:val="0"/>
        <w:adjustRightInd/>
        <w:snapToGrid/>
        <w:spacing w:before="340" w:after="330" w:line="360" w:lineRule="auto"/>
        <w:jc w:val="center"/>
        <w:textAlignment w:val="auto"/>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bookmarkStart w:id="0" w:name="_Toc16218"/>
      <w:r>
        <w:rPr>
          <w:rFonts w:hint="eastAsia" w:ascii="宋体" w:hAnsi="宋体" w:eastAsia="宋体" w:cs="宋体"/>
          <w:b/>
          <w:color w:val="auto"/>
          <w:sz w:val="28"/>
          <w:highlight w:val="none"/>
        </w:rPr>
        <w:t>第一章</w:t>
      </w:r>
      <w:r>
        <w:rPr>
          <w:rFonts w:hint="eastAsia" w:ascii="宋体" w:hAnsi="宋体" w:eastAsia="宋体" w:cs="宋体"/>
          <w:b/>
          <w:color w:val="auto"/>
          <w:sz w:val="28"/>
          <w:highlight w:val="none"/>
          <w:lang w:val="en-US" w:eastAsia="zh-CN"/>
        </w:rPr>
        <w:t xml:space="preserve">  </w:t>
      </w:r>
      <w:r>
        <w:rPr>
          <w:rFonts w:hint="eastAsia" w:ascii="宋体" w:hAnsi="宋体" w:eastAsia="宋体" w:cs="宋体"/>
          <w:b/>
          <w:color w:val="auto"/>
          <w:sz w:val="28"/>
          <w:highlight w:val="none"/>
        </w:rPr>
        <w:t>竞争性磋商邀请公告</w:t>
      </w:r>
      <w:bookmarkEnd w:id="0"/>
    </w:p>
    <w:p w14:paraId="1F2BBDC0">
      <w:pPr>
        <w:pStyle w:val="9"/>
        <w:keepNext w:val="0"/>
        <w:keepLines w:val="0"/>
        <w:pageBreakBefore w:val="0"/>
        <w:kinsoku/>
        <w:overflowPunct/>
        <w:topLinePunct w:val="0"/>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四川国际招标有限责任公司受</w:t>
      </w:r>
      <w:r>
        <w:rPr>
          <w:rFonts w:hint="eastAsia" w:ascii="宋体" w:hAnsi="宋体" w:eastAsia="宋体" w:cs="宋体"/>
          <w:color w:val="auto"/>
          <w:sz w:val="24"/>
          <w:szCs w:val="24"/>
          <w:highlight w:val="none"/>
          <w:lang w:eastAsia="zh-CN"/>
        </w:rPr>
        <w:t>西安市教育考试中心</w:t>
      </w:r>
      <w:r>
        <w:rPr>
          <w:rFonts w:hint="eastAsia" w:ascii="宋体" w:hAnsi="宋体" w:eastAsia="宋体" w:cs="宋体"/>
          <w:color w:val="auto"/>
          <w:sz w:val="24"/>
          <w:szCs w:val="24"/>
          <w:highlight w:val="none"/>
        </w:rPr>
        <w:t>的委托，拟对</w:t>
      </w:r>
      <w:r>
        <w:rPr>
          <w:rFonts w:hint="eastAsia" w:ascii="宋体" w:hAnsi="宋体" w:eastAsia="宋体" w:cs="宋体"/>
          <w:color w:val="auto"/>
          <w:sz w:val="24"/>
          <w:szCs w:val="24"/>
          <w:highlight w:val="none"/>
          <w:lang w:eastAsia="zh-CN"/>
        </w:rPr>
        <w:t>西安市教育考试中心初中学业水平考试中考政策内容制作及推送服务</w:t>
      </w:r>
      <w:r>
        <w:rPr>
          <w:rFonts w:hint="eastAsia" w:ascii="宋体" w:hAnsi="宋体" w:eastAsia="宋体" w:cs="宋体"/>
          <w:color w:val="auto"/>
          <w:sz w:val="24"/>
          <w:szCs w:val="24"/>
          <w:highlight w:val="none"/>
        </w:rPr>
        <w:t>进行竞争性磋商采购，欢迎符合资格条件的、有能力提供本项目所需服务的供应商参加此次磋商。</w:t>
      </w:r>
    </w:p>
    <w:p w14:paraId="645842AB">
      <w:pPr>
        <w:pStyle w:val="9"/>
        <w:keepNext w:val="0"/>
        <w:keepLines w:val="0"/>
        <w:pageBreakBefore w:val="0"/>
        <w:numPr>
          <w:ilvl w:val="0"/>
          <w:numId w:val="3"/>
        </w:numPr>
        <w:kinsoku/>
        <w:overflowPunct/>
        <w:topLinePunct w:val="0"/>
        <w:bidi w:val="0"/>
        <w:adjustRightInd/>
        <w:snapToGrid/>
        <w:spacing w:before="0" w:beforeAutospacing="0" w:after="0" w:afterAutospacing="0"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lang w:eastAsia="zh-CN"/>
        </w:rPr>
        <w:t>西安市教育考试中心初中学业水平考试中考政策内容制作及推送服务</w:t>
      </w:r>
    </w:p>
    <w:p w14:paraId="6AEB8EB1">
      <w:pPr>
        <w:pStyle w:val="9"/>
        <w:keepNext w:val="0"/>
        <w:keepLines w:val="0"/>
        <w:pageBreakBefore w:val="0"/>
        <w:numPr>
          <w:ilvl w:val="0"/>
          <w:numId w:val="0"/>
        </w:numPr>
        <w:kinsoku/>
        <w:overflowPunct/>
        <w:topLinePunct w:val="0"/>
        <w:bidi w:val="0"/>
        <w:adjustRightInd/>
        <w:snapToGrid/>
        <w:spacing w:before="0" w:beforeAutospacing="0" w:after="0" w:afterAutospacing="0"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二、采购项目编号：</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SCIT-ZC-SX2026030004</w:t>
      </w:r>
    </w:p>
    <w:p w14:paraId="51175B58">
      <w:pPr>
        <w:pStyle w:val="9"/>
        <w:pageBreakBefore w:val="0"/>
        <w:shd w:val="clear"/>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三、采购人名称：</w:t>
      </w:r>
      <w:r>
        <w:rPr>
          <w:rFonts w:hint="eastAsia" w:ascii="宋体" w:hAnsi="宋体" w:eastAsia="宋体" w:cs="宋体"/>
          <w:color w:val="auto"/>
          <w:sz w:val="24"/>
          <w:szCs w:val="24"/>
          <w:highlight w:val="none"/>
          <w:lang w:eastAsia="zh-CN"/>
        </w:rPr>
        <w:t>西安市教育考试中心</w:t>
      </w:r>
    </w:p>
    <w:p w14:paraId="0AB4CAE7">
      <w:pPr>
        <w:pStyle w:val="9"/>
        <w:pageBreakBefore w:val="0"/>
        <w:shd w:val="clear"/>
        <w:kinsoku/>
        <w:overflowPunct/>
        <w:topLinePunct w:val="0"/>
        <w:bidi w:val="0"/>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址：西安市</w:t>
      </w:r>
      <w:r>
        <w:rPr>
          <w:rFonts w:hint="eastAsia" w:ascii="宋体" w:hAnsi="宋体" w:eastAsia="宋体" w:cs="宋体"/>
          <w:highlight w:val="none"/>
        </w:rPr>
        <w:t>文艺南路194</w:t>
      </w:r>
    </w:p>
    <w:p w14:paraId="73C8CB11">
      <w:pPr>
        <w:pStyle w:val="9"/>
        <w:pageBreakBefore w:val="0"/>
        <w:shd w:val="clear"/>
        <w:kinsoku/>
        <w:overflowPunct/>
        <w:topLinePunct w:val="0"/>
        <w:bidi w:val="0"/>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徐老师</w:t>
      </w:r>
    </w:p>
    <w:p w14:paraId="33F6781C">
      <w:pPr>
        <w:pStyle w:val="9"/>
        <w:pageBreakBefore w:val="0"/>
        <w:shd w:val="clear"/>
        <w:kinsoku/>
        <w:overflowPunct/>
        <w:topLinePunct w:val="0"/>
        <w:bidi w:val="0"/>
        <w:spacing w:before="0" w:beforeAutospacing="0" w:after="0" w:afterAutospacing="0"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highlight w:val="none"/>
        </w:rPr>
        <w:t>029-87806801</w:t>
      </w:r>
    </w:p>
    <w:p w14:paraId="0C57BB11">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四、采购代理机构名称：</w:t>
      </w:r>
      <w:r>
        <w:rPr>
          <w:rFonts w:hint="eastAsia" w:ascii="宋体" w:hAnsi="宋体" w:eastAsia="宋体" w:cs="宋体"/>
          <w:color w:val="auto"/>
          <w:sz w:val="24"/>
          <w:szCs w:val="24"/>
          <w:highlight w:val="none"/>
          <w:lang w:eastAsia="zh-CN"/>
        </w:rPr>
        <w:t>四川国际招标有限责任公司</w:t>
      </w:r>
    </w:p>
    <w:p w14:paraId="37032403">
      <w:pPr>
        <w:keepNext w:val="0"/>
        <w:keepLines w:val="0"/>
        <w:pageBreakBefore w:val="0"/>
        <w:widowControl/>
        <w:tabs>
          <w:tab w:val="left" w:pos="1620"/>
        </w:tabs>
        <w:kinsoku/>
        <w:overflowPunct/>
        <w:topLinePunct w:val="0"/>
        <w:bidi w:val="0"/>
        <w:adjustRightInd/>
        <w:snapToGrid/>
        <w:spacing w:line="360" w:lineRule="auto"/>
        <w:ind w:right="-226"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地址：西安市高新区唐延路35号旺座现代城G座2301室</w:t>
      </w:r>
    </w:p>
    <w:p w14:paraId="72D89CE9">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五、采购预算、内容、要求：</w:t>
      </w:r>
    </w:p>
    <w:p w14:paraId="282D3B26">
      <w:pPr>
        <w:pStyle w:val="31"/>
        <w:keepNext w:val="0"/>
        <w:keepLines w:val="0"/>
        <w:pageBreakBefore w:val="0"/>
        <w:kinsoku/>
        <w:overflowPunct/>
        <w:topLinePunct w:val="0"/>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本项目共1个包，拟选择中考政策内容制作及推送服务单位一名（具体详见磋商文件）；</w:t>
      </w:r>
    </w:p>
    <w:p w14:paraId="09F0CBEC">
      <w:pPr>
        <w:pStyle w:val="31"/>
        <w:keepNext w:val="0"/>
        <w:keepLines w:val="0"/>
        <w:pageBreakBefore w:val="0"/>
        <w:kinsoku/>
        <w:overflowPunct/>
        <w:topLinePunct w:val="0"/>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项目用途：中考政策内容制作及推送服务；</w:t>
      </w:r>
    </w:p>
    <w:p w14:paraId="16130E65">
      <w:pPr>
        <w:pStyle w:val="31"/>
        <w:keepNext w:val="0"/>
        <w:keepLines w:val="0"/>
        <w:pageBreakBefore w:val="0"/>
        <w:kinsoku/>
        <w:overflowPunct/>
        <w:topLinePunct w:val="0"/>
        <w:bidi w:val="0"/>
        <w:adjustRightInd/>
        <w:snapToGrid/>
        <w:spacing w:line="360" w:lineRule="auto"/>
        <w:ind w:firstLine="240" w:firstLineChars="1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25万元</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资金性质：财政性资金</w:t>
      </w:r>
    </w:p>
    <w:p w14:paraId="6D2D183D">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六、供应商资质要求：</w:t>
      </w:r>
    </w:p>
    <w:p w14:paraId="15DCAE0F">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（一）满足《中华人民共和国政府采购法》第二十二条规定；</w:t>
      </w:r>
    </w:p>
    <w:p w14:paraId="0EB3BD16">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（二）落实政府采购政策需满足的资格要求：属于专门面向中小企业采购。</w:t>
      </w:r>
    </w:p>
    <w:p w14:paraId="3E5F6C2F">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（三）本项目的特定资格要求：</w:t>
      </w:r>
    </w:p>
    <w:p w14:paraId="575F7924">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1、法定代表人授权书及被授权人身份证明（法定代表人直接参与只须提交其身份证明）</w:t>
      </w:r>
    </w:p>
    <w:p w14:paraId="69CCB4DD">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2、供应商未被列入失信被执行人、重大税收违法案件当事人名单、政府采购严重违法失信行为记录；</w:t>
      </w:r>
    </w:p>
    <w:p w14:paraId="37CBAC86">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本项目不接受联合体。</w:t>
      </w:r>
    </w:p>
    <w:p w14:paraId="1E891F87">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七、采购项目需要落实的政府采购政策：</w:t>
      </w:r>
    </w:p>
    <w:p w14:paraId="5086DD6B">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参照《中华人民共和国政府采购法》及《中华人民共和国政府采购法实施条例》的有关规定，落实政府采购政策，详见磋商文件。</w:t>
      </w:r>
    </w:p>
    <w:p w14:paraId="0CF1DD95">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 xml:space="preserve">《政府采购促进中小企业发展管理办法》（财库〔2020〕46号） </w:t>
      </w:r>
    </w:p>
    <w:p w14:paraId="7961EDAC">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《财政部司法部关于政府采购支持监狱企业发展有关问题通知》（财库〔2014〕68号）；</w:t>
      </w:r>
    </w:p>
    <w:p w14:paraId="5585665A">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《国务院办公厅关于建立政府强制采购节能产品制度的通知》（国办发〔2007〕51号）；</w:t>
      </w:r>
    </w:p>
    <w:p w14:paraId="25BC1251">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《环境标志产品政府采购实施的意见》（财库〔2006〕90号）；</w:t>
      </w:r>
    </w:p>
    <w:p w14:paraId="69C73BB7">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《关于促进残疾人就业政府采购政策的通知》（财库〔2017〕141号）；</w:t>
      </w:r>
    </w:p>
    <w:p w14:paraId="69EFE7C4">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《陕西省中小企业政府采购信用融资办法》（陕财办采〔2018〕23号）</w:t>
      </w:r>
      <w:r>
        <w:rPr>
          <w:rFonts w:hint="eastAsia" w:hAnsi="宋体" w:cs="宋体"/>
          <w:color w:val="auto"/>
          <w:sz w:val="24"/>
          <w:szCs w:val="24"/>
          <w:highlight w:val="none"/>
          <w:lang w:eastAsia="zh-CN"/>
        </w:rPr>
        <w:t>；</w:t>
      </w:r>
    </w:p>
    <w:p w14:paraId="05E44E1F">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7.《国务院办公厅关于在政府采购中实施本国产品标准及相关政策的通知》（国办发〔2025〕34号）；</w:t>
      </w:r>
    </w:p>
    <w:p w14:paraId="29B15C21">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其他需要落实的政府采购政策。</w:t>
      </w:r>
    </w:p>
    <w:p w14:paraId="3AB0A627">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八、磋商文件发售时间、地点：</w:t>
      </w:r>
    </w:p>
    <w:p w14:paraId="1D21C75E">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发售时间：2026年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日至2026年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日，上午9:00-11:30，下午13:00-16:30（北京时间，法定节假日除外）；</w:t>
      </w:r>
    </w:p>
    <w:p w14:paraId="6FCAC182">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发售地点：西安市高新区唐延路35号旺座现代城G座2301室；</w:t>
      </w:r>
    </w:p>
    <w:p w14:paraId="3C1743F0">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发售联系人：刘女士，电话：029-88854272转8001；</w:t>
      </w:r>
    </w:p>
    <w:p w14:paraId="7B868A23">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文件售价：</w:t>
      </w:r>
      <w:r>
        <w:rPr>
          <w:rFonts w:hint="eastAsia" w:ascii="宋体" w:hAnsi="宋体" w:eastAsia="宋体" w:cs="宋体"/>
          <w:color w:val="auto"/>
          <w:sz w:val="24"/>
          <w:szCs w:val="24"/>
          <w:highlight w:val="none"/>
          <w:lang w:val="en-US" w:eastAsia="zh-CN"/>
        </w:rPr>
        <w:t>免费获取</w:t>
      </w:r>
      <w:r>
        <w:rPr>
          <w:rFonts w:hint="eastAsia" w:ascii="宋体" w:hAnsi="宋体" w:eastAsia="宋体" w:cs="宋体"/>
          <w:color w:val="auto"/>
          <w:sz w:val="24"/>
          <w:szCs w:val="24"/>
          <w:highlight w:val="none"/>
          <w:lang w:eastAsia="zh-CN"/>
        </w:rPr>
        <w:t>，磋商文件谢绝邮寄，售后不退，磋商资格不能转让。</w:t>
      </w:r>
    </w:p>
    <w:p w14:paraId="7FB90F29">
      <w:pPr>
        <w:keepNext w:val="0"/>
        <w:keepLines w:val="0"/>
        <w:pageBreakBefore w:val="0"/>
        <w:widowControl/>
        <w:tabs>
          <w:tab w:val="left" w:pos="1620"/>
        </w:tabs>
        <w:kinsoku/>
        <w:overflowPunct/>
        <w:topLinePunct w:val="0"/>
        <w:bidi w:val="0"/>
        <w:adjustRightInd/>
        <w:snapToGrid/>
        <w:spacing w:line="360" w:lineRule="auto"/>
        <w:ind w:right="-226"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供应商获取磋商文件时请携带单位介绍信、本人身份证复印件加盖公章。</w:t>
      </w:r>
    </w:p>
    <w:p w14:paraId="3AE8A61C">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九、磋商响应文件递交截止时间及磋商时间和地点：</w:t>
      </w:r>
    </w:p>
    <w:p w14:paraId="066A3945">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磋商响应文件递交截止时间：2026年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日</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0（北京时间）；</w:t>
      </w:r>
    </w:p>
    <w:p w14:paraId="5697F571">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磋商时间：2026年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hAnsi="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日</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0（北京时间）；</w:t>
      </w:r>
      <w:bookmarkStart w:id="89" w:name="_GoBack"/>
      <w:bookmarkEnd w:id="89"/>
    </w:p>
    <w:p w14:paraId="24555C14">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磋商地点：西安市高新区唐延路35号旺座现代城G座2301室。</w:t>
      </w:r>
    </w:p>
    <w:p w14:paraId="461E9CF6">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十、其他应说明的事项：</w:t>
      </w:r>
    </w:p>
    <w:p w14:paraId="1FBD2A6B">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采购项目联系人：</w:t>
      </w:r>
      <w:r>
        <w:rPr>
          <w:rFonts w:hint="eastAsia" w:ascii="宋体" w:hAnsi="宋体" w:eastAsia="宋体" w:cs="宋体"/>
          <w:color w:val="auto"/>
          <w:sz w:val="24"/>
          <w:szCs w:val="24"/>
          <w:highlight w:val="none"/>
          <w:lang w:val="en-US" w:eastAsia="zh-CN"/>
        </w:rPr>
        <w:t>连女士</w:t>
      </w:r>
    </w:p>
    <w:p w14:paraId="3AE7B319">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联系方式（电话/传真）：029-88854273-8009</w:t>
      </w:r>
    </w:p>
    <w:p w14:paraId="137D9C29">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采购代理机构开户名称：四川国际招标有限责任公司陕西分公司</w:t>
      </w:r>
    </w:p>
    <w:p w14:paraId="5D41FF13">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开户行名称：中国民生银行股份有限公司西安高新开发区支行</w:t>
      </w:r>
    </w:p>
    <w:p w14:paraId="74DD380A">
      <w:pPr>
        <w:keepNext w:val="0"/>
        <w:keepLines w:val="0"/>
        <w:pageBreakBefore w:val="0"/>
        <w:widowControl/>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kern w:val="2"/>
          <w:sz w:val="24"/>
          <w:szCs w:val="24"/>
          <w:highlight w:val="none"/>
          <w:lang w:val="en-US" w:eastAsia="zh-CN"/>
        </w:rPr>
        <w:t>600582071</w:t>
      </w:r>
    </w:p>
    <w:p w14:paraId="0FE63125">
      <w:pPr>
        <w:keepNext w:val="0"/>
        <w:keepLines w:val="0"/>
        <w:pageBreakBefore w:val="0"/>
        <w:widowControl/>
        <w:numPr>
          <w:ilvl w:val="0"/>
          <w:numId w:val="4"/>
        </w:numPr>
        <w:tabs>
          <w:tab w:val="left" w:pos="1620"/>
        </w:tabs>
        <w:kinsoku/>
        <w:overflowPunct/>
        <w:topLinePunct w:val="0"/>
        <w:bidi w:val="0"/>
        <w:adjustRightInd/>
        <w:snapToGrid/>
        <w:spacing w:line="360" w:lineRule="auto"/>
        <w:ind w:right="-226"/>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公告期自发布起三个工作日。</w:t>
      </w:r>
    </w:p>
    <w:p w14:paraId="7B94F064">
      <w:pPr>
        <w:keepNext w:val="0"/>
        <w:keepLines w:val="0"/>
        <w:pageBreakBefore w:val="0"/>
        <w:widowControl/>
        <w:kinsoku/>
        <w:wordWrap/>
        <w:overflowPunct/>
        <w:topLinePunct w:val="0"/>
        <w:bidi w:val="0"/>
        <w:adjustRightInd/>
        <w:snapToGrid/>
        <w:spacing w:line="360" w:lineRule="auto"/>
        <w:ind w:right="-226"/>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四川国际招标有限责任公司</w:t>
      </w:r>
    </w:p>
    <w:p w14:paraId="73516089">
      <w:pPr>
        <w:keepNext w:val="0"/>
        <w:keepLines w:val="0"/>
        <w:pageBreakBefore w:val="0"/>
        <w:widowControl/>
        <w:kinsoku/>
        <w:overflowPunct/>
        <w:topLinePunct w:val="0"/>
        <w:bidi w:val="0"/>
        <w:adjustRightInd/>
        <w:snapToGrid/>
        <w:spacing w:line="360" w:lineRule="auto"/>
        <w:ind w:right="480" w:firstLine="5640" w:firstLineChars="235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2026年</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p>
    <w:p w14:paraId="0459FF23">
      <w:pPr>
        <w:rPr>
          <w:rFonts w:hint="eastAsia" w:ascii="宋体" w:hAnsi="宋体" w:eastAsia="宋体" w:cs="宋体"/>
          <w:b/>
          <w:color w:val="auto"/>
          <w:sz w:val="28"/>
          <w:highlight w:val="none"/>
        </w:rPr>
      </w:pPr>
      <w:bookmarkStart w:id="1" w:name="_Toc25557"/>
      <w:r>
        <w:rPr>
          <w:rFonts w:hint="eastAsia" w:ascii="宋体" w:hAnsi="宋体" w:eastAsia="宋体" w:cs="宋体"/>
          <w:b/>
          <w:color w:val="auto"/>
          <w:sz w:val="28"/>
          <w:highlight w:val="none"/>
        </w:rPr>
        <w:br w:type="page"/>
      </w:r>
    </w:p>
    <w:p w14:paraId="3736F419">
      <w:pPr>
        <w:keepNext/>
        <w:keepLines/>
        <w:pageBreakBefore w:val="0"/>
        <w:widowControl/>
        <w:tabs>
          <w:tab w:val="left" w:pos="425"/>
          <w:tab w:val="left" w:pos="4265"/>
        </w:tabs>
        <w:kinsoku/>
        <w:wordWrap/>
        <w:overflowPunct/>
        <w:topLinePunct w:val="0"/>
        <w:autoSpaceDE w:val="0"/>
        <w:autoSpaceDN w:val="0"/>
        <w:bidi w:val="0"/>
        <w:adjustRightInd/>
        <w:snapToGrid/>
        <w:spacing w:before="340" w:after="330" w:line="360" w:lineRule="auto"/>
        <w:jc w:val="center"/>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8"/>
          <w:highlight w:val="none"/>
        </w:rPr>
        <w:t>第二章  磋商须知</w:t>
      </w:r>
      <w:bookmarkEnd w:id="1"/>
    </w:p>
    <w:p w14:paraId="0FF279FC">
      <w:pPr>
        <w:keepNext/>
        <w:keepLines/>
        <w:pageBreakBefore w:val="0"/>
        <w:widowControl/>
        <w:tabs>
          <w:tab w:val="left" w:pos="425"/>
          <w:tab w:val="left" w:pos="4265"/>
        </w:tabs>
        <w:kinsoku/>
        <w:wordWrap/>
        <w:overflowPunct/>
        <w:topLinePunct w:val="0"/>
        <w:bidi w:val="0"/>
        <w:spacing w:before="340" w:after="330" w:line="360"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一、磋商须知前附表</w:t>
      </w:r>
    </w:p>
    <w:tbl>
      <w:tblPr>
        <w:tblStyle w:val="21"/>
        <w:tblW w:w="8789" w:type="dxa"/>
        <w:tblInd w:w="-27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2"/>
        <w:gridCol w:w="1815"/>
        <w:gridCol w:w="6372"/>
      </w:tblGrid>
      <w:tr w14:paraId="674595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6" w:hRule="atLeast"/>
        </w:trPr>
        <w:tc>
          <w:tcPr>
            <w:tcW w:w="602" w:type="dxa"/>
            <w:tcMar>
              <w:left w:w="0" w:type="dxa"/>
              <w:right w:w="0" w:type="dxa"/>
            </w:tcMar>
            <w:vAlign w:val="center"/>
          </w:tcPr>
          <w:p w14:paraId="60F6BFF2">
            <w:pPr>
              <w:pageBreakBefore w:val="0"/>
              <w:widowControl/>
              <w:kinsoku/>
              <w:wordWrap/>
              <w:overflowPunct/>
              <w:topLinePunct w:val="0"/>
              <w:bidi w:val="0"/>
              <w:spacing w:line="360" w:lineRule="atLeast"/>
              <w:ind w:left="9"/>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1815" w:type="dxa"/>
            <w:tcMar>
              <w:left w:w="0" w:type="dxa"/>
              <w:right w:w="0" w:type="dxa"/>
            </w:tcMar>
            <w:vAlign w:val="center"/>
          </w:tcPr>
          <w:p w14:paraId="6FB97FE3">
            <w:pPr>
              <w:pageBreakBefore w:val="0"/>
              <w:widowControl/>
              <w:kinsoku/>
              <w:wordWrap/>
              <w:overflowPunct/>
              <w:topLinePunct w:val="0"/>
              <w:bidi w:val="0"/>
              <w:spacing w:line="360" w:lineRule="atLeast"/>
              <w:ind w:left="38"/>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条款名称</w:t>
            </w:r>
          </w:p>
        </w:tc>
        <w:tc>
          <w:tcPr>
            <w:tcW w:w="6372" w:type="dxa"/>
            <w:tcMar>
              <w:left w:w="0" w:type="dxa"/>
              <w:right w:w="0" w:type="dxa"/>
            </w:tcMar>
            <w:vAlign w:val="center"/>
          </w:tcPr>
          <w:p w14:paraId="5A220067">
            <w:pPr>
              <w:pageBreakBefore w:val="0"/>
              <w:widowControl/>
              <w:kinsoku/>
              <w:wordWrap/>
              <w:overflowPunct/>
              <w:topLinePunct w:val="0"/>
              <w:bidi w:val="0"/>
              <w:spacing w:line="360" w:lineRule="atLeast"/>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说明和要求</w:t>
            </w:r>
          </w:p>
        </w:tc>
      </w:tr>
      <w:tr w14:paraId="389779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53" w:hRule="atLeast"/>
        </w:trPr>
        <w:tc>
          <w:tcPr>
            <w:tcW w:w="602" w:type="dxa"/>
            <w:tcMar>
              <w:left w:w="0" w:type="dxa"/>
              <w:right w:w="0" w:type="dxa"/>
            </w:tcMar>
            <w:vAlign w:val="center"/>
          </w:tcPr>
          <w:p w14:paraId="5D15C53C">
            <w:pPr>
              <w:pageBreakBefore w:val="0"/>
              <w:widowControl/>
              <w:kinsoku/>
              <w:wordWrap/>
              <w:overflowPunct/>
              <w:topLinePunct w:val="0"/>
              <w:bidi w:val="0"/>
              <w:spacing w:line="360" w:lineRule="atLeast"/>
              <w:ind w:right="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5" w:type="dxa"/>
            <w:tcMar>
              <w:left w:w="0" w:type="dxa"/>
              <w:right w:w="0" w:type="dxa"/>
            </w:tcMar>
            <w:vAlign w:val="center"/>
          </w:tcPr>
          <w:p w14:paraId="3CD49626">
            <w:pPr>
              <w:pageBreakBefore w:val="0"/>
              <w:widowControl/>
              <w:kinsoku/>
              <w:wordWrap/>
              <w:overflowPunct/>
              <w:topLinePunct w:val="0"/>
              <w:bidi w:val="0"/>
              <w:spacing w:line="360" w:lineRule="atLeast"/>
              <w:ind w:left="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6372" w:type="dxa"/>
            <w:tcMar>
              <w:left w:w="0" w:type="dxa"/>
              <w:right w:w="0" w:type="dxa"/>
            </w:tcMar>
            <w:vAlign w:val="center"/>
          </w:tcPr>
          <w:p w14:paraId="7E0F61EB">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西安市教育考试中心初中学业水平考试中考政策内容制作及推送服务</w:t>
            </w:r>
          </w:p>
        </w:tc>
      </w:tr>
      <w:tr w14:paraId="4B860A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602" w:type="dxa"/>
            <w:tcMar>
              <w:left w:w="0" w:type="dxa"/>
              <w:right w:w="0" w:type="dxa"/>
            </w:tcMar>
            <w:vAlign w:val="center"/>
          </w:tcPr>
          <w:p w14:paraId="4347D9C1">
            <w:pPr>
              <w:pageBreakBefore w:val="0"/>
              <w:widowControl/>
              <w:kinsoku/>
              <w:wordWrap/>
              <w:overflowPunct/>
              <w:topLinePunct w:val="0"/>
              <w:bidi w:val="0"/>
              <w:spacing w:line="360" w:lineRule="atLeast"/>
              <w:ind w:right="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15" w:type="dxa"/>
            <w:tcMar>
              <w:left w:w="0" w:type="dxa"/>
              <w:right w:w="0" w:type="dxa"/>
            </w:tcMar>
            <w:vAlign w:val="center"/>
          </w:tcPr>
          <w:p w14:paraId="0308363B">
            <w:pPr>
              <w:pageBreakBefore w:val="0"/>
              <w:widowControl/>
              <w:kinsoku/>
              <w:wordWrap/>
              <w:overflowPunct/>
              <w:topLinePunct w:val="0"/>
              <w:bidi w:val="0"/>
              <w:spacing w:line="360" w:lineRule="atLeast"/>
              <w:ind w:right="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p>
        </w:tc>
        <w:tc>
          <w:tcPr>
            <w:tcW w:w="6372" w:type="dxa"/>
            <w:tcMar>
              <w:left w:w="0" w:type="dxa"/>
              <w:right w:w="0" w:type="dxa"/>
            </w:tcMar>
            <w:vAlign w:val="center"/>
          </w:tcPr>
          <w:p w14:paraId="3214934C">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SCIT-ZC-SX2026030004</w:t>
            </w:r>
          </w:p>
        </w:tc>
      </w:tr>
      <w:tr w14:paraId="27E4D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3" w:hRule="atLeast"/>
        </w:trPr>
        <w:tc>
          <w:tcPr>
            <w:tcW w:w="602" w:type="dxa"/>
            <w:tcMar>
              <w:left w:w="0" w:type="dxa"/>
              <w:right w:w="0" w:type="dxa"/>
            </w:tcMar>
            <w:vAlign w:val="center"/>
          </w:tcPr>
          <w:p w14:paraId="0E436276">
            <w:pPr>
              <w:pageBreakBefore w:val="0"/>
              <w:widowControl/>
              <w:kinsoku/>
              <w:wordWrap/>
              <w:overflowPunct/>
              <w:topLinePunct w:val="0"/>
              <w:bidi w:val="0"/>
              <w:spacing w:line="360" w:lineRule="atLeast"/>
              <w:ind w:right="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15" w:type="dxa"/>
            <w:tcMar>
              <w:left w:w="0" w:type="dxa"/>
              <w:right w:w="0" w:type="dxa"/>
            </w:tcMar>
            <w:vAlign w:val="center"/>
          </w:tcPr>
          <w:p w14:paraId="21E00D7F">
            <w:pPr>
              <w:pageBreakBefore w:val="0"/>
              <w:widowControl/>
              <w:kinsoku/>
              <w:wordWrap/>
              <w:overflowPunct/>
              <w:topLinePunct w:val="0"/>
              <w:bidi w:val="0"/>
              <w:spacing w:line="360" w:lineRule="atLeast"/>
              <w:ind w:left="38"/>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供应商报价</w:t>
            </w:r>
          </w:p>
          <w:p w14:paraId="70A45D88">
            <w:pPr>
              <w:pStyle w:val="2"/>
              <w:pageBreakBefore w:val="0"/>
              <w:kinsoku/>
              <w:overflowPunct/>
              <w:topLinePunct w:val="0"/>
              <w:bidi w:val="0"/>
              <w:jc w:val="cente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（实质性要求）</w:t>
            </w:r>
          </w:p>
        </w:tc>
        <w:tc>
          <w:tcPr>
            <w:tcW w:w="6372" w:type="dxa"/>
            <w:tcMar>
              <w:left w:w="0" w:type="dxa"/>
              <w:right w:w="0" w:type="dxa"/>
            </w:tcMar>
            <w:vAlign w:val="center"/>
          </w:tcPr>
          <w:p w14:paraId="77152393">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本项目采购预算（最高限价）：</w:t>
            </w:r>
            <w:r>
              <w:rPr>
                <w:rFonts w:hint="eastAsia" w:ascii="宋体" w:hAnsi="宋体" w:eastAsia="宋体" w:cs="宋体"/>
                <w:color w:val="auto"/>
                <w:sz w:val="24"/>
                <w:szCs w:val="24"/>
                <w:highlight w:val="none"/>
                <w:lang w:val="en-US" w:eastAsia="zh-CN"/>
              </w:rPr>
              <w:t>25万元</w:t>
            </w:r>
            <w:r>
              <w:rPr>
                <w:rFonts w:hint="eastAsia" w:ascii="宋体" w:hAnsi="宋体" w:eastAsia="宋体" w:cs="宋体"/>
                <w:color w:val="auto"/>
                <w:sz w:val="24"/>
                <w:szCs w:val="24"/>
                <w:highlight w:val="none"/>
                <w:lang w:val="zh-CN" w:eastAsia="zh-CN"/>
              </w:rPr>
              <w:t>；</w:t>
            </w:r>
          </w:p>
          <w:p w14:paraId="0FA5C679">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报价超过采购预算（最高限价）的磋商响应文件，将被视为无效响应文件。</w:t>
            </w:r>
          </w:p>
        </w:tc>
      </w:tr>
      <w:tr w14:paraId="679C21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602" w:type="dxa"/>
            <w:tcMar>
              <w:left w:w="0" w:type="dxa"/>
              <w:right w:w="0" w:type="dxa"/>
            </w:tcMar>
            <w:vAlign w:val="center"/>
          </w:tcPr>
          <w:p w14:paraId="6E062D31">
            <w:pPr>
              <w:pageBreakBefore w:val="0"/>
              <w:widowControl/>
              <w:kinsoku/>
              <w:wordWrap/>
              <w:overflowPunct/>
              <w:topLinePunct w:val="0"/>
              <w:bidi w:val="0"/>
              <w:spacing w:line="360" w:lineRule="atLeast"/>
              <w:ind w:right="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15" w:type="dxa"/>
            <w:tcMar>
              <w:left w:w="0" w:type="dxa"/>
              <w:right w:w="0" w:type="dxa"/>
            </w:tcMar>
            <w:vAlign w:val="center"/>
          </w:tcPr>
          <w:p w14:paraId="1C595F88">
            <w:pPr>
              <w:pageBreakBefore w:val="0"/>
              <w:widowControl/>
              <w:kinsoku/>
              <w:wordWrap/>
              <w:overflowPunct/>
              <w:topLinePunct w:val="0"/>
              <w:bidi w:val="0"/>
              <w:spacing w:line="360" w:lineRule="atLeast"/>
              <w:ind w:left="33"/>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磋商响应文件有效期</w:t>
            </w:r>
          </w:p>
        </w:tc>
        <w:tc>
          <w:tcPr>
            <w:tcW w:w="6372" w:type="dxa"/>
            <w:tcMar>
              <w:left w:w="0" w:type="dxa"/>
              <w:right w:w="0" w:type="dxa"/>
            </w:tcMar>
            <w:vAlign w:val="center"/>
          </w:tcPr>
          <w:p w14:paraId="4EAEAEE0">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90天</w:t>
            </w:r>
          </w:p>
        </w:tc>
      </w:tr>
      <w:tr w14:paraId="6709CD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8" w:hRule="atLeast"/>
        </w:trPr>
        <w:tc>
          <w:tcPr>
            <w:tcW w:w="602" w:type="dxa"/>
            <w:tcMar>
              <w:left w:w="0" w:type="dxa"/>
              <w:right w:w="0" w:type="dxa"/>
            </w:tcMar>
            <w:vAlign w:val="center"/>
          </w:tcPr>
          <w:p w14:paraId="698E9CDD">
            <w:pPr>
              <w:pageBreakBefore w:val="0"/>
              <w:widowControl/>
              <w:kinsoku/>
              <w:wordWrap/>
              <w:overflowPunct/>
              <w:topLinePunct w:val="0"/>
              <w:bidi w:val="0"/>
              <w:spacing w:line="360" w:lineRule="atLeast"/>
              <w:ind w:right="23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15" w:type="dxa"/>
            <w:tcMar>
              <w:left w:w="0" w:type="dxa"/>
              <w:right w:w="0" w:type="dxa"/>
            </w:tcMar>
            <w:vAlign w:val="center"/>
          </w:tcPr>
          <w:p w14:paraId="25B8448B">
            <w:pPr>
              <w:pageBreakBefore w:val="0"/>
              <w:widowControl/>
              <w:kinsoku/>
              <w:wordWrap/>
              <w:overflowPunct/>
              <w:topLinePunct w:val="0"/>
              <w:bidi w:val="0"/>
              <w:ind w:firstLine="31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372" w:type="dxa"/>
            <w:tcMar>
              <w:left w:w="0" w:type="dxa"/>
              <w:right w:w="0" w:type="dxa"/>
            </w:tcMar>
            <w:vAlign w:val="center"/>
          </w:tcPr>
          <w:p w14:paraId="6086DF1D">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本项目不适用。</w:t>
            </w:r>
          </w:p>
        </w:tc>
      </w:tr>
      <w:tr w14:paraId="465708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trPr>
        <w:tc>
          <w:tcPr>
            <w:tcW w:w="602" w:type="dxa"/>
            <w:tcMar>
              <w:left w:w="0" w:type="dxa"/>
              <w:right w:w="0" w:type="dxa"/>
            </w:tcMar>
            <w:vAlign w:val="center"/>
          </w:tcPr>
          <w:p w14:paraId="6B01C10D">
            <w:pPr>
              <w:pageBreakBefore w:val="0"/>
              <w:widowControl/>
              <w:kinsoku/>
              <w:wordWrap/>
              <w:overflowPunct/>
              <w:topLinePunct w:val="0"/>
              <w:bidi w:val="0"/>
              <w:spacing w:line="360" w:lineRule="atLeast"/>
              <w:ind w:right="230"/>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1815" w:type="dxa"/>
            <w:tcMar>
              <w:left w:w="0" w:type="dxa"/>
              <w:right w:w="0" w:type="dxa"/>
            </w:tcMar>
            <w:vAlign w:val="center"/>
          </w:tcPr>
          <w:p w14:paraId="50CBA09B">
            <w:pPr>
              <w:pageBreakBefore w:val="0"/>
              <w:widowControl/>
              <w:kinsoku/>
              <w:wordWrap/>
              <w:overflowPunct/>
              <w:topLinePunct w:val="0"/>
              <w:bidi w:val="0"/>
              <w:ind w:firstLine="31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372" w:type="dxa"/>
            <w:tcMar>
              <w:left w:w="0" w:type="dxa"/>
              <w:right w:w="0" w:type="dxa"/>
            </w:tcMar>
            <w:vAlign w:val="center"/>
          </w:tcPr>
          <w:p w14:paraId="71A24CB3">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本项目不适用。</w:t>
            </w:r>
          </w:p>
        </w:tc>
      </w:tr>
      <w:tr w14:paraId="3DE86A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324" w:hRule="atLeast"/>
        </w:trPr>
        <w:tc>
          <w:tcPr>
            <w:tcW w:w="602" w:type="dxa"/>
            <w:tcMar>
              <w:left w:w="0" w:type="dxa"/>
              <w:right w:w="0" w:type="dxa"/>
            </w:tcMar>
            <w:vAlign w:val="center"/>
          </w:tcPr>
          <w:p w14:paraId="03D4370B">
            <w:pPr>
              <w:pageBreakBefore w:val="0"/>
              <w:widowControl/>
              <w:kinsoku/>
              <w:wordWrap/>
              <w:overflowPunct/>
              <w:topLinePunct w:val="0"/>
              <w:bidi w:val="0"/>
              <w:spacing w:line="360" w:lineRule="atLeast"/>
              <w:ind w:right="264"/>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1815" w:type="dxa"/>
            <w:tcMar>
              <w:left w:w="0" w:type="dxa"/>
              <w:right w:w="0" w:type="dxa"/>
            </w:tcMar>
            <w:vAlign w:val="center"/>
          </w:tcPr>
          <w:p w14:paraId="7804B0FC">
            <w:pPr>
              <w:pageBreakBefore w:val="0"/>
              <w:widowControl/>
              <w:shd w:val="clear"/>
              <w:kinsoku/>
              <w:wordWrap/>
              <w:overflowPunct/>
              <w:topLinePunct w:val="0"/>
              <w:bidi w:val="0"/>
              <w:spacing w:line="360" w:lineRule="atLeas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372" w:type="dxa"/>
            <w:tcMar>
              <w:left w:w="0" w:type="dxa"/>
              <w:right w:w="0" w:type="dxa"/>
            </w:tcMar>
            <w:vAlign w:val="center"/>
          </w:tcPr>
          <w:p w14:paraId="7A197188">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定额收费：</w:t>
            </w:r>
            <w:r>
              <w:rPr>
                <w:rFonts w:hint="eastAsia" w:ascii="宋体" w:hAnsi="宋体" w:eastAsia="宋体" w:cs="宋体"/>
                <w:color w:val="auto"/>
                <w:sz w:val="24"/>
                <w:szCs w:val="24"/>
                <w:highlight w:val="none"/>
                <w:lang w:val="en-US" w:eastAsia="zh-CN"/>
              </w:rPr>
              <w:t>4000元</w:t>
            </w:r>
            <w:r>
              <w:rPr>
                <w:rFonts w:hint="eastAsia" w:ascii="宋体" w:hAnsi="宋体" w:eastAsia="宋体" w:cs="宋体"/>
                <w:color w:val="auto"/>
                <w:sz w:val="24"/>
                <w:szCs w:val="24"/>
                <w:highlight w:val="none"/>
                <w:lang w:val="zh-CN" w:eastAsia="zh-CN"/>
              </w:rPr>
              <w:t>,由成交人在领取成交通知书前向招标代理机构交纳代理服务费。</w:t>
            </w:r>
          </w:p>
          <w:p w14:paraId="10AC399F">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招标代理服务费支付方式：银行转账或现金方式</w:t>
            </w:r>
          </w:p>
          <w:p w14:paraId="1E4292E8">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收款单位：四川国际招标有限责任公司陕西分公司</w:t>
            </w:r>
          </w:p>
          <w:p w14:paraId="317257C3">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开 户 行：中国民生银行股份有限公司西安高新开发区支行</w:t>
            </w:r>
          </w:p>
          <w:p w14:paraId="46FA6A03">
            <w:pPr>
              <w:pStyle w:val="9"/>
              <w:pageBreakBefore w:val="0"/>
              <w:kinsoku/>
              <w:overflowPunct/>
              <w:topLinePunct w:val="0"/>
              <w:bidi w:val="0"/>
              <w:spacing w:before="0" w:beforeAutospacing="0" w:after="0" w:afterAutospacing="0"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银行账号：</w:t>
            </w:r>
            <w:r>
              <w:rPr>
                <w:rFonts w:hint="eastAsia" w:ascii="宋体" w:hAnsi="宋体" w:eastAsia="宋体" w:cs="宋体"/>
                <w:color w:val="auto"/>
                <w:kern w:val="2"/>
                <w:sz w:val="24"/>
                <w:szCs w:val="24"/>
                <w:highlight w:val="none"/>
                <w:lang w:val="en-US" w:eastAsia="zh-CN"/>
              </w:rPr>
              <w:t>600582071</w:t>
            </w:r>
          </w:p>
        </w:tc>
      </w:tr>
      <w:tr w14:paraId="04DB5A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98" w:hRule="atLeast"/>
        </w:trPr>
        <w:tc>
          <w:tcPr>
            <w:tcW w:w="602" w:type="dxa"/>
            <w:tcMar>
              <w:left w:w="0" w:type="dxa"/>
              <w:right w:w="0" w:type="dxa"/>
            </w:tcMar>
            <w:vAlign w:val="center"/>
          </w:tcPr>
          <w:p w14:paraId="17B63E14">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15" w:type="dxa"/>
            <w:tcMar>
              <w:left w:w="0" w:type="dxa"/>
              <w:right w:w="0" w:type="dxa"/>
            </w:tcMar>
            <w:vAlign w:val="center"/>
          </w:tcPr>
          <w:p w14:paraId="134750B4">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节能、环保产品政府采购政策（</w:t>
            </w:r>
            <w:r>
              <w:rPr>
                <w:rFonts w:hint="eastAsia" w:ascii="宋体" w:hAnsi="宋体" w:eastAsia="宋体" w:cs="宋体"/>
                <w:color w:val="auto"/>
                <w:sz w:val="24"/>
                <w:szCs w:val="24"/>
                <w:highlight w:val="none"/>
                <w:lang w:val="en-US" w:eastAsia="zh-CN"/>
              </w:rPr>
              <w:t>不适用</w:t>
            </w:r>
            <w:r>
              <w:rPr>
                <w:rFonts w:hint="eastAsia" w:ascii="宋体" w:hAnsi="宋体" w:eastAsia="宋体" w:cs="宋体"/>
                <w:color w:val="auto"/>
                <w:sz w:val="24"/>
                <w:szCs w:val="24"/>
                <w:highlight w:val="none"/>
                <w:lang w:val="zh-CN"/>
              </w:rPr>
              <w:t>）</w:t>
            </w:r>
          </w:p>
        </w:tc>
        <w:tc>
          <w:tcPr>
            <w:tcW w:w="6372" w:type="dxa"/>
            <w:tcMar>
              <w:left w:w="0" w:type="dxa"/>
              <w:right w:w="0" w:type="dxa"/>
            </w:tcMar>
            <w:vAlign w:val="center"/>
          </w:tcPr>
          <w:p w14:paraId="38941A94">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节能、环保产品政府采购政策：</w:t>
            </w:r>
          </w:p>
          <w:p w14:paraId="7CAC2D1D">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3C99CECE">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本项目采购的产品属于品目清单范围内优先采购的，按照第五章的规则进行评审。</w:t>
            </w:r>
          </w:p>
          <w:p w14:paraId="7E9C763F">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0445AF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602" w:type="dxa"/>
            <w:tcMar>
              <w:left w:w="0" w:type="dxa"/>
              <w:right w:w="0" w:type="dxa"/>
            </w:tcMar>
            <w:vAlign w:val="center"/>
          </w:tcPr>
          <w:p w14:paraId="5AED570C">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15" w:type="dxa"/>
            <w:tcMar>
              <w:left w:w="0" w:type="dxa"/>
              <w:right w:w="0" w:type="dxa"/>
            </w:tcMar>
            <w:vAlign w:val="center"/>
          </w:tcPr>
          <w:p w14:paraId="05A90BFD">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zh-CN" w:eastAsia="ko-KR"/>
              </w:rPr>
            </w:pPr>
            <w:r>
              <w:rPr>
                <w:rFonts w:hint="eastAsia" w:ascii="宋体" w:hAnsi="宋体" w:eastAsia="宋体" w:cs="宋体"/>
                <w:color w:val="auto"/>
                <w:sz w:val="24"/>
                <w:szCs w:val="24"/>
                <w:highlight w:val="none"/>
                <w:lang w:val="zh-CN"/>
              </w:rPr>
              <w:t>小微企业（监狱企业、残疾人福利性单位视同小微企业）价格扣除</w:t>
            </w:r>
          </w:p>
        </w:tc>
        <w:tc>
          <w:tcPr>
            <w:tcW w:w="6372" w:type="dxa"/>
            <w:tcMar>
              <w:left w:w="0" w:type="dxa"/>
              <w:right w:w="0" w:type="dxa"/>
            </w:tcMar>
            <w:vAlign w:val="center"/>
          </w:tcPr>
          <w:p w14:paraId="2DD0CE43">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本项目专门面向中小企业采购，故不再进行价格扣除。</w:t>
            </w:r>
          </w:p>
        </w:tc>
      </w:tr>
      <w:tr w14:paraId="7CE2B0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602" w:type="dxa"/>
            <w:tcMar>
              <w:left w:w="0" w:type="dxa"/>
              <w:right w:w="0" w:type="dxa"/>
            </w:tcMar>
            <w:vAlign w:val="center"/>
          </w:tcPr>
          <w:p w14:paraId="02CB2D26">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10</w:t>
            </w:r>
          </w:p>
        </w:tc>
        <w:tc>
          <w:tcPr>
            <w:tcW w:w="1815" w:type="dxa"/>
            <w:tcMar>
              <w:left w:w="0" w:type="dxa"/>
              <w:right w:w="0" w:type="dxa"/>
            </w:tcMar>
            <w:vAlign w:val="center"/>
          </w:tcPr>
          <w:p w14:paraId="64E27B93">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本国产品价格扣除</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本项目不适用）</w:t>
            </w:r>
          </w:p>
        </w:tc>
        <w:tc>
          <w:tcPr>
            <w:tcW w:w="6372" w:type="dxa"/>
            <w:tcMar>
              <w:left w:w="0" w:type="dxa"/>
              <w:right w:w="0" w:type="dxa"/>
            </w:tcMar>
            <w:vAlign w:val="center"/>
          </w:tcPr>
          <w:p w14:paraId="29E4AFEA">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根据《国务院办公厅关于在政府采购中实施本国产品标准及相关政策的通知》国办发〔2025〕34号，符合本国产品标准的可享受价格扣除</w:t>
            </w:r>
          </w:p>
          <w:p w14:paraId="62711BF6">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en-US" w:eastAsia="zh-CN"/>
              </w:rPr>
            </w:pPr>
          </w:p>
        </w:tc>
      </w:tr>
      <w:tr w14:paraId="10223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602" w:type="dxa"/>
            <w:tcMar>
              <w:left w:w="0" w:type="dxa"/>
              <w:right w:w="0" w:type="dxa"/>
            </w:tcMar>
            <w:vAlign w:val="center"/>
          </w:tcPr>
          <w:p w14:paraId="17D3C1D9">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815" w:type="dxa"/>
            <w:tcMar>
              <w:left w:w="0" w:type="dxa"/>
              <w:right w:w="0" w:type="dxa"/>
            </w:tcMar>
            <w:vAlign w:val="center"/>
          </w:tcPr>
          <w:p w14:paraId="46CC296D">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发布网站</w:t>
            </w:r>
          </w:p>
        </w:tc>
        <w:tc>
          <w:tcPr>
            <w:tcW w:w="6372" w:type="dxa"/>
            <w:tcMar>
              <w:left w:w="0" w:type="dxa"/>
              <w:right w:w="0" w:type="dxa"/>
            </w:tcMar>
            <w:vAlign w:val="center"/>
          </w:tcPr>
          <w:p w14:paraId="687B437D">
            <w:pPr>
              <w:pStyle w:val="32"/>
              <w:pageBreakBefore w:val="0"/>
              <w:kinsoku/>
              <w:overflowPunct/>
              <w:topLinePunct w:val="0"/>
              <w:bidi w:val="0"/>
              <w:ind w:firstLine="120" w:firstLineChars="5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陕西省政府采购网</w:t>
            </w:r>
          </w:p>
        </w:tc>
      </w:tr>
    </w:tbl>
    <w:p w14:paraId="0EEE87C8">
      <w:pPr>
        <w:pageBreakBefore w:val="0"/>
        <w:widowControl/>
        <w:kinsoku/>
        <w:wordWrap/>
        <w:overflowPunct/>
        <w:topLinePunct w:val="0"/>
        <w:bidi w:val="0"/>
        <w:jc w:val="left"/>
        <w:outlineLvl w:val="9"/>
        <w:rPr>
          <w:rFonts w:hint="eastAsia" w:ascii="宋体" w:hAnsi="宋体" w:eastAsia="宋体" w:cs="宋体"/>
          <w:b/>
          <w:color w:val="auto"/>
          <w:sz w:val="24"/>
          <w:szCs w:val="24"/>
          <w:highlight w:val="none"/>
          <w:lang w:eastAsia="zh-CN"/>
        </w:rPr>
      </w:pPr>
    </w:p>
    <w:p w14:paraId="3E40458D">
      <w:pPr>
        <w:pageBreakBefore w:val="0"/>
        <w:widowControl/>
        <w:kinsoku/>
        <w:wordWrap/>
        <w:overflowPunct/>
        <w:topLinePunct w:val="0"/>
        <w:bidi w:val="0"/>
        <w:jc w:val="left"/>
        <w:outlineLvl w:val="9"/>
        <w:rPr>
          <w:rFonts w:hint="eastAsia" w:ascii="宋体" w:hAnsi="宋体" w:eastAsia="宋体" w:cs="宋体"/>
          <w:b/>
          <w:color w:val="auto"/>
          <w:sz w:val="24"/>
          <w:szCs w:val="24"/>
          <w:highlight w:val="none"/>
          <w:lang w:eastAsia="zh-CN"/>
        </w:rPr>
      </w:pPr>
    </w:p>
    <w:p w14:paraId="22E484BA">
      <w:pPr>
        <w:pStyle w:val="2"/>
        <w:pageBreakBefore w:val="0"/>
        <w:kinsoku/>
        <w:overflowPunct/>
        <w:topLinePunct w:val="0"/>
        <w:bidi w:val="0"/>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14:paraId="5827EE9D">
      <w:pPr>
        <w:pageBreakBefore w:val="0"/>
        <w:widowControl/>
        <w:kinsoku/>
        <w:wordWrap/>
        <w:overflowPunct/>
        <w:topLinePunct w:val="0"/>
        <w:bidi w:val="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二．总则</w:t>
      </w:r>
    </w:p>
    <w:p w14:paraId="024C4D35">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rPr>
      </w:pPr>
      <w:bookmarkStart w:id="2" w:name="_Toc24091"/>
      <w:r>
        <w:rPr>
          <w:rFonts w:hint="eastAsia" w:ascii="宋体" w:hAnsi="宋体" w:eastAsia="宋体" w:cs="宋体"/>
          <w:color w:val="auto"/>
          <w:sz w:val="24"/>
          <w:highlight w:val="none"/>
        </w:rPr>
        <w:t>1、适用范围</w:t>
      </w:r>
      <w:bookmarkEnd w:id="2"/>
    </w:p>
    <w:p w14:paraId="607E5A60">
      <w:pPr>
        <w:pageBreakBefore w:val="0"/>
        <w:widowControl/>
        <w:tabs>
          <w:tab w:val="left" w:pos="7665"/>
        </w:tabs>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1.1本磋商文件仅适用于本次磋商采购项目。</w:t>
      </w:r>
    </w:p>
    <w:p w14:paraId="55D3E079">
      <w:pPr>
        <w:pageBreakBefore w:val="0"/>
        <w:widowControl/>
        <w:tabs>
          <w:tab w:val="left" w:pos="7665"/>
        </w:tabs>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1.2本磋商文件的解释权归采购人和采购代理机构所有。</w:t>
      </w:r>
    </w:p>
    <w:p w14:paraId="4A0ED512">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rPr>
      </w:pPr>
      <w:bookmarkStart w:id="3" w:name="_Toc27714"/>
      <w:r>
        <w:rPr>
          <w:rFonts w:hint="eastAsia" w:ascii="宋体" w:hAnsi="宋体" w:eastAsia="宋体" w:cs="宋体"/>
          <w:color w:val="auto"/>
          <w:sz w:val="24"/>
          <w:highlight w:val="none"/>
        </w:rPr>
        <w:t>2、定义</w:t>
      </w:r>
      <w:bookmarkEnd w:id="3"/>
    </w:p>
    <w:p w14:paraId="4D37BE56">
      <w:pPr>
        <w:pageBreakBefore w:val="0"/>
        <w:widowControl/>
        <w:tabs>
          <w:tab w:val="left" w:pos="7665"/>
        </w:tabs>
        <w:kinsoku/>
        <w:wordWrap/>
        <w:overflowPunct/>
        <w:topLinePunct w:val="0"/>
        <w:bidi w:val="0"/>
        <w:spacing w:line="300" w:lineRule="auto"/>
        <w:ind w:firstLine="48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2.1“采购人”系</w:t>
      </w:r>
      <w:r>
        <w:rPr>
          <w:rFonts w:hint="eastAsia" w:ascii="宋体" w:hAnsi="宋体" w:eastAsia="宋体" w:cs="宋体"/>
          <w:color w:val="auto"/>
          <w:sz w:val="24"/>
          <w:highlight w:val="none"/>
          <w:u w:val="single"/>
          <w:lang w:eastAsia="zh-CN"/>
        </w:rPr>
        <w:t>西安市教育考试中心；</w:t>
      </w:r>
    </w:p>
    <w:p w14:paraId="70917928">
      <w:pPr>
        <w:pageBreakBefore w:val="0"/>
        <w:widowControl/>
        <w:tabs>
          <w:tab w:val="left" w:pos="7665"/>
        </w:tabs>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2.2“供应商”系指响应竞争性磋商文件要求，并提交报价文件的法人、其他组织或者自然人。</w:t>
      </w:r>
    </w:p>
    <w:p w14:paraId="78B247FB">
      <w:pPr>
        <w:pageBreakBefore w:val="0"/>
        <w:widowControl/>
        <w:tabs>
          <w:tab w:val="left" w:pos="7665"/>
        </w:tabs>
        <w:kinsoku/>
        <w:wordWrap/>
        <w:overflowPunct/>
        <w:topLinePunct w:val="0"/>
        <w:bidi w:val="0"/>
        <w:spacing w:line="300" w:lineRule="auto"/>
        <w:ind w:firstLine="480"/>
        <w:outlineLvl w:val="9"/>
        <w:rPr>
          <w:rFonts w:hint="eastAsia" w:ascii="宋体" w:hAnsi="宋体" w:eastAsia="宋体" w:cs="宋体"/>
          <w:color w:val="auto"/>
          <w:sz w:val="24"/>
          <w:highlight w:val="none"/>
          <w:u w:val="single" w:color="0D0D0D"/>
        </w:rPr>
      </w:pPr>
      <w:r>
        <w:rPr>
          <w:rFonts w:hint="eastAsia" w:ascii="宋体" w:hAnsi="宋体" w:eastAsia="宋体" w:cs="宋体"/>
          <w:color w:val="auto"/>
          <w:sz w:val="24"/>
          <w:highlight w:val="none"/>
        </w:rPr>
        <w:t>2.3“采购代理机构”系指根据采购人的委托依法办理招标事宜的采购机构。本次竞争性磋商采购代理机构是：</w:t>
      </w:r>
      <w:r>
        <w:rPr>
          <w:rFonts w:hint="eastAsia" w:ascii="宋体" w:hAnsi="宋体" w:eastAsia="宋体" w:cs="宋体"/>
          <w:color w:val="auto"/>
          <w:sz w:val="24"/>
          <w:highlight w:val="none"/>
          <w:u w:val="single" w:color="0D0D0D"/>
        </w:rPr>
        <w:t>四川国际招标有限责任公司；</w:t>
      </w:r>
    </w:p>
    <w:p w14:paraId="32024840">
      <w:pPr>
        <w:pageBreakBefore w:val="0"/>
        <w:widowControl/>
        <w:kinsoku/>
        <w:wordWrap/>
        <w:overflowPunct/>
        <w:topLinePunct w:val="0"/>
        <w:bidi w:val="0"/>
        <w:spacing w:line="360" w:lineRule="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3、本项目合格的供应商</w:t>
      </w:r>
    </w:p>
    <w:p w14:paraId="1EAE88AC">
      <w:pPr>
        <w:pageBreakBefore w:val="0"/>
        <w:tabs>
          <w:tab w:val="left" w:pos="7665"/>
        </w:tabs>
        <w:kinsoku/>
        <w:overflowPunct/>
        <w:topLinePunct w:val="0"/>
        <w:bidi w:val="0"/>
        <w:spacing w:line="4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合格供应商应具备以下条件：</w:t>
      </w:r>
    </w:p>
    <w:p w14:paraId="16FFC6A6">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pacing w:val="-4"/>
          <w:sz w:val="24"/>
          <w:highlight w:val="none"/>
        </w:rPr>
      </w:pPr>
      <w:r>
        <w:rPr>
          <w:rFonts w:hint="eastAsia" w:ascii="宋体" w:hAnsi="宋体" w:eastAsia="宋体" w:cs="宋体"/>
          <w:color w:val="auto"/>
          <w:sz w:val="24"/>
          <w:highlight w:val="none"/>
        </w:rPr>
        <w:t>3.1 具备法律法规和本采购文件规定的资格条件</w:t>
      </w:r>
      <w:r>
        <w:rPr>
          <w:rFonts w:hint="eastAsia" w:ascii="宋体" w:hAnsi="宋体" w:eastAsia="宋体" w:cs="宋体"/>
          <w:color w:val="auto"/>
          <w:spacing w:val="-4"/>
          <w:sz w:val="24"/>
          <w:highlight w:val="none"/>
        </w:rPr>
        <w:t>；</w:t>
      </w:r>
    </w:p>
    <w:p w14:paraId="0C8AAF31">
      <w:pPr>
        <w:pageBreakBefore w:val="0"/>
        <w:tabs>
          <w:tab w:val="left" w:pos="7665"/>
        </w:tabs>
        <w:kinsoku/>
        <w:overflowPunct/>
        <w:topLinePunct w:val="0"/>
        <w:bidi w:val="0"/>
        <w:spacing w:line="400" w:lineRule="exact"/>
        <w:ind w:firstLine="464" w:firstLineChars="200"/>
        <w:outlineLvl w:val="9"/>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3.2 不属于禁止参加本项目采购活动的供应商；</w:t>
      </w:r>
    </w:p>
    <w:p w14:paraId="7A47060F">
      <w:pPr>
        <w:pageBreakBefore w:val="0"/>
        <w:tabs>
          <w:tab w:val="left" w:pos="7665"/>
        </w:tabs>
        <w:kinsoku/>
        <w:overflowPunct/>
        <w:topLinePunct w:val="0"/>
        <w:bidi w:val="0"/>
        <w:spacing w:line="400" w:lineRule="exact"/>
        <w:ind w:firstLine="464" w:firstLineChars="200"/>
        <w:outlineLvl w:val="9"/>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rPr>
        <w:t>3.3 按照规定</w:t>
      </w:r>
      <w:r>
        <w:rPr>
          <w:rFonts w:hint="eastAsia" w:ascii="宋体" w:hAnsi="宋体" w:eastAsia="宋体" w:cs="宋体"/>
          <w:color w:val="auto"/>
          <w:sz w:val="24"/>
          <w:highlight w:val="none"/>
        </w:rPr>
        <w:t>获取了磋商文件</w:t>
      </w:r>
      <w:r>
        <w:rPr>
          <w:rFonts w:hint="eastAsia" w:ascii="宋体" w:hAnsi="宋体" w:eastAsia="宋体" w:cs="宋体"/>
          <w:b/>
          <w:color w:val="auto"/>
          <w:sz w:val="24"/>
          <w:highlight w:val="none"/>
        </w:rPr>
        <w:t>（实质性要求）</w:t>
      </w:r>
      <w:r>
        <w:rPr>
          <w:rFonts w:hint="eastAsia" w:ascii="宋体" w:hAnsi="宋体" w:eastAsia="宋体" w:cs="宋体"/>
          <w:color w:val="auto"/>
          <w:sz w:val="24"/>
          <w:highlight w:val="none"/>
        </w:rPr>
        <w:t>。</w:t>
      </w:r>
    </w:p>
    <w:p w14:paraId="516EAC94">
      <w:pPr>
        <w:pageBreakBefore w:val="0"/>
        <w:widowControl/>
        <w:kinsoku/>
        <w:wordWrap/>
        <w:overflowPunct/>
        <w:topLinePunct w:val="0"/>
        <w:bidi w:val="0"/>
        <w:spacing w:line="360" w:lineRule="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4、关系供应商限制。</w:t>
      </w:r>
    </w:p>
    <w:p w14:paraId="51B010BC">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.1利害关系供应商处理。单位负责人为同一人或者存在直接控股、管理关系的不同供应商不得参加同一合同项下的政府采购活动。</w:t>
      </w:r>
    </w:p>
    <w:p w14:paraId="5440D875">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.2前期参与供应商处理。为采购项目提供整体设计、规范编制或者项目管理、监理、检测等服务的供应商，不得再参加该采购项目的其他采购活动。</w:t>
      </w:r>
    </w:p>
    <w:p w14:paraId="6C58501D">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回避。政府采购活动中，采购人员及相关人员与供应商有下列利害关系之一的，应当回避：</w:t>
      </w:r>
    </w:p>
    <w:p w14:paraId="54B71396">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4AA7EBE9">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3E223055">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67005920">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3F3B7BFD">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665A83CF">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本项目政府采购活动中需要依法回避的相关人员是指磋商小组成员。</w:t>
      </w:r>
    </w:p>
    <w:p w14:paraId="045E66BC">
      <w:pPr>
        <w:pageBreakBefore w:val="0"/>
        <w:tabs>
          <w:tab w:val="left" w:pos="7665"/>
        </w:tabs>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6A2141BC">
      <w:pPr>
        <w:pageBreakBefore w:val="0"/>
        <w:widowControl/>
        <w:kinsoku/>
        <w:wordWrap/>
        <w:overflowPunct/>
        <w:topLinePunct w:val="0"/>
        <w:bidi w:val="0"/>
        <w:spacing w:line="300" w:lineRule="auto"/>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、竞争性磋商采购费用</w:t>
      </w:r>
      <w:r>
        <w:rPr>
          <w:rFonts w:hint="eastAsia" w:ascii="宋体" w:hAnsi="宋体" w:eastAsia="宋体" w:cs="宋体"/>
          <w:b/>
          <w:color w:val="auto"/>
          <w:sz w:val="24"/>
          <w:highlight w:val="none"/>
        </w:rPr>
        <w:t>（实质性要求）</w:t>
      </w:r>
    </w:p>
    <w:p w14:paraId="5FF4D1E9">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供应商自行承担所有与参加竞争性磋商有关的全部费用。</w:t>
      </w:r>
    </w:p>
    <w:p w14:paraId="1C490744">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lang w:eastAsia="zh-CN"/>
        </w:rPr>
      </w:pPr>
    </w:p>
    <w:p w14:paraId="3730EE90">
      <w:pPr>
        <w:pageBreakBefore w:val="0"/>
        <w:widowControl/>
        <w:kinsoku/>
        <w:wordWrap/>
        <w:overflowPunct/>
        <w:topLinePunct w:val="0"/>
        <w:bidi w:val="0"/>
        <w:spacing w:line="300" w:lineRule="auto"/>
        <w:jc w:val="left"/>
        <w:outlineLvl w:val="9"/>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eastAsia="zh-CN"/>
        </w:rPr>
        <w:t>6、</w:t>
      </w:r>
      <w:r>
        <w:rPr>
          <w:rFonts w:hint="eastAsia" w:ascii="宋体" w:hAnsi="宋体" w:eastAsia="宋体" w:cs="宋体"/>
          <w:b/>
          <w:bCs/>
          <w:color w:val="auto"/>
          <w:sz w:val="24"/>
          <w:highlight w:val="none"/>
          <w:lang w:eastAsia="zh-CN"/>
        </w:rPr>
        <w:t>知识产权（实质性要求）</w:t>
      </w:r>
    </w:p>
    <w:p w14:paraId="63F34AD7">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45B8B33">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.2除非磋商文件特别规定，采购人享有本项目实施过程中产生的知识成果及知识产权。</w:t>
      </w:r>
    </w:p>
    <w:p w14:paraId="43B02D7F">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7024BF87">
      <w:pPr>
        <w:pageBreakBefore w:val="0"/>
        <w:kinsoku/>
        <w:wordWrap/>
        <w:overflowPunct/>
        <w:topLinePunct w:val="0"/>
        <w:bidi w:val="0"/>
        <w:spacing w:line="300" w:lineRule="auto"/>
        <w:ind w:firstLine="480"/>
        <w:outlineLvl w:val="9"/>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.4如采用供应商所不拥有的知识产权，则在报价中必须包括合法获取该知识产权的相关费用。</w:t>
      </w:r>
    </w:p>
    <w:p w14:paraId="22D61A06">
      <w:pPr>
        <w:pageBreakBefore w:val="0"/>
        <w:widowControl/>
        <w:kinsoku/>
        <w:wordWrap/>
        <w:overflowPunct/>
        <w:topLinePunct w:val="0"/>
        <w:bidi w:val="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．磋商文件</w:t>
      </w:r>
    </w:p>
    <w:p w14:paraId="0E5826C7">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、竞争性磋商文件</w:t>
      </w:r>
    </w:p>
    <w:p w14:paraId="460C973E">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7.1竞争性磋商文件是采购人用以阐明所需提供的服务、竞争性磋商采购的程序和评定成交供应商的标准、合同草案条款等内容的文件。</w:t>
      </w:r>
    </w:p>
    <w:p w14:paraId="02C9700D">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.2 竞争性磋商文件的组成</w:t>
      </w:r>
    </w:p>
    <w:p w14:paraId="126A011A">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（1）竞争性磋商邀请通知</w:t>
      </w:r>
    </w:p>
    <w:p w14:paraId="3106F359">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（2）磋商须知</w:t>
      </w:r>
    </w:p>
    <w:p w14:paraId="05993849">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（3）供应商资格证明文件</w:t>
      </w:r>
    </w:p>
    <w:p w14:paraId="257CFFD2">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（4）合同草案条款（参考文本）</w:t>
      </w:r>
    </w:p>
    <w:p w14:paraId="27C3041E">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（5）磋商程序</w:t>
      </w:r>
    </w:p>
    <w:p w14:paraId="3B980BF9">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技术/服务</w:t>
      </w:r>
      <w:r>
        <w:rPr>
          <w:rFonts w:hint="eastAsia" w:ascii="宋体" w:hAnsi="宋体" w:eastAsia="宋体" w:cs="宋体"/>
          <w:color w:val="auto"/>
          <w:sz w:val="24"/>
          <w:highlight w:val="none"/>
        </w:rPr>
        <w:t>及商务要求.</w:t>
      </w:r>
    </w:p>
    <w:p w14:paraId="1B851A14">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（7）响应文件格式</w:t>
      </w:r>
    </w:p>
    <w:p w14:paraId="20991CA4">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（8）磋商过程中形成的书面变更通知</w:t>
      </w:r>
    </w:p>
    <w:p w14:paraId="22E9C8C6">
      <w:pPr>
        <w:pageBreakBefore w:val="0"/>
        <w:kinsoku/>
        <w:overflowPunct/>
        <w:topLinePunct w:val="0"/>
        <w:bidi w:val="0"/>
        <w:spacing w:line="30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7.3供应商应详细阅读竞争性磋商文件的全部内容，并实质性响应竞争性磋商文件的要求。</w:t>
      </w:r>
    </w:p>
    <w:p w14:paraId="39993A8B">
      <w:pPr>
        <w:pageBreakBefore w:val="0"/>
        <w:kinsoku/>
        <w:overflowPunct/>
        <w:topLinePunct w:val="0"/>
        <w:bidi w:val="0"/>
        <w:spacing w:line="30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4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D288654">
      <w:pPr>
        <w:pageBreakBefore w:val="0"/>
        <w:widowControl/>
        <w:kinsoku/>
        <w:wordWrap/>
        <w:overflowPunct/>
        <w:topLinePunct w:val="0"/>
        <w:bidi w:val="0"/>
        <w:jc w:val="center"/>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四．磋商响应文件</w:t>
      </w:r>
    </w:p>
    <w:p w14:paraId="3B42714F">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、响应文件</w:t>
      </w:r>
    </w:p>
    <w:p w14:paraId="0F09EB6A">
      <w:pPr>
        <w:pageBreakBefore w:val="0"/>
        <w:kinsoku/>
        <w:overflowPunct/>
        <w:topLinePunct w:val="0"/>
        <w:bidi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 xml:space="preserve">8.1 </w:t>
      </w:r>
      <w:r>
        <w:rPr>
          <w:rFonts w:hint="eastAsia" w:ascii="宋体" w:hAnsi="宋体" w:eastAsia="宋体" w:cs="宋体"/>
          <w:color w:val="auto"/>
          <w:sz w:val="24"/>
          <w:highlight w:val="none"/>
        </w:rPr>
        <w:t>供应商提交的响应文件以及供应商与采购代理机构就有关响应的所有来往书面文件均须使用中文。响应文件中如附有外文资料，主要部分对应翻译成中文并加盖供应商公章后附在相关外文资料后面。</w:t>
      </w:r>
    </w:p>
    <w:p w14:paraId="57D11E1C">
      <w:pPr>
        <w:pageBreakBefore w:val="0"/>
        <w:kinsoku/>
        <w:overflowPunct/>
        <w:topLinePunct w:val="0"/>
        <w:bidi w:val="0"/>
        <w:spacing w:line="30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翻译的中文资料与外文资料如果出现差异和矛盾时，以中文为准</w:t>
      </w:r>
      <w:r>
        <w:rPr>
          <w:rFonts w:hint="eastAsia" w:ascii="宋体" w:hAnsi="宋体" w:eastAsia="宋体" w:cs="宋体"/>
          <w:color w:val="auto"/>
          <w:sz w:val="24"/>
          <w:highlight w:val="none"/>
          <w:lang w:eastAsia="zh-CN"/>
        </w:rPr>
        <w:t>，涉嫌虚假响应的按照相关法律法规处理。</w:t>
      </w:r>
    </w:p>
    <w:p w14:paraId="7EAF858C">
      <w:pPr>
        <w:pageBreakBefore w:val="0"/>
        <w:kinsoku/>
        <w:overflowPunct/>
        <w:topLinePunct w:val="0"/>
        <w:bidi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未翻译的外文资料，磋商小组可将其视为无效材料。</w:t>
      </w:r>
    </w:p>
    <w:p w14:paraId="5AD10F3D">
      <w:pPr>
        <w:pageBreakBefore w:val="0"/>
        <w:kinsoku/>
        <w:overflowPunct/>
        <w:topLinePunct w:val="0"/>
        <w:bidi w:val="0"/>
        <w:spacing w:line="30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除磋商文件中另有规定外，本次采购项目所有合同项下的报价均采用国家法定的计量单位。</w:t>
      </w:r>
      <w:r>
        <w:rPr>
          <w:rFonts w:hint="eastAsia" w:ascii="宋体" w:hAnsi="宋体" w:eastAsia="宋体" w:cs="宋体"/>
          <w:b/>
          <w:color w:val="auto"/>
          <w:sz w:val="24"/>
          <w:highlight w:val="none"/>
        </w:rPr>
        <w:t>（实质性要求）</w:t>
      </w:r>
    </w:p>
    <w:p w14:paraId="57DEC0F2">
      <w:pPr>
        <w:pageBreakBefore w:val="0"/>
        <w:kinsoku/>
        <w:overflowPunct/>
        <w:topLinePunct w:val="0"/>
        <w:bidi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.2 供应商须按竞争性磋商文件的要求</w:t>
      </w:r>
      <w:r>
        <w:rPr>
          <w:rFonts w:hint="eastAsia" w:ascii="宋体" w:hAnsi="宋体" w:eastAsia="宋体" w:cs="宋体"/>
          <w:color w:val="auto"/>
          <w:sz w:val="24"/>
          <w:highlight w:val="none"/>
          <w:lang w:eastAsia="zh-CN"/>
        </w:rPr>
        <w:t>编制</w:t>
      </w: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eastAsia="zh-CN"/>
        </w:rPr>
        <w:t>。供应商编写的响应文件应包括（但不限于）下列部分：</w:t>
      </w:r>
    </w:p>
    <w:p w14:paraId="4FB61244">
      <w:pPr>
        <w:pageBreakBefore w:val="0"/>
        <w:widowControl/>
        <w:kinsoku/>
        <w:wordWrap/>
        <w:overflowPunct/>
        <w:topLinePunct w:val="0"/>
        <w:bidi w:val="0"/>
        <w:spacing w:line="30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文件一：资格性响应文件</w:t>
      </w:r>
    </w:p>
    <w:p w14:paraId="1876F733">
      <w:pPr>
        <w:pageBreakBefore w:val="0"/>
        <w:widowControl/>
        <w:kinsoku/>
        <w:wordWrap/>
        <w:overflowPunct/>
        <w:topLinePunct w:val="0"/>
        <w:bidi w:val="0"/>
        <w:spacing w:line="30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符合磋商文件第三章规定的资格证明材料。</w:t>
      </w:r>
    </w:p>
    <w:p w14:paraId="21768BC3">
      <w:pPr>
        <w:pageBreakBefore w:val="0"/>
        <w:widowControl/>
        <w:kinsoku/>
        <w:wordWrap/>
        <w:overflowPunct/>
        <w:topLinePunct w:val="0"/>
        <w:bidi w:val="0"/>
        <w:spacing w:line="30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文件二：技术、服务性响应文件</w:t>
      </w:r>
    </w:p>
    <w:p w14:paraId="0C877719">
      <w:pPr>
        <w:pageBreakBefore w:val="0"/>
        <w:widowControl/>
        <w:kinsoku/>
        <w:wordWrap/>
        <w:overflowPunct/>
        <w:topLinePunct w:val="0"/>
        <w:bidi w:val="0"/>
        <w:spacing w:line="300" w:lineRule="auto"/>
        <w:ind w:firstLine="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包括响应函、技术服务响应/偏离表、商务要求响应/偏离表、质量保证和售后服务承诺、服务计划及承诺、初次报价等文件。</w:t>
      </w:r>
    </w:p>
    <w:p w14:paraId="1F6505B5">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、报价</w:t>
      </w:r>
      <w:r>
        <w:rPr>
          <w:rFonts w:hint="eastAsia" w:ascii="宋体" w:hAnsi="宋体" w:eastAsia="宋体" w:cs="宋体"/>
          <w:b/>
          <w:color w:val="auto"/>
          <w:sz w:val="24"/>
          <w:highlight w:val="none"/>
        </w:rPr>
        <w:t>（实质性要求）</w:t>
      </w:r>
    </w:p>
    <w:p w14:paraId="726A88F6">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.1所有报价一律以人民币报价。</w:t>
      </w:r>
    </w:p>
    <w:p w14:paraId="1C0A9F88">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.2供应商报价应为完成本竞争性磋商文件中所要求的货物/服务/工程所应包括内容的所有价格。</w:t>
      </w:r>
    </w:p>
    <w:p w14:paraId="00061B49">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9.3供应商报价不允许有备选方案，且报价不允许有选择性，否则</w:t>
      </w:r>
      <w:r>
        <w:rPr>
          <w:rFonts w:hint="eastAsia" w:ascii="宋体" w:hAnsi="宋体" w:eastAsia="宋体" w:cs="宋体"/>
          <w:color w:val="auto"/>
          <w:sz w:val="24"/>
          <w:highlight w:val="none"/>
        </w:rPr>
        <w:t>将视为无效报价，其响应文件将被视为无效响应文件处理</w:t>
      </w:r>
      <w:r>
        <w:rPr>
          <w:rFonts w:hint="eastAsia" w:ascii="宋体" w:hAnsi="宋体" w:eastAsia="宋体" w:cs="宋体"/>
          <w:color w:val="auto"/>
          <w:sz w:val="24"/>
          <w:highlight w:val="none"/>
          <w:lang w:eastAsia="zh-CN"/>
        </w:rPr>
        <w:t>。</w:t>
      </w:r>
    </w:p>
    <w:p w14:paraId="023AEED6">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14:paraId="2C902C95">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5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各供应商的每轮报价不得高于上轮报价，本次报价高于上次报价的，视为无效报价，响应文件按无效处理）。</w:t>
      </w:r>
    </w:p>
    <w:p w14:paraId="58FACBFF">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rPr>
      </w:pPr>
      <w:bookmarkStart w:id="4" w:name="_Toc12989"/>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、响应文件的递交</w:t>
      </w:r>
      <w:bookmarkEnd w:id="4"/>
    </w:p>
    <w:p w14:paraId="71702A73">
      <w:pPr>
        <w:pageBreakBefore w:val="0"/>
        <w:widowControl/>
        <w:kinsoku/>
        <w:wordWrap/>
        <w:overflowPunct/>
        <w:topLinePunct w:val="0"/>
        <w:bidi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.1响应文件分资格性响应文件和技术、服务性响应文件和电子文档。资格性响应文件和技术、服务性响应文件用于进行资格性审查及供应商磋商。</w:t>
      </w:r>
    </w:p>
    <w:p w14:paraId="13D30726">
      <w:pPr>
        <w:pageBreakBefore w:val="0"/>
        <w:tabs>
          <w:tab w:val="left" w:pos="7665"/>
        </w:tabs>
        <w:kinsoku/>
        <w:overflowPunct/>
        <w:topLinePunct w:val="0"/>
        <w:bidi w:val="0"/>
        <w:spacing w:line="276"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.2供应商递交的</w:t>
      </w:r>
      <w:r>
        <w:rPr>
          <w:rFonts w:hint="eastAsia" w:ascii="宋体" w:hAnsi="宋体" w:eastAsia="宋体" w:cs="宋体"/>
          <w:b/>
          <w:color w:val="auto"/>
          <w:sz w:val="24"/>
          <w:highlight w:val="none"/>
        </w:rPr>
        <w:t>响应文件为一式</w:t>
      </w: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rPr>
        <w:t>份，其中正本1份，副本</w:t>
      </w:r>
      <w:r>
        <w:rPr>
          <w:rFonts w:hint="eastAsia" w:ascii="宋体" w:hAnsi="宋体" w:eastAsia="宋体" w:cs="宋体"/>
          <w:b/>
          <w:color w:val="auto"/>
          <w:sz w:val="24"/>
          <w:highlight w:val="none"/>
          <w:lang w:eastAsia="zh-CN"/>
        </w:rPr>
        <w:t>2</w:t>
      </w:r>
      <w:r>
        <w:rPr>
          <w:rFonts w:hint="eastAsia" w:ascii="宋体" w:hAnsi="宋体" w:eastAsia="宋体" w:cs="宋体"/>
          <w:b/>
          <w:color w:val="auto"/>
          <w:sz w:val="24"/>
          <w:highlight w:val="none"/>
        </w:rPr>
        <w:t>份和相应的电子文档1份。</w:t>
      </w:r>
      <w:r>
        <w:rPr>
          <w:rFonts w:hint="eastAsia" w:ascii="宋体" w:hAnsi="宋体" w:eastAsia="宋体" w:cs="宋体"/>
          <w:color w:val="auto"/>
          <w:sz w:val="24"/>
          <w:highlight w:val="none"/>
        </w:rPr>
        <w:t>响应文件正本应用不褪色的墨水中文书写或打印，正本和副本</w:t>
      </w:r>
      <w:r>
        <w:rPr>
          <w:rFonts w:hint="eastAsia" w:ascii="宋体" w:hAnsi="宋体" w:eastAsia="宋体" w:cs="宋体"/>
          <w:color w:val="auto"/>
          <w:sz w:val="24"/>
          <w:highlight w:val="none"/>
          <w:lang w:eastAsia="zh-CN"/>
        </w:rPr>
        <w:t>应当</w:t>
      </w:r>
      <w:r>
        <w:rPr>
          <w:rFonts w:hint="eastAsia" w:ascii="宋体" w:hAnsi="宋体" w:eastAsia="宋体" w:cs="宋体"/>
          <w:color w:val="auto"/>
          <w:sz w:val="24"/>
          <w:highlight w:val="none"/>
        </w:rPr>
        <w:t>装订(胶装)成册并编码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并在响应文件封面标明项目名称、采购</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编号、供应商名称以及“正本”、“副本”字样及分包号（如有分包）。</w:t>
      </w:r>
    </w:p>
    <w:p w14:paraId="739A360C">
      <w:pPr>
        <w:pageBreakBefore w:val="0"/>
        <w:tabs>
          <w:tab w:val="left" w:pos="7665"/>
        </w:tabs>
        <w:kinsoku/>
        <w:overflowPunct/>
        <w:topLinePunct w:val="0"/>
        <w:bidi w:val="0"/>
        <w:spacing w:line="276" w:lineRule="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电子文档采用光盘或U盘制作，电子文档应为PDF</w:t>
      </w:r>
      <w:r>
        <w:rPr>
          <w:rFonts w:hint="eastAsia" w:ascii="宋体" w:hAnsi="宋体" w:eastAsia="宋体" w:cs="宋体"/>
          <w:color w:val="auto"/>
          <w:sz w:val="24"/>
          <w:highlight w:val="none"/>
          <w:lang w:eastAsia="zh-CN"/>
        </w:rPr>
        <w:t>或Word</w:t>
      </w:r>
      <w:r>
        <w:rPr>
          <w:rFonts w:hint="eastAsia" w:ascii="宋体" w:hAnsi="宋体" w:eastAsia="宋体" w:cs="宋体"/>
          <w:color w:val="auto"/>
          <w:sz w:val="24"/>
          <w:highlight w:val="none"/>
        </w:rPr>
        <w:t>格式，并包含正本所有内容。</w:t>
      </w:r>
    </w:p>
    <w:p w14:paraId="2AB007F4">
      <w:pPr>
        <w:pageBreakBefore w:val="0"/>
        <w:widowControl/>
        <w:kinsoku/>
        <w:wordWrap/>
        <w:overflowPunct/>
        <w:topLinePunct w:val="0"/>
        <w:bidi w:val="0"/>
        <w:spacing w:line="300" w:lineRule="auto"/>
        <w:ind w:firstLine="482" w:firstLineChars="200"/>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响应文件分资格性响应文件和技术、服务性响应文件和</w:t>
      </w:r>
      <w:r>
        <w:rPr>
          <w:rFonts w:hint="eastAsia" w:ascii="宋体" w:hAnsi="宋体" w:eastAsia="宋体" w:cs="宋体"/>
          <w:b/>
          <w:color w:val="auto"/>
          <w:sz w:val="24"/>
          <w:highlight w:val="none"/>
        </w:rPr>
        <w:t>电子文档</w:t>
      </w:r>
      <w:r>
        <w:rPr>
          <w:rFonts w:hint="eastAsia" w:ascii="宋体" w:hAnsi="宋体" w:eastAsia="宋体" w:cs="宋体"/>
          <w:b/>
          <w:color w:val="auto"/>
          <w:sz w:val="24"/>
          <w:highlight w:val="none"/>
          <w:lang w:eastAsia="zh-CN"/>
        </w:rPr>
        <w:t>三部分，分别装订密封。</w:t>
      </w:r>
    </w:p>
    <w:p w14:paraId="68D4F9E8">
      <w:pPr>
        <w:pageBreakBefore w:val="0"/>
        <w:widowControl/>
        <w:kinsoku/>
        <w:wordWrap/>
        <w:overflowPunct/>
        <w:topLinePunct w:val="0"/>
        <w:bidi w:val="0"/>
        <w:spacing w:line="300" w:lineRule="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未密封的响应文件，采购人、采购代理机构将拒收或者在时间允许的范围内，要求修改完善后接收。</w:t>
      </w:r>
    </w:p>
    <w:p w14:paraId="12581A9B">
      <w:pPr>
        <w:pageBreakBefore w:val="0"/>
        <w:widowControl/>
        <w:kinsoku/>
        <w:wordWrap/>
        <w:overflowPunct/>
        <w:topLinePunct w:val="0"/>
        <w:bidi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.3响应文件应由供应商法定代表人或经正式授权的供应商代表按竞争性磋商文件的要求签字或加盖公章。</w:t>
      </w:r>
    </w:p>
    <w:p w14:paraId="2DF97E57">
      <w:pPr>
        <w:pageBreakBefore w:val="0"/>
        <w:widowControl/>
        <w:kinsoku/>
        <w:wordWrap/>
        <w:overflowPunct/>
        <w:topLinePunct w:val="0"/>
        <w:bidi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.4在递交响应文件截止时间后送达的任何响应文件将被拒绝。</w:t>
      </w:r>
    </w:p>
    <w:p w14:paraId="6F6FE754">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lang w:val="en-US" w:eastAsia="zh-CN"/>
        </w:rPr>
      </w:pPr>
      <w:bookmarkStart w:id="5" w:name="_Toc1517"/>
      <w:r>
        <w:rPr>
          <w:rFonts w:hint="eastAsia" w:ascii="宋体" w:hAnsi="宋体" w:eastAsia="宋体" w:cs="宋体"/>
          <w:color w:val="auto"/>
          <w:sz w:val="24"/>
          <w:highlight w:val="none"/>
          <w:lang w:eastAsia="zh-CN"/>
        </w:rPr>
        <w:t>11</w:t>
      </w:r>
      <w:r>
        <w:rPr>
          <w:rFonts w:hint="eastAsia" w:ascii="宋体" w:hAnsi="宋体" w:eastAsia="宋体" w:cs="宋体"/>
          <w:color w:val="auto"/>
          <w:sz w:val="24"/>
          <w:highlight w:val="none"/>
        </w:rPr>
        <w:t>、磋商保证金</w:t>
      </w:r>
      <w:bookmarkEnd w:id="5"/>
      <w:r>
        <w:rPr>
          <w:rFonts w:hint="eastAsia" w:ascii="宋体" w:hAnsi="宋体" w:eastAsia="宋体" w:cs="宋体"/>
          <w:color w:val="auto"/>
          <w:sz w:val="24"/>
          <w:highlight w:val="none"/>
          <w:lang w:val="en-US" w:eastAsia="zh-CN"/>
        </w:rPr>
        <w:t>(本项目不适用）</w:t>
      </w:r>
    </w:p>
    <w:p w14:paraId="298244ED">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11</w:t>
      </w:r>
      <w:r>
        <w:rPr>
          <w:rFonts w:hint="eastAsia" w:ascii="宋体" w:hAnsi="宋体" w:eastAsia="宋体" w:cs="宋体"/>
          <w:color w:val="auto"/>
          <w:sz w:val="24"/>
          <w:highlight w:val="none"/>
        </w:rPr>
        <w:t>.1供应商应提交一笔不少于本竞争性磋商文件规定的人民币金额的磋商保证金。</w:t>
      </w:r>
    </w:p>
    <w:p w14:paraId="48439ADA">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磋商保证金是为了保护采购人免遭因供应商的行为而蒙受损失，采购人在因供应商的行为受到损害时可根据第11.4条的规定不予退还供应商的磋商保证金。</w:t>
      </w:r>
    </w:p>
    <w:p w14:paraId="6A94E347">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w:t>
      </w:r>
      <w:r>
        <w:rPr>
          <w:rFonts w:hint="eastAsia" w:ascii="宋体" w:hAnsi="宋体" w:eastAsia="宋体" w:cs="宋体"/>
          <w:color w:val="auto"/>
          <w:sz w:val="24"/>
          <w:highlight w:val="none"/>
        </w:rPr>
        <w:t>.2未按规定时间和数额交纳磋商保证金的供应商，其响应文件被视为无效响应文件。</w:t>
      </w:r>
      <w:r>
        <w:rPr>
          <w:rFonts w:hint="eastAsia" w:ascii="宋体" w:hAnsi="宋体" w:eastAsia="宋体" w:cs="宋体"/>
          <w:b/>
          <w:color w:val="auto"/>
          <w:sz w:val="24"/>
          <w:highlight w:val="none"/>
        </w:rPr>
        <w:t>（实质性要求）</w:t>
      </w:r>
    </w:p>
    <w:p w14:paraId="0211310D">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w:t>
      </w:r>
      <w:r>
        <w:rPr>
          <w:rFonts w:hint="eastAsia" w:ascii="宋体" w:hAnsi="宋体" w:eastAsia="宋体" w:cs="宋体"/>
          <w:color w:val="auto"/>
          <w:sz w:val="24"/>
          <w:highlight w:val="none"/>
        </w:rPr>
        <w:t>.3未成交人的磋商保证金，将在成交通知书发出后五个工作日内全额退还（非现金形式）。</w:t>
      </w:r>
    </w:p>
    <w:p w14:paraId="13D1B3F4">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成交人的磋商保证金在成交人与采购人签订采购合同后5个工作日内退还（非现金形式）。退还时请返还采购合同（原件）1份及经采购方盖章确认的履约保证金缴纳凭证复印件（如要求）</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rPr>
        <w:t>，到本采购代理机构财务部办理。</w:t>
      </w:r>
    </w:p>
    <w:p w14:paraId="5B4BEE66">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11</w:t>
      </w:r>
      <w:r>
        <w:rPr>
          <w:rFonts w:hint="eastAsia" w:ascii="宋体" w:hAnsi="宋体" w:eastAsia="宋体" w:cs="宋体"/>
          <w:color w:val="auto"/>
          <w:sz w:val="24"/>
          <w:highlight w:val="none"/>
        </w:rPr>
        <w:t>.4  下列任何情况发生时，磋商保证金将不予退还：</w:t>
      </w:r>
    </w:p>
    <w:p w14:paraId="2D9407F4">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.4.1 供应商在有效期内撤回其响应文件的；</w:t>
      </w:r>
    </w:p>
    <w:p w14:paraId="23D18CE3">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.4.2 供应商在采购活动中有违法、违纪行为的；</w:t>
      </w:r>
    </w:p>
    <w:p w14:paraId="7AF16968">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.4.3 成交供应商无正当理由不与采购人签订政府采购合同的；</w:t>
      </w:r>
    </w:p>
    <w:p w14:paraId="2A77DE3E">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.4.4 成交供应商未按磋商文件要求交纳履约保证金的；</w:t>
      </w:r>
    </w:p>
    <w:p w14:paraId="2014C134">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.4.5 供应商在响应文件中提供虚假材料的；</w:t>
      </w:r>
    </w:p>
    <w:p w14:paraId="3D45D723">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.4.6 成交供应商未交纳成交服务费的。</w:t>
      </w:r>
    </w:p>
    <w:p w14:paraId="080999DF">
      <w:pPr>
        <w:pageBreakBefore w:val="0"/>
        <w:kinsoku/>
        <w:overflowPunct/>
        <w:topLinePunct w:val="0"/>
        <w:bidi w:val="0"/>
        <w:snapToGrid w:val="0"/>
        <w:spacing w:line="300" w:lineRule="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11、磋商响应文件有效期</w:t>
      </w:r>
      <w:r>
        <w:rPr>
          <w:rFonts w:hint="eastAsia" w:ascii="宋体" w:hAnsi="宋体" w:eastAsia="宋体" w:cs="宋体"/>
          <w:b/>
          <w:color w:val="auto"/>
          <w:sz w:val="24"/>
          <w:highlight w:val="none"/>
        </w:rPr>
        <w:t>（实质性要求）</w:t>
      </w:r>
    </w:p>
    <w:p w14:paraId="6F5C8D9A">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2C230AF8">
      <w:pPr>
        <w:pageBreakBefore w:val="0"/>
        <w:kinsoku/>
        <w:wordWrap/>
        <w:overflowPunct/>
        <w:topLinePunct w:val="0"/>
        <w:bidi w:val="0"/>
        <w:spacing w:line="300" w:lineRule="auto"/>
        <w:outlineLvl w:val="9"/>
        <w:rPr>
          <w:rFonts w:hint="eastAsia" w:ascii="宋体" w:hAnsi="宋体" w:eastAsia="宋体" w:cs="宋体"/>
          <w:color w:val="auto"/>
          <w:sz w:val="24"/>
          <w:highlight w:val="none"/>
        </w:rPr>
      </w:pPr>
      <w:bookmarkStart w:id="6" w:name="_Toc27689"/>
      <w:r>
        <w:rPr>
          <w:rFonts w:hint="eastAsia" w:ascii="宋体" w:hAnsi="宋体" w:eastAsia="宋体" w:cs="宋体"/>
          <w:color w:val="auto"/>
          <w:sz w:val="24"/>
          <w:highlight w:val="none"/>
          <w:lang w:eastAsia="zh-CN"/>
        </w:rPr>
        <w:t>12</w:t>
      </w:r>
      <w:r>
        <w:rPr>
          <w:rFonts w:hint="eastAsia" w:ascii="宋体" w:hAnsi="宋体" w:eastAsia="宋体" w:cs="宋体"/>
          <w:color w:val="auto"/>
          <w:sz w:val="24"/>
          <w:highlight w:val="none"/>
        </w:rPr>
        <w:t>、确定成交候选人</w:t>
      </w:r>
      <w:bookmarkEnd w:id="6"/>
    </w:p>
    <w:p w14:paraId="2EEF06DC">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12.1采购代理机构应当在评审结束后2个工作日内将评审报告送采购人确认。</w:t>
      </w:r>
    </w:p>
    <w:p w14:paraId="39486CAE">
      <w:pPr>
        <w:pageBreakBefore w:val="0"/>
        <w:kinsoku/>
        <w:overflowPunct/>
        <w:topLinePunct w:val="0"/>
        <w:bidi w:val="0"/>
        <w:snapToGrid w:val="0"/>
        <w:spacing w:line="30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12.2 采购人应当在收到评审报告后5个工作日内，从评审报告提出的成交候选人中，按照排序从高到低的原则确定成交供应商。</w:t>
      </w:r>
    </w:p>
    <w:p w14:paraId="72AB78DF">
      <w:pPr>
        <w:pageBreakBefore w:val="0"/>
        <w:kinsoku/>
        <w:wordWrap/>
        <w:overflowPunct/>
        <w:topLinePunct w:val="0"/>
        <w:bidi w:val="0"/>
        <w:spacing w:line="30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采购人确定成交供应商过程中，发现成交候选供应商有下列情形之一的，将不予确定其为成交供应商：</w:t>
      </w:r>
    </w:p>
    <w:p w14:paraId="52BF7296">
      <w:pPr>
        <w:pageBreakBefore w:val="0"/>
        <w:kinsoku/>
        <w:wordWrap/>
        <w:overflowPunct/>
        <w:topLinePunct w:val="0"/>
        <w:bidi w:val="0"/>
        <w:spacing w:line="30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（一）成交候选供应商存在违法、违纪行为的；</w:t>
      </w:r>
    </w:p>
    <w:p w14:paraId="68706757">
      <w:pPr>
        <w:pageBreakBefore w:val="0"/>
        <w:kinsoku/>
        <w:wordWrap/>
        <w:overflowPunct/>
        <w:topLinePunct w:val="0"/>
        <w:bidi w:val="0"/>
        <w:spacing w:line="30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（二）成交候选供应商因不可抗力、社会经济形势发生重大变化、破产、重组等原因确定无法履行政府采购合同的；</w:t>
      </w:r>
    </w:p>
    <w:p w14:paraId="5402E4D6">
      <w:pPr>
        <w:pageBreakBefore w:val="0"/>
        <w:kinsoku/>
        <w:wordWrap/>
        <w:overflowPunct/>
        <w:topLinePunct w:val="0"/>
        <w:bidi w:val="0"/>
        <w:spacing w:line="30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（三）成交候选供应商书面自愿放弃成交，且无其他非法目的的。</w:t>
      </w:r>
    </w:p>
    <w:p w14:paraId="7A053277">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成交候选供应商有本款情形之一的，采购人将确定后一位成交候选供应商为成交供应商。依次类推。无法确定成交供应商的，采购人将重新组织采购。</w:t>
      </w:r>
    </w:p>
    <w:p w14:paraId="07FC40CD">
      <w:pPr>
        <w:pageBreakBefore w:val="0"/>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成交候选供应商以本款第（三）项放弃成交的，应当说明理由。</w:t>
      </w:r>
    </w:p>
    <w:p w14:paraId="423FADC3">
      <w:pPr>
        <w:pageBreakBefore w:val="0"/>
        <w:widowControl/>
        <w:kinsoku/>
        <w:wordWrap/>
        <w:overflowPunct/>
        <w:topLinePunct w:val="0"/>
        <w:bidi w:val="0"/>
        <w:spacing w:line="30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13</w:t>
      </w:r>
      <w:r>
        <w:rPr>
          <w:rFonts w:hint="eastAsia" w:ascii="宋体" w:hAnsi="宋体" w:eastAsia="宋体" w:cs="宋体"/>
          <w:color w:val="auto"/>
          <w:sz w:val="24"/>
          <w:highlight w:val="none"/>
        </w:rPr>
        <w:t>、成交通知书</w:t>
      </w:r>
    </w:p>
    <w:p w14:paraId="10E1644E">
      <w:pPr>
        <w:pageBreakBefore w:val="0"/>
        <w:widowControl/>
        <w:kinsoku/>
        <w:wordWrap/>
        <w:overflowPunct/>
        <w:topLinePunct w:val="0"/>
        <w:bidi w:val="0"/>
        <w:spacing w:line="300" w:lineRule="auto"/>
        <w:ind w:firstLine="48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采购代理机构在成交供应商确定后，在</w:t>
      </w:r>
      <w:r>
        <w:rPr>
          <w:rFonts w:hint="eastAsia" w:ascii="宋体" w:hAnsi="宋体" w:eastAsia="宋体" w:cs="宋体"/>
          <w:color w:val="auto"/>
          <w:sz w:val="24"/>
          <w:highlight w:val="none"/>
          <w:u w:val="single"/>
          <w:lang w:eastAsia="zh-CN"/>
        </w:rPr>
        <w:t>陕西省政府采购网</w:t>
      </w:r>
      <w:r>
        <w:rPr>
          <w:rFonts w:hint="eastAsia" w:ascii="宋体" w:hAnsi="宋体" w:eastAsia="宋体" w:cs="宋体"/>
          <w:color w:val="auto"/>
          <w:sz w:val="24"/>
          <w:highlight w:val="none"/>
          <w:lang w:eastAsia="zh-CN"/>
        </w:rPr>
        <w:t>发布成交结果公告，同时向成交供应商发出成交通知书。</w:t>
      </w:r>
    </w:p>
    <w:p w14:paraId="202ED23C">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14</w:t>
      </w:r>
      <w:r>
        <w:rPr>
          <w:rFonts w:hint="eastAsia" w:ascii="宋体" w:hAnsi="宋体" w:eastAsia="宋体" w:cs="宋体"/>
          <w:color w:val="auto"/>
          <w:sz w:val="24"/>
          <w:highlight w:val="none"/>
        </w:rPr>
        <w:t>、签订合同</w:t>
      </w:r>
    </w:p>
    <w:p w14:paraId="2EAAE1EB">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14</w:t>
      </w:r>
      <w:r>
        <w:rPr>
          <w:rFonts w:hint="eastAsia" w:ascii="宋体" w:hAnsi="宋体" w:eastAsia="宋体" w:cs="宋体"/>
          <w:color w:val="auto"/>
          <w:sz w:val="24"/>
          <w:highlight w:val="none"/>
        </w:rPr>
        <w:t>.1成交供应商应在成交通知书发出之日起</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日内，按照磋商文件、响应文件以及磋商过程中确定的事项与采购人签订采购合同。</w:t>
      </w:r>
    </w:p>
    <w:p w14:paraId="700C9467">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w:t>
      </w:r>
      <w:r>
        <w:rPr>
          <w:rFonts w:hint="eastAsia" w:ascii="宋体" w:hAnsi="宋体" w:eastAsia="宋体" w:cs="宋体"/>
          <w:color w:val="auto"/>
          <w:sz w:val="24"/>
          <w:highlight w:val="none"/>
        </w:rPr>
        <w:t>.2竞争性磋商文件、供应商提交的响应文件、磋商中的最终报价、供应商承诺书、成交通知书等均成为有法律约束力的合同的组成内容。</w:t>
      </w:r>
    </w:p>
    <w:p w14:paraId="06D06333">
      <w:pPr>
        <w:pageBreakBefore w:val="0"/>
        <w:widowControl/>
        <w:kinsoku/>
        <w:wordWrap/>
        <w:overflowPunct/>
        <w:topLinePunct w:val="0"/>
        <w:bidi w:val="0"/>
        <w:spacing w:line="300" w:lineRule="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5、询问、质疑、投诉的接收和处理严格按照《中华人民共和国政府采购法》、《中华人民共和国政府采购法实施条例》、《财政部关于加强政府采购供应商投诉受理审查工作的通知》和《政府采购质疑和投诉办法》（财政部令第 94 号）等的相关规定办理.</w:t>
      </w:r>
    </w:p>
    <w:p w14:paraId="172B94A2">
      <w:pPr>
        <w:pStyle w:val="2"/>
        <w:pageBreakBefore w:val="0"/>
        <w:kinsoku/>
        <w:overflowPunct/>
        <w:topLinePunct w:val="0"/>
        <w:bidi w:val="0"/>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询问：根据委托代理协议约定，供应商询问由采购代理机构负责统一答复。</w:t>
      </w:r>
    </w:p>
    <w:p w14:paraId="28305262">
      <w:pPr>
        <w:pStyle w:val="2"/>
        <w:pageBreakBefore w:val="0"/>
        <w:kinsoku/>
        <w:overflowPunct/>
        <w:topLinePunct w:val="0"/>
        <w:bidi w:val="0"/>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质疑：根据委托代理协议约定，供应商质疑由采购代理机构负责统一接收、答复。</w:t>
      </w:r>
    </w:p>
    <w:p w14:paraId="48495AB2">
      <w:pPr>
        <w:pStyle w:val="2"/>
        <w:pageBreakBefore w:val="0"/>
        <w:kinsoku/>
        <w:overflowPunct/>
        <w:topLinePunct w:val="0"/>
        <w:bidi w:val="0"/>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疑提出时间：1.对采购文件内容的质疑：在获取采购文件之日起七个工作日内。2.对采购过程质疑时间：为各采购程序环节结束之日起七个工作日内。3.对采购结果提出质疑时间：为成交结果公告期限届满之日起七个工作日内。</w:t>
      </w:r>
    </w:p>
    <w:p w14:paraId="4DAB1D2B">
      <w:pPr>
        <w:pStyle w:val="2"/>
        <w:pageBreakBefore w:val="0"/>
        <w:kinsoku/>
        <w:overflowPunct/>
        <w:topLinePunct w:val="0"/>
        <w:bidi w:val="0"/>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注：1.潜在供应商已依法获取其可质疑的采购文件的，可以对该文件提出质疑。</w:t>
      </w:r>
    </w:p>
    <w:p w14:paraId="40E726E4">
      <w:pPr>
        <w:pStyle w:val="2"/>
        <w:pageBreakBefore w:val="0"/>
        <w:kinsoku/>
        <w:overflowPunct/>
        <w:topLinePunct w:val="0"/>
        <w:bidi w:val="0"/>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2.根据《中华人民共和国政府采购法》等规定，供应商质疑不得超出采购文件、采购过程、采购结果的范围, 供应商针对同一采购程序环节的质疑应在法定质疑期内一次性提出。</w:t>
      </w:r>
    </w:p>
    <w:p w14:paraId="65BF1C5A">
      <w:pPr>
        <w:pStyle w:val="2"/>
        <w:pageBreakBefore w:val="0"/>
        <w:kinsoku/>
        <w:overflowPunct/>
        <w:topLinePunct w:val="0"/>
        <w:bidi w:val="0"/>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3.质疑函相关格式请自行在中国政府采购网下载相应范本进行填写。</w:t>
      </w:r>
    </w:p>
    <w:p w14:paraId="1DC53B11">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接收询问、质疑联系部门：项目部    项目负责人：</w:t>
      </w:r>
      <w:r>
        <w:rPr>
          <w:rFonts w:hint="eastAsia" w:ascii="宋体" w:hAnsi="宋体" w:eastAsia="宋体" w:cs="宋体"/>
          <w:color w:val="auto"/>
          <w:sz w:val="24"/>
          <w:highlight w:val="none"/>
          <w:lang w:val="en-US" w:eastAsia="zh-CN"/>
        </w:rPr>
        <w:t>连女士</w:t>
      </w:r>
    </w:p>
    <w:p w14:paraId="1630CA45">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联系电话：</w:t>
      </w:r>
      <w:r>
        <w:rPr>
          <w:rFonts w:hint="eastAsia" w:ascii="宋体" w:hAnsi="宋体" w:eastAsia="宋体" w:cs="宋体"/>
          <w:color w:val="auto"/>
          <w:sz w:val="24"/>
          <w:highlight w:val="none"/>
          <w:lang w:val="en-US" w:eastAsia="zh-CN"/>
        </w:rPr>
        <w:t>029-</w:t>
      </w:r>
      <w:r>
        <w:rPr>
          <w:rFonts w:hint="eastAsia" w:ascii="宋体" w:hAnsi="宋体" w:eastAsia="宋体" w:cs="宋体"/>
          <w:color w:val="auto"/>
          <w:sz w:val="24"/>
          <w:highlight w:val="none"/>
          <w:lang w:eastAsia="zh-CN"/>
        </w:rPr>
        <w:t>88854271转800</w:t>
      </w:r>
      <w:r>
        <w:rPr>
          <w:rFonts w:hint="eastAsia" w:ascii="宋体" w:hAnsi="宋体" w:eastAsia="宋体" w:cs="宋体"/>
          <w:color w:val="auto"/>
          <w:sz w:val="24"/>
          <w:highlight w:val="none"/>
          <w:lang w:val="en-US" w:eastAsia="zh-CN"/>
        </w:rPr>
        <w:t>9</w:t>
      </w:r>
    </w:p>
    <w:p w14:paraId="56C32269">
      <w:pPr>
        <w:pageBreakBefore w:val="0"/>
        <w:widowControl/>
        <w:kinsoku/>
        <w:wordWrap/>
        <w:overflowPunct/>
        <w:topLinePunct w:val="0"/>
        <w:bidi w:val="0"/>
        <w:spacing w:line="300" w:lineRule="auto"/>
        <w:ind w:firstLine="48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通讯地址：西安市高新区唐延路35号旺座现代城G座2301室</w:t>
      </w:r>
    </w:p>
    <w:p w14:paraId="63710290">
      <w:pPr>
        <w:keepNext/>
        <w:keepLines/>
        <w:pageBreakBefore w:val="0"/>
        <w:widowControl/>
        <w:tabs>
          <w:tab w:val="left" w:pos="425"/>
          <w:tab w:val="left" w:pos="4265"/>
        </w:tabs>
        <w:kinsoku/>
        <w:wordWrap/>
        <w:overflowPunct/>
        <w:topLinePunct w:val="0"/>
        <w:autoSpaceDE w:val="0"/>
        <w:autoSpaceDN w:val="0"/>
        <w:bidi w:val="0"/>
        <w:adjustRightInd/>
        <w:snapToGrid/>
        <w:spacing w:before="340" w:after="330" w:line="360" w:lineRule="auto"/>
        <w:jc w:val="center"/>
        <w:textAlignment w:val="auto"/>
        <w:outlineLvl w:val="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br w:type="page"/>
      </w:r>
      <w:bookmarkStart w:id="7" w:name="_Toc11536"/>
      <w:r>
        <w:rPr>
          <w:rFonts w:hint="eastAsia" w:ascii="宋体" w:hAnsi="宋体" w:eastAsia="宋体" w:cs="宋体"/>
          <w:b/>
          <w:color w:val="auto"/>
          <w:sz w:val="28"/>
          <w:highlight w:val="none"/>
          <w:lang w:eastAsia="zh-CN"/>
        </w:rPr>
        <w:t>第三章</w:t>
      </w:r>
      <w:r>
        <w:rPr>
          <w:rFonts w:hint="eastAsia" w:ascii="宋体" w:hAnsi="宋体" w:eastAsia="宋体" w:cs="宋体"/>
          <w:b/>
          <w:color w:val="auto"/>
          <w:sz w:val="28"/>
          <w:highlight w:val="none"/>
        </w:rPr>
        <w:t xml:space="preserve"> 供应商资格证明文件</w:t>
      </w:r>
      <w:bookmarkEnd w:id="7"/>
    </w:p>
    <w:p w14:paraId="0A9416BB">
      <w:pPr>
        <w:pageBreakBefore w:val="0"/>
        <w:widowControl/>
        <w:shd w:val="clear"/>
        <w:kinsoku/>
        <w:wordWrap/>
        <w:overflowPunct/>
        <w:topLinePunct w:val="0"/>
        <w:bidi w:val="0"/>
        <w:spacing w:line="300" w:lineRule="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2"/>
          <w:szCs w:val="22"/>
          <w:highlight w:val="none"/>
        </w:rPr>
        <w:t>供应商应提交的资格证明材料</w:t>
      </w:r>
    </w:p>
    <w:tbl>
      <w:tblPr>
        <w:tblStyle w:val="21"/>
        <w:tblW w:w="8390" w:type="dxa"/>
        <w:jc w:val="center"/>
        <w:tblLayout w:type="fixed"/>
        <w:tblCellMar>
          <w:top w:w="0" w:type="dxa"/>
          <w:left w:w="0" w:type="dxa"/>
          <w:bottom w:w="0" w:type="dxa"/>
          <w:right w:w="0" w:type="dxa"/>
        </w:tblCellMar>
      </w:tblPr>
      <w:tblGrid>
        <w:gridCol w:w="975"/>
        <w:gridCol w:w="2822"/>
        <w:gridCol w:w="4593"/>
      </w:tblGrid>
      <w:tr w14:paraId="6F6DB72C">
        <w:tblPrEx>
          <w:tblCellMar>
            <w:top w:w="0" w:type="dxa"/>
            <w:left w:w="0" w:type="dxa"/>
            <w:bottom w:w="0" w:type="dxa"/>
            <w:right w:w="0" w:type="dxa"/>
          </w:tblCellMar>
        </w:tblPrEx>
        <w:trPr>
          <w:trHeight w:val="693" w:hRule="atLeast"/>
          <w:jc w:val="center"/>
        </w:trPr>
        <w:tc>
          <w:tcPr>
            <w:tcW w:w="975" w:type="dxa"/>
            <w:tcBorders>
              <w:top w:val="single" w:color="000000" w:sz="18" w:space="0"/>
              <w:left w:val="single" w:color="000000" w:sz="18" w:space="0"/>
              <w:bottom w:val="single" w:color="000000" w:sz="4" w:space="0"/>
              <w:right w:val="single" w:color="000000" w:sz="4" w:space="0"/>
            </w:tcBorders>
            <w:tcMar>
              <w:left w:w="0" w:type="dxa"/>
              <w:right w:w="0" w:type="dxa"/>
            </w:tcMar>
            <w:vAlign w:val="center"/>
          </w:tcPr>
          <w:p w14:paraId="23F2DD67">
            <w:pPr>
              <w:pageBreakBefore w:val="0"/>
              <w:widowControl/>
              <w:shd w:val="clear"/>
              <w:kinsoku/>
              <w:wordWrap/>
              <w:overflowPunct/>
              <w:topLinePunct w:val="0"/>
              <w:bidi w:val="0"/>
              <w:spacing w:line="260" w:lineRule="atLeas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822" w:type="dxa"/>
            <w:tcBorders>
              <w:top w:val="single" w:color="000000" w:sz="18" w:space="0"/>
              <w:left w:val="single" w:color="000000" w:sz="4" w:space="0"/>
              <w:bottom w:val="single" w:color="000000" w:sz="4" w:space="0"/>
              <w:right w:val="single" w:color="000000" w:sz="4" w:space="0"/>
            </w:tcBorders>
            <w:tcMar>
              <w:left w:w="0" w:type="dxa"/>
              <w:right w:w="0" w:type="dxa"/>
            </w:tcMar>
            <w:vAlign w:val="center"/>
          </w:tcPr>
          <w:p w14:paraId="6C736A04">
            <w:pPr>
              <w:pageBreakBefore w:val="0"/>
              <w:widowControl/>
              <w:shd w:val="clear"/>
              <w:kinsoku/>
              <w:wordWrap/>
              <w:overflowPunct/>
              <w:topLinePunct w:val="0"/>
              <w:bidi w:val="0"/>
              <w:spacing w:line="260" w:lineRule="atLeas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     目</w:t>
            </w:r>
          </w:p>
        </w:tc>
        <w:tc>
          <w:tcPr>
            <w:tcW w:w="4593" w:type="dxa"/>
            <w:tcBorders>
              <w:top w:val="single" w:color="000000" w:sz="18" w:space="0"/>
              <w:left w:val="single" w:color="000000" w:sz="4" w:space="0"/>
              <w:bottom w:val="single" w:color="000000" w:sz="4" w:space="0"/>
              <w:right w:val="single" w:color="000000" w:sz="18" w:space="0"/>
            </w:tcBorders>
            <w:tcMar>
              <w:left w:w="0" w:type="dxa"/>
              <w:right w:w="0" w:type="dxa"/>
            </w:tcMar>
            <w:vAlign w:val="center"/>
          </w:tcPr>
          <w:p w14:paraId="13F57294">
            <w:pPr>
              <w:pageBreakBefore w:val="0"/>
              <w:widowControl/>
              <w:shd w:val="clear"/>
              <w:kinsoku/>
              <w:wordWrap/>
              <w:overflowPunct/>
              <w:topLinePunct w:val="0"/>
              <w:bidi w:val="0"/>
              <w:spacing w:line="260" w:lineRule="atLeast"/>
              <w:jc w:val="center"/>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合格条件</w:t>
            </w:r>
          </w:p>
        </w:tc>
      </w:tr>
      <w:tr w14:paraId="7B59E227">
        <w:tblPrEx>
          <w:tblCellMar>
            <w:top w:w="0" w:type="dxa"/>
            <w:left w:w="0" w:type="dxa"/>
            <w:bottom w:w="0" w:type="dxa"/>
            <w:right w:w="0" w:type="dxa"/>
          </w:tblCellMar>
        </w:tblPrEx>
        <w:trPr>
          <w:trHeight w:val="1089" w:hRule="atLeast"/>
          <w:jc w:val="center"/>
        </w:trPr>
        <w:tc>
          <w:tcPr>
            <w:tcW w:w="975"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07510D40">
            <w:pPr>
              <w:pageBreakBefore w:val="0"/>
              <w:widowControl/>
              <w:shd w:val="clear"/>
              <w:kinsoku/>
              <w:wordWrap/>
              <w:overflowPunct/>
              <w:topLinePunct w:val="0"/>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2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ED9B18">
            <w:pPr>
              <w:pageBreakBefore w:val="0"/>
              <w:widowControl/>
              <w:shd w:val="clear"/>
              <w:kinsoku/>
              <w:wordWrap/>
              <w:overflowPunct/>
              <w:topLinePunct w:val="0"/>
              <w:bidi w:val="0"/>
              <w:ind w:left="100" w:leftChars="5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满足《中华人民共和国政府采购法》第二十二条规定的条件；</w:t>
            </w:r>
          </w:p>
        </w:tc>
        <w:tc>
          <w:tcPr>
            <w:tcW w:w="4593"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52FFE4F3">
            <w:pPr>
              <w:pageBreakBefore w:val="0"/>
              <w:shd w:val="clear"/>
              <w:kinsoku/>
              <w:overflowPunct/>
              <w:topLinePunct w:val="0"/>
              <w:bidi w:val="0"/>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304C0E4C">
            <w:pPr>
              <w:pageBreakBefore w:val="0"/>
              <w:shd w:val="clear"/>
              <w:kinsoku/>
              <w:overflowPunct/>
              <w:topLinePunct w:val="0"/>
              <w:bidi w:val="0"/>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2.具备良好商业信誉的证明材料（</w:t>
            </w:r>
            <w:r>
              <w:rPr>
                <w:rFonts w:hint="eastAsia" w:ascii="宋体" w:hAnsi="宋体" w:eastAsia="宋体" w:cs="宋体"/>
                <w:color w:val="auto"/>
                <w:sz w:val="24"/>
                <w:szCs w:val="22"/>
                <w:highlight w:val="none"/>
                <w:lang w:eastAsia="zh-CN"/>
              </w:rPr>
              <w:t>按照磋商文件格式附件1－2提供承诺函</w:t>
            </w:r>
            <w:r>
              <w:rPr>
                <w:rFonts w:hint="eastAsia" w:ascii="宋体" w:hAnsi="宋体" w:eastAsia="宋体" w:cs="宋体"/>
                <w:color w:val="auto"/>
                <w:sz w:val="24"/>
                <w:szCs w:val="22"/>
                <w:highlight w:val="none"/>
              </w:rPr>
              <w:t>）；</w:t>
            </w:r>
          </w:p>
          <w:p w14:paraId="2648F857">
            <w:pPr>
              <w:pageBreakBefore w:val="0"/>
              <w:shd w:val="clear"/>
              <w:kinsoku/>
              <w:overflowPunct/>
              <w:topLinePunct w:val="0"/>
              <w:bidi w:val="0"/>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3.具备健全的财务会计制度的证明材料。｛注：①可提供</w:t>
            </w:r>
            <w:r>
              <w:rPr>
                <w:rFonts w:hint="eastAsia" w:ascii="宋体" w:hAnsi="宋体" w:eastAsia="宋体" w:cs="宋体"/>
                <w:color w:val="auto"/>
                <w:sz w:val="24"/>
                <w:szCs w:val="22"/>
                <w:highlight w:val="none"/>
                <w:lang w:eastAsia="zh-CN"/>
              </w:rPr>
              <w:t>2024或2025</w:t>
            </w:r>
            <w:r>
              <w:rPr>
                <w:rFonts w:hint="eastAsia" w:ascii="宋体" w:hAnsi="宋体" w:eastAsia="宋体" w:cs="宋体"/>
                <w:color w:val="auto"/>
                <w:sz w:val="24"/>
                <w:szCs w:val="22"/>
                <w:highlight w:val="none"/>
              </w:rPr>
              <w:t>年度经审计的财务报告复印件（包含审计报告和审计报告中所涉及的财务报表和报表附注），②也可提供供应商内部的</w:t>
            </w:r>
            <w:r>
              <w:rPr>
                <w:rFonts w:hint="eastAsia" w:ascii="宋体" w:hAnsi="宋体" w:eastAsia="宋体" w:cs="宋体"/>
                <w:color w:val="auto"/>
                <w:sz w:val="24"/>
                <w:szCs w:val="22"/>
                <w:highlight w:val="none"/>
                <w:lang w:eastAsia="zh-CN"/>
              </w:rPr>
              <w:t>2024或2025</w:t>
            </w:r>
            <w:r>
              <w:rPr>
                <w:rFonts w:hint="eastAsia" w:ascii="宋体" w:hAnsi="宋体" w:eastAsia="宋体" w:cs="宋体"/>
                <w:color w:val="auto"/>
                <w:sz w:val="24"/>
                <w:szCs w:val="22"/>
                <w:highlight w:val="none"/>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int="eastAsia" w:ascii="宋体" w:hAnsi="宋体" w:eastAsia="宋体" w:cs="宋体"/>
                <w:color w:val="auto"/>
                <w:sz w:val="24"/>
                <w:szCs w:val="22"/>
                <w:highlight w:val="none"/>
                <w:lang w:eastAsia="zh-CN"/>
              </w:rPr>
              <w:t>，⑤也可提供政府采购信用担保机构出具的《政府采购投标担保函》</w:t>
            </w:r>
            <w:r>
              <w:rPr>
                <w:rFonts w:hint="eastAsia" w:ascii="宋体" w:hAnsi="宋体" w:eastAsia="宋体" w:cs="宋体"/>
                <w:color w:val="auto"/>
                <w:sz w:val="24"/>
                <w:szCs w:val="22"/>
                <w:highlight w:val="none"/>
              </w:rPr>
              <w:t>｝</w:t>
            </w:r>
          </w:p>
          <w:p w14:paraId="541EBE8D">
            <w:pPr>
              <w:pStyle w:val="2"/>
              <w:pageBreakBefore w:val="0"/>
              <w:shd w:val="clear"/>
              <w:kinsoku/>
              <w:overflowPunct/>
              <w:topLinePunct w:val="0"/>
              <w:bidi w:val="0"/>
              <w:spacing w:after="0"/>
              <w:ind w:firstLine="240" w:firstLineChars="1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2"/>
                <w:highlight w:val="none"/>
              </w:rPr>
              <w:t>4.具有依法缴纳税收和社会保障资金的良好记录（①社会保障资金缴纳证明：提供202</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lang w:val="en-US" w:eastAsia="zh-CN"/>
              </w:rPr>
              <w:t>1</w:t>
            </w:r>
            <w:r>
              <w:rPr>
                <w:rFonts w:hint="eastAsia" w:ascii="宋体" w:hAnsi="宋体" w:eastAsia="宋体" w:cs="宋体"/>
                <w:color w:val="auto"/>
                <w:sz w:val="24"/>
                <w:szCs w:val="22"/>
                <w:highlight w:val="none"/>
              </w:rPr>
              <w:t>月1日至今已缴存的任一月份的社会保障资金缴存单据或社保机构开具的社会保险参保缴费情况证明，依法不需要缴纳社会保障资金的供应商应提供相关文件证明；</w:t>
            </w:r>
          </w:p>
          <w:p w14:paraId="3AA023F1">
            <w:pPr>
              <w:pageBreakBefore w:val="0"/>
              <w:shd w:val="clear"/>
              <w:kinsoku/>
              <w:overflowPunct/>
              <w:topLinePunct w:val="0"/>
              <w:bidi w:val="0"/>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）；②提供202</w:t>
            </w: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lang w:val="en-US" w:eastAsia="zh-CN"/>
              </w:rPr>
              <w:t>1</w:t>
            </w:r>
            <w:r>
              <w:rPr>
                <w:rFonts w:hint="eastAsia" w:ascii="宋体" w:hAnsi="宋体" w:eastAsia="宋体" w:cs="宋体"/>
                <w:color w:val="auto"/>
                <w:sz w:val="24"/>
                <w:szCs w:val="22"/>
                <w:highlight w:val="none"/>
              </w:rPr>
              <w:t>月1日至今已缴纳的至少一个月的纳税证明或完税证明，依法免税的单位应提供相关证明材料；）；</w:t>
            </w:r>
          </w:p>
          <w:p w14:paraId="773D8422">
            <w:pPr>
              <w:pageBreakBefore w:val="0"/>
              <w:shd w:val="clear"/>
              <w:kinsoku/>
              <w:overflowPunct/>
              <w:topLinePunct w:val="0"/>
              <w:bidi w:val="0"/>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5.具备履行合同所必需的设备和专业技术能力的证明材料（</w:t>
            </w:r>
            <w:r>
              <w:rPr>
                <w:rFonts w:hint="eastAsia" w:ascii="宋体" w:hAnsi="宋体" w:eastAsia="宋体" w:cs="宋体"/>
                <w:color w:val="auto"/>
                <w:sz w:val="24"/>
                <w:szCs w:val="22"/>
                <w:highlight w:val="none"/>
                <w:lang w:eastAsia="zh-CN"/>
              </w:rPr>
              <w:t>按照磋商文件格式附件1－2提供承诺函</w:t>
            </w:r>
            <w:r>
              <w:rPr>
                <w:rFonts w:hint="eastAsia" w:ascii="宋体" w:hAnsi="宋体" w:eastAsia="宋体" w:cs="宋体"/>
                <w:color w:val="auto"/>
                <w:sz w:val="24"/>
                <w:szCs w:val="22"/>
                <w:highlight w:val="none"/>
              </w:rPr>
              <w:t>）；</w:t>
            </w:r>
          </w:p>
          <w:p w14:paraId="72D93EE5">
            <w:pPr>
              <w:pageBreakBefore w:val="0"/>
              <w:shd w:val="clear"/>
              <w:kinsoku/>
              <w:overflowPunct/>
              <w:topLinePunct w:val="0"/>
              <w:bidi w:val="0"/>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6.参加政府采购活动前3年内在经营活动中没有重大违法记录的承诺函（</w:t>
            </w:r>
            <w:r>
              <w:rPr>
                <w:rFonts w:hint="eastAsia" w:ascii="宋体" w:hAnsi="宋体" w:eastAsia="宋体" w:cs="宋体"/>
                <w:color w:val="auto"/>
                <w:sz w:val="24"/>
                <w:szCs w:val="22"/>
                <w:highlight w:val="none"/>
                <w:lang w:eastAsia="zh-CN"/>
              </w:rPr>
              <w:t>按照磋商文件格式附件1－2提供承诺函</w:t>
            </w:r>
            <w:r>
              <w:rPr>
                <w:rFonts w:hint="eastAsia" w:ascii="宋体" w:hAnsi="宋体" w:eastAsia="宋体" w:cs="宋体"/>
                <w:color w:val="auto"/>
                <w:sz w:val="24"/>
                <w:szCs w:val="22"/>
                <w:highlight w:val="none"/>
              </w:rPr>
              <w:t>）；</w:t>
            </w:r>
          </w:p>
          <w:p w14:paraId="6AF0D991">
            <w:pPr>
              <w:pageBreakBefore w:val="0"/>
              <w:shd w:val="clear"/>
              <w:kinsoku/>
              <w:overflowPunct/>
              <w:topLinePunct w:val="0"/>
              <w:bidi w:val="0"/>
              <w:outlineLvl w:val="9"/>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7.具备法律、行政法规规定的其他条件的证明材料（</w:t>
            </w:r>
            <w:r>
              <w:rPr>
                <w:rFonts w:hint="eastAsia" w:ascii="宋体" w:hAnsi="宋体" w:eastAsia="宋体" w:cs="宋体"/>
                <w:color w:val="auto"/>
                <w:sz w:val="24"/>
                <w:szCs w:val="22"/>
                <w:highlight w:val="none"/>
                <w:lang w:eastAsia="zh-CN"/>
              </w:rPr>
              <w:t>按照磋商文件格式附件1－2提供承诺函</w:t>
            </w:r>
            <w:r>
              <w:rPr>
                <w:rFonts w:hint="eastAsia" w:ascii="宋体" w:hAnsi="宋体" w:eastAsia="宋体" w:cs="宋体"/>
                <w:color w:val="auto"/>
                <w:sz w:val="24"/>
                <w:szCs w:val="22"/>
                <w:highlight w:val="none"/>
              </w:rPr>
              <w:t>）；</w:t>
            </w:r>
          </w:p>
        </w:tc>
      </w:tr>
      <w:tr w14:paraId="2A25F755">
        <w:tblPrEx>
          <w:tblCellMar>
            <w:top w:w="0" w:type="dxa"/>
            <w:left w:w="0" w:type="dxa"/>
            <w:bottom w:w="0" w:type="dxa"/>
            <w:right w:w="0" w:type="dxa"/>
          </w:tblCellMar>
        </w:tblPrEx>
        <w:trPr>
          <w:trHeight w:val="1286" w:hRule="atLeast"/>
          <w:jc w:val="center"/>
        </w:trPr>
        <w:tc>
          <w:tcPr>
            <w:tcW w:w="975"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029A7A94">
            <w:pPr>
              <w:pageBreakBefore w:val="0"/>
              <w:widowControl/>
              <w:shd w:val="clear"/>
              <w:tabs>
                <w:tab w:val="left" w:pos="394"/>
                <w:tab w:val="left" w:pos="846"/>
              </w:tabs>
              <w:kinsoku/>
              <w:wordWrap/>
              <w:overflowPunct/>
              <w:topLinePunct w:val="0"/>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2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FCA114">
            <w:pPr>
              <w:pageBreakBefore w:val="0"/>
              <w:widowControl/>
              <w:shd w:val="clear"/>
              <w:kinsoku/>
              <w:wordWrap/>
              <w:overflowPunct/>
              <w:topLinePunct w:val="0"/>
              <w:bidi w:val="0"/>
              <w:ind w:left="100" w:left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法定代表人授权书</w:t>
            </w:r>
            <w:r>
              <w:rPr>
                <w:rFonts w:hint="eastAsia" w:ascii="宋体" w:hAnsi="宋体" w:eastAsia="宋体" w:cs="宋体"/>
                <w:color w:val="auto"/>
                <w:sz w:val="24"/>
                <w:highlight w:val="none"/>
                <w:lang w:eastAsia="zh-CN"/>
              </w:rPr>
              <w:t>；</w:t>
            </w:r>
          </w:p>
        </w:tc>
        <w:tc>
          <w:tcPr>
            <w:tcW w:w="4593"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79E0440C">
            <w:pPr>
              <w:pageBreakBefore w:val="0"/>
              <w:widowControl/>
              <w:shd w:val="clear"/>
              <w:kinsoku/>
              <w:wordWrap/>
              <w:overflowPunct/>
              <w:topLinePunct w:val="0"/>
              <w:bidi w:val="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按采购文件规定格式提供原件（</w:t>
            </w:r>
            <w:r>
              <w:rPr>
                <w:rFonts w:hint="eastAsia" w:ascii="宋体" w:hAnsi="宋体" w:eastAsia="宋体" w:cs="宋体"/>
                <w:color w:val="auto"/>
                <w:sz w:val="24"/>
                <w:highlight w:val="none"/>
              </w:rPr>
              <w:t>放入</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rPr>
              <w:t>响应文件正本中</w:t>
            </w:r>
            <w:r>
              <w:rPr>
                <w:rFonts w:hint="eastAsia" w:ascii="宋体" w:hAnsi="宋体" w:eastAsia="宋体" w:cs="宋体"/>
                <w:color w:val="auto"/>
                <w:sz w:val="24"/>
                <w:highlight w:val="none"/>
                <w:lang w:eastAsia="zh-CN"/>
              </w:rPr>
              <w:t>，法定代表人直接参加的不需提供）</w:t>
            </w:r>
          </w:p>
        </w:tc>
      </w:tr>
      <w:tr w14:paraId="61A8DAD7">
        <w:tblPrEx>
          <w:tblCellMar>
            <w:top w:w="0" w:type="dxa"/>
            <w:left w:w="0" w:type="dxa"/>
            <w:bottom w:w="0" w:type="dxa"/>
            <w:right w:w="0" w:type="dxa"/>
          </w:tblCellMar>
        </w:tblPrEx>
        <w:trPr>
          <w:trHeight w:val="657" w:hRule="atLeast"/>
          <w:jc w:val="center"/>
        </w:trPr>
        <w:tc>
          <w:tcPr>
            <w:tcW w:w="975"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4DEC3B72">
            <w:pPr>
              <w:pageBreakBefore w:val="0"/>
              <w:widowControl/>
              <w:shd w:val="clear"/>
              <w:tabs>
                <w:tab w:val="left" w:pos="394"/>
                <w:tab w:val="left" w:pos="846"/>
              </w:tabs>
              <w:kinsoku/>
              <w:wordWrap/>
              <w:overflowPunct/>
              <w:topLinePunct w:val="0"/>
              <w:bidi w:val="0"/>
              <w:ind w:left="110"/>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p>
        </w:tc>
        <w:tc>
          <w:tcPr>
            <w:tcW w:w="282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78248B9">
            <w:pPr>
              <w:pageBreakBefore w:val="0"/>
              <w:widowControl/>
              <w:shd w:val="clear"/>
              <w:kinsoku/>
              <w:wordWrap/>
              <w:overflowPunct/>
              <w:topLinePunct w:val="0"/>
              <w:bidi w:val="0"/>
              <w:ind w:firstLine="120" w:firstLineChars="5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法定代表人和被授权人身份证件</w:t>
            </w:r>
            <w:r>
              <w:rPr>
                <w:rFonts w:hint="eastAsia" w:ascii="宋体" w:hAnsi="宋体" w:eastAsia="宋体" w:cs="宋体"/>
                <w:color w:val="auto"/>
                <w:sz w:val="24"/>
                <w:highlight w:val="none"/>
                <w:lang w:eastAsia="zh-CN"/>
              </w:rPr>
              <w:t>；</w:t>
            </w:r>
          </w:p>
        </w:tc>
        <w:tc>
          <w:tcPr>
            <w:tcW w:w="4593"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1E519B16">
            <w:pPr>
              <w:pageBreakBefore w:val="0"/>
              <w:widowControl/>
              <w:shd w:val="clear"/>
              <w:kinsoku/>
              <w:wordWrap/>
              <w:overflowPunct/>
              <w:topLinePunct w:val="0"/>
              <w:bidi w:val="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复印件加盖公章（放入</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rPr>
              <w:t>响应文件正本中）</w:t>
            </w:r>
          </w:p>
        </w:tc>
      </w:tr>
      <w:tr w14:paraId="2B0A4A90">
        <w:tblPrEx>
          <w:tblCellMar>
            <w:top w:w="0" w:type="dxa"/>
            <w:left w:w="0" w:type="dxa"/>
            <w:bottom w:w="0" w:type="dxa"/>
            <w:right w:w="0" w:type="dxa"/>
          </w:tblCellMar>
        </w:tblPrEx>
        <w:trPr>
          <w:trHeight w:val="801" w:hRule="atLeast"/>
          <w:jc w:val="center"/>
        </w:trPr>
        <w:tc>
          <w:tcPr>
            <w:tcW w:w="975"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2ECDC8BD">
            <w:pPr>
              <w:pageBreakBefore w:val="0"/>
              <w:widowControl/>
              <w:shd w:val="clear"/>
              <w:tabs>
                <w:tab w:val="left" w:pos="394"/>
                <w:tab w:val="left" w:pos="846"/>
              </w:tabs>
              <w:kinsoku/>
              <w:wordWrap/>
              <w:overflowPunct/>
              <w:topLinePunct w:val="0"/>
              <w:bidi w:val="0"/>
              <w:ind w:left="110"/>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w:t>
            </w:r>
          </w:p>
        </w:tc>
        <w:tc>
          <w:tcPr>
            <w:tcW w:w="282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4803191">
            <w:pPr>
              <w:pageBreakBefore w:val="0"/>
              <w:widowControl/>
              <w:shd w:val="clear"/>
              <w:kinsoku/>
              <w:wordWrap/>
              <w:overflowPunct/>
              <w:topLinePunct w:val="0"/>
              <w:bidi w:val="0"/>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供应商未被列入失信被执行人、重大税收违法案件当事人名单、政府采购严重违法失信行为记录</w:t>
            </w:r>
          </w:p>
        </w:tc>
        <w:tc>
          <w:tcPr>
            <w:tcW w:w="4593"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0A5729F8">
            <w:pPr>
              <w:pageBreakBefore w:val="0"/>
              <w:widowControl/>
              <w:shd w:val="clear"/>
              <w:kinsoku/>
              <w:wordWrap/>
              <w:overflowPunct/>
              <w:topLinePunct w:val="0"/>
              <w:bidi w:val="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将于本项目磋商截止日在‘信用中国’网站、‘中国政府采购网’网站对供应商进行信用记录查询，凡被列入失信被执行人、重大税收违法案件当事人名单、政府采购严重违法失信行为记录名单的，视为存在不良信用记录，参与本项目的将被拒绝。</w:t>
            </w:r>
          </w:p>
        </w:tc>
      </w:tr>
      <w:tr w14:paraId="198EEFB7">
        <w:tblPrEx>
          <w:tblCellMar>
            <w:top w:w="0" w:type="dxa"/>
            <w:left w:w="0" w:type="dxa"/>
            <w:bottom w:w="0" w:type="dxa"/>
            <w:right w:w="0" w:type="dxa"/>
          </w:tblCellMar>
        </w:tblPrEx>
        <w:trPr>
          <w:trHeight w:val="801" w:hRule="atLeast"/>
          <w:jc w:val="center"/>
        </w:trPr>
        <w:tc>
          <w:tcPr>
            <w:tcW w:w="975"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732ADA0B">
            <w:pPr>
              <w:pageBreakBefore w:val="0"/>
              <w:widowControl/>
              <w:shd w:val="clear"/>
              <w:tabs>
                <w:tab w:val="left" w:pos="394"/>
                <w:tab w:val="left" w:pos="846"/>
              </w:tabs>
              <w:kinsoku/>
              <w:wordWrap/>
              <w:overflowPunct/>
              <w:topLinePunct w:val="0"/>
              <w:bidi w:val="0"/>
              <w:ind w:left="110"/>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82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F0080F">
            <w:pPr>
              <w:pageBreakBefore w:val="0"/>
              <w:widowControl/>
              <w:shd w:val="clear"/>
              <w:kinsoku/>
              <w:wordWrap/>
              <w:overflowPunct/>
              <w:topLinePunct w:val="0"/>
              <w:bidi w:val="0"/>
              <w:ind w:firstLine="120" w:firstLineChars="5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本项目专门面向中小企业采购，监狱企业、残疾人福利性单位视同小型、微型企业；</w:t>
            </w:r>
          </w:p>
        </w:tc>
        <w:tc>
          <w:tcPr>
            <w:tcW w:w="4593"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10C8A510">
            <w:pPr>
              <w:pageBreakBefore w:val="0"/>
              <w:widowControl/>
              <w:shd w:val="clear"/>
              <w:kinsoku/>
              <w:wordWrap/>
              <w:overflowPunct/>
              <w:topLinePunct w:val="0"/>
              <w:bidi w:val="0"/>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本项目专门面向中小企业采购(监狱企业、残疾人福利性单位均视同小微企业，符合中小企业划分标准的个体工商户视同中小企业)，非中小企业参与的将视为无效投标；〔中小企业提供《中小企业声明函》原件，残疾人福利性单位提供《残疾人福利性单位声明函》原件，监狱企业提供由省级以上监狱管理局、戒毒管理局(含新疆生产建设兵团)出具的属于监狱企业的证明文件〕。</w:t>
            </w:r>
          </w:p>
        </w:tc>
      </w:tr>
      <w:tr w14:paraId="31FF396C">
        <w:tblPrEx>
          <w:tblCellMar>
            <w:top w:w="0" w:type="dxa"/>
            <w:left w:w="0" w:type="dxa"/>
            <w:bottom w:w="0" w:type="dxa"/>
            <w:right w:w="0" w:type="dxa"/>
          </w:tblCellMar>
        </w:tblPrEx>
        <w:trPr>
          <w:trHeight w:val="90" w:hRule="atLeast"/>
          <w:jc w:val="center"/>
        </w:trPr>
        <w:tc>
          <w:tcPr>
            <w:tcW w:w="8390" w:type="dxa"/>
            <w:gridSpan w:val="3"/>
            <w:tcBorders>
              <w:top w:val="single" w:color="000000" w:sz="4" w:space="0"/>
              <w:left w:val="single" w:color="000000" w:sz="18" w:space="0"/>
              <w:bottom w:val="single" w:color="000000" w:sz="18" w:space="0"/>
              <w:right w:val="single" w:color="000000" w:sz="18" w:space="0"/>
            </w:tcBorders>
            <w:tcMar>
              <w:left w:w="0" w:type="dxa"/>
              <w:right w:w="0" w:type="dxa"/>
            </w:tcMar>
            <w:vAlign w:val="center"/>
          </w:tcPr>
          <w:p w14:paraId="23EE1B06">
            <w:pPr>
              <w:pageBreakBefore w:val="0"/>
              <w:widowControl/>
              <w:shd w:val="clear"/>
              <w:kinsoku/>
              <w:wordWrap/>
              <w:overflowPunct/>
              <w:topLinePunct w:val="0"/>
              <w:bidi w:val="0"/>
              <w:jc w:val="left"/>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1.本项目不接受联合体。</w:t>
            </w:r>
          </w:p>
          <w:p w14:paraId="0168012E">
            <w:pPr>
              <w:pageBreakBefore w:val="0"/>
              <w:widowControl/>
              <w:shd w:val="clear"/>
              <w:kinsoku/>
              <w:wordWrap/>
              <w:overflowPunct/>
              <w:topLinePunct w:val="0"/>
              <w:bidi w:val="0"/>
              <w:jc w:val="left"/>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2.请供应商认真核对响应文件中是否按上述要求提供资格证明材料，未按上述要求提供的，自行承担无法通过资格审核的风险。</w:t>
            </w:r>
          </w:p>
          <w:p w14:paraId="69AFE24F">
            <w:pPr>
              <w:pageBreakBefore w:val="0"/>
              <w:shd w:val="clear"/>
              <w:kinsoku/>
              <w:overflowPunct/>
              <w:topLinePunct w:val="0"/>
              <w:bidi w:val="0"/>
              <w:spacing w:line="276" w:lineRule="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39D709D2">
            <w:pPr>
              <w:pageBreakBefore w:val="0"/>
              <w:widowControl/>
              <w:shd w:val="clear"/>
              <w:kinsoku/>
              <w:wordWrap/>
              <w:overflowPunct/>
              <w:topLinePunct w:val="0"/>
              <w:bidi w:val="0"/>
              <w:jc w:val="left"/>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4"/>
                <w:highlight w:val="none"/>
                <w:lang w:eastAsia="zh-CN"/>
              </w:rPr>
              <w:t>4.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3A6C7A1E">
      <w:pPr>
        <w:keepNext/>
        <w:keepLines/>
        <w:pageBreakBefore w:val="0"/>
        <w:widowControl/>
        <w:tabs>
          <w:tab w:val="left" w:pos="425"/>
          <w:tab w:val="left" w:pos="4265"/>
        </w:tabs>
        <w:kinsoku/>
        <w:wordWrap/>
        <w:overflowPunct/>
        <w:topLinePunct w:val="0"/>
        <w:autoSpaceDE w:val="0"/>
        <w:autoSpaceDN w:val="0"/>
        <w:bidi w:val="0"/>
        <w:adjustRightInd/>
        <w:snapToGrid/>
        <w:spacing w:before="340" w:after="330" w:line="360" w:lineRule="auto"/>
        <w:jc w:val="center"/>
        <w:textAlignment w:val="auto"/>
        <w:outlineLvl w:val="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br w:type="page"/>
      </w:r>
      <w:bookmarkStart w:id="8" w:name="_Toc23241"/>
      <w:r>
        <w:rPr>
          <w:rFonts w:hint="eastAsia" w:ascii="宋体" w:hAnsi="宋体" w:eastAsia="宋体" w:cs="宋体"/>
          <w:b/>
          <w:color w:val="auto"/>
          <w:sz w:val="28"/>
          <w:highlight w:val="none"/>
        </w:rPr>
        <w:t>第四章  技术服务</w:t>
      </w:r>
      <w:r>
        <w:rPr>
          <w:rFonts w:hint="eastAsia" w:ascii="宋体" w:hAnsi="宋体" w:eastAsia="宋体" w:cs="宋体"/>
          <w:b/>
          <w:color w:val="auto"/>
          <w:sz w:val="28"/>
          <w:highlight w:val="none"/>
          <w:lang w:eastAsia="zh-CN"/>
        </w:rPr>
        <w:t>要求</w:t>
      </w:r>
      <w:r>
        <w:rPr>
          <w:rFonts w:hint="eastAsia" w:ascii="宋体" w:hAnsi="宋体" w:eastAsia="宋体" w:cs="宋体"/>
          <w:b/>
          <w:color w:val="auto"/>
          <w:sz w:val="28"/>
          <w:highlight w:val="none"/>
        </w:rPr>
        <w:t>、商务条件说明</w:t>
      </w:r>
      <w:bookmarkEnd w:id="8"/>
    </w:p>
    <w:p w14:paraId="6B28BCAB">
      <w:pPr>
        <w:keepNext w:val="0"/>
        <w:keepLines w:val="0"/>
        <w:pageBreakBefore w:val="0"/>
        <w:kinsoku/>
        <w:wordWrap/>
        <w:overflowPunct/>
        <w:topLinePunct w:val="0"/>
        <w:bidi w:val="0"/>
        <w:adjustRightInd/>
        <w:spacing w:line="336" w:lineRule="auto"/>
        <w:outlineLvl w:val="9"/>
        <w:rPr>
          <w:rFonts w:hint="eastAsia" w:ascii="宋体" w:hAnsi="宋体" w:eastAsia="宋体" w:cs="宋体"/>
          <w:b/>
          <w:color w:val="auto"/>
          <w:sz w:val="24"/>
          <w:szCs w:val="24"/>
          <w:highlight w:val="none"/>
        </w:rPr>
      </w:pPr>
      <w:bookmarkStart w:id="9" w:name="_Toc24320"/>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项目概述</w:t>
      </w:r>
      <w:bookmarkEnd w:id="9"/>
    </w:p>
    <w:p w14:paraId="6FDCF519">
      <w:pPr>
        <w:keepNext w:val="0"/>
        <w:keepLines w:val="0"/>
        <w:pageBreakBefore w:val="0"/>
        <w:widowControl/>
        <w:kinsoku/>
        <w:wordWrap/>
        <w:overflowPunct w:val="0"/>
        <w:topLinePunct w:val="0"/>
        <w:autoSpaceDE w:val="0"/>
        <w:autoSpaceDN w:val="0"/>
        <w:bidi w:val="0"/>
        <w:adjustRightInd w:val="0"/>
        <w:snapToGrid w:val="0"/>
        <w:spacing w:line="560" w:lineRule="exact"/>
        <w:ind w:firstLine="64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为有效消除中考相关信息差，保障中考工作公平、公正、公开有序开展，根据市教育局相关工作要求，结合</w:t>
      </w:r>
      <w:r>
        <w:rPr>
          <w:rFonts w:hint="eastAsia" w:ascii="宋体" w:hAnsi="宋体" w:eastAsia="宋体" w:cs="宋体"/>
          <w:color w:val="auto"/>
          <w:sz w:val="24"/>
          <w:szCs w:val="24"/>
          <w:highlight w:val="none"/>
          <w:lang w:val="en-US" w:eastAsia="zh-CN"/>
        </w:rPr>
        <w:t>西安</w:t>
      </w:r>
      <w:r>
        <w:rPr>
          <w:rFonts w:hint="eastAsia" w:ascii="宋体" w:hAnsi="宋体" w:eastAsia="宋体" w:cs="宋体"/>
          <w:color w:val="auto"/>
          <w:sz w:val="24"/>
          <w:szCs w:val="24"/>
          <w:highlight w:val="none"/>
        </w:rPr>
        <w:t>市中考工作实际，需搭建专属中考政策宣传平台，开展全流程中考政策与流程的宣传解读、内容推送及效果跟踪工作。为保障该项工作高质量、有序推进，现需对2026年中考相关业务通过采购专业服务的方式，完成平台搭建运维、内容创作执行、效果跟踪评估等全流程工作，确保中考政策信息精准、高效触达用户，为中考工作顺利开展提供信息保障。</w:t>
      </w:r>
    </w:p>
    <w:p w14:paraId="0D244674">
      <w:pPr>
        <w:pStyle w:val="31"/>
        <w:keepNext w:val="0"/>
        <w:keepLines w:val="0"/>
        <w:pageBreakBefore w:val="0"/>
        <w:kinsoku/>
        <w:overflowPunct/>
        <w:topLinePunct w:val="0"/>
        <w:bidi w:val="0"/>
        <w:adjustRightInd/>
        <w:spacing w:line="336" w:lineRule="auto"/>
        <w:ind w:firstLine="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采购标的所属行业：</w:t>
      </w:r>
    </w:p>
    <w:tbl>
      <w:tblPr>
        <w:tblStyle w:val="22"/>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4105"/>
        <w:gridCol w:w="2841"/>
      </w:tblGrid>
      <w:tr w14:paraId="330D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tcPr>
          <w:p w14:paraId="09274778">
            <w:pPr>
              <w:pStyle w:val="31"/>
              <w:keepNext w:val="0"/>
              <w:keepLines w:val="0"/>
              <w:pageBreakBefore w:val="0"/>
              <w:kinsoku/>
              <w:overflowPunct/>
              <w:topLinePunct w:val="0"/>
              <w:bidi w:val="0"/>
              <w:adjustRightInd/>
              <w:spacing w:line="336" w:lineRule="auto"/>
              <w:ind w:left="0" w:leftChars="0"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4105" w:type="dxa"/>
          </w:tcPr>
          <w:p w14:paraId="5F896623">
            <w:pPr>
              <w:pStyle w:val="31"/>
              <w:keepNext w:val="0"/>
              <w:keepLines w:val="0"/>
              <w:pageBreakBefore w:val="0"/>
              <w:kinsoku/>
              <w:overflowPunct/>
              <w:topLinePunct w:val="0"/>
              <w:bidi w:val="0"/>
              <w:adjustRightInd/>
              <w:spacing w:line="336" w:lineRule="auto"/>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标的名称</w:t>
            </w:r>
          </w:p>
        </w:tc>
        <w:tc>
          <w:tcPr>
            <w:tcW w:w="2841" w:type="dxa"/>
          </w:tcPr>
          <w:p w14:paraId="5820C040">
            <w:pPr>
              <w:pStyle w:val="31"/>
              <w:keepNext w:val="0"/>
              <w:keepLines w:val="0"/>
              <w:pageBreakBefore w:val="0"/>
              <w:kinsoku/>
              <w:overflowPunct/>
              <w:topLinePunct w:val="0"/>
              <w:bidi w:val="0"/>
              <w:adjustRightInd/>
              <w:spacing w:line="336" w:lineRule="auto"/>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所属行业</w:t>
            </w:r>
          </w:p>
        </w:tc>
      </w:tr>
      <w:tr w14:paraId="69B6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tcPr>
          <w:p w14:paraId="09E39CA1">
            <w:pPr>
              <w:pStyle w:val="31"/>
              <w:keepNext w:val="0"/>
              <w:keepLines w:val="0"/>
              <w:pageBreakBefore w:val="0"/>
              <w:kinsoku/>
              <w:overflowPunct/>
              <w:topLinePunct w:val="0"/>
              <w:bidi w:val="0"/>
              <w:adjustRightInd/>
              <w:spacing w:line="336" w:lineRule="auto"/>
              <w:ind w:left="0" w:leftChars="0"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4105" w:type="dxa"/>
          </w:tcPr>
          <w:p w14:paraId="121340FB">
            <w:pPr>
              <w:pStyle w:val="31"/>
              <w:keepNext w:val="0"/>
              <w:keepLines w:val="0"/>
              <w:pageBreakBefore w:val="0"/>
              <w:kinsoku/>
              <w:overflowPunct/>
              <w:topLinePunct w:val="0"/>
              <w:bidi w:val="0"/>
              <w:adjustRightInd/>
              <w:spacing w:line="336" w:lineRule="auto"/>
              <w:ind w:left="0" w:leftChars="0" w:firstLine="0" w:firstLineChars="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中考政策与流程的宣传解读内容推送效果跟踪的一体化服务</w:t>
            </w:r>
          </w:p>
        </w:tc>
        <w:tc>
          <w:tcPr>
            <w:tcW w:w="2841" w:type="dxa"/>
          </w:tcPr>
          <w:p w14:paraId="1D201F9C">
            <w:pPr>
              <w:pStyle w:val="31"/>
              <w:keepNext w:val="0"/>
              <w:keepLines w:val="0"/>
              <w:pageBreakBefore w:val="0"/>
              <w:kinsoku/>
              <w:overflowPunct/>
              <w:topLinePunct w:val="0"/>
              <w:bidi w:val="0"/>
              <w:adjustRightInd/>
              <w:spacing w:line="336" w:lineRule="auto"/>
              <w:ind w:left="0" w:leftChars="0" w:firstLine="0" w:firstLineChars="0"/>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其他未列明行业</w:t>
            </w:r>
          </w:p>
        </w:tc>
      </w:tr>
    </w:tbl>
    <w:p w14:paraId="485C4729">
      <w:pPr>
        <w:pStyle w:val="31"/>
        <w:keepNext w:val="0"/>
        <w:keepLines w:val="0"/>
        <w:pageBreakBefore w:val="0"/>
        <w:kinsoku/>
        <w:overflowPunct/>
        <w:topLinePunct w:val="0"/>
        <w:bidi w:val="0"/>
        <w:adjustRightInd/>
        <w:spacing w:line="336" w:lineRule="auto"/>
        <w:ind w:left="0" w:leftChars="0" w:firstLine="0" w:firstLineChars="0"/>
        <w:outlineLvl w:val="9"/>
        <w:rPr>
          <w:rFonts w:hint="eastAsia" w:ascii="宋体" w:hAnsi="宋体" w:eastAsia="宋体" w:cs="宋体"/>
          <w:b/>
          <w:bCs/>
          <w:color w:val="auto"/>
          <w:sz w:val="24"/>
          <w:szCs w:val="24"/>
          <w:highlight w:val="none"/>
        </w:rPr>
      </w:pPr>
    </w:p>
    <w:p w14:paraId="0C589A1C">
      <w:pPr>
        <w:keepNext w:val="0"/>
        <w:keepLines w:val="0"/>
        <w:pageBreakBefore w:val="0"/>
        <w:kinsoku/>
        <w:wordWrap/>
        <w:overflowPunct/>
        <w:topLinePunct w:val="0"/>
        <w:bidi w:val="0"/>
        <w:adjustRightInd/>
        <w:spacing w:line="336" w:lineRule="auto"/>
        <w:outlineLvl w:val="9"/>
        <w:rPr>
          <w:rFonts w:hint="eastAsia" w:ascii="宋体" w:hAnsi="宋体" w:eastAsia="宋体" w:cs="宋体"/>
          <w:b/>
          <w:color w:val="auto"/>
          <w:sz w:val="24"/>
          <w:szCs w:val="24"/>
          <w:highlight w:val="none"/>
          <w:lang w:eastAsia="zh-CN"/>
        </w:rPr>
      </w:pPr>
      <w:bookmarkStart w:id="10" w:name="_Toc1803"/>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商务要求（实质性要求）</w:t>
      </w:r>
      <w:bookmarkEnd w:id="10"/>
    </w:p>
    <w:p w14:paraId="1B7BAE39">
      <w:pPr>
        <w:adjustRightInd w:val="0"/>
        <w:snapToGrid w:val="0"/>
        <w:spacing w:beforeLines="0"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lang w:eastAsia="zh-CN"/>
        </w:rPr>
        <w:t>限</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bidi="ar-SA"/>
        </w:rPr>
        <w:t>自合同签订之日起20个自然日</w:t>
      </w:r>
    </w:p>
    <w:p w14:paraId="71EE4459">
      <w:pPr>
        <w:adjustRightInd w:val="0"/>
        <w:snapToGrid w:val="0"/>
        <w:spacing w:beforeLines="0" w:afterLines="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（二）服务地点：采购人指点地点</w:t>
      </w:r>
    </w:p>
    <w:p w14:paraId="2C9E5873">
      <w:pPr>
        <w:adjustRightInd w:val="0"/>
        <w:snapToGrid w:val="0"/>
        <w:spacing w:beforeLines="0" w:afterLines="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（三）合同签订：供应商成交后，自成交通知书发出之日起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日内与采购人签订采购合同。</w:t>
      </w:r>
    </w:p>
    <w:p w14:paraId="4FE1B28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（四）付款方式：</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val="en-US" w:eastAsia="zh-CN"/>
        </w:rPr>
        <w:t>支付预付款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达到付款条件起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日内，支付合同总金额的 50.00%。</w:t>
      </w:r>
      <w:r>
        <w:rPr>
          <w:rFonts w:hint="eastAsia" w:ascii="宋体" w:hAnsi="宋体" w:eastAsia="宋体" w:cs="宋体"/>
          <w:color w:val="auto"/>
          <w:kern w:val="0"/>
          <w:sz w:val="24"/>
          <w:szCs w:val="24"/>
          <w:highlight w:val="none"/>
          <w:lang w:val="en-US" w:eastAsia="zh-CN" w:bidi="ar-SA"/>
        </w:rPr>
        <w:t>平台升级完成并调试运行正常，按要求完成保障工作，验收合格后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达到付款条件起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日内，支付合同总金额的 50.00%。</w:t>
      </w:r>
    </w:p>
    <w:p w14:paraId="07A6D803">
      <w:pPr>
        <w:adjustRightInd w:val="0"/>
        <w:snapToGrid w:val="0"/>
        <w:spacing w:beforeLines="0"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color w:val="auto"/>
          <w:sz w:val="24"/>
          <w:szCs w:val="24"/>
          <w:highlight w:val="none"/>
          <w:lang w:eastAsia="zh-CN"/>
        </w:rPr>
        <w:t>违约责任：</w:t>
      </w:r>
      <w:r>
        <w:rPr>
          <w:rFonts w:hint="eastAsia" w:ascii="宋体" w:hAnsi="宋体" w:eastAsia="宋体" w:cs="宋体"/>
          <w:sz w:val="24"/>
          <w:szCs w:val="24"/>
          <w:highlight w:val="none"/>
        </w:rPr>
        <w:t>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在执行本项目合同中发生的或与本合同有关的争端，双方应通过友好协商解决，经协商在规定天数内不能达成协议时，应提交合同签订所在地裁委员会仲裁。仲裁裁决对双方具有约束力。除另有裁决外， 仲裁费应由败诉方负担。在仲裁期间，除正在进行仲裁部分外，合同其他部分继续执行。</w:t>
      </w:r>
    </w:p>
    <w:p w14:paraId="07480DF3">
      <w:pPr>
        <w:pStyle w:val="45"/>
        <w:numPr>
          <w:ilvl w:val="0"/>
          <w:numId w:val="0"/>
        </w:numPr>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履约验收要求</w:t>
      </w:r>
    </w:p>
    <w:p w14:paraId="7902EA62">
      <w:pPr>
        <w:adjustRightInd w:val="0"/>
        <w:snapToGrid w:val="0"/>
        <w:spacing w:line="360" w:lineRule="auto"/>
        <w:ind w:left="0" w:leftChars="0" w:firstLine="432" w:firstLineChars="180"/>
        <w:rPr>
          <w:rFonts w:hint="eastAsia" w:ascii="宋体" w:hAnsi="宋体" w:eastAsia="宋体" w:cs="宋体"/>
          <w:sz w:val="24"/>
          <w:szCs w:val="24"/>
          <w:highlight w:val="none"/>
        </w:rPr>
      </w:pPr>
      <w:bookmarkStart w:id="11" w:name="_Toc16383"/>
      <w:r>
        <w:rPr>
          <w:rFonts w:hint="eastAsia" w:ascii="宋体" w:hAnsi="宋体" w:eastAsia="宋体" w:cs="宋体"/>
          <w:sz w:val="24"/>
          <w:szCs w:val="24"/>
          <w:highlight w:val="none"/>
        </w:rPr>
        <w:t>1.1.验收时间 考试结束及服务完成后，成交供应商提交验收申请，西安市教育考试中心组织验收。 1.2.验收组织方式 具备验收条件后，成交供应商向采购人提交《项目验收申请》，采购人自行验收。 1.3.验收程序 一次性验收。 1.4.验收内容 按照本项目磋商文件、成交供应商响应文件及合同进行验收。</w:t>
      </w:r>
    </w:p>
    <w:bookmarkEnd w:id="11"/>
    <w:p w14:paraId="3BC051D2">
      <w:pPr>
        <w:keepNext w:val="0"/>
        <w:keepLines w:val="0"/>
        <w:pageBreakBefore w:val="0"/>
        <w:kinsoku/>
        <w:overflowPunct/>
        <w:topLinePunct w:val="0"/>
        <w:bidi w:val="0"/>
        <w:adjustRightInd/>
        <w:spacing w:line="336"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注：商务条款不允许负偏离，否则将被视为无效</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w:t>
      </w:r>
    </w:p>
    <w:p w14:paraId="5C1AF93C">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58EFB0C6">
      <w:pPr>
        <w:pageBreakBefore w:val="0"/>
        <w:kinsoku/>
        <w:wordWrap/>
        <w:overflowPunct/>
        <w:topLinePunct w:val="0"/>
        <w:bidi w:val="0"/>
        <w:spacing w:line="360" w:lineRule="auto"/>
        <w:outlineLvl w:val="9"/>
        <w:rPr>
          <w:rFonts w:hint="eastAsia" w:ascii="宋体" w:hAnsi="宋体" w:eastAsia="宋体" w:cs="宋体"/>
          <w:b/>
          <w:color w:val="auto"/>
          <w:sz w:val="22"/>
          <w:szCs w:val="22"/>
          <w:highlight w:val="none"/>
          <w:lang w:eastAsia="zh-CN"/>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eastAsia="宋体" w:cs="宋体"/>
          <w:b/>
          <w:color w:val="auto"/>
          <w:sz w:val="22"/>
          <w:szCs w:val="22"/>
          <w:highlight w:val="none"/>
          <w:lang w:eastAsia="zh-CN"/>
        </w:rPr>
        <w:t>三、技术</w:t>
      </w:r>
      <w:r>
        <w:rPr>
          <w:rFonts w:hint="eastAsia" w:ascii="宋体" w:hAnsi="宋体" w:eastAsia="宋体" w:cs="宋体"/>
          <w:b/>
          <w:color w:val="auto"/>
          <w:sz w:val="22"/>
          <w:szCs w:val="22"/>
          <w:highlight w:val="none"/>
          <w:lang w:val="en-US" w:eastAsia="zh-CN"/>
        </w:rPr>
        <w:t>服务</w:t>
      </w:r>
      <w:r>
        <w:rPr>
          <w:rFonts w:hint="eastAsia" w:ascii="宋体" w:hAnsi="宋体" w:eastAsia="宋体" w:cs="宋体"/>
          <w:b/>
          <w:color w:val="auto"/>
          <w:sz w:val="22"/>
          <w:szCs w:val="22"/>
          <w:highlight w:val="none"/>
          <w:lang w:eastAsia="zh-CN"/>
        </w:rPr>
        <w:t>要求（实质性条款）</w:t>
      </w:r>
    </w:p>
    <w:p w14:paraId="702F8295">
      <w:pPr>
        <w:keepNext w:val="0"/>
        <w:keepLines w:val="0"/>
        <w:pageBreakBefore w:val="0"/>
        <w:widowControl/>
        <w:kinsoku w:val="0"/>
        <w:wordWrap/>
        <w:topLinePunct w:val="0"/>
        <w:autoSpaceDE w:val="0"/>
        <w:autoSpaceDN w:val="0"/>
        <w:bidi w:val="0"/>
        <w:adjustRightInd w:val="0"/>
        <w:snapToGrid w:val="0"/>
        <w:spacing w:before="85" w:line="560" w:lineRule="exact"/>
        <w:ind w:firstLine="480" w:firstLineChars="200"/>
        <w:textAlignment w:val="baseline"/>
        <w:outlineLvl w:val="1"/>
        <w:rPr>
          <w:rFonts w:hint="eastAsia" w:ascii="宋体" w:hAnsi="宋体" w:eastAsia="宋体" w:cs="宋体"/>
          <w:b/>
          <w:bCs/>
          <w:snapToGrid w:val="0"/>
          <w:color w:val="auto"/>
          <w:spacing w:val="6"/>
          <w:sz w:val="24"/>
          <w:szCs w:val="24"/>
          <w:highlight w:val="none"/>
        </w:rPr>
      </w:pPr>
      <w:r>
        <w:rPr>
          <w:rFonts w:hint="eastAsia" w:ascii="宋体" w:hAnsi="宋体" w:eastAsia="宋体" w:cs="宋体"/>
          <w:b w:val="0"/>
          <w:color w:val="auto"/>
          <w:kern w:val="2"/>
          <w:sz w:val="24"/>
          <w:szCs w:val="24"/>
          <w:highlight w:val="none"/>
          <w:lang w:val="en-US" w:eastAsia="zh-CN" w:bidi="ar-SA"/>
        </w:rPr>
        <w:t>（一）</w:t>
      </w:r>
      <w:bookmarkStart w:id="12" w:name="_Toc23379"/>
      <w:r>
        <w:rPr>
          <w:rFonts w:hint="eastAsia" w:ascii="宋体" w:hAnsi="宋体" w:eastAsia="宋体" w:cs="宋体"/>
          <w:b/>
          <w:bCs/>
          <w:snapToGrid w:val="0"/>
          <w:color w:val="auto"/>
          <w:spacing w:val="6"/>
          <w:sz w:val="24"/>
          <w:szCs w:val="24"/>
          <w:highlight w:val="none"/>
        </w:rPr>
        <w:t>服务内容</w:t>
      </w:r>
    </w:p>
    <w:p w14:paraId="1252AA64">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1</w:t>
      </w:r>
      <w:r>
        <w:rPr>
          <w:rStyle w:val="27"/>
          <w:rFonts w:hint="eastAsia" w:ascii="宋体" w:hAnsi="宋体" w:eastAsia="宋体" w:cs="宋体"/>
          <w:color w:val="auto"/>
          <w:sz w:val="24"/>
          <w:szCs w:val="24"/>
          <w:highlight w:val="none"/>
        </w:rPr>
        <w:t>）完成专属中考政策宣传平台的搭建与优化，保障平台系统稳定运行，界面设计简洁友好，功能模块完善，满足用户信息接收与咨询需求。</w:t>
      </w:r>
    </w:p>
    <w:p w14:paraId="62F7F907">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2</w:t>
      </w:r>
      <w:r>
        <w:rPr>
          <w:rStyle w:val="27"/>
          <w:rFonts w:hint="eastAsia" w:ascii="宋体" w:hAnsi="宋体" w:eastAsia="宋体" w:cs="宋体"/>
          <w:color w:val="auto"/>
          <w:sz w:val="24"/>
          <w:szCs w:val="24"/>
          <w:highlight w:val="none"/>
        </w:rPr>
        <w:t>）结合中考报名、考试准备期、志愿填报期等关键时间节点，完成多形式、高质量的中考相关内容创作与精准推送，确保内容准确、及时、全面。</w:t>
      </w:r>
    </w:p>
    <w:p w14:paraId="25A5A6F3">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3</w:t>
      </w:r>
      <w:r>
        <w:rPr>
          <w:rStyle w:val="27"/>
          <w:rFonts w:hint="eastAsia" w:ascii="宋体" w:hAnsi="宋体" w:eastAsia="宋体" w:cs="宋体"/>
          <w:color w:val="auto"/>
          <w:sz w:val="24"/>
          <w:szCs w:val="24"/>
          <w:highlight w:val="none"/>
        </w:rPr>
        <w:t>）建立完善的中考政策宣传效果跟踪与评估体系，通过多维度数据统计分析，形成规范运营报告，及时优化宣传策略。</w:t>
      </w:r>
    </w:p>
    <w:p w14:paraId="250C3037">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4</w:t>
      </w:r>
      <w:r>
        <w:rPr>
          <w:rStyle w:val="27"/>
          <w:rFonts w:hint="eastAsia" w:ascii="宋体" w:hAnsi="宋体" w:eastAsia="宋体" w:cs="宋体"/>
          <w:color w:val="auto"/>
          <w:sz w:val="24"/>
          <w:szCs w:val="24"/>
          <w:highlight w:val="none"/>
        </w:rPr>
        <w:t>）平稳顺利完成2026年中考全周期政策宣传与信息服务工作，有效消除信息差，提升考生及家长对中考政策的知晓度和满意度。</w:t>
      </w:r>
    </w:p>
    <w:p w14:paraId="703D5818">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5</w:t>
      </w:r>
      <w:r>
        <w:rPr>
          <w:rStyle w:val="27"/>
          <w:rFonts w:hint="eastAsia" w:ascii="宋体" w:hAnsi="宋体" w:eastAsia="宋体" w:cs="宋体"/>
          <w:color w:val="auto"/>
          <w:sz w:val="24"/>
          <w:szCs w:val="24"/>
          <w:highlight w:val="none"/>
        </w:rPr>
        <w:t>）形成可复用的中考政策宣传标准化工作流程，为今后中考信息服务工作积累经验，提升中考工作整体服务水平。</w:t>
      </w:r>
    </w:p>
    <w:p w14:paraId="0C31ECB1">
      <w:pPr>
        <w:keepNext w:val="0"/>
        <w:keepLines w:val="0"/>
        <w:pageBreakBefore w:val="0"/>
        <w:widowControl/>
        <w:kinsoku w:val="0"/>
        <w:wordWrap/>
        <w:topLinePunct w:val="0"/>
        <w:autoSpaceDE w:val="0"/>
        <w:autoSpaceDN w:val="0"/>
        <w:bidi w:val="0"/>
        <w:adjustRightInd w:val="0"/>
        <w:snapToGrid w:val="0"/>
        <w:spacing w:before="85" w:line="560" w:lineRule="exact"/>
        <w:ind w:firstLine="480" w:firstLineChars="200"/>
        <w:textAlignment w:val="baseline"/>
        <w:outlineLvl w:val="1"/>
        <w:rPr>
          <w:rFonts w:hint="eastAsia" w:ascii="宋体" w:hAnsi="宋体" w:eastAsia="宋体" w:cs="宋体"/>
          <w:b/>
          <w:bCs/>
          <w:snapToGrid w:val="0"/>
          <w:color w:val="auto"/>
          <w:spacing w:val="6"/>
          <w:sz w:val="24"/>
          <w:szCs w:val="24"/>
          <w:highlight w:val="none"/>
        </w:rPr>
      </w:pPr>
      <w:r>
        <w:rPr>
          <w:rFonts w:hint="eastAsia" w:ascii="宋体" w:hAnsi="宋体" w:eastAsia="宋体" w:cs="宋体"/>
          <w:b w:val="0"/>
          <w:color w:val="auto"/>
          <w:kern w:val="2"/>
          <w:sz w:val="24"/>
          <w:szCs w:val="24"/>
          <w:highlight w:val="none"/>
          <w:lang w:val="en-US" w:eastAsia="zh-CN" w:bidi="ar-SA"/>
        </w:rPr>
        <w:t>（二）</w:t>
      </w:r>
      <w:bookmarkEnd w:id="12"/>
      <w:r>
        <w:rPr>
          <w:rFonts w:hint="eastAsia" w:ascii="宋体" w:hAnsi="宋体" w:eastAsia="宋体" w:cs="宋体"/>
          <w:b/>
          <w:bCs/>
          <w:snapToGrid w:val="0"/>
          <w:color w:val="auto"/>
          <w:spacing w:val="6"/>
          <w:sz w:val="24"/>
          <w:szCs w:val="24"/>
          <w:highlight w:val="none"/>
          <w:lang w:val="en-US" w:eastAsia="zh-CN"/>
        </w:rPr>
        <w:t>项目</w:t>
      </w:r>
      <w:r>
        <w:rPr>
          <w:rFonts w:hint="eastAsia" w:ascii="宋体" w:hAnsi="宋体" w:eastAsia="宋体" w:cs="宋体"/>
          <w:b/>
          <w:bCs/>
          <w:snapToGrid w:val="0"/>
          <w:color w:val="auto"/>
          <w:spacing w:val="6"/>
          <w:sz w:val="24"/>
          <w:szCs w:val="24"/>
          <w:highlight w:val="none"/>
        </w:rPr>
        <w:t>要求</w:t>
      </w:r>
    </w:p>
    <w:p w14:paraId="296E2D1C">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1.平台搭建与运维服务</w:t>
      </w:r>
    </w:p>
    <w:p w14:paraId="31714797">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lang w:eastAsia="zh-CN"/>
        </w:rPr>
      </w:pPr>
      <w:r>
        <w:rPr>
          <w:rStyle w:val="27"/>
          <w:rFonts w:hint="eastAsia" w:ascii="宋体" w:hAnsi="宋体" w:eastAsia="宋体" w:cs="宋体"/>
          <w:color w:val="auto"/>
          <w:sz w:val="24"/>
          <w:szCs w:val="24"/>
          <w:highlight w:val="none"/>
        </w:rPr>
        <w:t>（1）搭建专属中考政策宣传平台，完成</w:t>
      </w:r>
      <w:r>
        <w:rPr>
          <w:rStyle w:val="27"/>
          <w:rFonts w:hint="eastAsia" w:ascii="宋体" w:hAnsi="宋体" w:eastAsia="宋体" w:cs="宋体"/>
          <w:color w:val="auto"/>
          <w:sz w:val="24"/>
          <w:szCs w:val="24"/>
          <w:highlight w:val="none"/>
          <w:lang w:val="en-US" w:eastAsia="zh-CN"/>
        </w:rPr>
        <w:t>宣传渠道</w:t>
      </w:r>
      <w:r>
        <w:rPr>
          <w:rStyle w:val="27"/>
          <w:rFonts w:hint="eastAsia" w:ascii="宋体" w:hAnsi="宋体" w:eastAsia="宋体" w:cs="宋体"/>
          <w:color w:val="auto"/>
          <w:sz w:val="24"/>
          <w:szCs w:val="24"/>
          <w:highlight w:val="none"/>
        </w:rPr>
        <w:t>认证工作</w:t>
      </w:r>
      <w:r>
        <w:rPr>
          <w:rStyle w:val="27"/>
          <w:rFonts w:hint="eastAsia" w:ascii="宋体" w:hAnsi="宋体" w:eastAsia="宋体" w:cs="宋体"/>
          <w:color w:val="auto"/>
          <w:sz w:val="24"/>
          <w:szCs w:val="24"/>
          <w:highlight w:val="none"/>
          <w:lang w:eastAsia="zh-CN"/>
        </w:rPr>
        <w:t>。</w:t>
      </w:r>
    </w:p>
    <w:p w14:paraId="4956AA1A">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2</w:t>
      </w:r>
      <w:r>
        <w:rPr>
          <w:rStyle w:val="27"/>
          <w:rFonts w:hint="eastAsia" w:ascii="宋体" w:hAnsi="宋体" w:eastAsia="宋体" w:cs="宋体"/>
          <w:color w:val="auto"/>
          <w:sz w:val="24"/>
          <w:szCs w:val="24"/>
          <w:highlight w:val="none"/>
        </w:rPr>
        <w:t>）设计并优化平台界面，设置政策解读、流程指南、常见问题、咨询通道等完善的菜单栏分类，确保用户操作便捷、能快速查找所需信息。</w:t>
      </w:r>
    </w:p>
    <w:p w14:paraId="3A7CD822">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3</w:t>
      </w:r>
      <w:r>
        <w:rPr>
          <w:rStyle w:val="27"/>
          <w:rFonts w:hint="eastAsia" w:ascii="宋体" w:hAnsi="宋体" w:eastAsia="宋体" w:cs="宋体"/>
          <w:color w:val="auto"/>
          <w:sz w:val="24"/>
          <w:szCs w:val="24"/>
          <w:highlight w:val="none"/>
        </w:rPr>
        <w:t>）提供平台日常技术维护服务，包括系统升级、故障修复、服务器保障等，确保平台系统稳定运行，及时处理各类技术故障，保障信息传播与用户咨询工作不受影响。</w:t>
      </w:r>
    </w:p>
    <w:p w14:paraId="13505521">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w:t>
      </w:r>
      <w:r>
        <w:rPr>
          <w:rStyle w:val="27"/>
          <w:rFonts w:hint="eastAsia" w:ascii="宋体" w:hAnsi="宋体" w:eastAsia="宋体" w:cs="宋体"/>
          <w:color w:val="auto"/>
          <w:sz w:val="24"/>
          <w:szCs w:val="24"/>
          <w:highlight w:val="none"/>
          <w:lang w:val="en-US" w:eastAsia="zh-CN"/>
        </w:rPr>
        <w:t>4</w:t>
      </w:r>
      <w:r>
        <w:rPr>
          <w:rStyle w:val="27"/>
          <w:rFonts w:hint="eastAsia" w:ascii="宋体" w:hAnsi="宋体" w:eastAsia="宋体" w:cs="宋体"/>
          <w:color w:val="auto"/>
          <w:sz w:val="24"/>
          <w:szCs w:val="24"/>
          <w:highlight w:val="none"/>
        </w:rPr>
        <w:t>）根据用户使用反馈和中考工作需求，适时对平台功能、界面进行优化调整，持续提升用户体验。</w:t>
      </w:r>
    </w:p>
    <w:p w14:paraId="647D6B3F">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2.内容创作与执行服务</w:t>
      </w:r>
    </w:p>
    <w:p w14:paraId="43109579">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（1）结合中考政策发布期、志愿填报期、考试准备期等关键时间节点，围绕报名条件、一分段表、学校录取分数线、志愿填报规则、录取流程等用户核心需求，创作准确、全面的文字解读内容。</w:t>
      </w:r>
    </w:p>
    <w:p w14:paraId="41461687">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（2）采用图片、动画、视频等多种形式，对中考政策、流程等内容进行可视化制作，确保内容呈现形式丰富、易懂。</w:t>
      </w:r>
    </w:p>
    <w:p w14:paraId="21E6A7AA">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（3）按照中考工作推进节奏，精准、及时推送各类创作内容，保障宣传工作有序、连贯开展，同时及时响应用户咨询，解答常见问题。</w:t>
      </w:r>
    </w:p>
    <w:p w14:paraId="50E5E895">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rPr>
        <w:t>3.</w:t>
      </w:r>
      <w:r>
        <w:rPr>
          <w:rStyle w:val="27"/>
          <w:rFonts w:hint="eastAsia" w:ascii="宋体" w:hAnsi="宋体" w:eastAsia="宋体" w:cs="宋体"/>
          <w:color w:val="auto"/>
          <w:sz w:val="24"/>
          <w:szCs w:val="24"/>
          <w:highlight w:val="none"/>
          <w:lang w:val="en-US" w:eastAsia="zh-CN"/>
        </w:rPr>
        <w:t>多渠道宣传</w:t>
      </w:r>
    </w:p>
    <w:p w14:paraId="4806F4DF">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lang w:val="en-US" w:eastAsia="zh-CN"/>
        </w:rPr>
      </w:pPr>
      <w:r>
        <w:rPr>
          <w:rStyle w:val="27"/>
          <w:rFonts w:hint="eastAsia" w:ascii="宋体" w:hAnsi="宋体" w:eastAsia="宋体" w:cs="宋体"/>
          <w:color w:val="auto"/>
          <w:sz w:val="24"/>
          <w:szCs w:val="24"/>
          <w:highlight w:val="none"/>
          <w:lang w:val="en-US" w:eastAsia="zh-CN"/>
        </w:rPr>
        <w:t>在宣传平台的基础上，在西安市初中学业水平考试招生管理平台、西安市教育考试中心官微、西安市教育局官网等多渠道共享宣传内容，扩大宣传效果。</w:t>
      </w:r>
    </w:p>
    <w:p w14:paraId="081EB05A">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lang w:val="en-US" w:eastAsia="zh-CN"/>
        </w:rPr>
        <w:t>4</w:t>
      </w:r>
      <w:r>
        <w:rPr>
          <w:rStyle w:val="27"/>
          <w:rFonts w:hint="eastAsia" w:ascii="宋体" w:hAnsi="宋体" w:eastAsia="宋体" w:cs="宋体"/>
          <w:color w:val="auto"/>
          <w:sz w:val="24"/>
          <w:szCs w:val="24"/>
          <w:highlight w:val="none"/>
        </w:rPr>
        <w:t>.效果跟踪与评估服务</w:t>
      </w:r>
    </w:p>
    <w:p w14:paraId="33F50534">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（1）统计分析平台用户阅读数据，包括阅读量、点赞量、转发量等，以及平台运营数据，包括用户关注数、咨询量、内容点击量等。</w:t>
      </w:r>
    </w:p>
    <w:p w14:paraId="0D129634">
      <w:pPr>
        <w:keepNext w:val="0"/>
        <w:keepLines w:val="0"/>
        <w:pageBreakBefore w:val="0"/>
        <w:widowControl/>
        <w:kinsoku w:val="0"/>
        <w:wordWrap/>
        <w:topLinePunct w:val="0"/>
        <w:autoSpaceDE w:val="0"/>
        <w:autoSpaceDN w:val="0"/>
        <w:bidi w:val="0"/>
        <w:adjustRightInd w:val="0"/>
        <w:snapToGrid w:val="0"/>
        <w:spacing w:line="560" w:lineRule="exact"/>
        <w:ind w:firstLine="640"/>
        <w:jc w:val="both"/>
        <w:rPr>
          <w:rStyle w:val="27"/>
          <w:rFonts w:hint="eastAsia" w:ascii="宋体" w:hAnsi="宋体" w:eastAsia="宋体" w:cs="宋体"/>
          <w:color w:val="auto"/>
          <w:sz w:val="24"/>
          <w:szCs w:val="24"/>
          <w:highlight w:val="none"/>
        </w:rPr>
      </w:pPr>
      <w:r>
        <w:rPr>
          <w:rStyle w:val="27"/>
          <w:rFonts w:hint="eastAsia" w:ascii="宋体" w:hAnsi="宋体" w:eastAsia="宋体" w:cs="宋体"/>
          <w:color w:val="auto"/>
          <w:sz w:val="24"/>
          <w:szCs w:val="24"/>
          <w:highlight w:val="none"/>
        </w:rPr>
        <w:t>（2）开展用户满意度调查，通过线上问卷、留言反馈等方式，收集考生及家长对平台服务、内容推送的评价意见。</w:t>
      </w:r>
    </w:p>
    <w:p w14:paraId="1DDC494E">
      <w:pPr>
        <w:adjustRightInd w:val="0"/>
        <w:snapToGrid w:val="0"/>
        <w:spacing w:line="360" w:lineRule="auto"/>
        <w:ind w:left="0" w:leftChars="0" w:firstLine="432" w:firstLineChars="180"/>
        <w:rPr>
          <w:rFonts w:hint="eastAsia" w:ascii="宋体" w:hAnsi="宋体" w:eastAsia="宋体" w:cs="宋体"/>
          <w:b w:val="0"/>
          <w:sz w:val="24"/>
          <w:szCs w:val="24"/>
          <w:highlight w:val="none"/>
          <w:lang w:val="en-US" w:eastAsia="zh-CN"/>
        </w:rPr>
      </w:pPr>
      <w:r>
        <w:rPr>
          <w:rStyle w:val="27"/>
          <w:rFonts w:hint="eastAsia" w:ascii="宋体" w:hAnsi="宋体" w:eastAsia="宋体" w:cs="宋体"/>
          <w:color w:val="auto"/>
          <w:sz w:val="24"/>
          <w:szCs w:val="24"/>
          <w:highlight w:val="none"/>
        </w:rPr>
        <w:t>（3）根据数据统计结果和用户反馈，定期编制运营分析报告，提出宣传内容、发布时间、平台功能等方面的优化建议，并配合完成相关调整工作。</w:t>
      </w:r>
    </w:p>
    <w:p w14:paraId="5CB7C2C4">
      <w:pPr>
        <w:keepNext w:val="0"/>
        <w:keepLines w:val="0"/>
        <w:pageBreakBefore w:val="0"/>
        <w:widowControl/>
        <w:kinsoku w:val="0"/>
        <w:wordWrap/>
        <w:topLinePunct w:val="0"/>
        <w:autoSpaceDE w:val="0"/>
        <w:autoSpaceDN w:val="0"/>
        <w:bidi w:val="0"/>
        <w:adjustRightInd w:val="0"/>
        <w:snapToGrid w:val="0"/>
        <w:spacing w:before="85" w:line="560" w:lineRule="exact"/>
        <w:ind w:firstLine="480" w:firstLineChars="200"/>
        <w:textAlignment w:val="baseline"/>
        <w:outlineLvl w:val="1"/>
        <w:rPr>
          <w:rFonts w:hint="eastAsia" w:ascii="宋体" w:hAnsi="宋体" w:eastAsia="宋体" w:cs="宋体"/>
          <w:b/>
          <w:bCs/>
          <w:snapToGrid w:val="0"/>
          <w:color w:val="auto"/>
          <w:spacing w:val="6"/>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（三）</w:t>
      </w:r>
      <w:bookmarkStart w:id="13" w:name="_Toc5308"/>
      <w:r>
        <w:rPr>
          <w:rFonts w:hint="eastAsia" w:ascii="宋体" w:hAnsi="宋体" w:eastAsia="宋体" w:cs="宋体"/>
          <w:b/>
          <w:bCs/>
          <w:snapToGrid w:val="0"/>
          <w:color w:val="auto"/>
          <w:spacing w:val="6"/>
          <w:sz w:val="24"/>
          <w:szCs w:val="24"/>
          <w:highlight w:val="none"/>
          <w:lang w:val="en-US" w:eastAsia="zh-CN"/>
        </w:rPr>
        <w:t>技术要求</w:t>
      </w:r>
    </w:p>
    <w:p w14:paraId="68CFB531">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1.本项目实施后需符合西安市教育考试中心信息化建设的要求，包含但不限于以下：</w:t>
      </w:r>
    </w:p>
    <w:p w14:paraId="25ACC735">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（1）需具备高度稳定性，整体稳定性不低于99.999%。</w:t>
      </w:r>
    </w:p>
    <w:p w14:paraId="53405DA2">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（2）最大并发请求用户数不小于5000，同时在线人数不小于20000，访问高峰系统平均响应时间：&lt;3秒。</w:t>
      </w:r>
    </w:p>
    <w:p w14:paraId="7BB10A51">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（3）应能方便扩展，以支持未来的新增应用。功能模块应为松耦合，定制标准接口规范，并支持各主流系统接口规范。设计中应说明如何支持将来的扩展以及和第三方系统的对接。</w:t>
      </w:r>
    </w:p>
    <w:p w14:paraId="21C52248">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（4）必须符合商业密码应用安全性和等保要求，配合采购人完成商用密码应用安全性评估和等级保护测评。</w:t>
      </w:r>
    </w:p>
    <w:p w14:paraId="7DF350A7">
      <w:pPr>
        <w:pageBreakBefore w:val="0"/>
        <w:wordWrap/>
        <w:topLinePunct w:val="0"/>
        <w:bidi w:val="0"/>
        <w:spacing w:line="560" w:lineRule="exact"/>
        <w:ind w:firstLine="480" w:firstLineChars="200"/>
        <w:rPr>
          <w:rFonts w:hint="eastAsia" w:ascii="宋体" w:hAnsi="宋体" w:eastAsia="宋体" w:cs="宋体"/>
          <w:color w:val="5B9BD5" w:themeColor="accent1"/>
          <w:kern w:val="0"/>
          <w:sz w:val="24"/>
          <w:szCs w:val="24"/>
          <w:highlight w:val="none"/>
          <w:lang w:val="en-US" w:eastAsia="zh-CN" w:bidi="ar-SA"/>
          <w14:textFill>
            <w14:solidFill>
              <w14:schemeClr w14:val="accent1"/>
            </w14:solidFill>
          </w14:textFill>
        </w:rPr>
      </w:pPr>
      <w:r>
        <w:rPr>
          <w:rFonts w:hint="eastAsia" w:ascii="宋体" w:hAnsi="宋体" w:eastAsia="宋体" w:cs="宋体"/>
          <w:color w:val="auto"/>
          <w:kern w:val="0"/>
          <w:sz w:val="24"/>
          <w:szCs w:val="24"/>
          <w:highlight w:val="none"/>
          <w:lang w:val="en-US" w:eastAsia="zh-CN" w:bidi="ar-SA"/>
        </w:rPr>
        <w:t>（5）必须符合国产化系统要求。</w:t>
      </w:r>
    </w:p>
    <w:p w14:paraId="4F52541E">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（6）全方位保障和运维平台功能，为本项目建立完善的备份恢复机制和运维保障机制，保障平台的可持续性和稳定性。</w:t>
      </w:r>
    </w:p>
    <w:p w14:paraId="389E6385">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2.知识产权</w:t>
      </w:r>
    </w:p>
    <w:p w14:paraId="7D8D007E">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西安教育考试中心享有对管理平台进行二次开发权利，供应商需提供二次开发接口，不得设置知识产权壁垒。西安市教育考试中心在中国使用该产品时，免受第三方提出的侵犯其专利权、商标权或工业设计权等知识产权的起诉或司法干预。如果发生上述起诉或干预，则其法律责任均由供应商负责。</w:t>
      </w:r>
    </w:p>
    <w:p w14:paraId="3F991152">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3.技术培训</w:t>
      </w:r>
    </w:p>
    <w:p w14:paraId="382AAA00">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供应商每年提供不少于1次对管理、使用人员的技术培训。</w:t>
      </w:r>
    </w:p>
    <w:p w14:paraId="0151F9FB">
      <w:pPr>
        <w:pageBreakBefore w:val="0"/>
        <w:wordWrap/>
        <w:topLinePunct w:val="0"/>
        <w:bidi w:val="0"/>
        <w:spacing w:line="560" w:lineRule="exact"/>
        <w:ind w:firstLine="720" w:firstLineChars="3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4.技术服务</w:t>
      </w:r>
    </w:p>
    <w:p w14:paraId="2BACBCBC">
      <w:pPr>
        <w:pageBreakBefore w:val="0"/>
        <w:wordWrap/>
        <w:topLinePunct w:val="0"/>
        <w:bidi w:val="0"/>
        <w:spacing w:line="56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在项目运营期间，供应商必须提供技术保障、内容制作等人员，做好服务保障。</w:t>
      </w:r>
    </w:p>
    <w:p w14:paraId="165BE454">
      <w:pPr>
        <w:keepNext w:val="0"/>
        <w:keepLines w:val="0"/>
        <w:pageBreakBefore w:val="0"/>
        <w:widowControl/>
        <w:kinsoku w:val="0"/>
        <w:wordWrap/>
        <w:topLinePunct w:val="0"/>
        <w:autoSpaceDE w:val="0"/>
        <w:autoSpaceDN w:val="0"/>
        <w:bidi w:val="0"/>
        <w:adjustRightInd w:val="0"/>
        <w:snapToGrid w:val="0"/>
        <w:spacing w:before="85" w:line="560" w:lineRule="exact"/>
        <w:ind w:firstLine="480" w:firstLineChars="200"/>
        <w:textAlignment w:val="baseline"/>
        <w:outlineLvl w:val="1"/>
        <w:rPr>
          <w:rFonts w:hint="eastAsia" w:ascii="宋体" w:hAnsi="宋体" w:eastAsia="宋体" w:cs="宋体"/>
          <w:b/>
          <w:bCs/>
          <w:snapToGrid w:val="0"/>
          <w:color w:val="auto"/>
          <w:spacing w:val="6"/>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四）</w:t>
      </w:r>
      <w:bookmarkEnd w:id="13"/>
      <w:r>
        <w:rPr>
          <w:rFonts w:hint="eastAsia" w:ascii="宋体" w:hAnsi="宋体" w:eastAsia="宋体" w:cs="宋体"/>
          <w:b/>
          <w:bCs/>
          <w:snapToGrid w:val="0"/>
          <w:color w:val="auto"/>
          <w:spacing w:val="6"/>
          <w:sz w:val="24"/>
          <w:szCs w:val="24"/>
          <w:highlight w:val="none"/>
          <w:lang w:val="en-US" w:eastAsia="zh-CN"/>
        </w:rPr>
        <w:t>保密要求</w:t>
      </w:r>
    </w:p>
    <w:p w14:paraId="5D09590B">
      <w:pPr>
        <w:adjustRightInd w:val="0"/>
        <w:snapToGrid w:val="0"/>
        <w:spacing w:line="360" w:lineRule="auto"/>
        <w:ind w:left="0" w:leftChars="0" w:firstLine="432" w:firstLineChars="18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成交供应商及相关工作人员应严格遵守国家、教育部相关保密相关法律法规，遵守采购人的相关工作纪律。成交供应商不得刺探采购人与系统服务、数据管理工作无关的秘密；不得向任何第三方披露采购人的业务秘密，包括业务运作模式、照顾政策、考生信息、考试安排预计划、考生分数情况、监考人员及工作人员名单、系统技术参数与安全措施等；不得擅自修改、备份、恢复数据等；严禁篡改成绩分数及等级、考生信息、考生志愿等行为；不得私自接受为他人提供查分操作。</w:t>
      </w:r>
    </w:p>
    <w:p w14:paraId="0F15A272">
      <w:pPr>
        <w:keepNext w:val="0"/>
        <w:keepLines w:val="0"/>
        <w:pageBreakBefore w:val="0"/>
        <w:kinsoku/>
        <w:overflowPunct/>
        <w:topLinePunct w:val="0"/>
        <w:bidi w:val="0"/>
        <w:adjustRightInd/>
        <w:spacing w:line="336" w:lineRule="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eastAsia="zh-CN"/>
        </w:rPr>
        <w:t>技术</w:t>
      </w: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lang w:eastAsia="zh-CN"/>
        </w:rPr>
        <w:t>要求</w:t>
      </w:r>
      <w:r>
        <w:rPr>
          <w:rFonts w:hint="eastAsia" w:ascii="宋体" w:hAnsi="宋体" w:eastAsia="宋体" w:cs="宋体"/>
          <w:b/>
          <w:color w:val="auto"/>
          <w:sz w:val="24"/>
          <w:szCs w:val="24"/>
          <w:highlight w:val="none"/>
        </w:rPr>
        <w:t>条款不允许负偏离，否则将被视为无效</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w:t>
      </w:r>
    </w:p>
    <w:p w14:paraId="7E235025">
      <w:pPr>
        <w:pageBreakBefore w:val="0"/>
        <w:kinsoku/>
        <w:overflowPunct/>
        <w:topLinePunct w:val="0"/>
        <w:bidi w:val="0"/>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18391F69">
      <w:pPr>
        <w:keepNext/>
        <w:keepLines/>
        <w:pageBreakBefore w:val="0"/>
        <w:widowControl/>
        <w:tabs>
          <w:tab w:val="left" w:pos="425"/>
          <w:tab w:val="left" w:pos="4265"/>
        </w:tabs>
        <w:kinsoku/>
        <w:wordWrap/>
        <w:overflowPunct/>
        <w:topLinePunct w:val="0"/>
        <w:autoSpaceDE w:val="0"/>
        <w:autoSpaceDN w:val="0"/>
        <w:bidi w:val="0"/>
        <w:adjustRightInd/>
        <w:snapToGrid/>
        <w:spacing w:before="340" w:after="330" w:line="360" w:lineRule="auto"/>
        <w:jc w:val="center"/>
        <w:textAlignment w:val="auto"/>
        <w:outlineLvl w:val="0"/>
        <w:rPr>
          <w:rFonts w:hint="eastAsia" w:ascii="宋体" w:hAnsi="宋体" w:eastAsia="宋体" w:cs="宋体"/>
          <w:b/>
          <w:color w:val="auto"/>
          <w:sz w:val="28"/>
          <w:highlight w:val="none"/>
        </w:rPr>
      </w:pPr>
      <w:bookmarkStart w:id="14" w:name="_Toc27920"/>
      <w:r>
        <w:rPr>
          <w:rFonts w:hint="eastAsia" w:ascii="宋体" w:hAnsi="宋体" w:eastAsia="宋体" w:cs="宋体"/>
          <w:b/>
          <w:color w:val="auto"/>
          <w:sz w:val="28"/>
          <w:highlight w:val="none"/>
        </w:rPr>
        <w:t>第五章  磋商程序</w:t>
      </w:r>
      <w:bookmarkEnd w:id="14"/>
    </w:p>
    <w:p w14:paraId="56CB74D0">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lang w:eastAsia="zh-CN"/>
        </w:rPr>
      </w:pPr>
      <w:bookmarkStart w:id="15" w:name="_Toc31143"/>
      <w:r>
        <w:rPr>
          <w:rFonts w:hint="eastAsia" w:ascii="宋体" w:hAnsi="宋体" w:eastAsia="宋体" w:cs="宋体"/>
          <w:color w:val="auto"/>
          <w:sz w:val="24"/>
          <w:highlight w:val="none"/>
          <w:lang w:eastAsia="zh-CN"/>
        </w:rPr>
        <w:t>1、磋商小组及专家组成</w:t>
      </w:r>
      <w:bookmarkEnd w:id="15"/>
    </w:p>
    <w:p w14:paraId="320DBF1A">
      <w:pPr>
        <w:pageBreakBefore w:val="0"/>
        <w:widowControl/>
        <w:kinsoku/>
        <w:wordWrap/>
        <w:overflowPunct/>
        <w:topLinePunct w:val="0"/>
        <w:bidi w:val="0"/>
        <w:spacing w:line="300" w:lineRule="auto"/>
        <w:ind w:firstLine="360" w:firstLineChars="150"/>
        <w:jc w:val="left"/>
        <w:outlineLvl w:val="9"/>
        <w:rPr>
          <w:rFonts w:hint="eastAsia" w:ascii="宋体" w:hAnsi="宋体" w:eastAsia="宋体" w:cs="宋体"/>
          <w:color w:val="auto"/>
          <w:sz w:val="24"/>
          <w:highlight w:val="none"/>
          <w:lang w:eastAsia="zh-CN"/>
        </w:rPr>
      </w:pPr>
      <w:bookmarkStart w:id="16" w:name="_Toc23624"/>
      <w:r>
        <w:rPr>
          <w:rFonts w:hint="eastAsia" w:ascii="宋体" w:hAnsi="宋体" w:eastAsia="宋体" w:cs="宋体"/>
          <w:color w:val="auto"/>
          <w:sz w:val="24"/>
          <w:highlight w:val="none"/>
          <w:lang w:eastAsia="zh-CN"/>
        </w:rPr>
        <w:t>依据《中华人民共和国政府采购法》和《政府采购竞争性磋商采购方式管理暂行办法》（财库〔2014〕214 号）等的规定并结合本次采购项目的实际情况，磋商小组由采购人的代表和有关方面的专家三人及以上的单数组成，其中专家人数不少于成员总数的三分之二，负责本次采购项目的竞争性磋商和评审工作。</w:t>
      </w:r>
      <w:bookmarkEnd w:id="16"/>
    </w:p>
    <w:p w14:paraId="56609C67">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lang w:eastAsia="zh-CN"/>
        </w:rPr>
      </w:pPr>
      <w:bookmarkStart w:id="17" w:name="_Toc21753"/>
      <w:r>
        <w:rPr>
          <w:rFonts w:hint="eastAsia" w:ascii="宋体" w:hAnsi="宋体" w:eastAsia="宋体" w:cs="宋体"/>
          <w:color w:val="auto"/>
          <w:sz w:val="24"/>
          <w:highlight w:val="none"/>
        </w:rPr>
        <w:t>2、磋商组织</w:t>
      </w:r>
      <w:bookmarkEnd w:id="17"/>
    </w:p>
    <w:p w14:paraId="2CF5B0E2">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color w:val="auto"/>
          <w:sz w:val="24"/>
          <w:highlight w:val="none"/>
          <w:lang w:val="en-US" w:eastAsia="zh-CN"/>
        </w:rPr>
      </w:pPr>
      <w:bookmarkStart w:id="18" w:name="_Toc22867"/>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磋商工作由采购代理机构组织，具体磋商事务由依法组建的磋商小组负责</w:t>
      </w:r>
      <w:bookmarkEnd w:id="18"/>
      <w:r>
        <w:rPr>
          <w:rFonts w:hint="eastAsia" w:ascii="宋体" w:hAnsi="宋体" w:eastAsia="宋体" w:cs="宋体"/>
          <w:color w:val="auto"/>
          <w:sz w:val="24"/>
          <w:highlight w:val="none"/>
          <w:lang w:eastAsia="zh-CN"/>
        </w:rPr>
        <w:t>。</w:t>
      </w:r>
    </w:p>
    <w:p w14:paraId="2726D630">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bCs/>
          <w:color w:val="auto"/>
          <w:sz w:val="24"/>
          <w:highlight w:val="none"/>
          <w:lang w:eastAsia="zh-CN"/>
        </w:rPr>
      </w:pPr>
      <w:bookmarkStart w:id="19" w:name="_Toc20591"/>
      <w:r>
        <w:rPr>
          <w:rFonts w:hint="eastAsia" w:ascii="宋体" w:hAnsi="宋体" w:eastAsia="宋体" w:cs="宋体"/>
          <w:bCs/>
          <w:color w:val="auto"/>
          <w:sz w:val="24"/>
          <w:highlight w:val="none"/>
          <w:lang w:eastAsia="zh-CN"/>
        </w:rPr>
        <w:t>2.2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bookmarkEnd w:id="19"/>
    </w:p>
    <w:p w14:paraId="08F4D1E7">
      <w:pPr>
        <w:pageBreakBefore w:val="0"/>
        <w:widowControl/>
        <w:kinsoku/>
        <w:wordWrap/>
        <w:overflowPunct/>
        <w:topLinePunct w:val="0"/>
        <w:bidi w:val="0"/>
        <w:spacing w:line="300" w:lineRule="auto"/>
        <w:ind w:firstLine="360" w:firstLineChars="150"/>
        <w:jc w:val="left"/>
        <w:outlineLvl w:val="9"/>
        <w:rPr>
          <w:rFonts w:hint="eastAsia" w:ascii="宋体" w:hAnsi="宋体" w:eastAsia="宋体" w:cs="宋体"/>
          <w:color w:val="auto"/>
          <w:sz w:val="24"/>
          <w:highlight w:val="none"/>
          <w:lang w:eastAsia="zh-CN"/>
        </w:rPr>
      </w:pPr>
      <w:bookmarkStart w:id="20" w:name="_Toc12370"/>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资格审查</w:t>
      </w:r>
      <w:bookmarkEnd w:id="20"/>
    </w:p>
    <w:p w14:paraId="4AE27EB7">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bCs/>
          <w:color w:val="auto"/>
          <w:sz w:val="24"/>
          <w:highlight w:val="none"/>
          <w:lang w:eastAsia="zh-CN"/>
        </w:rPr>
      </w:pPr>
      <w:bookmarkStart w:id="21" w:name="_Toc3062"/>
      <w:r>
        <w:rPr>
          <w:rFonts w:hint="eastAsia" w:ascii="宋体" w:hAnsi="宋体" w:eastAsia="宋体" w:cs="宋体"/>
          <w:bCs/>
          <w:color w:val="auto"/>
          <w:sz w:val="24"/>
          <w:highlight w:val="none"/>
          <w:lang w:eastAsia="zh-CN"/>
        </w:rPr>
        <w:t>3.1在供应商递交响应文件截止时间结束后，</w:t>
      </w:r>
      <w:r>
        <w:rPr>
          <w:rFonts w:hint="eastAsia" w:ascii="宋体" w:hAnsi="宋体" w:eastAsia="宋体" w:cs="宋体"/>
          <w:bCs/>
          <w:color w:val="auto"/>
          <w:sz w:val="24"/>
          <w:highlight w:val="none"/>
          <w:lang w:val="en-US" w:eastAsia="zh-CN"/>
        </w:rPr>
        <w:t>磋商小组</w:t>
      </w:r>
      <w:r>
        <w:rPr>
          <w:rFonts w:hint="eastAsia" w:ascii="宋体" w:hAnsi="宋体" w:eastAsia="宋体" w:cs="宋体"/>
          <w:bCs/>
          <w:color w:val="auto"/>
          <w:sz w:val="24"/>
          <w:highlight w:val="none"/>
          <w:lang w:eastAsia="zh-CN"/>
        </w:rPr>
        <w:t>对递交响应文件的供应商进行资格审查，确定邀请参加磋商的供应商名单。</w:t>
      </w:r>
      <w:bookmarkEnd w:id="21"/>
    </w:p>
    <w:p w14:paraId="703C0AD4">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bCs/>
          <w:color w:val="auto"/>
          <w:sz w:val="24"/>
          <w:highlight w:val="none"/>
          <w:lang w:eastAsia="zh-CN"/>
        </w:rPr>
      </w:pPr>
      <w:bookmarkStart w:id="22" w:name="_Toc26193"/>
      <w:r>
        <w:rPr>
          <w:rFonts w:hint="eastAsia" w:ascii="宋体" w:hAnsi="宋体" w:eastAsia="宋体" w:cs="宋体"/>
          <w:bCs/>
          <w:color w:val="auto"/>
          <w:sz w:val="24"/>
          <w:highlight w:val="none"/>
          <w:lang w:eastAsia="zh-CN"/>
        </w:rPr>
        <w:t>确定参加磋商的供应商数量采用合格数量制，即磋商小组对各供应商资格审查后，凡符合本竞争性磋商文件规定资格条件的，均进入参加磋商的供应商名单。</w:t>
      </w:r>
      <w:r>
        <w:rPr>
          <w:rFonts w:hint="eastAsia" w:ascii="宋体" w:hAnsi="宋体" w:eastAsia="宋体" w:cs="宋体"/>
          <w:color w:val="auto"/>
          <w:sz w:val="24"/>
          <w:highlight w:val="none"/>
        </w:rPr>
        <w:t>磋商小组</w:t>
      </w:r>
      <w:r>
        <w:rPr>
          <w:rFonts w:hint="eastAsia" w:ascii="宋体" w:hAnsi="宋体" w:eastAsia="宋体" w:cs="宋体"/>
          <w:bCs/>
          <w:color w:val="auto"/>
          <w:sz w:val="24"/>
          <w:highlight w:val="none"/>
          <w:lang w:eastAsia="zh-CN"/>
        </w:rPr>
        <w:t>资格审查结束后，出具资格审查报告，确定参加磋商的供应商名单。没有通过资格审查的供应商，应在资格审查报告中说明原因。</w:t>
      </w:r>
      <w:bookmarkEnd w:id="22"/>
    </w:p>
    <w:p w14:paraId="3BCD238D">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bCs/>
          <w:color w:val="auto"/>
          <w:sz w:val="24"/>
          <w:highlight w:val="none"/>
          <w:lang w:eastAsia="zh-CN"/>
        </w:rPr>
      </w:pPr>
      <w:bookmarkStart w:id="23" w:name="_Toc12765"/>
      <w:r>
        <w:rPr>
          <w:rFonts w:hint="eastAsia" w:ascii="宋体" w:hAnsi="宋体" w:eastAsia="宋体" w:cs="宋体"/>
          <w:bCs/>
          <w:color w:val="auto"/>
          <w:sz w:val="24"/>
          <w:highlight w:val="none"/>
          <w:lang w:eastAsia="zh-CN"/>
        </w:rPr>
        <w:t>3.2出具资格审查报告后，代理机构当场向所有递交响应文件的供应商宣布通过及未通过资格审查的供应商名单。</w:t>
      </w:r>
      <w:bookmarkEnd w:id="23"/>
    </w:p>
    <w:p w14:paraId="3FA0BA5B">
      <w:pPr>
        <w:pageBreakBefore w:val="0"/>
        <w:widowControl/>
        <w:kinsoku/>
        <w:wordWrap/>
        <w:overflowPunct/>
        <w:topLinePunct w:val="0"/>
        <w:bidi w:val="0"/>
        <w:spacing w:line="300" w:lineRule="auto"/>
        <w:ind w:firstLine="480" w:firstLineChars="200"/>
        <w:jc w:val="left"/>
        <w:outlineLvl w:val="9"/>
        <w:rPr>
          <w:rFonts w:hint="eastAsia" w:ascii="宋体" w:hAnsi="宋体" w:eastAsia="宋体" w:cs="宋体"/>
          <w:bCs/>
          <w:color w:val="auto"/>
          <w:sz w:val="24"/>
          <w:highlight w:val="none"/>
          <w:lang w:eastAsia="zh-CN"/>
        </w:rPr>
      </w:pPr>
      <w:bookmarkStart w:id="24" w:name="_Toc6157"/>
      <w:r>
        <w:rPr>
          <w:rFonts w:hint="eastAsia" w:ascii="宋体" w:hAnsi="宋体" w:eastAsia="宋体" w:cs="宋体"/>
          <w:bCs/>
          <w:color w:val="auto"/>
          <w:sz w:val="24"/>
          <w:highlight w:val="none"/>
          <w:lang w:eastAsia="zh-CN"/>
        </w:rPr>
        <w:t>3.3通过资格审查的供应商不足三家的，本次竞争性磋商采购活动终止。</w:t>
      </w:r>
      <w:bookmarkEnd w:id="24"/>
    </w:p>
    <w:p w14:paraId="7A48A78F">
      <w:pPr>
        <w:pageBreakBefore w:val="0"/>
        <w:widowControl/>
        <w:kinsoku/>
        <w:wordWrap/>
        <w:overflowPunct/>
        <w:topLinePunct w:val="0"/>
        <w:bidi w:val="0"/>
        <w:spacing w:line="300" w:lineRule="auto"/>
        <w:jc w:val="left"/>
        <w:outlineLvl w:val="9"/>
        <w:rPr>
          <w:rFonts w:hint="eastAsia" w:ascii="宋体" w:hAnsi="宋体" w:eastAsia="宋体" w:cs="宋体"/>
          <w:color w:val="auto"/>
          <w:sz w:val="24"/>
          <w:highlight w:val="none"/>
        </w:rPr>
      </w:pPr>
      <w:bookmarkStart w:id="25" w:name="_Toc16624"/>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、磋商程序</w:t>
      </w:r>
      <w:bookmarkEnd w:id="25"/>
    </w:p>
    <w:p w14:paraId="11B14214">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4.1</w:t>
      </w:r>
      <w:r>
        <w:rPr>
          <w:rFonts w:hint="eastAsia" w:ascii="宋体" w:hAnsi="宋体" w:eastAsia="宋体" w:cs="宋体"/>
          <w:color w:val="auto"/>
          <w:sz w:val="24"/>
          <w:highlight w:val="none"/>
        </w:rPr>
        <w:t>磋商小组成员按磋商文件规定集中与通过资格审查的供应商分别进行磋商，磋商的顺序以现场抽签的方式确定。</w:t>
      </w:r>
    </w:p>
    <w:p w14:paraId="6CAC8301">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50AFB43F">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供应商书面材料应当签字确认，否则无效。供应商为法人的，应当由其法定代表人或者代理人签字确认。</w:t>
      </w:r>
    </w:p>
    <w:p w14:paraId="3BC602C9">
      <w:pPr>
        <w:pageBreakBefore w:val="0"/>
        <w:kinsoku/>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4.3</w:t>
      </w:r>
      <w:r>
        <w:rPr>
          <w:rFonts w:hint="eastAsia" w:ascii="宋体" w:hAnsi="宋体" w:eastAsia="宋体" w:cs="宋体"/>
          <w:color w:val="auto"/>
          <w:sz w:val="24"/>
          <w:highlight w:val="none"/>
        </w:rPr>
        <w:t>磋商过程中，磋商小组对响应文件的有效性、完整性和响应程度进行审查（符合性审查）</w:t>
      </w:r>
      <w:r>
        <w:rPr>
          <w:rFonts w:hint="eastAsia" w:ascii="宋体" w:hAnsi="宋体" w:eastAsia="宋体" w:cs="宋体"/>
          <w:color w:val="auto"/>
          <w:sz w:val="24"/>
          <w:highlight w:val="none"/>
          <w:lang w:eastAsia="zh-CN"/>
        </w:rPr>
        <w:t>。</w:t>
      </w:r>
    </w:p>
    <w:p w14:paraId="20ABA541">
      <w:pPr>
        <w:pageBreakBefore w:val="0"/>
        <w:kinsoku/>
        <w:overflowPunct/>
        <w:topLinePunct w:val="0"/>
        <w:bidi w:val="0"/>
        <w:spacing w:line="300" w:lineRule="auto"/>
        <w:ind w:left="-426"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8C34AC">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10E1F2">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符合性审查</w:t>
      </w:r>
    </w:p>
    <w:p w14:paraId="16EA88C6">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审查中发现供应商响应文件属于下列情况之一的，应按照无效响应文件处理：</w:t>
      </w:r>
    </w:p>
    <w:p w14:paraId="5C562A87">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（1）响应文件组成明显不符合采购文件的规定要求，影响磋商小组评判的；</w:t>
      </w:r>
    </w:p>
    <w:p w14:paraId="21AB6060">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（2）响应文件的语言、计量单位、知识产权、响应有效期等不符合采购文件的规定，影响磋商小组评判的；</w:t>
      </w:r>
    </w:p>
    <w:p w14:paraId="4F198F0F">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（3）磋商小组经过磋商后，供应商响应文件中技术、服务标准明显不符合磋商文件实质性要求的，或者磋商过程中，磋商小组发现或者知晓供应商存在违法、违纪行为的；</w:t>
      </w:r>
    </w:p>
    <w:p w14:paraId="36A945C5">
      <w:pPr>
        <w:pageBreakBefore w:val="0"/>
        <w:kinsoku/>
        <w:wordWrap/>
        <w:overflowPunct/>
        <w:topLinePunct w:val="0"/>
        <w:bidi w:val="0"/>
        <w:spacing w:line="300" w:lineRule="auto"/>
        <w:ind w:left="-426" w:firstLine="480" w:firstLineChars="200"/>
        <w:outlineLvl w:val="9"/>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(4）未载明或者载明的采购项目履约时间、方式、数量及其他政府采购合同实质性内容与本竞争性磋商文件要求不一致，且采购单位无法接受的</w:t>
      </w:r>
      <w:r>
        <w:rPr>
          <w:rFonts w:hint="eastAsia" w:ascii="宋体" w:hAnsi="宋体" w:eastAsia="宋体" w:cs="宋体"/>
          <w:color w:val="auto"/>
          <w:sz w:val="24"/>
          <w:highlight w:val="none"/>
          <w:lang w:eastAsia="zh-CN"/>
        </w:rPr>
        <w:t>；</w:t>
      </w:r>
    </w:p>
    <w:p w14:paraId="7D8671BE">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（5）属于竞争性磋商文件中无效响应情形的。</w:t>
      </w:r>
    </w:p>
    <w:p w14:paraId="399E67E6">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磋商小组对响应文件签署、盖章等进行审查过程中，有下列情形的，磋商小组应当评定为不影响整个响应文件有效性和采购活动公平竞争，并通过响应文件的有效性审查：</w:t>
      </w:r>
    </w:p>
    <w:p w14:paraId="4C995BAD">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（1）响应文件除采购文件明确要求加盖单位（法人）公章的以外，其他地方以相关专用章加盖的；</w:t>
      </w:r>
    </w:p>
    <w:p w14:paraId="74BCAB72">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（2）以骑缝章的形式代替响应文件内容逐页盖章的（但是骑缝章模糊不清，印章名称无法辨认的除外）。</w:t>
      </w:r>
    </w:p>
    <w:p w14:paraId="12DF509F">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14:paraId="5FB59711">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4.4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14:paraId="744C2DC6">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磋商小组淘汰供应商的，应当通知该供应商，并说明理由。</w:t>
      </w:r>
    </w:p>
    <w:p w14:paraId="3EAA3500">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4.5</w:t>
      </w:r>
      <w:r>
        <w:rPr>
          <w:rFonts w:hint="eastAsia" w:ascii="宋体" w:hAnsi="宋体" w:eastAsia="宋体" w:cs="宋体"/>
          <w:color w:val="auto"/>
          <w:sz w:val="24"/>
          <w:highlight w:val="none"/>
        </w:rPr>
        <w:t>供应商响应文件满足或者高于磋商文件规定的采购项目最低要求时，即视同供应商响应文件符合采购需求、质量和服务相等。</w:t>
      </w:r>
    </w:p>
    <w:p w14:paraId="65DB6B7E">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4.6</w:t>
      </w:r>
      <w:r>
        <w:rPr>
          <w:rFonts w:hint="eastAsia" w:ascii="宋体" w:hAnsi="宋体" w:eastAsia="宋体" w:cs="宋体"/>
          <w:color w:val="auto"/>
          <w:sz w:val="24"/>
          <w:highlight w:val="none"/>
        </w:rPr>
        <w:t>供应商进行最终报价，应当在磋商室外填写报价单，密封递交，由采购人方监督代表监督下收齐并集中递交磋商小组。供应商报价单应当由法定代表人或者其代理人签字确认，否则无效。</w:t>
      </w:r>
    </w:p>
    <w:p w14:paraId="67E24C13">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4.6.1报价如果出现下列不一致的，可按以下原则进行修改：</w:t>
      </w:r>
    </w:p>
    <w:p w14:paraId="1A56236C">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（一）大写金额和小写金额不一致的，以大写金额为准，但大写金额文字存在错误的，应当先对大写金额的文字错误进行澄清、说明或者更正，再行修正。</w:t>
      </w:r>
    </w:p>
    <w:p w14:paraId="7096A19A">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（二）总价金额与按单价汇总金额不一致的，以单价金额计算结果为准，但单价或者单价汇总金额存在数字或者文字错误的，应当先对数字或者文字错误进行澄清、说明或者更正，再行修正。</w:t>
      </w:r>
    </w:p>
    <w:p w14:paraId="142BF0E9">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（三）单价金额小数点或者百分比有明显错位的，以总价为准，修正单价。</w:t>
      </w:r>
    </w:p>
    <w:p w14:paraId="55B2FAB2">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0AF71F0">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不得未经澄清、说明或者更正，直接将供应商响应文件作为无效处理。对不同文字文本响应文件的解释发生异议的，以中文文本为准。</w:t>
      </w:r>
    </w:p>
    <w:p w14:paraId="3A74DA0D">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4.7</w:t>
      </w:r>
      <w:r>
        <w:rPr>
          <w:rFonts w:hint="eastAsia" w:ascii="宋体" w:hAnsi="宋体" w:eastAsia="宋体" w:cs="宋体"/>
          <w:color w:val="auto"/>
          <w:sz w:val="24"/>
          <w:highlight w:val="none"/>
        </w:rPr>
        <w:t>在磋商中，磋商的任何一方不得透露</w:t>
      </w:r>
      <w:r>
        <w:rPr>
          <w:rFonts w:hint="eastAsia" w:ascii="宋体" w:hAnsi="宋体" w:eastAsia="宋体" w:cs="宋体"/>
          <w:bCs/>
          <w:color w:val="auto"/>
          <w:sz w:val="24"/>
          <w:highlight w:val="none"/>
        </w:rPr>
        <w:t>应当处于保密阶段的且</w:t>
      </w:r>
      <w:r>
        <w:rPr>
          <w:rFonts w:hint="eastAsia" w:ascii="宋体" w:hAnsi="宋体" w:eastAsia="宋体" w:cs="宋体"/>
          <w:color w:val="auto"/>
          <w:sz w:val="24"/>
          <w:highlight w:val="none"/>
        </w:rPr>
        <w:t>与磋商有关的其他供应商的信息。</w:t>
      </w:r>
    </w:p>
    <w:p w14:paraId="2E537D54">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4.8</w:t>
      </w:r>
      <w:r>
        <w:rPr>
          <w:rFonts w:hint="eastAsia" w:ascii="宋体" w:hAnsi="宋体" w:eastAsia="宋体" w:cs="宋体"/>
          <w:color w:val="auto"/>
          <w:sz w:val="24"/>
          <w:highlight w:val="none"/>
        </w:rPr>
        <w:t>经磋商确定</w:t>
      </w:r>
      <w:r>
        <w:rPr>
          <w:rFonts w:hint="eastAsia" w:ascii="宋体" w:hAnsi="宋体" w:eastAsia="宋体" w:cs="宋体"/>
          <w:color w:val="auto"/>
          <w:sz w:val="24"/>
          <w:highlight w:val="none"/>
          <w:lang w:eastAsia="zh-CN"/>
        </w:rPr>
        <w:t>满足</w:t>
      </w:r>
      <w:r>
        <w:rPr>
          <w:rFonts w:hint="eastAsia" w:ascii="宋体" w:hAnsi="宋体" w:eastAsia="宋体" w:cs="宋体"/>
          <w:color w:val="auto"/>
          <w:sz w:val="24"/>
          <w:highlight w:val="none"/>
        </w:rPr>
        <w:t>采购需求的供应商后，由磋商小组采用综合评分法对</w:t>
      </w:r>
      <w:r>
        <w:rPr>
          <w:rFonts w:hint="eastAsia" w:ascii="宋体" w:hAnsi="宋体" w:eastAsia="宋体" w:cs="宋体"/>
          <w:color w:val="auto"/>
          <w:sz w:val="24"/>
          <w:highlight w:val="none"/>
          <w:lang w:eastAsia="zh-CN"/>
        </w:rPr>
        <w:t>提交最后报价</w:t>
      </w:r>
      <w:r>
        <w:rPr>
          <w:rFonts w:hint="eastAsia" w:ascii="宋体" w:hAnsi="宋体" w:eastAsia="宋体" w:cs="宋体"/>
          <w:color w:val="auto"/>
          <w:sz w:val="24"/>
          <w:highlight w:val="none"/>
        </w:rPr>
        <w:t>供应商的响应文件进行综合评分。</w:t>
      </w:r>
    </w:p>
    <w:p w14:paraId="22FDD1FA">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lang w:eastAsia="zh-CN"/>
        </w:rPr>
        <w:t>异常低价预防措施</w:t>
      </w:r>
    </w:p>
    <w:p w14:paraId="59DEEF3F">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评标中出现下列情形之一的，评标委员会应当启动异常低价投标审查程序：  　　</w:t>
      </w:r>
    </w:p>
    <w:p w14:paraId="3409F75F">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1.投标报价低于全部通过符合性审查供应商投标报价平均值50%的，即投标报价&lt;全部通过符合性审查供应商投标报价平均值×50%；  　　</w:t>
      </w:r>
    </w:p>
    <w:p w14:paraId="7F9360CA">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2.投标报价低于通过符合性审查的次低报价供应商投标报价50%的，即投标报价&lt;通过符合性审查的次低报价供应商投标报价×50%；  　　</w:t>
      </w:r>
    </w:p>
    <w:p w14:paraId="40652AAB">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投标报价低于采购项目最高限价45%的，即投标报价&lt;采购项目最高限价×45%；  　　</w:t>
      </w:r>
    </w:p>
    <w:p w14:paraId="7905C6CD">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4.评标委员会基于专业判断，认为供应商报价过低，有可能影响产品质量或者不能诚信履约的其他情形。  </w:t>
      </w:r>
    </w:p>
    <w:p w14:paraId="73335768">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eastAsia="zh-CN"/>
        </w:rPr>
        <w:t>（二）评标委员会根据招标文件评标办法的规定进行评标，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标现场可不再重复提交。</w:t>
      </w:r>
    </w:p>
    <w:p w14:paraId="4890EBAF">
      <w:pPr>
        <w:pageBreakBefore w:val="0"/>
        <w:kinsoku/>
        <w:wordWrap/>
        <w:overflowPunct/>
        <w:topLinePunct w:val="0"/>
        <w:bidi w:val="0"/>
        <w:spacing w:line="300" w:lineRule="auto"/>
        <w:ind w:left="-426"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4.</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本项目采用：综合评分法。</w:t>
      </w:r>
    </w:p>
    <w:p w14:paraId="5C60604B">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评审委员会成员应当根据自身专业情况对每个有效供应商的响应文件进行独立评分，加权汇总每项评分因素的得分，得出每个有效供应商的总分。</w:t>
      </w:r>
    </w:p>
    <w:p w14:paraId="73ACEE72">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综合评分明细表的制定以科学合理、降低评委会自由裁量权为原则。</w:t>
      </w:r>
    </w:p>
    <w:p w14:paraId="2CBC7603">
      <w:pP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br w:type="page"/>
      </w:r>
    </w:p>
    <w:p w14:paraId="318E9FB5">
      <w:pPr>
        <w:pageBreakBefore w:val="0"/>
        <w:kinsoku/>
        <w:wordWrap/>
        <w:overflowPunct/>
        <w:topLinePunct w:val="0"/>
        <w:bidi w:val="0"/>
        <w:spacing w:line="300" w:lineRule="auto"/>
        <w:ind w:left="-426" w:firstLine="482" w:firstLineChars="200"/>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4.1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.1</w:t>
      </w:r>
      <w:r>
        <w:rPr>
          <w:rFonts w:hint="eastAsia" w:ascii="宋体" w:hAnsi="宋体" w:eastAsia="宋体" w:cs="宋体"/>
          <w:b/>
          <w:color w:val="auto"/>
          <w:sz w:val="24"/>
          <w:highlight w:val="none"/>
        </w:rPr>
        <w:t>综合评分办法</w:t>
      </w:r>
      <w:r>
        <w:rPr>
          <w:rFonts w:hint="eastAsia" w:ascii="宋体" w:hAnsi="宋体" w:eastAsia="宋体" w:cs="宋体"/>
          <w:b/>
          <w:color w:val="auto"/>
          <w:sz w:val="24"/>
          <w:highlight w:val="none"/>
          <w:lang w:eastAsia="zh-CN"/>
        </w:rPr>
        <w:t>：</w:t>
      </w:r>
    </w:p>
    <w:tbl>
      <w:tblPr>
        <w:tblStyle w:val="21"/>
        <w:tblpPr w:leftFromText="180" w:rightFromText="180" w:vertAnchor="text" w:horzAnchor="page" w:tblpX="1736" w:tblpY="272"/>
        <w:tblOverlap w:val="never"/>
        <w:tblW w:w="919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7"/>
        <w:gridCol w:w="893"/>
        <w:gridCol w:w="7413"/>
      </w:tblGrid>
      <w:tr w14:paraId="2B4B7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14:paraId="776D97E7">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b w:val="0"/>
                <w:bCs w:val="0"/>
                <w:i w:val="0"/>
                <w:iCs w:val="0"/>
                <w:color w:val="000000"/>
                <w:kern w:val="0"/>
                <w:sz w:val="24"/>
                <w:szCs w:val="24"/>
                <w:highlight w:val="none"/>
                <w:lang w:val="en-US" w:eastAsia="zh-CN" w:bidi="ar"/>
              </w:rPr>
              <w:t>评标</w:t>
            </w:r>
            <w:r>
              <w:rPr>
                <w:rFonts w:hint="eastAsia" w:ascii="宋体" w:hAnsi="宋体" w:eastAsia="宋体" w:cs="宋体"/>
                <w:b w:val="0"/>
                <w:bCs w:val="0"/>
                <w:i w:val="0"/>
                <w:iCs w:val="0"/>
                <w:color w:val="000000"/>
                <w:kern w:val="0"/>
                <w:sz w:val="24"/>
                <w:szCs w:val="24"/>
                <w:highlight w:val="none"/>
                <w:lang w:val="en-US" w:eastAsia="zh-CN" w:bidi="ar"/>
              </w:rPr>
              <w:br w:type="textWrapping"/>
            </w:r>
            <w:r>
              <w:rPr>
                <w:rFonts w:hint="eastAsia" w:ascii="宋体" w:hAnsi="宋体" w:eastAsia="宋体" w:cs="宋体"/>
                <w:b w:val="0"/>
                <w:bCs w:val="0"/>
                <w:i w:val="0"/>
                <w:iCs w:val="0"/>
                <w:color w:val="000000"/>
                <w:kern w:val="0"/>
                <w:sz w:val="24"/>
                <w:szCs w:val="24"/>
                <w:highlight w:val="none"/>
                <w:lang w:val="en-US" w:eastAsia="zh-CN" w:bidi="ar"/>
              </w:rPr>
              <w:t>因素</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DD9AC48">
            <w:pPr>
              <w:keepNext w:val="0"/>
              <w:keepLines w:val="0"/>
              <w:widowControl/>
              <w:suppressLineNumbers w:val="0"/>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kern w:val="0"/>
                <w:sz w:val="24"/>
                <w:szCs w:val="24"/>
                <w:highlight w:val="none"/>
                <w:lang w:val="en-US" w:eastAsia="zh-CN" w:bidi="ar"/>
              </w:rPr>
              <w:t>权值%</w:t>
            </w:r>
          </w:p>
        </w:tc>
        <w:tc>
          <w:tcPr>
            <w:tcW w:w="7413" w:type="dxa"/>
            <w:tcBorders>
              <w:top w:val="single" w:color="auto" w:sz="4" w:space="0"/>
              <w:left w:val="single" w:color="auto" w:sz="4" w:space="0"/>
              <w:bottom w:val="single" w:color="auto" w:sz="4" w:space="0"/>
              <w:right w:val="single" w:color="auto" w:sz="4" w:space="0"/>
            </w:tcBorders>
            <w:noWrap w:val="0"/>
            <w:vAlign w:val="center"/>
          </w:tcPr>
          <w:p w14:paraId="37A463F5">
            <w:pPr>
              <w:keepNext w:val="0"/>
              <w:keepLines w:val="0"/>
              <w:widowControl/>
              <w:suppressLineNumbers w:val="0"/>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kern w:val="0"/>
                <w:sz w:val="24"/>
                <w:szCs w:val="24"/>
                <w:highlight w:val="none"/>
                <w:lang w:val="en-US" w:eastAsia="zh-CN" w:bidi="ar"/>
              </w:rPr>
              <w:t>内 容</w:t>
            </w:r>
          </w:p>
        </w:tc>
      </w:tr>
      <w:tr w14:paraId="10911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14:paraId="167D99CA">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b w:val="0"/>
                <w:bCs w:val="0"/>
                <w:i w:val="0"/>
                <w:iCs w:val="0"/>
                <w:color w:val="000000"/>
                <w:kern w:val="0"/>
                <w:sz w:val="24"/>
                <w:szCs w:val="24"/>
                <w:highlight w:val="none"/>
                <w:lang w:val="en-US" w:eastAsia="zh-CN" w:bidi="ar"/>
              </w:rPr>
              <w:t>磋商</w:t>
            </w:r>
            <w:r>
              <w:rPr>
                <w:rFonts w:hint="eastAsia" w:ascii="宋体" w:hAnsi="宋体" w:eastAsia="宋体" w:cs="宋体"/>
                <w:b w:val="0"/>
                <w:bCs w:val="0"/>
                <w:i w:val="0"/>
                <w:iCs w:val="0"/>
                <w:color w:val="000000"/>
                <w:kern w:val="0"/>
                <w:sz w:val="24"/>
                <w:szCs w:val="24"/>
                <w:highlight w:val="none"/>
                <w:lang w:val="en-US" w:eastAsia="zh-CN" w:bidi="ar"/>
              </w:rPr>
              <w:br w:type="textWrapping"/>
            </w:r>
            <w:r>
              <w:rPr>
                <w:rFonts w:hint="eastAsia" w:ascii="宋体" w:hAnsi="宋体" w:eastAsia="宋体" w:cs="宋体"/>
                <w:b w:val="0"/>
                <w:bCs w:val="0"/>
                <w:i w:val="0"/>
                <w:iCs w:val="0"/>
                <w:color w:val="000000"/>
                <w:kern w:val="0"/>
                <w:sz w:val="24"/>
                <w:szCs w:val="24"/>
                <w:highlight w:val="none"/>
                <w:lang w:val="en-US" w:eastAsia="zh-CN" w:bidi="ar"/>
              </w:rPr>
              <w:t>报价</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2CA9874">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b w:val="0"/>
                <w:bCs w:val="0"/>
                <w:i w:val="0"/>
                <w:iCs w:val="0"/>
                <w:color w:val="000000"/>
                <w:kern w:val="0"/>
                <w:sz w:val="24"/>
                <w:szCs w:val="24"/>
                <w:highlight w:val="none"/>
                <w:lang w:val="en-US" w:eastAsia="zh-CN" w:bidi="ar"/>
              </w:rPr>
              <w:t>10</w:t>
            </w:r>
          </w:p>
        </w:tc>
        <w:tc>
          <w:tcPr>
            <w:tcW w:w="7413" w:type="dxa"/>
            <w:tcBorders>
              <w:top w:val="single" w:color="auto" w:sz="4" w:space="0"/>
              <w:left w:val="single" w:color="auto" w:sz="4" w:space="0"/>
              <w:bottom w:val="single" w:color="auto" w:sz="4" w:space="0"/>
              <w:right w:val="single" w:color="auto" w:sz="4" w:space="0"/>
            </w:tcBorders>
            <w:noWrap w:val="0"/>
            <w:vAlign w:val="center"/>
          </w:tcPr>
          <w:p w14:paraId="66785DC2">
            <w:pPr>
              <w:widowControl/>
              <w:numPr>
                <w:ilvl w:val="0"/>
                <w:numId w:val="0"/>
              </w:numPr>
              <w:snapToGrid/>
              <w:spacing w:line="240" w:lineRule="auto"/>
              <w:jc w:val="left"/>
              <w:rPr>
                <w:rFonts w:hint="eastAsia" w:ascii="宋体" w:hAnsi="宋体" w:eastAsia="宋体" w:cs="宋体"/>
                <w:color w:val="000000"/>
                <w:kern w:val="0"/>
                <w:sz w:val="24"/>
                <w:szCs w:val="24"/>
                <w:highlight w:val="none"/>
                <w:lang w:eastAsia="zh-Hans"/>
              </w:rPr>
            </w:pPr>
            <w:r>
              <w:rPr>
                <w:rFonts w:hint="eastAsia" w:ascii="宋体" w:hAnsi="宋体" w:eastAsia="宋体" w:cs="宋体"/>
                <w:color w:val="000000"/>
                <w:kern w:val="0"/>
                <w:sz w:val="24"/>
                <w:szCs w:val="24"/>
                <w:highlight w:val="none"/>
                <w:lang w:eastAsia="zh-Hans"/>
              </w:rPr>
              <w:t>1、经初审合格的响应文件，其磋商报价为有效报价。</w:t>
            </w:r>
          </w:p>
          <w:p w14:paraId="793E35EB">
            <w:pPr>
              <w:widowControl/>
              <w:numPr>
                <w:ilvl w:val="0"/>
                <w:numId w:val="0"/>
              </w:numPr>
              <w:snapToGrid/>
              <w:spacing w:line="240" w:lineRule="auto"/>
              <w:jc w:val="left"/>
              <w:rPr>
                <w:rFonts w:hint="eastAsia" w:ascii="宋体" w:hAnsi="宋体" w:eastAsia="宋体" w:cs="宋体"/>
                <w:color w:val="000000"/>
                <w:kern w:val="0"/>
                <w:sz w:val="24"/>
                <w:szCs w:val="24"/>
                <w:highlight w:val="none"/>
                <w:lang w:eastAsia="zh-Hans"/>
              </w:rPr>
            </w:pPr>
            <w:r>
              <w:rPr>
                <w:rFonts w:hint="eastAsia" w:ascii="宋体" w:hAnsi="宋体" w:eastAsia="宋体" w:cs="宋体"/>
                <w:color w:val="000000"/>
                <w:kern w:val="0"/>
                <w:sz w:val="24"/>
                <w:szCs w:val="24"/>
                <w:highlight w:val="none"/>
                <w:lang w:eastAsia="zh-Hans"/>
              </w:rPr>
              <w:t>2、满足磋商文件实质性要求且有效报价最低的供应商磋商报价为磋商基准价。</w:t>
            </w:r>
          </w:p>
          <w:p w14:paraId="68E889FB">
            <w:pPr>
              <w:widowControl/>
              <w:numPr>
                <w:ilvl w:val="0"/>
                <w:numId w:val="0"/>
              </w:numPr>
              <w:snapToGrid/>
              <w:spacing w:line="240" w:lineRule="auto"/>
              <w:jc w:val="left"/>
              <w:rPr>
                <w:rFonts w:hint="eastAsia" w:ascii="宋体" w:hAnsi="宋体" w:eastAsia="宋体" w:cs="宋体"/>
                <w:color w:val="000000"/>
                <w:kern w:val="0"/>
                <w:sz w:val="24"/>
                <w:szCs w:val="24"/>
                <w:highlight w:val="none"/>
                <w:lang w:eastAsia="zh-Hans"/>
              </w:rPr>
            </w:pPr>
            <w:r>
              <w:rPr>
                <w:rFonts w:hint="eastAsia" w:ascii="宋体" w:hAnsi="宋体" w:eastAsia="宋体" w:cs="宋体"/>
                <w:color w:val="000000"/>
                <w:kern w:val="0"/>
                <w:sz w:val="24"/>
                <w:szCs w:val="24"/>
                <w:highlight w:val="none"/>
                <w:lang w:eastAsia="zh-Hans"/>
              </w:rPr>
              <w:t>3、按（磋商基准价/有效报价）×10的公式计算报价得分。</w:t>
            </w:r>
          </w:p>
          <w:p w14:paraId="7C30A0E7">
            <w:pPr>
              <w:widowControl/>
              <w:numPr>
                <w:ilvl w:val="0"/>
                <w:numId w:val="0"/>
              </w:numPr>
              <w:snapToGrid/>
              <w:spacing w:line="240" w:lineRule="auto"/>
              <w:jc w:val="left"/>
              <w:rPr>
                <w:rFonts w:hint="eastAsia" w:ascii="宋体" w:hAnsi="宋体" w:eastAsia="宋体" w:cs="宋体"/>
                <w:color w:val="000000"/>
                <w:kern w:val="0"/>
                <w:sz w:val="24"/>
                <w:szCs w:val="24"/>
                <w:highlight w:val="none"/>
                <w:lang w:eastAsia="zh-Hans"/>
              </w:rPr>
            </w:pPr>
            <w:r>
              <w:rPr>
                <w:rFonts w:hint="eastAsia" w:ascii="宋体" w:hAnsi="宋体" w:eastAsia="宋体" w:cs="宋体"/>
                <w:color w:val="000000"/>
                <w:kern w:val="0"/>
                <w:sz w:val="24"/>
                <w:szCs w:val="24"/>
                <w:highlight w:val="none"/>
                <w:lang w:eastAsia="zh-Hans"/>
              </w:rPr>
              <w:t>4、磋商报价不完整的，不进入磋商</w:t>
            </w:r>
            <w:r>
              <w:rPr>
                <w:rFonts w:hint="eastAsia" w:ascii="宋体" w:hAnsi="宋体" w:eastAsia="宋体" w:cs="宋体"/>
                <w:color w:val="000000"/>
                <w:kern w:val="0"/>
                <w:sz w:val="24"/>
                <w:szCs w:val="24"/>
                <w:highlight w:val="none"/>
                <w:lang w:val="en-US" w:eastAsia="zh-CN"/>
              </w:rPr>
              <w:t>报</w:t>
            </w:r>
            <w:r>
              <w:rPr>
                <w:rFonts w:hint="eastAsia" w:ascii="宋体" w:hAnsi="宋体" w:eastAsia="宋体" w:cs="宋体"/>
                <w:color w:val="000000"/>
                <w:kern w:val="0"/>
                <w:sz w:val="24"/>
                <w:szCs w:val="24"/>
                <w:highlight w:val="none"/>
                <w:lang w:eastAsia="zh-Hans"/>
              </w:rPr>
              <w:t>价的计算，本项得0分。</w:t>
            </w:r>
          </w:p>
          <w:p w14:paraId="403A5365">
            <w:pPr>
              <w:keepNext w:val="0"/>
              <w:keepLines w:val="0"/>
              <w:widowControl/>
              <w:numPr>
                <w:ilvl w:val="0"/>
                <w:numId w:val="0"/>
              </w:numPr>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Hans"/>
              </w:rPr>
              <w:t>注：专门面向中小企业采购的项目或者采购包，不再执行价格评审优惠的扶持政策。</w:t>
            </w:r>
          </w:p>
        </w:tc>
      </w:tr>
      <w:tr w14:paraId="66299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7" w:type="dxa"/>
            <w:tcBorders>
              <w:top w:val="single" w:color="auto" w:sz="4" w:space="0"/>
              <w:left w:val="single" w:color="auto" w:sz="4" w:space="0"/>
              <w:bottom w:val="single" w:color="auto" w:sz="4" w:space="0"/>
              <w:right w:val="single" w:color="auto" w:sz="4" w:space="0"/>
            </w:tcBorders>
            <w:noWrap w:val="0"/>
            <w:vAlign w:val="top"/>
          </w:tcPr>
          <w:p w14:paraId="6D204A51">
            <w:pPr>
              <w:pStyle w:val="47"/>
              <w:keepNext w:val="0"/>
              <w:keepLines w:val="0"/>
              <w:pageBreakBefore w:val="0"/>
              <w:numPr>
                <w:ilvl w:val="0"/>
                <w:numId w:val="0"/>
              </w:numPr>
              <w:kinsoku/>
              <w:wordWrap/>
              <w:bidi w:val="0"/>
              <w:rPr>
                <w:rFonts w:hint="eastAsia" w:ascii="宋体" w:hAnsi="宋体" w:eastAsia="宋体" w:cs="宋体"/>
                <w:b w:val="0"/>
                <w:bCs w:val="0"/>
                <w:snapToGrid/>
                <w:color w:val="auto"/>
                <w:kern w:val="0"/>
                <w:sz w:val="24"/>
                <w:szCs w:val="24"/>
                <w:highlight w:val="none"/>
                <w:lang w:val="en-US" w:eastAsia="zh-CN"/>
              </w:rPr>
            </w:pPr>
            <w:r>
              <w:rPr>
                <w:rFonts w:hint="eastAsia" w:ascii="宋体" w:hAnsi="宋体" w:eastAsia="宋体" w:cs="宋体"/>
                <w:b w:val="0"/>
                <w:bCs w:val="0"/>
                <w:snapToGrid/>
                <w:color w:val="auto"/>
                <w:kern w:val="0"/>
                <w:sz w:val="24"/>
                <w:szCs w:val="24"/>
                <w:highlight w:val="none"/>
                <w:lang w:val="en-US" w:eastAsia="zh-CN"/>
              </w:rPr>
              <w:t>平台搭建与运维方案</w:t>
            </w:r>
          </w:p>
          <w:p w14:paraId="5D2ABE60">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076012A3">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sz w:val="24"/>
                <w:szCs w:val="24"/>
                <w:highlight w:val="none"/>
                <w:lang w:val="en-US"/>
              </w:rPr>
            </w:pPr>
            <w:r>
              <w:rPr>
                <w:rFonts w:hint="eastAsia" w:ascii="宋体" w:hAnsi="宋体" w:eastAsia="宋体" w:cs="宋体"/>
                <w:b w:val="0"/>
                <w:bCs w:val="0"/>
                <w:snapToGrid/>
                <w:color w:val="auto"/>
                <w:kern w:val="0"/>
                <w:sz w:val="24"/>
                <w:szCs w:val="24"/>
                <w:highlight w:val="none"/>
                <w:lang w:val="en-US" w:eastAsia="zh-CN"/>
              </w:rPr>
              <w:t>24</w:t>
            </w:r>
          </w:p>
        </w:tc>
        <w:tc>
          <w:tcPr>
            <w:tcW w:w="7413" w:type="dxa"/>
            <w:tcBorders>
              <w:top w:val="single" w:color="auto" w:sz="4" w:space="0"/>
              <w:left w:val="single" w:color="auto" w:sz="4" w:space="0"/>
              <w:bottom w:val="single" w:color="auto" w:sz="4" w:space="0"/>
              <w:right w:val="single" w:color="auto" w:sz="4" w:space="0"/>
            </w:tcBorders>
            <w:noWrap w:val="0"/>
            <w:vAlign w:val="top"/>
          </w:tcPr>
          <w:p w14:paraId="12BAA368">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sz w:val="24"/>
                <w:szCs w:val="24"/>
                <w:highlight w:val="none"/>
              </w:rPr>
            </w:pPr>
            <w:r>
              <w:rPr>
                <w:rFonts w:hint="eastAsia" w:ascii="宋体" w:hAnsi="宋体" w:eastAsia="宋体" w:cs="宋体"/>
                <w:b w:val="0"/>
                <w:bCs w:val="0"/>
                <w:snapToGrid/>
                <w:color w:val="auto"/>
                <w:kern w:val="0"/>
                <w:sz w:val="24"/>
                <w:szCs w:val="24"/>
                <w:highlight w:val="none"/>
                <w:lang w:val="en-US" w:eastAsia="zh-CN"/>
              </w:rPr>
              <w:t>根据供应商提供的平台搭建与运维方案（内容包括但不限于①平台搭建与渠道认证搭建实施方案；②界面设计与功能布局方案；③技术运维与稳定性保障方案；④数据安全与保密方案；）进行评审。方案内容齐全，得24分；评审内容每缺一项扣6分，每项方案有缺陷未完全紧扣评审标准的每处扣0.5分，扣完为止；注：缺陷是指：存在项目名称错误、地点区域错误、内容与本项目需求无关、仅有框架或标题、适用的标准（方法）错误、明显复制其他项目内容等任意一种情形。</w:t>
            </w:r>
          </w:p>
        </w:tc>
      </w:tr>
      <w:tr w14:paraId="5962D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7" w:type="dxa"/>
            <w:tcBorders>
              <w:top w:val="single" w:color="auto" w:sz="4" w:space="0"/>
              <w:left w:val="single" w:color="auto" w:sz="4" w:space="0"/>
              <w:bottom w:val="single" w:color="auto" w:sz="4" w:space="0"/>
              <w:right w:val="single" w:color="auto" w:sz="4" w:space="0"/>
            </w:tcBorders>
            <w:noWrap w:val="0"/>
            <w:vAlign w:val="top"/>
          </w:tcPr>
          <w:p w14:paraId="46A51900">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snapToGrid/>
                <w:color w:val="auto"/>
                <w:kern w:val="0"/>
                <w:sz w:val="24"/>
                <w:szCs w:val="24"/>
                <w:highlight w:val="none"/>
                <w:lang w:val="en-US" w:eastAsia="zh-CN"/>
              </w:rPr>
              <w:t>内容创作与执行方案</w:t>
            </w:r>
          </w:p>
        </w:tc>
        <w:tc>
          <w:tcPr>
            <w:tcW w:w="893" w:type="dxa"/>
            <w:tcBorders>
              <w:top w:val="single" w:color="auto" w:sz="4" w:space="0"/>
              <w:left w:val="single" w:color="auto" w:sz="4" w:space="0"/>
              <w:bottom w:val="single" w:color="auto" w:sz="4" w:space="0"/>
              <w:right w:val="single" w:color="auto" w:sz="4" w:space="0"/>
            </w:tcBorders>
            <w:noWrap w:val="0"/>
            <w:vAlign w:val="top"/>
          </w:tcPr>
          <w:p w14:paraId="38665828">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snapToGrid/>
                <w:color w:val="auto"/>
                <w:kern w:val="0"/>
                <w:sz w:val="24"/>
                <w:szCs w:val="24"/>
                <w:highlight w:val="none"/>
                <w:lang w:val="en-US" w:eastAsia="zh-CN"/>
              </w:rPr>
              <w:t>24</w:t>
            </w:r>
          </w:p>
        </w:tc>
        <w:tc>
          <w:tcPr>
            <w:tcW w:w="7413" w:type="dxa"/>
            <w:tcBorders>
              <w:top w:val="single" w:color="auto" w:sz="4" w:space="0"/>
              <w:left w:val="single" w:color="auto" w:sz="4" w:space="0"/>
              <w:bottom w:val="single" w:color="auto" w:sz="4" w:space="0"/>
              <w:right w:val="single" w:color="auto" w:sz="4" w:space="0"/>
            </w:tcBorders>
            <w:noWrap w:val="0"/>
            <w:vAlign w:val="top"/>
          </w:tcPr>
          <w:p w14:paraId="03F742BC">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Hans" w:bidi="ar"/>
              </w:rPr>
            </w:pPr>
            <w:r>
              <w:rPr>
                <w:rFonts w:hint="eastAsia" w:ascii="宋体" w:hAnsi="宋体" w:eastAsia="宋体" w:cs="宋体"/>
                <w:b w:val="0"/>
                <w:bCs w:val="0"/>
                <w:snapToGrid/>
                <w:color w:val="auto"/>
                <w:kern w:val="0"/>
                <w:sz w:val="24"/>
                <w:szCs w:val="24"/>
                <w:highlight w:val="none"/>
                <w:lang w:val="en-US" w:eastAsia="zh-CN"/>
              </w:rPr>
              <w:t>供应商针对本项目制定内容创作与执行方案（至少应包含①咨询响应服务②关键节点内容创作③可视化内容制作④精准推送与多渠道共享）进行评审。方案内容齐全，得24分；评审内容每缺一项扣6分，每项方案有缺陷未完全紧扣评审标准的每处扣0.5分，扣完为止；注：缺陷是指：存在项目名称错误、地点区域错误、内容与本项目需求无关、仅有框架或标题、适用的标准（方法）错误、明显复制其他项目内容等任意一种情形。</w:t>
            </w:r>
          </w:p>
        </w:tc>
      </w:tr>
      <w:tr w14:paraId="2C1FB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7" w:type="dxa"/>
            <w:tcBorders>
              <w:top w:val="single" w:color="auto" w:sz="4" w:space="0"/>
              <w:left w:val="single" w:color="auto" w:sz="4" w:space="0"/>
              <w:bottom w:val="single" w:color="auto" w:sz="4" w:space="0"/>
              <w:right w:val="single" w:color="auto" w:sz="4" w:space="0"/>
            </w:tcBorders>
            <w:noWrap w:val="0"/>
            <w:vAlign w:val="top"/>
          </w:tcPr>
          <w:p w14:paraId="50C38100">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snapToGrid/>
                <w:color w:val="auto"/>
                <w:kern w:val="0"/>
                <w:sz w:val="24"/>
                <w:szCs w:val="24"/>
                <w:highlight w:val="none"/>
                <w:lang w:val="en-US" w:eastAsia="zh-CN"/>
              </w:rPr>
              <w:t>全周期服务与标准化建设</w:t>
            </w:r>
          </w:p>
        </w:tc>
        <w:tc>
          <w:tcPr>
            <w:tcW w:w="893" w:type="dxa"/>
            <w:tcBorders>
              <w:top w:val="single" w:color="auto" w:sz="4" w:space="0"/>
              <w:left w:val="single" w:color="auto" w:sz="4" w:space="0"/>
              <w:bottom w:val="single" w:color="auto" w:sz="4" w:space="0"/>
              <w:right w:val="single" w:color="auto" w:sz="4" w:space="0"/>
            </w:tcBorders>
            <w:noWrap w:val="0"/>
            <w:vAlign w:val="top"/>
          </w:tcPr>
          <w:p w14:paraId="1493E6F7">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snapToGrid/>
                <w:color w:val="auto"/>
                <w:kern w:val="0"/>
                <w:sz w:val="24"/>
                <w:szCs w:val="24"/>
                <w:highlight w:val="none"/>
                <w:lang w:val="en-US" w:eastAsia="zh-CN"/>
              </w:rPr>
              <w:t>18</w:t>
            </w:r>
          </w:p>
        </w:tc>
        <w:tc>
          <w:tcPr>
            <w:tcW w:w="7413" w:type="dxa"/>
            <w:tcBorders>
              <w:top w:val="single" w:color="auto" w:sz="4" w:space="0"/>
              <w:left w:val="single" w:color="auto" w:sz="4" w:space="0"/>
              <w:bottom w:val="single" w:color="auto" w:sz="4" w:space="0"/>
              <w:right w:val="single" w:color="auto" w:sz="4" w:space="0"/>
            </w:tcBorders>
            <w:noWrap w:val="0"/>
            <w:vAlign w:val="top"/>
          </w:tcPr>
          <w:p w14:paraId="0BC10F2A">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Hans" w:bidi="ar"/>
              </w:rPr>
            </w:pPr>
            <w:r>
              <w:rPr>
                <w:rFonts w:hint="eastAsia" w:ascii="宋体" w:hAnsi="宋体" w:eastAsia="宋体" w:cs="宋体"/>
                <w:b w:val="0"/>
                <w:bCs w:val="0"/>
                <w:snapToGrid/>
                <w:color w:val="auto"/>
                <w:kern w:val="0"/>
                <w:sz w:val="24"/>
                <w:szCs w:val="24"/>
                <w:highlight w:val="none"/>
                <w:lang w:val="en-US" w:eastAsia="zh-CN"/>
              </w:rPr>
              <w:t>供应商针对本项目制定全周期服务与标准化建设（至少应包含①2026中考全周期服务方案②政策知晓度与满意度保障③标准化流程建设）进行评审。方案内容齐全，得18分；评审内容每缺一项扣6分，每项方案有缺陷未完全紧扣评审标准的每处扣0.5分，扣完为止；注：缺陷是指：存在项目名称错误、地点区域错误、内容与本项目需求无关、仅有框架或标题、适用的标准（方法）错误、明显复制其他项目内容等任意一种情形。</w:t>
            </w:r>
          </w:p>
        </w:tc>
      </w:tr>
      <w:tr w14:paraId="0925C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7" w:type="dxa"/>
            <w:tcBorders>
              <w:top w:val="single" w:color="auto" w:sz="4" w:space="0"/>
              <w:left w:val="single" w:color="auto" w:sz="4" w:space="0"/>
              <w:bottom w:val="single" w:color="auto" w:sz="4" w:space="0"/>
              <w:right w:val="single" w:color="auto" w:sz="4" w:space="0"/>
            </w:tcBorders>
            <w:noWrap w:val="0"/>
            <w:vAlign w:val="top"/>
          </w:tcPr>
          <w:p w14:paraId="4217E99F">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snapToGrid/>
                <w:color w:val="auto"/>
                <w:kern w:val="0"/>
                <w:sz w:val="24"/>
                <w:szCs w:val="24"/>
                <w:highlight w:val="none"/>
                <w:lang w:val="en-US" w:eastAsia="zh-CN"/>
              </w:rPr>
              <w:t>技术培训与服务保障</w:t>
            </w:r>
          </w:p>
        </w:tc>
        <w:tc>
          <w:tcPr>
            <w:tcW w:w="893" w:type="dxa"/>
            <w:tcBorders>
              <w:top w:val="single" w:color="auto" w:sz="4" w:space="0"/>
              <w:left w:val="single" w:color="auto" w:sz="4" w:space="0"/>
              <w:bottom w:val="single" w:color="auto" w:sz="4" w:space="0"/>
              <w:right w:val="single" w:color="auto" w:sz="4" w:space="0"/>
            </w:tcBorders>
            <w:noWrap w:val="0"/>
            <w:vAlign w:val="top"/>
          </w:tcPr>
          <w:p w14:paraId="43E477F8">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snapToGrid/>
                <w:color w:val="auto"/>
                <w:kern w:val="0"/>
                <w:sz w:val="24"/>
                <w:szCs w:val="24"/>
                <w:highlight w:val="none"/>
                <w:lang w:val="en-US" w:eastAsia="zh-CN"/>
              </w:rPr>
              <w:t>18</w:t>
            </w:r>
          </w:p>
        </w:tc>
        <w:tc>
          <w:tcPr>
            <w:tcW w:w="7413" w:type="dxa"/>
            <w:tcBorders>
              <w:top w:val="single" w:color="auto" w:sz="4" w:space="0"/>
              <w:left w:val="single" w:color="auto" w:sz="4" w:space="0"/>
              <w:bottom w:val="single" w:color="auto" w:sz="4" w:space="0"/>
              <w:right w:val="single" w:color="auto" w:sz="4" w:space="0"/>
            </w:tcBorders>
            <w:noWrap w:val="0"/>
            <w:vAlign w:val="top"/>
          </w:tcPr>
          <w:p w14:paraId="1B3A9368">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Hans" w:bidi="ar"/>
              </w:rPr>
            </w:pPr>
            <w:r>
              <w:rPr>
                <w:rFonts w:hint="eastAsia" w:ascii="宋体" w:hAnsi="宋体" w:eastAsia="宋体" w:cs="宋体"/>
                <w:b w:val="0"/>
                <w:bCs w:val="0"/>
                <w:snapToGrid/>
                <w:color w:val="auto"/>
                <w:kern w:val="0"/>
                <w:sz w:val="24"/>
                <w:szCs w:val="24"/>
                <w:highlight w:val="none"/>
                <w:lang w:val="en-US" w:eastAsia="zh-CN"/>
              </w:rPr>
              <w:t>供应商针对本项目制定技术培训与服务保障方案（至少应包含①技术培训服务②专职人员保障③应急服务保障）进行评审。方案内容齐全，得18分；评审内容每缺一项扣6分，每项方案有缺陷未完全紧扣评审标准的每处扣0.5分，扣完为止；注：缺陷是指：存在项目名称错误、地点区域错误、内容与本项目需求无关、仅有框架或标题、适用的标准（方法）错误、明显复制其他项目内容等任意一种情形。</w:t>
            </w:r>
          </w:p>
        </w:tc>
      </w:tr>
      <w:tr w14:paraId="2AC74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7" w:type="dxa"/>
            <w:tcBorders>
              <w:top w:val="single" w:color="auto" w:sz="4" w:space="0"/>
              <w:left w:val="single" w:color="auto" w:sz="4" w:space="0"/>
              <w:bottom w:val="single" w:color="auto" w:sz="4" w:space="0"/>
              <w:right w:val="single" w:color="auto" w:sz="4" w:space="0"/>
            </w:tcBorders>
            <w:noWrap w:val="0"/>
            <w:vAlign w:val="top"/>
          </w:tcPr>
          <w:p w14:paraId="55AD8897">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snapToGrid/>
                <w:color w:val="auto"/>
                <w:kern w:val="0"/>
                <w:sz w:val="24"/>
                <w:szCs w:val="24"/>
                <w:highlight w:val="none"/>
                <w:lang w:val="en-US" w:eastAsia="zh-CN"/>
              </w:rPr>
              <w:t>业绩</w:t>
            </w:r>
          </w:p>
        </w:tc>
        <w:tc>
          <w:tcPr>
            <w:tcW w:w="893" w:type="dxa"/>
            <w:tcBorders>
              <w:top w:val="single" w:color="auto" w:sz="4" w:space="0"/>
              <w:left w:val="single" w:color="auto" w:sz="4" w:space="0"/>
              <w:bottom w:val="single" w:color="auto" w:sz="4" w:space="0"/>
              <w:right w:val="single" w:color="auto" w:sz="4" w:space="0"/>
            </w:tcBorders>
            <w:noWrap w:val="0"/>
            <w:vAlign w:val="top"/>
          </w:tcPr>
          <w:p w14:paraId="2D55CDF0">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CN" w:bidi="ar"/>
              </w:rPr>
            </w:pPr>
            <w:r>
              <w:rPr>
                <w:rFonts w:hint="eastAsia" w:ascii="宋体" w:hAnsi="宋体" w:eastAsia="宋体" w:cs="宋体"/>
                <w:b w:val="0"/>
                <w:bCs w:val="0"/>
                <w:snapToGrid/>
                <w:color w:val="auto"/>
                <w:kern w:val="0"/>
                <w:sz w:val="24"/>
                <w:szCs w:val="24"/>
                <w:highlight w:val="none"/>
                <w:lang w:val="en-US" w:eastAsia="zh-CN"/>
              </w:rPr>
              <w:t>6</w:t>
            </w:r>
          </w:p>
        </w:tc>
        <w:tc>
          <w:tcPr>
            <w:tcW w:w="7413" w:type="dxa"/>
            <w:tcBorders>
              <w:top w:val="single" w:color="auto" w:sz="4" w:space="0"/>
              <w:left w:val="single" w:color="auto" w:sz="4" w:space="0"/>
              <w:bottom w:val="single" w:color="auto" w:sz="4" w:space="0"/>
              <w:right w:val="single" w:color="auto" w:sz="4" w:space="0"/>
            </w:tcBorders>
            <w:noWrap w:val="0"/>
            <w:vAlign w:val="top"/>
          </w:tcPr>
          <w:p w14:paraId="3294840C">
            <w:pPr>
              <w:pStyle w:val="47"/>
              <w:keepNext w:val="0"/>
              <w:keepLines w:val="0"/>
              <w:pageBreakBefore w:val="0"/>
              <w:numPr>
                <w:ilvl w:val="0"/>
                <w:numId w:val="0"/>
              </w:numPr>
              <w:kinsoku/>
              <w:wordWrap/>
              <w:bidi w:val="0"/>
              <w:ind w:left="0" w:leftChars="0" w:firstLine="0" w:firstLineChars="0"/>
              <w:rPr>
                <w:rFonts w:hint="eastAsia" w:ascii="宋体" w:hAnsi="宋体" w:eastAsia="宋体" w:cs="宋体"/>
                <w:b w:val="0"/>
                <w:bCs w:val="0"/>
                <w:i w:val="0"/>
                <w:iCs w:val="0"/>
                <w:color w:val="000000"/>
                <w:kern w:val="0"/>
                <w:sz w:val="24"/>
                <w:szCs w:val="24"/>
                <w:highlight w:val="none"/>
                <w:lang w:val="en-US" w:eastAsia="zh-Hans" w:bidi="ar"/>
              </w:rPr>
            </w:pPr>
            <w:r>
              <w:rPr>
                <w:rFonts w:hint="eastAsia" w:ascii="宋体" w:hAnsi="宋体" w:eastAsia="宋体" w:cs="宋体"/>
                <w:b w:val="0"/>
                <w:bCs w:val="0"/>
                <w:snapToGrid/>
                <w:color w:val="auto"/>
                <w:kern w:val="0"/>
                <w:sz w:val="24"/>
                <w:szCs w:val="24"/>
                <w:highlight w:val="none"/>
                <w:lang w:val="en-US" w:eastAsia="zh-CN"/>
              </w:rPr>
              <w:t>提供2023年01月01日至磋商截止日同类项目业绩，每提供1个得1分。最高得6分。提供合同或中标（成交）通知书）复印件）；</w:t>
            </w:r>
          </w:p>
        </w:tc>
      </w:tr>
    </w:tbl>
    <w:p w14:paraId="18CD072B">
      <w:pPr>
        <w:pageBreakBefore w:val="0"/>
        <w:widowControl/>
        <w:kinsoku/>
        <w:wordWrap/>
        <w:overflowPunct/>
        <w:topLinePunct w:val="0"/>
        <w:bidi w:val="0"/>
        <w:spacing w:line="300" w:lineRule="auto"/>
        <w:ind w:left="-426" w:leftChars="-213"/>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、确定成交供应商的标准</w:t>
      </w:r>
    </w:p>
    <w:p w14:paraId="0010BE5F">
      <w:pPr>
        <w:pageBreakBefore w:val="0"/>
        <w:kinsoku/>
        <w:wordWrap/>
        <w:overflowPunct/>
        <w:topLinePunct w:val="0"/>
        <w:bidi w:val="0"/>
        <w:spacing w:line="300" w:lineRule="auto"/>
        <w:ind w:left="-426" w:leftChars="-213"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.1磋商小组成员应当按照客观、公正、审慎的原则进行。</w:t>
      </w:r>
    </w:p>
    <w:p w14:paraId="042D323B">
      <w:pPr>
        <w:pageBreakBefore w:val="0"/>
        <w:kinsoku/>
        <w:wordWrap/>
        <w:overflowPunct/>
        <w:topLinePunct w:val="0"/>
        <w:bidi w:val="0"/>
        <w:spacing w:line="300" w:lineRule="auto"/>
        <w:ind w:left="-426" w:leftChars="-213"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.2供应商报价结束后，磋商小组应当根据综合评分</w:t>
      </w:r>
      <w:r>
        <w:rPr>
          <w:rFonts w:hint="eastAsia" w:ascii="宋体" w:hAnsi="宋体" w:eastAsia="宋体" w:cs="宋体"/>
          <w:color w:val="auto"/>
          <w:sz w:val="24"/>
          <w:szCs w:val="24"/>
          <w:highlight w:val="none"/>
          <w:lang w:eastAsia="zh-CN"/>
        </w:rPr>
        <w:t>情况进行评审。</w:t>
      </w:r>
    </w:p>
    <w:p w14:paraId="1C3429DC">
      <w:pPr>
        <w:pageBreakBefore w:val="0"/>
        <w:kinsoku/>
        <w:wordWrap/>
        <w:overflowPunct/>
        <w:topLinePunct w:val="0"/>
        <w:bidi w:val="0"/>
        <w:spacing w:line="300" w:lineRule="auto"/>
        <w:ind w:left="-426" w:leftChars="-213"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评审结果汇总完成后，磋商小组拟出具磋商评审报告前，采购代理机构应当组织2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E9E91F6">
      <w:pPr>
        <w:pageBreakBefore w:val="0"/>
        <w:kinsoku/>
        <w:wordWrap/>
        <w:overflowPunct/>
        <w:topLinePunct w:val="0"/>
        <w:bidi w:val="0"/>
        <w:spacing w:line="300" w:lineRule="auto"/>
        <w:ind w:left="-426" w:leftChars="-213"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14:paraId="075445FE">
      <w:pPr>
        <w:pageBreakBefore w:val="0"/>
        <w:kinsoku/>
        <w:wordWrap/>
        <w:overflowPunct/>
        <w:topLinePunct w:val="0"/>
        <w:bidi w:val="0"/>
        <w:spacing w:line="300" w:lineRule="auto"/>
        <w:ind w:left="-426" w:leftChars="-213"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采购代理机构复核过程中，磋商小组成员不得离开评审现场。</w:t>
      </w:r>
    </w:p>
    <w:p w14:paraId="4876EDA4">
      <w:pPr>
        <w:pageBreakBefore w:val="0"/>
        <w:kinsoku/>
        <w:wordWrap/>
        <w:overflowPunct/>
        <w:topLinePunct w:val="0"/>
        <w:bidi w:val="0"/>
        <w:spacing w:line="300" w:lineRule="auto"/>
        <w:ind w:left="-426" w:leftChars="-213"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5.4复核完成后，磋商小组推荐成交候选供应商，向采购代理机构出具磋商报告。按照评审得分由高到低顺序推荐三名以上成交候选供应商（</w:t>
      </w:r>
      <w:r>
        <w:rPr>
          <w:rFonts w:hint="eastAsia" w:ascii="宋体" w:hAnsi="宋体" w:eastAsia="宋体" w:cs="宋体"/>
          <w:color w:val="auto"/>
          <w:sz w:val="24"/>
          <w:szCs w:val="24"/>
          <w:highlight w:val="none"/>
          <w:lang w:val="en-US" w:eastAsia="zh-CN"/>
        </w:rPr>
        <w:t>本章2.2情况除外</w:t>
      </w:r>
      <w:r>
        <w:rPr>
          <w:rFonts w:hint="eastAsia" w:ascii="宋体" w:hAnsi="宋体" w:eastAsia="宋体" w:cs="宋体"/>
          <w:color w:val="auto"/>
          <w:sz w:val="24"/>
          <w:szCs w:val="24"/>
          <w:highlight w:val="none"/>
          <w:lang w:eastAsia="zh-CN"/>
        </w:rPr>
        <w:t>）。评审得分相同的，按照最终报价由低到高的顺序推荐。评审得分且最终报价相同的，按照技术指标优劣顺序推荐。</w:t>
      </w:r>
    </w:p>
    <w:p w14:paraId="074EFBD9">
      <w:pPr>
        <w:pageBreakBefore w:val="0"/>
        <w:kinsoku/>
        <w:wordWrap/>
        <w:overflowPunct/>
        <w:topLinePunct w:val="0"/>
        <w:bidi w:val="0"/>
        <w:spacing w:line="300" w:lineRule="auto"/>
        <w:ind w:left="-426" w:leftChars="-213"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5.4.1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E3CEFBB">
      <w:pPr>
        <w:pageBreakBefore w:val="0"/>
        <w:kinsoku/>
        <w:wordWrap/>
        <w:overflowPunct/>
        <w:topLinePunct w:val="0"/>
        <w:bidi w:val="0"/>
        <w:spacing w:line="300" w:lineRule="auto"/>
        <w:ind w:left="-426" w:leftChars="-213"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5.4.2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2B3A3E88">
      <w:pPr>
        <w:pageBreakBefore w:val="0"/>
        <w:kinsoku/>
        <w:wordWrap/>
        <w:overflowPunct/>
        <w:topLinePunct w:val="0"/>
        <w:bidi w:val="0"/>
        <w:spacing w:line="300" w:lineRule="auto"/>
        <w:ind w:firstLine="120" w:firstLineChars="5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磋商过程中，有下列情形之一的，磋商失败：</w:t>
      </w:r>
    </w:p>
    <w:p w14:paraId="73EF5B18">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（一）通过资格审查的供应商不足三家的；</w:t>
      </w:r>
    </w:p>
    <w:p w14:paraId="7117919F">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（二）参加磋商的供应商被淘汰，最终报价的供应商不足三家的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本章2.2情况除外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B3ACC7B">
      <w:pPr>
        <w:pageBreakBefore w:val="0"/>
        <w:kinsoku/>
        <w:wordWrap/>
        <w:overflowPunct/>
        <w:topLinePunct w:val="0"/>
        <w:bidi w:val="0"/>
        <w:spacing w:line="300" w:lineRule="auto"/>
        <w:ind w:left="-426"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（三）其他无法继续开展磋商或者无法成交的情形。</w:t>
      </w:r>
    </w:p>
    <w:p w14:paraId="4D92D4B2">
      <w:pPr>
        <w:keepNext w:val="0"/>
        <w:keepLines w:val="0"/>
        <w:pageBreakBefore w:val="0"/>
        <w:widowControl w:val="0"/>
        <w:kinsoku/>
        <w:wordWrap/>
        <w:overflowPunct/>
        <w:topLinePunct w:val="0"/>
        <w:autoSpaceDE w:val="0"/>
        <w:autoSpaceDN w:val="0"/>
        <w:bidi w:val="0"/>
        <w:adjustRightInd/>
        <w:snapToGrid/>
        <w:spacing w:line="300" w:lineRule="auto"/>
        <w:ind w:left="-426" w:leftChars="-213" w:firstLine="480" w:firstLineChars="200"/>
        <w:jc w:val="center"/>
        <w:textAlignment w:val="auto"/>
        <w:outlineLvl w:val="0"/>
        <w:rPr>
          <w:rFonts w:hint="eastAsia" w:ascii="宋体" w:hAnsi="宋体" w:eastAsia="宋体" w:cs="宋体"/>
          <w:color w:val="auto"/>
          <w:sz w:val="56"/>
          <w:szCs w:val="28"/>
          <w:highlight w:val="none"/>
        </w:rPr>
      </w:pPr>
      <w:r>
        <w:rPr>
          <w:rFonts w:hint="eastAsia" w:ascii="宋体" w:hAnsi="宋体" w:eastAsia="宋体" w:cs="宋体"/>
          <w:color w:val="auto"/>
          <w:sz w:val="24"/>
          <w:highlight w:val="none"/>
        </w:rPr>
        <w:br w:type="page"/>
      </w:r>
      <w:bookmarkStart w:id="26" w:name="_Toc31959"/>
      <w:r>
        <w:rPr>
          <w:rFonts w:hint="eastAsia" w:ascii="宋体" w:hAnsi="宋体" w:eastAsia="宋体" w:cs="宋体"/>
          <w:b/>
          <w:color w:val="auto"/>
          <w:sz w:val="28"/>
          <w:szCs w:val="28"/>
          <w:highlight w:val="none"/>
        </w:rPr>
        <w:t>第六章  合同草案条款（参考文本）</w:t>
      </w:r>
      <w:bookmarkEnd w:id="26"/>
      <w:r>
        <w:rPr>
          <w:rFonts w:hint="eastAsia" w:ascii="宋体" w:hAnsi="宋体" w:eastAsia="宋体" w:cs="宋体"/>
          <w:color w:val="auto"/>
          <w:sz w:val="21"/>
          <w:szCs w:val="28"/>
          <w:highlight w:val="none"/>
        </w:rPr>
        <w:t xml:space="preserve">                               </w:t>
      </w:r>
    </w:p>
    <w:p w14:paraId="3179E48F">
      <w:pPr>
        <w:pageBreakBefore w:val="0"/>
        <w:kinsoku/>
        <w:overflowPunct/>
        <w:topLinePunct w:val="0"/>
        <w:bidi w:val="0"/>
        <w:outlineLvl w:val="9"/>
        <w:rPr>
          <w:rFonts w:hint="eastAsia" w:ascii="宋体" w:hAnsi="宋体" w:eastAsia="宋体" w:cs="宋体"/>
          <w:color w:val="auto"/>
          <w:sz w:val="28"/>
          <w:szCs w:val="28"/>
          <w:highlight w:val="none"/>
        </w:rPr>
      </w:pPr>
    </w:p>
    <w:p w14:paraId="01F9B88E">
      <w:pPr>
        <w:rPr>
          <w:rFonts w:hint="eastAsia" w:ascii="宋体" w:hAnsi="宋体" w:eastAsia="宋体" w:cs="宋体"/>
          <w:sz w:val="24"/>
          <w:highlight w:val="none"/>
        </w:rPr>
      </w:pPr>
      <w:bookmarkStart w:id="27" w:name="_Toc31623"/>
      <w:r>
        <w:rPr>
          <w:rFonts w:hint="eastAsia" w:ascii="宋体" w:hAnsi="宋体" w:eastAsia="宋体" w:cs="宋体"/>
          <w:sz w:val="24"/>
          <w:highlight w:val="none"/>
        </w:rPr>
        <w:t>合同编号：XXXX。</w:t>
      </w:r>
    </w:p>
    <w:p w14:paraId="4F0045BB">
      <w:pPr>
        <w:rPr>
          <w:rFonts w:hint="eastAsia" w:ascii="宋体" w:hAnsi="宋体" w:eastAsia="宋体" w:cs="宋体"/>
          <w:sz w:val="24"/>
          <w:highlight w:val="none"/>
        </w:rPr>
      </w:pPr>
      <w:r>
        <w:rPr>
          <w:rFonts w:hint="eastAsia" w:ascii="宋体" w:hAnsi="宋体" w:eastAsia="宋体" w:cs="宋体"/>
          <w:sz w:val="24"/>
          <w:highlight w:val="none"/>
        </w:rPr>
        <w:t>签订地点：。</w:t>
      </w:r>
    </w:p>
    <w:p w14:paraId="41D1ED8B">
      <w:pPr>
        <w:rPr>
          <w:rFonts w:hint="eastAsia" w:ascii="宋体" w:hAnsi="宋体" w:eastAsia="宋体" w:cs="宋体"/>
          <w:sz w:val="24"/>
          <w:highlight w:val="none"/>
        </w:rPr>
      </w:pPr>
      <w:r>
        <w:rPr>
          <w:rFonts w:hint="eastAsia" w:ascii="宋体" w:hAnsi="宋体" w:eastAsia="宋体" w:cs="宋体"/>
          <w:sz w:val="24"/>
          <w:highlight w:val="none"/>
        </w:rPr>
        <w:t>签订时间：年</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XX</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月XX日。</w:t>
      </w:r>
    </w:p>
    <w:p w14:paraId="7D8426C5">
      <w:pPr>
        <w:rPr>
          <w:rFonts w:hint="eastAsia" w:ascii="宋体" w:hAnsi="宋体" w:eastAsia="宋体" w:cs="宋体"/>
          <w:sz w:val="24"/>
          <w:highlight w:val="none"/>
          <w:lang w:eastAsia="zh-CN"/>
        </w:rPr>
      </w:pPr>
      <w:r>
        <w:rPr>
          <w:rFonts w:hint="eastAsia" w:ascii="宋体" w:hAnsi="宋体" w:eastAsia="宋体" w:cs="宋体"/>
          <w:sz w:val="24"/>
          <w:highlight w:val="none"/>
        </w:rPr>
        <w:t>采购人（甲方）：</w:t>
      </w:r>
    </w:p>
    <w:p w14:paraId="76525430">
      <w:pPr>
        <w:rPr>
          <w:rFonts w:hint="eastAsia" w:ascii="宋体" w:hAnsi="宋体" w:eastAsia="宋体" w:cs="宋体"/>
          <w:sz w:val="24"/>
          <w:highlight w:val="none"/>
          <w:u w:val="single"/>
        </w:rPr>
      </w:pPr>
      <w:r>
        <w:rPr>
          <w:rFonts w:hint="eastAsia" w:ascii="宋体" w:hAnsi="宋体" w:eastAsia="宋体" w:cs="宋体"/>
          <w:sz w:val="24"/>
          <w:highlight w:val="none"/>
        </w:rPr>
        <w:t>供应商（乙方）：</w:t>
      </w:r>
    </w:p>
    <w:p w14:paraId="26272B26">
      <w:pPr>
        <w:rPr>
          <w:rFonts w:hint="eastAsia" w:ascii="宋体" w:hAnsi="宋体" w:eastAsia="宋体" w:cs="宋体"/>
          <w:sz w:val="24"/>
          <w:highlight w:val="none"/>
        </w:rPr>
      </w:pPr>
    </w:p>
    <w:p w14:paraId="32201E14">
      <w:pPr>
        <w:rPr>
          <w:rFonts w:hint="eastAsia" w:ascii="宋体" w:hAnsi="宋体" w:eastAsia="宋体" w:cs="宋体"/>
          <w:sz w:val="24"/>
          <w:highlight w:val="none"/>
        </w:rPr>
      </w:pPr>
      <w:r>
        <w:rPr>
          <w:rFonts w:hint="eastAsia" w:ascii="宋体" w:hAnsi="宋体" w:eastAsia="宋体" w:cs="宋体"/>
          <w:sz w:val="24"/>
          <w:highlight w:val="none"/>
        </w:rPr>
        <w:t>依据《中华人民共和国</w:t>
      </w:r>
      <w:r>
        <w:rPr>
          <w:rFonts w:hint="eastAsia" w:ascii="宋体" w:hAnsi="宋体" w:eastAsia="宋体" w:cs="宋体"/>
          <w:sz w:val="24"/>
          <w:highlight w:val="none"/>
          <w:lang w:eastAsia="zh-CN"/>
        </w:rPr>
        <w:t>民法典</w:t>
      </w:r>
      <w:r>
        <w:rPr>
          <w:rFonts w:hint="eastAsia" w:ascii="宋体" w:hAnsi="宋体" w:eastAsia="宋体" w:cs="宋体"/>
          <w:sz w:val="24"/>
          <w:highlight w:val="none"/>
        </w:rPr>
        <w:t>》与项目行业有关的法律法规，以及XXXX项目（项目编号：XXXX）的《</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文件》，乙方的《</w:t>
      </w:r>
      <w:r>
        <w:rPr>
          <w:rFonts w:hint="eastAsia" w:ascii="宋体" w:hAnsi="宋体" w:eastAsia="宋体" w:cs="宋体"/>
          <w:sz w:val="24"/>
          <w:highlight w:val="none"/>
          <w:lang w:eastAsia="zh-CN"/>
        </w:rPr>
        <w:t>响应</w:t>
      </w:r>
      <w:r>
        <w:rPr>
          <w:rFonts w:hint="eastAsia" w:ascii="宋体" w:hAnsi="宋体" w:eastAsia="宋体" w:cs="宋体"/>
          <w:sz w:val="24"/>
          <w:highlight w:val="none"/>
        </w:rPr>
        <w:t>文件》及《</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w:t>
      </w:r>
      <w:r>
        <w:rPr>
          <w:rFonts w:hint="eastAsia" w:ascii="宋体" w:hAnsi="宋体" w:eastAsia="宋体" w:cs="宋体"/>
          <w:sz w:val="24"/>
          <w:highlight w:val="none"/>
          <w:lang w:eastAsia="zh-CN"/>
        </w:rPr>
        <w:t>响应</w:t>
      </w:r>
      <w:r>
        <w:rPr>
          <w:rFonts w:hint="eastAsia" w:ascii="宋体" w:hAnsi="宋体" w:eastAsia="宋体" w:cs="宋体"/>
          <w:sz w:val="24"/>
          <w:highlight w:val="none"/>
        </w:rPr>
        <w:t>文件》、《</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通知书》等均为本合同的组成部分。</w:t>
      </w:r>
    </w:p>
    <w:p w14:paraId="05E2A3BC">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项目基本情况</w:t>
      </w:r>
    </w:p>
    <w:p w14:paraId="75AEE9FF">
      <w:pPr>
        <w:rPr>
          <w:rFonts w:hint="eastAsia" w:ascii="宋体" w:hAnsi="宋体" w:eastAsia="宋体" w:cs="宋体"/>
          <w:b/>
          <w:sz w:val="24"/>
          <w:highlight w:val="none"/>
        </w:rPr>
      </w:pPr>
    </w:p>
    <w:p w14:paraId="10C26E08">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合同期限</w:t>
      </w:r>
    </w:p>
    <w:p w14:paraId="140170F5">
      <w:pPr>
        <w:rPr>
          <w:rFonts w:hint="eastAsia" w:ascii="宋体" w:hAnsi="宋体" w:eastAsia="宋体" w:cs="宋体"/>
          <w:sz w:val="24"/>
          <w:highlight w:val="none"/>
        </w:rPr>
      </w:pPr>
    </w:p>
    <w:p w14:paraId="2219A2A9">
      <w:pPr>
        <w:numPr>
          <w:ilvl w:val="0"/>
          <w:numId w:val="5"/>
        </w:numPr>
        <w:rPr>
          <w:rFonts w:hint="eastAsia" w:ascii="宋体" w:hAnsi="宋体" w:eastAsia="宋体" w:cs="宋体"/>
          <w:b/>
          <w:sz w:val="24"/>
          <w:highlight w:val="none"/>
        </w:rPr>
      </w:pPr>
      <w:bookmarkStart w:id="28" w:name="_Toc225654644"/>
      <w:bookmarkStart w:id="29" w:name="_Toc239233914"/>
      <w:bookmarkStart w:id="30" w:name="_Toc232492928"/>
      <w:bookmarkStart w:id="31" w:name="_Toc185395249"/>
      <w:bookmarkStart w:id="32" w:name="_Toc286993786"/>
      <w:bookmarkStart w:id="33" w:name="_Toc247334841"/>
      <w:bookmarkStart w:id="34" w:name="_Toc237145406"/>
      <w:bookmarkStart w:id="35" w:name="_Toc212019594"/>
      <w:bookmarkStart w:id="36" w:name="_Toc283019214"/>
      <w:bookmarkStart w:id="37" w:name="_Toc239568418"/>
      <w:bookmarkStart w:id="38" w:name="_Toc225244852"/>
      <w:bookmarkStart w:id="39" w:name="_Toc211854449"/>
      <w:bookmarkStart w:id="40" w:name="_Toc211911348"/>
      <w:bookmarkStart w:id="41" w:name="_Toc238984975"/>
      <w:bookmarkStart w:id="42" w:name="_Toc225670751"/>
      <w:bookmarkStart w:id="43" w:name="_Toc282696226"/>
      <w:bookmarkStart w:id="44" w:name="_Toc241833903"/>
      <w:bookmarkStart w:id="45" w:name="_Toc251768862"/>
      <w:r>
        <w:rPr>
          <w:rFonts w:hint="eastAsia" w:ascii="宋体" w:hAnsi="宋体" w:eastAsia="宋体" w:cs="宋体"/>
          <w:b/>
          <w:sz w:val="24"/>
          <w:highlight w:val="none"/>
        </w:rPr>
        <w:t>服务内容与质量标准</w:t>
      </w:r>
    </w:p>
    <w:p w14:paraId="007D21ED">
      <w:pPr>
        <w:rPr>
          <w:rFonts w:hint="eastAsia" w:ascii="宋体" w:hAnsi="宋体" w:eastAsia="宋体" w:cs="宋体"/>
          <w:sz w:val="24"/>
          <w:highlight w:val="none"/>
          <w:lang w:eastAsia="zh-CN"/>
        </w:rPr>
      </w:pPr>
      <w:r>
        <w:rPr>
          <w:rFonts w:hint="eastAsia" w:ascii="宋体" w:hAnsi="宋体" w:eastAsia="宋体" w:cs="宋体"/>
          <w:sz w:val="24"/>
          <w:highlight w:val="none"/>
        </w:rPr>
        <w:t>1、XXXX；</w:t>
      </w:r>
    </w:p>
    <w:p w14:paraId="4035A45E">
      <w:pPr>
        <w:rPr>
          <w:rFonts w:hint="eastAsia" w:ascii="宋体" w:hAnsi="宋体" w:eastAsia="宋体" w:cs="宋体"/>
          <w:sz w:val="24"/>
          <w:highlight w:val="none"/>
        </w:rPr>
      </w:pPr>
      <w:r>
        <w:rPr>
          <w:rFonts w:hint="eastAsia" w:ascii="宋体" w:hAnsi="宋体" w:eastAsia="宋体" w:cs="宋体"/>
          <w:sz w:val="24"/>
          <w:highlight w:val="none"/>
        </w:rPr>
        <w:t>2、XXXX；</w:t>
      </w:r>
    </w:p>
    <w:p w14:paraId="6B57062F">
      <w:pPr>
        <w:rPr>
          <w:rFonts w:hint="eastAsia" w:ascii="宋体" w:hAnsi="宋体" w:eastAsia="宋体" w:cs="宋体"/>
          <w:sz w:val="24"/>
          <w:highlight w:val="none"/>
        </w:rPr>
      </w:pPr>
      <w:r>
        <w:rPr>
          <w:rFonts w:hint="eastAsia" w:ascii="宋体" w:hAnsi="宋体" w:eastAsia="宋体" w:cs="宋体"/>
          <w:sz w:val="24"/>
          <w:highlight w:val="none"/>
        </w:rPr>
        <w:t>3、XXXX．</w:t>
      </w:r>
    </w:p>
    <w:p w14:paraId="5AD70551">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服务费用及支付方式</w:t>
      </w:r>
    </w:p>
    <w:p w14:paraId="1787FAF8">
      <w:pPr>
        <w:numPr>
          <w:ilvl w:val="0"/>
          <w:numId w:val="6"/>
        </w:numPr>
        <w:rPr>
          <w:rFonts w:hint="eastAsia" w:ascii="宋体" w:hAnsi="宋体" w:eastAsia="宋体" w:cs="宋体"/>
          <w:b/>
          <w:sz w:val="24"/>
          <w:highlight w:val="none"/>
        </w:rPr>
      </w:pPr>
      <w:r>
        <w:rPr>
          <w:rFonts w:hint="eastAsia" w:ascii="宋体" w:hAnsi="宋体" w:eastAsia="宋体" w:cs="宋体"/>
          <w:b/>
          <w:sz w:val="24"/>
          <w:highlight w:val="none"/>
        </w:rPr>
        <w:t>本项目服务费用由以下组成：</w:t>
      </w:r>
    </w:p>
    <w:p w14:paraId="20C275AD">
      <w:pPr>
        <w:rPr>
          <w:rFonts w:hint="eastAsia" w:ascii="宋体" w:hAnsi="宋体" w:eastAsia="宋体" w:cs="宋体"/>
          <w:sz w:val="24"/>
          <w:highlight w:val="none"/>
        </w:rPr>
      </w:pPr>
      <w:r>
        <w:rPr>
          <w:rFonts w:hint="eastAsia" w:ascii="宋体" w:hAnsi="宋体" w:eastAsia="宋体" w:cs="宋体"/>
          <w:sz w:val="24"/>
          <w:highlight w:val="none"/>
        </w:rPr>
        <w:t>1、XX万元；</w:t>
      </w:r>
    </w:p>
    <w:p w14:paraId="7507C0AD">
      <w:pPr>
        <w:rPr>
          <w:rFonts w:hint="eastAsia" w:ascii="宋体" w:hAnsi="宋体" w:eastAsia="宋体" w:cs="宋体"/>
          <w:sz w:val="24"/>
          <w:highlight w:val="none"/>
        </w:rPr>
      </w:pPr>
      <w:r>
        <w:rPr>
          <w:rFonts w:hint="eastAsia" w:ascii="宋体" w:hAnsi="宋体" w:eastAsia="宋体" w:cs="宋体"/>
          <w:sz w:val="24"/>
          <w:highlight w:val="none"/>
        </w:rPr>
        <w:t>2、XX万元；</w:t>
      </w:r>
    </w:p>
    <w:p w14:paraId="76A3B1F0">
      <w:pPr>
        <w:rPr>
          <w:rFonts w:hint="eastAsia" w:ascii="宋体" w:hAnsi="宋体" w:eastAsia="宋体" w:cs="宋体"/>
          <w:sz w:val="24"/>
          <w:highlight w:val="none"/>
        </w:rPr>
      </w:pPr>
      <w:r>
        <w:rPr>
          <w:rFonts w:hint="eastAsia" w:ascii="宋体" w:hAnsi="宋体" w:eastAsia="宋体" w:cs="宋体"/>
          <w:sz w:val="24"/>
          <w:highlight w:val="none"/>
        </w:rPr>
        <w:t>3、XX万元。</w:t>
      </w:r>
    </w:p>
    <w:p w14:paraId="0E6B14F0">
      <w:pPr>
        <w:rPr>
          <w:rFonts w:hint="eastAsia" w:ascii="宋体" w:hAnsi="宋体" w:eastAsia="宋体" w:cs="宋体"/>
          <w:sz w:val="24"/>
          <w:highlight w:val="none"/>
        </w:rPr>
      </w:pPr>
      <w:r>
        <w:rPr>
          <w:rFonts w:hint="eastAsia" w:ascii="宋体" w:hAnsi="宋体" w:eastAsia="宋体" w:cs="宋体"/>
          <w:sz w:val="24"/>
          <w:highlight w:val="none"/>
        </w:rPr>
        <w:t>……</w:t>
      </w:r>
    </w:p>
    <w:p w14:paraId="42885C4F">
      <w:pPr>
        <w:numPr>
          <w:ilvl w:val="0"/>
          <w:numId w:val="6"/>
        </w:numPr>
        <w:rPr>
          <w:rFonts w:hint="eastAsia" w:ascii="宋体" w:hAnsi="宋体" w:eastAsia="宋体" w:cs="宋体"/>
          <w:b/>
          <w:sz w:val="24"/>
          <w:highlight w:val="none"/>
        </w:rPr>
      </w:pPr>
      <w:r>
        <w:rPr>
          <w:rFonts w:hint="eastAsia" w:ascii="宋体" w:hAnsi="宋体" w:eastAsia="宋体" w:cs="宋体"/>
          <w:b/>
          <w:sz w:val="24"/>
          <w:highlight w:val="none"/>
        </w:rPr>
        <w:t xml:space="preserve">服务费支付方式： </w:t>
      </w:r>
    </w:p>
    <w:p w14:paraId="69CBD600">
      <w:pPr>
        <w:pStyle w:val="2"/>
        <w:rPr>
          <w:rFonts w:hint="eastAsia" w:ascii="宋体" w:hAnsi="宋体" w:eastAsia="宋体" w:cs="宋体"/>
          <w:sz w:val="18"/>
          <w:szCs w:val="22"/>
          <w:highlight w:val="none"/>
        </w:rPr>
      </w:pPr>
      <w:r>
        <w:rPr>
          <w:rFonts w:hint="eastAsia" w:ascii="宋体" w:hAnsi="宋体" w:eastAsia="宋体" w:cs="宋体"/>
          <w:sz w:val="24"/>
          <w:highlight w:val="none"/>
        </w:rPr>
        <w:t>XXXXXX</w:t>
      </w:r>
    </w:p>
    <w:p w14:paraId="6CDA271E">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知识产权</w:t>
      </w:r>
    </w:p>
    <w:p w14:paraId="64DDB66B">
      <w:pPr>
        <w:rPr>
          <w:rFonts w:hint="eastAsia" w:ascii="宋体" w:hAnsi="宋体" w:eastAsia="宋体" w:cs="宋体"/>
          <w:sz w:val="24"/>
          <w:highlight w:val="none"/>
        </w:rPr>
      </w:pPr>
      <w:r>
        <w:rPr>
          <w:rFonts w:hint="eastAsia" w:ascii="宋体" w:hAnsi="宋体" w:eastAsia="宋体" w:cs="宋体"/>
          <w:sz w:val="24"/>
          <w:highlight w:val="none"/>
        </w:rPr>
        <w:t>乙方应保证所提供的服务或其任何一部分均不会侵犯任何第三方的专利权、商标权或著作权。</w:t>
      </w:r>
    </w:p>
    <w:p w14:paraId="288E14C6">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无产权瑕疵条款</w:t>
      </w:r>
    </w:p>
    <w:p w14:paraId="03B17CF8">
      <w:pPr>
        <w:rPr>
          <w:rFonts w:hint="eastAsia" w:ascii="宋体" w:hAnsi="宋体" w:eastAsia="宋体" w:cs="宋体"/>
          <w:sz w:val="24"/>
          <w:highlight w:val="none"/>
        </w:rPr>
      </w:pPr>
      <w:r>
        <w:rPr>
          <w:rFonts w:hint="eastAsia" w:ascii="宋体" w:hAnsi="宋体" w:eastAsia="宋体" w:cs="宋体"/>
          <w:sz w:val="24"/>
          <w:highlight w:val="none"/>
        </w:rPr>
        <w:t>乙方保证所提供的服务的所有权完全属于乙方且无任何抵押、查封等产权瑕疵</w:t>
      </w:r>
      <w:r>
        <w:rPr>
          <w:rFonts w:hint="eastAsia" w:ascii="宋体" w:hAnsi="宋体" w:eastAsia="宋体" w:cs="宋体"/>
          <w:sz w:val="24"/>
          <w:highlight w:val="none"/>
          <w:lang w:eastAsia="zh-CN"/>
        </w:rPr>
        <w:t>。</w:t>
      </w:r>
      <w:r>
        <w:rPr>
          <w:rFonts w:hint="eastAsia" w:ascii="宋体" w:hAnsi="宋体" w:eastAsia="宋体" w:cs="宋体"/>
          <w:sz w:val="24"/>
          <w:highlight w:val="none"/>
        </w:rPr>
        <w:t>如有产权瑕疵的，视为乙方违约。乙方应负担由此而产生的一切损失。</w:t>
      </w:r>
    </w:p>
    <w:p w14:paraId="79F6675C">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履约保证金</w:t>
      </w:r>
    </w:p>
    <w:p w14:paraId="443DFE22">
      <w:pPr>
        <w:rPr>
          <w:rFonts w:hint="eastAsia" w:ascii="宋体" w:hAnsi="宋体" w:eastAsia="宋体" w:cs="宋体"/>
          <w:bCs/>
          <w:sz w:val="24"/>
          <w:highlight w:val="none"/>
        </w:rPr>
      </w:pPr>
      <w:r>
        <w:rPr>
          <w:rFonts w:hint="eastAsia" w:ascii="宋体" w:hAnsi="宋体" w:eastAsia="宋体" w:cs="宋体"/>
          <w:bCs/>
          <w:sz w:val="24"/>
          <w:highlight w:val="none"/>
        </w:rPr>
        <w:t>1、乙方交纳人民币</w:t>
      </w:r>
      <w:r>
        <w:rPr>
          <w:rFonts w:hint="eastAsia" w:ascii="宋体" w:hAnsi="宋体" w:eastAsia="宋体" w:cs="宋体"/>
          <w:sz w:val="24"/>
          <w:highlight w:val="none"/>
        </w:rPr>
        <w:t>XX</w:t>
      </w:r>
      <w:r>
        <w:rPr>
          <w:rFonts w:hint="eastAsia" w:ascii="宋体" w:hAnsi="宋体" w:eastAsia="宋体" w:cs="宋体"/>
          <w:bCs/>
          <w:sz w:val="24"/>
          <w:highlight w:val="none"/>
        </w:rPr>
        <w:t>元作为本合同的履约保证金。</w:t>
      </w:r>
    </w:p>
    <w:p w14:paraId="0F9AA4FF">
      <w:pPr>
        <w:rPr>
          <w:rFonts w:hint="eastAsia" w:ascii="宋体" w:hAnsi="宋体" w:eastAsia="宋体" w:cs="宋体"/>
          <w:bCs/>
          <w:sz w:val="24"/>
          <w:highlight w:val="none"/>
        </w:rPr>
      </w:pPr>
      <w:r>
        <w:rPr>
          <w:rFonts w:hint="eastAsia" w:ascii="宋体" w:hAnsi="宋体" w:eastAsia="宋体" w:cs="宋体"/>
          <w:bCs/>
          <w:sz w:val="24"/>
          <w:highlight w:val="none"/>
        </w:rPr>
        <w:t>2、履约保证金作为违约金的一部分及用于补偿甲方因乙方不能履行合同义务而蒙受的损失。</w:t>
      </w:r>
    </w:p>
    <w:p w14:paraId="697881E5">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甲方的权利和义务</w:t>
      </w:r>
    </w:p>
    <w:p w14:paraId="69456FA8">
      <w:pPr>
        <w:rPr>
          <w:rFonts w:hint="eastAsia" w:ascii="宋体" w:hAnsi="宋体" w:eastAsia="宋体" w:cs="宋体"/>
          <w:bCs/>
          <w:sz w:val="24"/>
          <w:highlight w:val="none"/>
        </w:rPr>
      </w:pPr>
      <w:r>
        <w:rPr>
          <w:rFonts w:hint="eastAsia" w:ascii="宋体" w:hAnsi="宋体" w:eastAsia="宋体" w:cs="宋体"/>
          <w:bCs/>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64D0528E">
      <w:pPr>
        <w:rPr>
          <w:rFonts w:hint="eastAsia" w:ascii="宋体" w:hAnsi="宋体" w:eastAsia="宋体" w:cs="宋体"/>
          <w:bCs/>
          <w:sz w:val="24"/>
          <w:highlight w:val="none"/>
        </w:rPr>
      </w:pPr>
      <w:r>
        <w:rPr>
          <w:rFonts w:hint="eastAsia" w:ascii="宋体" w:hAnsi="宋体" w:eastAsia="宋体" w:cs="宋体"/>
          <w:bCs/>
          <w:sz w:val="24"/>
          <w:highlight w:val="none"/>
        </w:rPr>
        <w:t>2、甲方有权依据双方签订的考评办法对乙方提供的服务进行定期考评。当考评结果未达到标准时，有权依据考评办法约定的数额扣除履约保证金。</w:t>
      </w:r>
    </w:p>
    <w:p w14:paraId="2EBF9B4F">
      <w:pPr>
        <w:rPr>
          <w:rFonts w:hint="eastAsia" w:ascii="宋体" w:hAnsi="宋体" w:eastAsia="宋体" w:cs="宋体"/>
          <w:bCs/>
          <w:sz w:val="24"/>
          <w:highlight w:val="none"/>
        </w:rPr>
      </w:pPr>
      <w:r>
        <w:rPr>
          <w:rFonts w:hint="eastAsia" w:ascii="宋体" w:hAnsi="宋体" w:eastAsia="宋体" w:cs="宋体"/>
          <w:bCs/>
          <w:sz w:val="24"/>
          <w:highlight w:val="none"/>
        </w:rPr>
        <w:t>3、负责检查监督乙方管理工作的实施及制度的执行情况。</w:t>
      </w:r>
    </w:p>
    <w:p w14:paraId="30C0DA55">
      <w:pPr>
        <w:rPr>
          <w:rFonts w:hint="eastAsia" w:ascii="宋体" w:hAnsi="宋体" w:eastAsia="宋体" w:cs="宋体"/>
          <w:bCs/>
          <w:sz w:val="24"/>
          <w:highlight w:val="none"/>
        </w:rPr>
      </w:pPr>
      <w:r>
        <w:rPr>
          <w:rFonts w:hint="eastAsia" w:ascii="宋体" w:hAnsi="宋体" w:eastAsia="宋体" w:cs="宋体"/>
          <w:bCs/>
          <w:sz w:val="24"/>
          <w:highlight w:val="none"/>
        </w:rPr>
        <w:t>4、根据本合同规定，按时向乙方支付应付服务费用。</w:t>
      </w:r>
    </w:p>
    <w:p w14:paraId="1163D2BA">
      <w:pPr>
        <w:rPr>
          <w:rFonts w:hint="eastAsia" w:ascii="宋体" w:hAnsi="宋体" w:eastAsia="宋体" w:cs="宋体"/>
          <w:bCs/>
          <w:sz w:val="24"/>
          <w:highlight w:val="none"/>
        </w:rPr>
      </w:pPr>
      <w:r>
        <w:rPr>
          <w:rFonts w:hint="eastAsia" w:ascii="宋体" w:hAnsi="宋体" w:eastAsia="宋体" w:cs="宋体"/>
          <w:bCs/>
          <w:sz w:val="24"/>
          <w:highlight w:val="none"/>
        </w:rPr>
        <w:t>5、国家法律、法规所规定由甲方承担的其它责任。</w:t>
      </w:r>
    </w:p>
    <w:p w14:paraId="66BEAB59">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乙方的权利和义务</w:t>
      </w:r>
      <w:r>
        <w:rPr>
          <w:rFonts w:hint="eastAsia" w:ascii="宋体" w:hAnsi="宋体" w:eastAsia="宋体" w:cs="宋体"/>
          <w:b/>
          <w:sz w:val="24"/>
          <w:highlight w:val="none"/>
          <w:lang w:eastAsia="zh-CN"/>
        </w:rPr>
        <w:t xml:space="preserve"> </w:t>
      </w:r>
    </w:p>
    <w:p w14:paraId="3820181D">
      <w:pPr>
        <w:rPr>
          <w:rFonts w:hint="eastAsia" w:ascii="宋体" w:hAnsi="宋体" w:eastAsia="宋体" w:cs="宋体"/>
          <w:bCs/>
          <w:sz w:val="24"/>
          <w:highlight w:val="none"/>
        </w:rPr>
      </w:pPr>
      <w:r>
        <w:rPr>
          <w:rFonts w:hint="eastAsia" w:ascii="宋体" w:hAnsi="宋体" w:eastAsia="宋体" w:cs="宋体"/>
          <w:bCs/>
          <w:sz w:val="24"/>
          <w:highlight w:val="none"/>
        </w:rPr>
        <w:t>1、对本合同规定的委托服务范围内的项目享有管理权及服务义务。</w:t>
      </w:r>
    </w:p>
    <w:p w14:paraId="4D673151">
      <w:pPr>
        <w:rPr>
          <w:rFonts w:hint="eastAsia" w:ascii="宋体" w:hAnsi="宋体" w:eastAsia="宋体" w:cs="宋体"/>
          <w:bCs/>
          <w:sz w:val="24"/>
          <w:highlight w:val="none"/>
        </w:rPr>
      </w:pPr>
      <w:r>
        <w:rPr>
          <w:rFonts w:hint="eastAsia" w:ascii="宋体" w:hAnsi="宋体" w:eastAsia="宋体" w:cs="宋体"/>
          <w:bCs/>
          <w:sz w:val="24"/>
          <w:highlight w:val="none"/>
        </w:rPr>
        <w:t>2、根据本合同的规定向甲方收取相关服务费用，并有权在本项目管理范围内管理及合理使用。</w:t>
      </w:r>
    </w:p>
    <w:p w14:paraId="6BB2B9E3">
      <w:pPr>
        <w:rPr>
          <w:rFonts w:hint="eastAsia" w:ascii="宋体" w:hAnsi="宋体" w:eastAsia="宋体" w:cs="宋体"/>
          <w:sz w:val="24"/>
          <w:highlight w:val="none"/>
        </w:rPr>
      </w:pPr>
      <w:r>
        <w:rPr>
          <w:rFonts w:hint="eastAsia" w:ascii="宋体" w:hAnsi="宋体" w:eastAsia="宋体" w:cs="宋体"/>
          <w:sz w:val="24"/>
          <w:highlight w:val="none"/>
        </w:rPr>
        <w:t>3、及时向甲方通告本项目服务范围内有关服务的重大事项，及时配合处理投诉。</w:t>
      </w:r>
    </w:p>
    <w:p w14:paraId="636E22F8">
      <w:pPr>
        <w:rPr>
          <w:rFonts w:hint="eastAsia" w:ascii="宋体" w:hAnsi="宋体" w:eastAsia="宋体" w:cs="宋体"/>
          <w:bCs/>
          <w:sz w:val="24"/>
          <w:highlight w:val="none"/>
        </w:rPr>
      </w:pPr>
      <w:r>
        <w:rPr>
          <w:rFonts w:hint="eastAsia" w:ascii="宋体" w:hAnsi="宋体" w:eastAsia="宋体" w:cs="宋体"/>
          <w:sz w:val="24"/>
          <w:highlight w:val="none"/>
        </w:rPr>
        <w:t>4、</w:t>
      </w:r>
      <w:r>
        <w:rPr>
          <w:rFonts w:hint="eastAsia" w:ascii="宋体" w:hAnsi="宋体" w:eastAsia="宋体" w:cs="宋体"/>
          <w:bCs/>
          <w:sz w:val="24"/>
          <w:highlight w:val="none"/>
        </w:rPr>
        <w:t>接受项目行业管理部门及政府有关部门的指导，接受甲方的监督。</w:t>
      </w:r>
    </w:p>
    <w:p w14:paraId="5EB2A906">
      <w:pPr>
        <w:rPr>
          <w:rFonts w:hint="eastAsia" w:ascii="宋体" w:hAnsi="宋体" w:eastAsia="宋体" w:cs="宋体"/>
          <w:bCs/>
          <w:sz w:val="24"/>
          <w:highlight w:val="none"/>
        </w:rPr>
      </w:pPr>
      <w:r>
        <w:rPr>
          <w:rFonts w:hint="eastAsia" w:ascii="宋体" w:hAnsi="宋体" w:eastAsia="宋体" w:cs="宋体"/>
          <w:bCs/>
          <w:sz w:val="24"/>
          <w:highlight w:val="none"/>
        </w:rPr>
        <w:t>5、国家法律、法规所规定由乙方承担的其它责任。</w:t>
      </w:r>
    </w:p>
    <w:p w14:paraId="4A47EE7D">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违约责任</w:t>
      </w:r>
    </w:p>
    <w:p w14:paraId="2E0F6434">
      <w:pPr>
        <w:rPr>
          <w:rFonts w:hint="eastAsia" w:ascii="宋体" w:hAnsi="宋体" w:eastAsia="宋体" w:cs="宋体"/>
          <w:bCs/>
          <w:sz w:val="24"/>
          <w:highlight w:val="none"/>
        </w:rPr>
      </w:pPr>
      <w:r>
        <w:rPr>
          <w:rFonts w:hint="eastAsia" w:ascii="宋体" w:hAnsi="宋体" w:eastAsia="宋体" w:cs="宋体"/>
          <w:bCs/>
          <w:sz w:val="24"/>
          <w:highlight w:val="none"/>
        </w:rPr>
        <w:t>1、甲乙双方必须遵守本合同并执行合同中的各项规定，保证本合同的正常履行。</w:t>
      </w:r>
    </w:p>
    <w:p w14:paraId="4186DACC">
      <w:pPr>
        <w:rPr>
          <w:rFonts w:hint="eastAsia" w:ascii="宋体" w:hAnsi="宋体" w:eastAsia="宋体" w:cs="宋体"/>
          <w:bCs/>
          <w:sz w:val="24"/>
          <w:highlight w:val="none"/>
        </w:rPr>
      </w:pPr>
      <w:r>
        <w:rPr>
          <w:rFonts w:hint="eastAsia" w:ascii="宋体" w:hAnsi="宋体" w:eastAsia="宋体" w:cs="宋体"/>
          <w:bCs/>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CB04B77">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不可抗力事件处理</w:t>
      </w:r>
    </w:p>
    <w:p w14:paraId="782D52CE">
      <w:pPr>
        <w:rPr>
          <w:rFonts w:hint="eastAsia" w:ascii="宋体" w:hAnsi="宋体" w:eastAsia="宋体" w:cs="宋体"/>
          <w:sz w:val="24"/>
          <w:highlight w:val="none"/>
        </w:rPr>
      </w:pPr>
      <w:r>
        <w:rPr>
          <w:rFonts w:hint="eastAsia" w:ascii="宋体" w:hAnsi="宋体" w:eastAsia="宋体" w:cs="宋体"/>
          <w:sz w:val="24"/>
          <w:highlight w:val="none"/>
        </w:rPr>
        <w:t>1、在合同有效期内，任何一方因不可抗力事件导致不能履行合同，则合同履行期可延长，其延长期与不可抗力影响期相同。</w:t>
      </w:r>
    </w:p>
    <w:p w14:paraId="0D2B296F">
      <w:pPr>
        <w:rPr>
          <w:rFonts w:hint="eastAsia" w:ascii="宋体" w:hAnsi="宋体" w:eastAsia="宋体" w:cs="宋体"/>
          <w:sz w:val="24"/>
          <w:highlight w:val="none"/>
        </w:rPr>
      </w:pPr>
      <w:r>
        <w:rPr>
          <w:rFonts w:hint="eastAsia" w:ascii="宋体" w:hAnsi="宋体" w:eastAsia="宋体" w:cs="宋体"/>
          <w:sz w:val="24"/>
          <w:highlight w:val="none"/>
        </w:rPr>
        <w:t>2、不可抗力事件发生后，应立即通知对方，并寄送有关权威机构出具的证明。</w:t>
      </w:r>
    </w:p>
    <w:p w14:paraId="6724119E">
      <w:pPr>
        <w:rPr>
          <w:rFonts w:hint="eastAsia" w:ascii="宋体" w:hAnsi="宋体" w:eastAsia="宋体" w:cs="宋体"/>
          <w:sz w:val="24"/>
          <w:highlight w:val="none"/>
        </w:rPr>
      </w:pPr>
      <w:r>
        <w:rPr>
          <w:rFonts w:hint="eastAsia" w:ascii="宋体" w:hAnsi="宋体" w:eastAsia="宋体" w:cs="宋体"/>
          <w:sz w:val="24"/>
          <w:highlight w:val="none"/>
        </w:rPr>
        <w:t>3、不可抗力事件延续XX天以上，双方应通过友好协商，确定是否继续履行合同。</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5C3EA153">
      <w:pPr>
        <w:numPr>
          <w:ilvl w:val="0"/>
          <w:numId w:val="5"/>
        </w:numPr>
        <w:rPr>
          <w:rFonts w:hint="eastAsia" w:ascii="宋体" w:hAnsi="宋体" w:eastAsia="宋体" w:cs="宋体"/>
          <w:b/>
          <w:sz w:val="24"/>
          <w:highlight w:val="none"/>
        </w:rPr>
      </w:pPr>
      <w:bookmarkStart w:id="46" w:name="_Toc212019599"/>
      <w:bookmarkStart w:id="47" w:name="_Toc211854454"/>
      <w:bookmarkStart w:id="48" w:name="_Toc241833908"/>
      <w:bookmarkStart w:id="49" w:name="_Toc286993792"/>
      <w:bookmarkStart w:id="50" w:name="_Toc237145411"/>
      <w:bookmarkStart w:id="51" w:name="_Toc185395254"/>
      <w:bookmarkStart w:id="52" w:name="_Toc211911353"/>
      <w:bookmarkStart w:id="53" w:name="_Toc239568423"/>
      <w:bookmarkStart w:id="54" w:name="_Toc251768867"/>
      <w:bookmarkStart w:id="55" w:name="_Toc225654649"/>
      <w:bookmarkStart w:id="56" w:name="_Toc225670756"/>
      <w:bookmarkStart w:id="57" w:name="_Toc225244857"/>
      <w:bookmarkStart w:id="58" w:name="_Toc239233919"/>
      <w:bookmarkStart w:id="59" w:name="_Toc238984980"/>
      <w:bookmarkStart w:id="60" w:name="_Toc247334846"/>
      <w:bookmarkStart w:id="61" w:name="_Toc232492933"/>
      <w:r>
        <w:rPr>
          <w:rFonts w:hint="eastAsia" w:ascii="宋体" w:hAnsi="宋体" w:eastAsia="宋体" w:cs="宋体"/>
          <w:b/>
          <w:sz w:val="24"/>
          <w:highlight w:val="none"/>
        </w:rPr>
        <w:t>解决合同纠纷的方式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964BFD5">
      <w:pPr>
        <w:rPr>
          <w:rFonts w:hint="eastAsia" w:ascii="宋体" w:hAnsi="宋体" w:eastAsia="宋体" w:cs="宋体"/>
          <w:sz w:val="24"/>
          <w:highlight w:val="none"/>
        </w:rPr>
      </w:pPr>
      <w:r>
        <w:rPr>
          <w:rFonts w:hint="eastAsia" w:ascii="宋体" w:hAnsi="宋体" w:eastAsia="宋体" w:cs="宋体"/>
          <w:sz w:val="24"/>
          <w:highlight w:val="none"/>
        </w:rPr>
        <w:t>1、在执行本合同中发生的或与本合同有关的争端，双方应通过友好协商解决，经协商在XX天内不能达成协议时，应提交仲裁委员会仲裁。</w:t>
      </w:r>
    </w:p>
    <w:p w14:paraId="2E6325AB">
      <w:pPr>
        <w:rPr>
          <w:rFonts w:hint="eastAsia" w:ascii="宋体" w:hAnsi="宋体" w:eastAsia="宋体" w:cs="宋体"/>
          <w:sz w:val="24"/>
          <w:highlight w:val="none"/>
        </w:rPr>
      </w:pPr>
      <w:r>
        <w:rPr>
          <w:rFonts w:hint="eastAsia" w:ascii="宋体" w:hAnsi="宋体" w:eastAsia="宋体" w:cs="宋体"/>
          <w:sz w:val="24"/>
          <w:highlight w:val="none"/>
        </w:rPr>
        <w:t>2、仲裁裁决应为最终决定，并对双方具有约束力。</w:t>
      </w:r>
    </w:p>
    <w:p w14:paraId="01E5E84C">
      <w:pPr>
        <w:rPr>
          <w:rFonts w:hint="eastAsia" w:ascii="宋体" w:hAnsi="宋体" w:eastAsia="宋体" w:cs="宋体"/>
          <w:sz w:val="24"/>
          <w:highlight w:val="none"/>
        </w:rPr>
      </w:pPr>
      <w:r>
        <w:rPr>
          <w:rFonts w:hint="eastAsia" w:ascii="宋体" w:hAnsi="宋体" w:eastAsia="宋体" w:cs="宋体"/>
          <w:sz w:val="24"/>
          <w:highlight w:val="none"/>
        </w:rPr>
        <w:t xml:space="preserve">3、除另有裁决外，仲裁费应由败诉方负担。 </w:t>
      </w:r>
    </w:p>
    <w:p w14:paraId="050D38C2">
      <w:pPr>
        <w:rPr>
          <w:rFonts w:hint="eastAsia" w:ascii="宋体" w:hAnsi="宋体" w:eastAsia="宋体" w:cs="宋体"/>
          <w:sz w:val="24"/>
          <w:highlight w:val="none"/>
        </w:rPr>
      </w:pPr>
      <w:r>
        <w:rPr>
          <w:rFonts w:hint="eastAsia" w:ascii="宋体" w:hAnsi="宋体" w:eastAsia="宋体" w:cs="宋体"/>
          <w:sz w:val="24"/>
          <w:highlight w:val="none"/>
        </w:rPr>
        <w:t xml:space="preserve">4、在仲裁期间，除正在进行仲裁部分外，合同其他部分继续执行。  </w:t>
      </w:r>
    </w:p>
    <w:p w14:paraId="54F62DB5">
      <w:pPr>
        <w:numPr>
          <w:ilvl w:val="0"/>
          <w:numId w:val="5"/>
        </w:numPr>
        <w:rPr>
          <w:rFonts w:hint="eastAsia" w:ascii="宋体" w:hAnsi="宋体" w:eastAsia="宋体" w:cs="宋体"/>
          <w:b/>
          <w:sz w:val="24"/>
          <w:highlight w:val="none"/>
        </w:rPr>
      </w:pPr>
      <w:bookmarkStart w:id="62" w:name="_Toc225244858"/>
      <w:bookmarkStart w:id="63" w:name="_Toc283019219"/>
      <w:bookmarkStart w:id="64" w:name="_Toc239233920"/>
      <w:bookmarkStart w:id="65" w:name="_Toc211911354"/>
      <w:bookmarkStart w:id="66" w:name="_Toc286993793"/>
      <w:bookmarkStart w:id="67" w:name="_Toc282696231"/>
      <w:bookmarkStart w:id="68" w:name="_Toc238984981"/>
      <w:bookmarkStart w:id="69" w:name="_Toc211854455"/>
      <w:bookmarkStart w:id="70" w:name="_Toc239568424"/>
      <w:bookmarkStart w:id="71" w:name="_Toc251768868"/>
      <w:bookmarkStart w:id="72" w:name="_Toc225670757"/>
      <w:bookmarkStart w:id="73" w:name="_Toc241833909"/>
      <w:bookmarkStart w:id="74" w:name="_Toc232492934"/>
      <w:bookmarkStart w:id="75" w:name="_Toc247334847"/>
      <w:bookmarkStart w:id="76" w:name="_Toc212019600"/>
      <w:bookmarkStart w:id="77" w:name="_Toc225654650"/>
      <w:bookmarkStart w:id="78" w:name="_Toc185395255"/>
      <w:bookmarkStart w:id="79" w:name="_Toc237145412"/>
      <w:r>
        <w:rPr>
          <w:rFonts w:hint="eastAsia" w:ascii="宋体" w:hAnsi="宋体" w:eastAsia="宋体" w:cs="宋体"/>
          <w:b/>
          <w:sz w:val="24"/>
          <w:highlight w:val="none"/>
        </w:rPr>
        <w:t>合同</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eastAsia="宋体" w:cs="宋体"/>
          <w:b/>
          <w:sz w:val="24"/>
          <w:highlight w:val="none"/>
        </w:rPr>
        <w:t>生效及其他</w:t>
      </w:r>
    </w:p>
    <w:p w14:paraId="1F4A9D80">
      <w:pPr>
        <w:rPr>
          <w:rFonts w:hint="eastAsia" w:ascii="宋体" w:hAnsi="宋体" w:eastAsia="宋体" w:cs="宋体"/>
          <w:sz w:val="24"/>
          <w:highlight w:val="none"/>
        </w:rPr>
      </w:pPr>
      <w:r>
        <w:rPr>
          <w:rFonts w:hint="eastAsia" w:ascii="宋体" w:hAnsi="宋体" w:eastAsia="宋体" w:cs="宋体"/>
          <w:sz w:val="24"/>
          <w:highlight w:val="none"/>
        </w:rPr>
        <w:t>1、合同经双方法定代表人或授权委托代理人签字并加盖单位公章后生效。</w:t>
      </w:r>
    </w:p>
    <w:p w14:paraId="17D3B600">
      <w:pPr>
        <w:rPr>
          <w:rFonts w:hint="eastAsia" w:ascii="宋体" w:hAnsi="宋体" w:eastAsia="宋体" w:cs="宋体"/>
          <w:sz w:val="24"/>
          <w:highlight w:val="none"/>
        </w:rPr>
      </w:pPr>
      <w:r>
        <w:rPr>
          <w:rFonts w:hint="eastAsia" w:ascii="宋体" w:hAnsi="宋体" w:eastAsia="宋体" w:cs="宋体"/>
          <w:sz w:val="24"/>
          <w:highlight w:val="none"/>
        </w:rPr>
        <w:t>2、合同执行中涉及采购资金和采购内容修改或补充的，须经政府采购监管部门审批，并签书面补充协议报政府采购监督管理部门备案，方可作为主合同不可分割的一部分。</w:t>
      </w:r>
    </w:p>
    <w:p w14:paraId="7FEF1586">
      <w:pPr>
        <w:rPr>
          <w:rFonts w:hint="eastAsia" w:ascii="宋体" w:hAnsi="宋体" w:eastAsia="宋体" w:cs="宋体"/>
          <w:sz w:val="24"/>
          <w:highlight w:val="none"/>
        </w:rPr>
      </w:pPr>
      <w:r>
        <w:rPr>
          <w:rFonts w:hint="eastAsia" w:ascii="宋体" w:hAnsi="宋体" w:eastAsia="宋体" w:cs="宋体"/>
          <w:sz w:val="24"/>
          <w:highlight w:val="none"/>
        </w:rPr>
        <w:t>3、本合同一式</w:t>
      </w:r>
      <w:r>
        <w:rPr>
          <w:rFonts w:hint="eastAsia" w:ascii="宋体" w:hAnsi="宋体" w:eastAsia="宋体" w:cs="宋体"/>
          <w:sz w:val="24"/>
          <w:highlight w:val="none"/>
          <w:lang w:eastAsia="zh-CN"/>
        </w:rPr>
        <w:t>5</w:t>
      </w:r>
      <w:r>
        <w:rPr>
          <w:rFonts w:hint="eastAsia" w:ascii="宋体" w:hAnsi="宋体" w:eastAsia="宋体" w:cs="宋体"/>
          <w:sz w:val="24"/>
          <w:highlight w:val="none"/>
        </w:rPr>
        <w:t>份，自双方签章之日起起效。甲方</w:t>
      </w:r>
      <w:r>
        <w:rPr>
          <w:rFonts w:hint="eastAsia" w:ascii="宋体" w:hAnsi="宋体" w:eastAsia="宋体" w:cs="宋体"/>
          <w:sz w:val="24"/>
          <w:highlight w:val="none"/>
          <w:lang w:eastAsia="zh-CN"/>
        </w:rPr>
        <w:t>3</w:t>
      </w:r>
      <w:r>
        <w:rPr>
          <w:rFonts w:hint="eastAsia" w:ascii="宋体" w:hAnsi="宋体" w:eastAsia="宋体" w:cs="宋体"/>
          <w:sz w:val="24"/>
          <w:highlight w:val="none"/>
        </w:rPr>
        <w:t>份，乙方</w:t>
      </w:r>
      <w:r>
        <w:rPr>
          <w:rFonts w:hint="eastAsia" w:ascii="宋体" w:hAnsi="宋体" w:eastAsia="宋体" w:cs="宋体"/>
          <w:sz w:val="24"/>
          <w:highlight w:val="none"/>
          <w:lang w:eastAsia="zh-CN"/>
        </w:rPr>
        <w:t>1</w:t>
      </w:r>
      <w:r>
        <w:rPr>
          <w:rFonts w:hint="eastAsia" w:ascii="宋体" w:hAnsi="宋体" w:eastAsia="宋体" w:cs="宋体"/>
          <w:sz w:val="24"/>
          <w:highlight w:val="none"/>
        </w:rPr>
        <w:t>份，采购代理机构</w:t>
      </w:r>
      <w:r>
        <w:rPr>
          <w:rFonts w:hint="eastAsia" w:ascii="宋体" w:hAnsi="宋体" w:eastAsia="宋体" w:cs="宋体"/>
          <w:sz w:val="24"/>
          <w:highlight w:val="none"/>
          <w:lang w:eastAsia="zh-CN"/>
        </w:rPr>
        <w:t>1</w:t>
      </w:r>
      <w:r>
        <w:rPr>
          <w:rFonts w:hint="eastAsia" w:ascii="宋体" w:hAnsi="宋体" w:eastAsia="宋体" w:cs="宋体"/>
          <w:sz w:val="24"/>
          <w:highlight w:val="none"/>
        </w:rPr>
        <w:t>份，具有同等法律效力。</w:t>
      </w:r>
    </w:p>
    <w:p w14:paraId="3D904AF6">
      <w:pPr>
        <w:numPr>
          <w:ilvl w:val="0"/>
          <w:numId w:val="5"/>
        </w:numPr>
        <w:rPr>
          <w:rFonts w:hint="eastAsia" w:ascii="宋体" w:hAnsi="宋体" w:eastAsia="宋体" w:cs="宋体"/>
          <w:b/>
          <w:sz w:val="24"/>
          <w:highlight w:val="none"/>
        </w:rPr>
      </w:pPr>
      <w:r>
        <w:rPr>
          <w:rFonts w:hint="eastAsia" w:ascii="宋体" w:hAnsi="宋体" w:eastAsia="宋体" w:cs="宋体"/>
          <w:b/>
          <w:sz w:val="24"/>
          <w:highlight w:val="none"/>
        </w:rPr>
        <w:t>附件</w:t>
      </w:r>
    </w:p>
    <w:p w14:paraId="4A8B83CA">
      <w:pPr>
        <w:rPr>
          <w:rFonts w:hint="eastAsia" w:ascii="宋体" w:hAnsi="宋体" w:eastAsia="宋体" w:cs="宋体"/>
          <w:sz w:val="24"/>
          <w:highlight w:val="none"/>
        </w:rPr>
      </w:pPr>
      <w:r>
        <w:rPr>
          <w:rFonts w:hint="eastAsia" w:ascii="宋体" w:hAnsi="宋体" w:eastAsia="宋体" w:cs="宋体"/>
          <w:sz w:val="24"/>
          <w:highlight w:val="none"/>
        </w:rPr>
        <w:t>1、项目</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w:t>
      </w:r>
    </w:p>
    <w:p w14:paraId="78E8BA7F">
      <w:pPr>
        <w:rPr>
          <w:rFonts w:hint="eastAsia" w:ascii="宋体" w:hAnsi="宋体" w:eastAsia="宋体" w:cs="宋体"/>
          <w:sz w:val="24"/>
          <w:highlight w:val="none"/>
        </w:rPr>
      </w:pPr>
      <w:r>
        <w:rPr>
          <w:rFonts w:hint="eastAsia" w:ascii="宋体" w:hAnsi="宋体" w:eastAsia="宋体" w:cs="宋体"/>
          <w:sz w:val="24"/>
          <w:highlight w:val="none"/>
        </w:rPr>
        <w:t>2、项目修改澄清文件</w:t>
      </w:r>
    </w:p>
    <w:p w14:paraId="775222F4">
      <w:pPr>
        <w:rPr>
          <w:rFonts w:hint="eastAsia" w:ascii="宋体" w:hAnsi="宋体" w:eastAsia="宋体" w:cs="宋体"/>
          <w:sz w:val="24"/>
          <w:highlight w:val="none"/>
        </w:rPr>
      </w:pPr>
      <w:r>
        <w:rPr>
          <w:rFonts w:hint="eastAsia" w:ascii="宋体" w:hAnsi="宋体" w:eastAsia="宋体" w:cs="宋体"/>
          <w:sz w:val="24"/>
          <w:highlight w:val="none"/>
        </w:rPr>
        <w:t>3、项目</w:t>
      </w:r>
      <w:r>
        <w:rPr>
          <w:rFonts w:hint="eastAsia" w:ascii="宋体" w:hAnsi="宋体" w:eastAsia="宋体" w:cs="宋体"/>
          <w:sz w:val="24"/>
          <w:highlight w:val="none"/>
          <w:lang w:eastAsia="zh-CN"/>
        </w:rPr>
        <w:t>响应</w:t>
      </w:r>
      <w:r>
        <w:rPr>
          <w:rFonts w:hint="eastAsia" w:ascii="宋体" w:hAnsi="宋体" w:eastAsia="宋体" w:cs="宋体"/>
          <w:sz w:val="24"/>
          <w:highlight w:val="none"/>
        </w:rPr>
        <w:t>文件</w:t>
      </w:r>
    </w:p>
    <w:p w14:paraId="2F199CA9">
      <w:pPr>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w:t>
      </w:r>
    </w:p>
    <w:p w14:paraId="2EBE761E">
      <w:pPr>
        <w:rPr>
          <w:rFonts w:hint="eastAsia" w:ascii="宋体" w:hAnsi="宋体" w:eastAsia="宋体" w:cs="宋体"/>
          <w:sz w:val="24"/>
          <w:highlight w:val="none"/>
        </w:rPr>
      </w:pPr>
      <w:r>
        <w:rPr>
          <w:rFonts w:hint="eastAsia" w:ascii="宋体" w:hAnsi="宋体" w:eastAsia="宋体" w:cs="宋体"/>
          <w:sz w:val="24"/>
          <w:highlight w:val="none"/>
        </w:rPr>
        <w:t>5、其他</w:t>
      </w:r>
    </w:p>
    <w:p w14:paraId="29303B6D">
      <w:pPr>
        <w:rPr>
          <w:rFonts w:hint="eastAsia" w:ascii="宋体" w:hAnsi="宋体" w:eastAsia="宋体" w:cs="宋体"/>
          <w:sz w:val="24"/>
          <w:highlight w:val="none"/>
        </w:rPr>
      </w:pPr>
    </w:p>
    <w:p w14:paraId="2128ADD0">
      <w:pPr>
        <w:rPr>
          <w:rFonts w:hint="eastAsia" w:ascii="宋体" w:hAnsi="宋体" w:eastAsia="宋体" w:cs="宋体"/>
          <w:sz w:val="24"/>
          <w:highlight w:val="none"/>
        </w:rPr>
      </w:pPr>
      <w:r>
        <w:rPr>
          <w:rFonts w:hint="eastAsia" w:ascii="宋体" w:hAnsi="宋体" w:eastAsia="宋体" w:cs="宋体"/>
          <w:sz w:val="24"/>
          <w:highlight w:val="none"/>
        </w:rPr>
        <w:t>甲</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方：   （盖章）</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乙</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方：（盖章）</w:t>
      </w:r>
    </w:p>
    <w:p w14:paraId="2EEFD229">
      <w:pPr>
        <w:rPr>
          <w:rFonts w:hint="eastAsia" w:ascii="宋体" w:hAnsi="宋体" w:eastAsia="宋体" w:cs="宋体"/>
          <w:sz w:val="24"/>
          <w:highlight w:val="none"/>
        </w:rPr>
      </w:pPr>
      <w:r>
        <w:rPr>
          <w:rFonts w:hint="eastAsia" w:ascii="宋体" w:hAnsi="宋体" w:eastAsia="宋体" w:cs="宋体"/>
          <w:sz w:val="24"/>
          <w:highlight w:val="none"/>
        </w:rPr>
        <w:t>法定代表人（授权代表）：</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法定代表人（授权代表）：</w:t>
      </w:r>
    </w:p>
    <w:p w14:paraId="27A3C0E6">
      <w:pPr>
        <w:rPr>
          <w:rFonts w:hint="eastAsia" w:ascii="宋体" w:hAnsi="宋体" w:eastAsia="宋体" w:cs="宋体"/>
          <w:sz w:val="24"/>
          <w:highlight w:val="none"/>
        </w:rPr>
      </w:pPr>
      <w:r>
        <w:rPr>
          <w:rFonts w:hint="eastAsia" w:ascii="宋体" w:hAnsi="宋体" w:eastAsia="宋体" w:cs="宋体"/>
          <w:sz w:val="24"/>
          <w:highlight w:val="none"/>
        </w:rPr>
        <w:t>地</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址：</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地</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址：</w:t>
      </w:r>
    </w:p>
    <w:p w14:paraId="6105464E">
      <w:pPr>
        <w:rPr>
          <w:rFonts w:hint="eastAsia" w:ascii="宋体" w:hAnsi="宋体" w:eastAsia="宋体" w:cs="宋体"/>
          <w:sz w:val="24"/>
          <w:highlight w:val="none"/>
        </w:rPr>
      </w:pPr>
      <w:r>
        <w:rPr>
          <w:rFonts w:hint="eastAsia" w:ascii="宋体" w:hAnsi="宋体" w:eastAsia="宋体" w:cs="宋体"/>
          <w:sz w:val="24"/>
          <w:highlight w:val="none"/>
        </w:rPr>
        <w:t>开户银行：</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开户银行：</w:t>
      </w:r>
    </w:p>
    <w:p w14:paraId="1D9B5717">
      <w:pPr>
        <w:rPr>
          <w:rFonts w:hint="eastAsia" w:ascii="宋体" w:hAnsi="宋体" w:eastAsia="宋体" w:cs="宋体"/>
          <w:sz w:val="24"/>
          <w:highlight w:val="none"/>
        </w:rPr>
      </w:pPr>
      <w:r>
        <w:rPr>
          <w:rFonts w:hint="eastAsia" w:ascii="宋体" w:hAnsi="宋体" w:eastAsia="宋体" w:cs="宋体"/>
          <w:sz w:val="24"/>
          <w:highlight w:val="none"/>
        </w:rPr>
        <w:t>账</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号：</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账</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号：</w:t>
      </w:r>
    </w:p>
    <w:p w14:paraId="3CB27195">
      <w:pPr>
        <w:rPr>
          <w:rFonts w:hint="eastAsia" w:ascii="宋体" w:hAnsi="宋体" w:eastAsia="宋体" w:cs="宋体"/>
          <w:sz w:val="24"/>
          <w:highlight w:val="none"/>
        </w:rPr>
      </w:pPr>
      <w:r>
        <w:rPr>
          <w:rFonts w:hint="eastAsia" w:ascii="宋体" w:hAnsi="宋体" w:eastAsia="宋体" w:cs="宋体"/>
          <w:sz w:val="24"/>
          <w:highlight w:val="none"/>
        </w:rPr>
        <w:t>电</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话：</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电</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话：</w:t>
      </w:r>
    </w:p>
    <w:p w14:paraId="74367A13">
      <w:pPr>
        <w:rPr>
          <w:rFonts w:hint="eastAsia" w:ascii="宋体" w:hAnsi="宋体" w:eastAsia="宋体" w:cs="宋体"/>
          <w:sz w:val="24"/>
          <w:highlight w:val="none"/>
        </w:rPr>
      </w:pPr>
      <w:r>
        <w:rPr>
          <w:rFonts w:hint="eastAsia" w:ascii="宋体" w:hAnsi="宋体" w:eastAsia="宋体" w:cs="宋体"/>
          <w:sz w:val="24"/>
          <w:highlight w:val="none"/>
        </w:rPr>
        <w:t>传</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真：</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传</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真：</w:t>
      </w:r>
    </w:p>
    <w:bookmarkEnd w:id="27"/>
    <w:p w14:paraId="5D2FD799">
      <w:pPr>
        <w:pageBreakBefore w:val="0"/>
        <w:widowControl/>
        <w:kinsoku/>
        <w:overflowPunct/>
        <w:topLinePunct w:val="0"/>
        <w:bidi w:val="0"/>
        <w:jc w:val="left"/>
        <w:outlineLvl w:val="9"/>
        <w:rPr>
          <w:rFonts w:hint="eastAsia" w:ascii="宋体" w:hAnsi="宋体" w:eastAsia="宋体" w:cs="宋体"/>
          <w:color w:val="auto"/>
          <w:spacing w:val="8"/>
          <w:sz w:val="28"/>
          <w:szCs w:val="28"/>
          <w:highlight w:val="none"/>
          <w:u w:val="single" w:color="0D0D0D"/>
        </w:rPr>
      </w:pPr>
      <w:r>
        <w:rPr>
          <w:rFonts w:hint="eastAsia" w:ascii="宋体" w:hAnsi="宋体" w:eastAsia="宋体" w:cs="宋体"/>
          <w:sz w:val="24"/>
          <w:highlight w:val="none"/>
          <w:lang w:eastAsia="zh-CN"/>
        </w:rPr>
        <w:t>日 期：                          日 期：</w:t>
      </w:r>
    </w:p>
    <w:p w14:paraId="76BF7886">
      <w:pPr>
        <w:pageBreakBefore w:val="0"/>
        <w:widowControl/>
        <w:kinsoku/>
        <w:overflowPunct/>
        <w:topLinePunct w:val="0"/>
        <w:bidi w:val="0"/>
        <w:spacing w:line="380" w:lineRule="exact"/>
        <w:jc w:val="left"/>
        <w:outlineLvl w:val="9"/>
        <w:rPr>
          <w:rFonts w:hint="eastAsia" w:ascii="宋体" w:hAnsi="宋体" w:eastAsia="宋体" w:cs="宋体"/>
          <w:color w:val="auto"/>
          <w:sz w:val="24"/>
          <w:highlight w:val="none"/>
        </w:rPr>
      </w:pPr>
    </w:p>
    <w:p w14:paraId="12B41641">
      <w:pPr>
        <w:pageBreakBefore w:val="0"/>
        <w:kinsoku/>
        <w:overflowPunct/>
        <w:topLinePunct w:val="0"/>
        <w:bidi w:val="0"/>
        <w:spacing w:line="300" w:lineRule="auto"/>
        <w:ind w:firstLine="480"/>
        <w:outlineLvl w:val="9"/>
        <w:rPr>
          <w:rFonts w:hint="eastAsia" w:ascii="宋体" w:hAnsi="宋体" w:eastAsia="宋体" w:cs="宋体"/>
          <w:color w:val="auto"/>
          <w:sz w:val="24"/>
          <w:highlight w:val="none"/>
        </w:rPr>
      </w:pPr>
    </w:p>
    <w:p w14:paraId="25C1C40C">
      <w:pPr>
        <w:pageBreakBefore w:val="0"/>
        <w:kinsoku/>
        <w:overflowPunct/>
        <w:topLinePunct w:val="0"/>
        <w:bidi w:val="0"/>
        <w:spacing w:line="360" w:lineRule="auto"/>
        <w:outlineLvl w:val="9"/>
        <w:rPr>
          <w:rFonts w:hint="eastAsia" w:ascii="宋体" w:hAnsi="宋体" w:eastAsia="宋体" w:cs="宋体"/>
          <w:color w:val="auto"/>
          <w:highlight w:val="none"/>
        </w:rPr>
      </w:pPr>
    </w:p>
    <w:p w14:paraId="089D37C7">
      <w:pPr>
        <w:pageBreakBefore w:val="0"/>
        <w:kinsoku/>
        <w:overflowPunct/>
        <w:topLinePunct w:val="0"/>
        <w:bidi w:val="0"/>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5CEBAD1A">
      <w:pPr>
        <w:keepNext/>
        <w:keepLines/>
        <w:pageBreakBefore w:val="0"/>
        <w:widowControl/>
        <w:tabs>
          <w:tab w:val="left" w:pos="425"/>
          <w:tab w:val="left" w:pos="4265"/>
        </w:tabs>
        <w:kinsoku/>
        <w:wordWrap/>
        <w:overflowPunct/>
        <w:topLinePunct w:val="0"/>
        <w:autoSpaceDE w:val="0"/>
        <w:autoSpaceDN w:val="0"/>
        <w:bidi w:val="0"/>
        <w:adjustRightInd/>
        <w:snapToGrid/>
        <w:spacing w:before="340" w:after="330" w:line="360" w:lineRule="auto"/>
        <w:jc w:val="center"/>
        <w:textAlignment w:val="auto"/>
        <w:outlineLvl w:val="0"/>
        <w:rPr>
          <w:rFonts w:hint="eastAsia" w:ascii="宋体" w:hAnsi="宋体" w:eastAsia="宋体" w:cs="宋体"/>
          <w:b/>
          <w:color w:val="auto"/>
          <w:sz w:val="28"/>
          <w:highlight w:val="none"/>
          <w:lang w:eastAsia="zh-CN"/>
        </w:rPr>
      </w:pPr>
      <w:bookmarkStart w:id="80" w:name="_Toc28384"/>
      <w:r>
        <w:rPr>
          <w:rFonts w:hint="eastAsia" w:ascii="宋体" w:hAnsi="宋体" w:eastAsia="宋体" w:cs="宋体"/>
          <w:b/>
          <w:color w:val="auto"/>
          <w:sz w:val="28"/>
          <w:highlight w:val="none"/>
        </w:rPr>
        <w:t>第七章  响应文件（格式）</w:t>
      </w:r>
      <w:bookmarkEnd w:id="80"/>
    </w:p>
    <w:p w14:paraId="596BAB60">
      <w:pPr>
        <w:pageBreakBefore w:val="0"/>
        <w:widowControl/>
        <w:kinsoku/>
        <w:wordWrap/>
        <w:overflowPunct/>
        <w:topLinePunct w:val="0"/>
        <w:bidi w:val="0"/>
        <w:jc w:val="center"/>
        <w:outlineLvl w:val="9"/>
        <w:rPr>
          <w:rFonts w:hint="eastAsia" w:ascii="宋体" w:hAnsi="宋体" w:eastAsia="宋体" w:cs="宋体"/>
          <w:b/>
          <w:color w:val="auto"/>
          <w:sz w:val="72"/>
          <w:highlight w:val="none"/>
        </w:rPr>
      </w:pPr>
    </w:p>
    <w:p w14:paraId="325E3E57">
      <w:pPr>
        <w:pageBreakBefore w:val="0"/>
        <w:widowControl/>
        <w:kinsoku/>
        <w:wordWrap/>
        <w:overflowPunct/>
        <w:topLinePunct w:val="0"/>
        <w:bidi w:val="0"/>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采购项目</w:t>
      </w:r>
    </w:p>
    <w:p w14:paraId="36E66729">
      <w:pPr>
        <w:pageBreakBefore w:val="0"/>
        <w:widowControl/>
        <w:kinsoku/>
        <w:wordWrap/>
        <w:overflowPunct/>
        <w:topLinePunct w:val="0"/>
        <w:bidi w:val="0"/>
        <w:ind w:left="-566" w:right="-338"/>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资格性/技术服务性响应文件</w:t>
      </w:r>
    </w:p>
    <w:p w14:paraId="340EFD96">
      <w:pPr>
        <w:pageBreakBefore w:val="0"/>
        <w:widowControl/>
        <w:kinsoku/>
        <w:wordWrap/>
        <w:overflowPunct/>
        <w:topLinePunct w:val="0"/>
        <w:bidi w:val="0"/>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（封面）</w:t>
      </w:r>
    </w:p>
    <w:p w14:paraId="4C4E1761">
      <w:pPr>
        <w:pageBreakBefore w:val="0"/>
        <w:widowControl/>
        <w:kinsoku/>
        <w:wordWrap/>
        <w:overflowPunct/>
        <w:topLinePunct w:val="0"/>
        <w:bidi w:val="0"/>
        <w:outlineLvl w:val="9"/>
        <w:rPr>
          <w:rFonts w:hint="eastAsia" w:ascii="宋体" w:hAnsi="宋体" w:eastAsia="宋体" w:cs="宋体"/>
          <w:b/>
          <w:color w:val="auto"/>
          <w:sz w:val="36"/>
          <w:highlight w:val="none"/>
          <w:lang w:eastAsia="zh-CN"/>
        </w:rPr>
      </w:pPr>
    </w:p>
    <w:p w14:paraId="5E8574AE">
      <w:pPr>
        <w:pageBreakBefore w:val="0"/>
        <w:widowControl/>
        <w:kinsoku/>
        <w:wordWrap/>
        <w:overflowPunct/>
        <w:topLinePunct w:val="0"/>
        <w:bidi w:val="0"/>
        <w:ind w:firstLine="1970"/>
        <w:jc w:val="left"/>
        <w:outlineLvl w:val="9"/>
        <w:rPr>
          <w:rFonts w:hint="eastAsia" w:ascii="宋体" w:hAnsi="宋体" w:eastAsia="宋体" w:cs="宋体"/>
          <w:b/>
          <w:color w:val="auto"/>
          <w:sz w:val="36"/>
          <w:highlight w:val="none"/>
          <w:u w:val="single" w:color="0D0D0D"/>
        </w:rPr>
      </w:pPr>
      <w:r>
        <w:rPr>
          <w:rFonts w:hint="eastAsia" w:ascii="宋体" w:hAnsi="宋体" w:eastAsia="宋体" w:cs="宋体"/>
          <w:b/>
          <w:color w:val="auto"/>
          <w:sz w:val="36"/>
          <w:highlight w:val="none"/>
        </w:rPr>
        <w:t>项目名称：</w:t>
      </w:r>
    </w:p>
    <w:p w14:paraId="6E98DC6F">
      <w:pPr>
        <w:pageBreakBefore w:val="0"/>
        <w:widowControl/>
        <w:kinsoku/>
        <w:wordWrap/>
        <w:overflowPunct/>
        <w:topLinePunct w:val="0"/>
        <w:bidi w:val="0"/>
        <w:ind w:firstLine="1970"/>
        <w:jc w:val="left"/>
        <w:outlineLvl w:val="9"/>
        <w:rPr>
          <w:rFonts w:hint="eastAsia" w:ascii="宋体" w:hAnsi="宋体" w:eastAsia="宋体" w:cs="宋体"/>
          <w:b/>
          <w:color w:val="auto"/>
          <w:sz w:val="36"/>
          <w:highlight w:val="none"/>
          <w:u w:val="single" w:color="0D0D0D"/>
        </w:rPr>
      </w:pPr>
      <w:r>
        <w:rPr>
          <w:rFonts w:hint="eastAsia" w:ascii="宋体" w:hAnsi="宋体" w:eastAsia="宋体" w:cs="宋体"/>
          <w:b/>
          <w:color w:val="auto"/>
          <w:sz w:val="36"/>
          <w:highlight w:val="none"/>
        </w:rPr>
        <w:t>采购编号：</w:t>
      </w:r>
    </w:p>
    <w:p w14:paraId="70B59A9C">
      <w:pPr>
        <w:pageBreakBefore w:val="0"/>
        <w:widowControl/>
        <w:kinsoku/>
        <w:wordWrap/>
        <w:overflowPunct/>
        <w:topLinePunct w:val="0"/>
        <w:bidi w:val="0"/>
        <w:spacing w:line="360" w:lineRule="auto"/>
        <w:jc w:val="center"/>
        <w:outlineLvl w:val="9"/>
        <w:rPr>
          <w:rFonts w:hint="eastAsia" w:ascii="宋体" w:hAnsi="宋体" w:eastAsia="宋体" w:cs="宋体"/>
          <w:b/>
          <w:color w:val="auto"/>
          <w:sz w:val="36"/>
          <w:highlight w:val="none"/>
        </w:rPr>
      </w:pPr>
    </w:p>
    <w:p w14:paraId="218E1473">
      <w:pPr>
        <w:pageBreakBefore w:val="0"/>
        <w:widowControl/>
        <w:kinsoku/>
        <w:wordWrap/>
        <w:overflowPunct/>
        <w:topLinePunct w:val="0"/>
        <w:bidi w:val="0"/>
        <w:jc w:val="center"/>
        <w:outlineLvl w:val="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（正本/副本）</w:t>
      </w:r>
    </w:p>
    <w:p w14:paraId="212ED87D">
      <w:pPr>
        <w:pageBreakBefore w:val="0"/>
        <w:widowControl/>
        <w:kinsoku/>
        <w:wordWrap/>
        <w:overflowPunct/>
        <w:topLinePunct w:val="0"/>
        <w:bidi w:val="0"/>
        <w:jc w:val="left"/>
        <w:outlineLvl w:val="9"/>
        <w:rPr>
          <w:rFonts w:hint="eastAsia" w:ascii="宋体" w:hAnsi="宋体" w:eastAsia="宋体" w:cs="宋体"/>
          <w:b/>
          <w:color w:val="auto"/>
          <w:sz w:val="36"/>
          <w:highlight w:val="none"/>
          <w:lang w:eastAsia="zh-CN"/>
        </w:rPr>
      </w:pPr>
    </w:p>
    <w:p w14:paraId="062E882F">
      <w:pPr>
        <w:pageBreakBefore w:val="0"/>
        <w:widowControl/>
        <w:kinsoku/>
        <w:wordWrap/>
        <w:overflowPunct/>
        <w:topLinePunct w:val="0"/>
        <w:bidi w:val="0"/>
        <w:spacing w:line="440" w:lineRule="exact"/>
        <w:jc w:val="left"/>
        <w:outlineLvl w:val="9"/>
        <w:rPr>
          <w:rFonts w:hint="eastAsia" w:ascii="宋体" w:hAnsi="宋体" w:eastAsia="宋体" w:cs="宋体"/>
          <w:b/>
          <w:color w:val="auto"/>
          <w:sz w:val="36"/>
          <w:highlight w:val="none"/>
        </w:rPr>
      </w:pPr>
    </w:p>
    <w:p w14:paraId="30D03417">
      <w:pPr>
        <w:pageBreakBefore w:val="0"/>
        <w:widowControl/>
        <w:kinsoku/>
        <w:wordWrap/>
        <w:overflowPunct/>
        <w:topLinePunct w:val="0"/>
        <w:bidi w:val="0"/>
        <w:spacing w:line="500" w:lineRule="exact"/>
        <w:jc w:val="left"/>
        <w:outlineLvl w:val="9"/>
        <w:rPr>
          <w:rFonts w:hint="eastAsia" w:ascii="宋体" w:hAnsi="宋体" w:eastAsia="宋体" w:cs="宋体"/>
          <w:b/>
          <w:color w:val="auto"/>
          <w:sz w:val="32"/>
          <w:highlight w:val="none"/>
          <w:u w:val="single" w:color="0D0D0D"/>
        </w:rPr>
      </w:pPr>
      <w:r>
        <w:rPr>
          <w:rFonts w:hint="eastAsia" w:ascii="宋体" w:hAnsi="宋体" w:eastAsia="宋体" w:cs="宋体"/>
          <w:b/>
          <w:color w:val="auto"/>
          <w:sz w:val="32"/>
          <w:highlight w:val="none"/>
        </w:rPr>
        <w:t xml:space="preserve">     供应商名称 ：</w:t>
      </w:r>
      <w:r>
        <w:rPr>
          <w:rFonts w:hint="eastAsia" w:ascii="宋体" w:hAnsi="宋体" w:eastAsia="宋体" w:cs="宋体"/>
          <w:b/>
          <w:color w:val="auto"/>
          <w:sz w:val="32"/>
          <w:highlight w:val="none"/>
          <w:lang w:eastAsia="zh-CN"/>
        </w:rPr>
        <w:t>（盖公章）</w:t>
      </w:r>
    </w:p>
    <w:p w14:paraId="628A77C0">
      <w:pPr>
        <w:pageBreakBefore w:val="0"/>
        <w:widowControl/>
        <w:kinsoku/>
        <w:wordWrap/>
        <w:overflowPunct/>
        <w:topLinePunct w:val="0"/>
        <w:bidi w:val="0"/>
        <w:spacing w:line="500" w:lineRule="exact"/>
        <w:ind w:firstLine="790"/>
        <w:jc w:val="left"/>
        <w:outlineLvl w:val="9"/>
        <w:rPr>
          <w:rFonts w:hint="eastAsia" w:ascii="宋体" w:hAnsi="宋体" w:eastAsia="宋体" w:cs="宋体"/>
          <w:b/>
          <w:color w:val="auto"/>
          <w:sz w:val="32"/>
          <w:highlight w:val="none"/>
          <w:u w:val="single" w:color="0D0D0D"/>
        </w:rPr>
      </w:pPr>
      <w:r>
        <w:rPr>
          <w:rFonts w:hint="eastAsia" w:ascii="宋体" w:hAnsi="宋体" w:eastAsia="宋体" w:cs="宋体"/>
          <w:b/>
          <w:color w:val="auto"/>
          <w:sz w:val="32"/>
          <w:highlight w:val="none"/>
        </w:rPr>
        <w:t>法定代表人：</w:t>
      </w:r>
      <w:r>
        <w:rPr>
          <w:rFonts w:hint="eastAsia" w:ascii="宋体" w:hAnsi="宋体" w:eastAsia="宋体" w:cs="宋体"/>
          <w:b/>
          <w:color w:val="auto"/>
          <w:sz w:val="32"/>
          <w:highlight w:val="none"/>
          <w:lang w:eastAsia="zh-CN"/>
        </w:rPr>
        <w:t>（</w:t>
      </w:r>
      <w:r>
        <w:rPr>
          <w:rFonts w:hint="eastAsia" w:ascii="宋体" w:hAnsi="宋体" w:eastAsia="宋体" w:cs="宋体"/>
          <w:b/>
          <w:color w:val="auto"/>
          <w:sz w:val="32"/>
          <w:highlight w:val="none"/>
        </w:rPr>
        <w:t>签字</w:t>
      </w:r>
      <w:r>
        <w:rPr>
          <w:rFonts w:hint="eastAsia" w:ascii="宋体" w:hAnsi="宋体" w:eastAsia="宋体" w:cs="宋体"/>
          <w:b/>
          <w:color w:val="auto"/>
          <w:sz w:val="32"/>
          <w:highlight w:val="none"/>
          <w:lang w:eastAsia="zh-CN"/>
        </w:rPr>
        <w:t>或盖章）</w:t>
      </w:r>
    </w:p>
    <w:p w14:paraId="50FA5629">
      <w:pPr>
        <w:pageBreakBefore w:val="0"/>
        <w:widowControl/>
        <w:kinsoku/>
        <w:wordWrap/>
        <w:overflowPunct/>
        <w:topLinePunct w:val="0"/>
        <w:bidi w:val="0"/>
        <w:spacing w:line="500" w:lineRule="exact"/>
        <w:ind w:firstLine="157"/>
        <w:jc w:val="left"/>
        <w:outlineLvl w:val="9"/>
        <w:rPr>
          <w:rFonts w:hint="eastAsia" w:ascii="宋体" w:hAnsi="宋体" w:eastAsia="宋体" w:cs="宋体"/>
          <w:b/>
          <w:color w:val="auto"/>
          <w:sz w:val="32"/>
          <w:highlight w:val="none"/>
          <w:u w:val="single" w:color="0D0D0D"/>
        </w:rPr>
      </w:pPr>
      <w:r>
        <w:rPr>
          <w:rFonts w:hint="eastAsia" w:ascii="宋体" w:hAnsi="宋体" w:eastAsia="宋体" w:cs="宋体"/>
          <w:b/>
          <w:color w:val="auto"/>
          <w:sz w:val="32"/>
          <w:highlight w:val="none"/>
        </w:rPr>
        <w:t xml:space="preserve">    地址： 邮编：</w:t>
      </w:r>
    </w:p>
    <w:p w14:paraId="598F5106">
      <w:pPr>
        <w:pageBreakBefore w:val="0"/>
        <w:widowControl/>
        <w:kinsoku/>
        <w:wordWrap/>
        <w:overflowPunct/>
        <w:topLinePunct w:val="0"/>
        <w:bidi w:val="0"/>
        <w:spacing w:line="500" w:lineRule="exact"/>
        <w:ind w:firstLine="315"/>
        <w:jc w:val="left"/>
        <w:outlineLvl w:val="9"/>
        <w:rPr>
          <w:rFonts w:hint="eastAsia" w:ascii="宋体" w:hAnsi="宋体" w:eastAsia="宋体" w:cs="宋体"/>
          <w:b/>
          <w:color w:val="auto"/>
          <w:sz w:val="32"/>
          <w:highlight w:val="none"/>
          <w:u w:val="single" w:color="0D0D0D"/>
        </w:rPr>
      </w:pPr>
      <w:r>
        <w:rPr>
          <w:rFonts w:hint="eastAsia" w:ascii="宋体" w:hAnsi="宋体" w:eastAsia="宋体" w:cs="宋体"/>
          <w:b/>
          <w:color w:val="auto"/>
          <w:sz w:val="32"/>
          <w:highlight w:val="none"/>
        </w:rPr>
        <w:t xml:space="preserve">   电话： 传真：</w:t>
      </w:r>
    </w:p>
    <w:p w14:paraId="48A92638">
      <w:pPr>
        <w:pageBreakBefore w:val="0"/>
        <w:widowControl/>
        <w:kinsoku/>
        <w:wordWrap/>
        <w:overflowPunct/>
        <w:topLinePunct w:val="0"/>
        <w:bidi w:val="0"/>
        <w:spacing w:line="500" w:lineRule="exact"/>
        <w:ind w:firstLine="790"/>
        <w:jc w:val="left"/>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网址：</w:t>
      </w:r>
    </w:p>
    <w:p w14:paraId="24BD54E9">
      <w:pPr>
        <w:pageBreakBefore w:val="0"/>
        <w:widowControl/>
        <w:kinsoku/>
        <w:wordWrap/>
        <w:overflowPunct/>
        <w:topLinePunct w:val="0"/>
        <w:bidi w:val="0"/>
        <w:spacing w:line="500" w:lineRule="exact"/>
        <w:ind w:firstLine="790"/>
        <w:jc w:val="left"/>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电子邮箱：</w:t>
      </w:r>
    </w:p>
    <w:p w14:paraId="16359C18">
      <w:pPr>
        <w:pageBreakBefore w:val="0"/>
        <w:widowControl/>
        <w:kinsoku/>
        <w:wordWrap/>
        <w:overflowPunct/>
        <w:topLinePunct w:val="0"/>
        <w:bidi w:val="0"/>
        <w:spacing w:line="500" w:lineRule="exact"/>
        <w:ind w:firstLine="790"/>
        <w:jc w:val="left"/>
        <w:outlineLvl w:val="9"/>
        <w:rPr>
          <w:rFonts w:hint="eastAsia" w:ascii="宋体" w:hAnsi="宋体" w:eastAsia="宋体" w:cs="宋体"/>
          <w:b/>
          <w:color w:val="auto"/>
          <w:sz w:val="32"/>
          <w:highlight w:val="none"/>
          <w:u w:val="single" w:color="0D0D0D"/>
        </w:rPr>
      </w:pPr>
      <w:bookmarkStart w:id="81" w:name="OLE_LINK16"/>
      <w:r>
        <w:rPr>
          <w:rFonts w:hint="eastAsia" w:ascii="宋体" w:hAnsi="宋体" w:eastAsia="宋体" w:cs="宋体"/>
          <w:b/>
          <w:color w:val="auto"/>
          <w:sz w:val="32"/>
          <w:highlight w:val="none"/>
          <w:lang w:eastAsia="zh-CN"/>
        </w:rPr>
        <w:t>委托代理人</w:t>
      </w:r>
      <w:bookmarkEnd w:id="81"/>
      <w:r>
        <w:rPr>
          <w:rFonts w:hint="eastAsia" w:ascii="宋体" w:hAnsi="宋体" w:eastAsia="宋体" w:cs="宋体"/>
          <w:b/>
          <w:color w:val="auto"/>
          <w:sz w:val="32"/>
          <w:highlight w:val="none"/>
        </w:rPr>
        <w:t>：</w:t>
      </w:r>
      <w:bookmarkStart w:id="82" w:name="OLE_LINK3"/>
      <w:r>
        <w:rPr>
          <w:rFonts w:hint="eastAsia" w:ascii="宋体" w:hAnsi="宋体" w:eastAsia="宋体" w:cs="宋体"/>
          <w:b/>
          <w:color w:val="auto"/>
          <w:sz w:val="32"/>
          <w:highlight w:val="none"/>
          <w:lang w:eastAsia="zh-CN"/>
        </w:rPr>
        <w:t>（签字或盖章）</w:t>
      </w:r>
    </w:p>
    <w:bookmarkEnd w:id="82"/>
    <w:p w14:paraId="56A69DB3">
      <w:pPr>
        <w:pageBreakBefore w:val="0"/>
        <w:widowControl/>
        <w:kinsoku/>
        <w:wordWrap/>
        <w:overflowPunct/>
        <w:topLinePunct w:val="0"/>
        <w:bidi w:val="0"/>
        <w:spacing w:line="500" w:lineRule="exact"/>
        <w:ind w:firstLine="790"/>
        <w:jc w:val="left"/>
        <w:outlineLvl w:val="9"/>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电 话</w:t>
      </w:r>
      <w:r>
        <w:rPr>
          <w:rFonts w:hint="eastAsia" w:ascii="宋体" w:hAnsi="宋体" w:eastAsia="宋体" w:cs="宋体"/>
          <w:b/>
          <w:color w:val="auto"/>
          <w:sz w:val="32"/>
          <w:highlight w:val="none"/>
        </w:rPr>
        <w:t xml:space="preserve">：  </w:t>
      </w:r>
    </w:p>
    <w:p w14:paraId="5BA95EF8">
      <w:pPr>
        <w:pageBreakBefore w:val="0"/>
        <w:widowControl/>
        <w:kinsoku/>
        <w:wordWrap/>
        <w:overflowPunct/>
        <w:topLinePunct w:val="0"/>
        <w:bidi w:val="0"/>
        <w:spacing w:line="500" w:lineRule="exact"/>
        <w:ind w:firstLine="790"/>
        <w:jc w:val="left"/>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日期 ：年月日</w:t>
      </w:r>
    </w:p>
    <w:p w14:paraId="0B6678EE">
      <w:pPr>
        <w:keepNext/>
        <w:keepLines/>
        <w:pageBreakBefore w:val="0"/>
        <w:widowControl/>
        <w:tabs>
          <w:tab w:val="left" w:pos="425"/>
          <w:tab w:val="left" w:pos="4265"/>
        </w:tabs>
        <w:kinsoku/>
        <w:wordWrap/>
        <w:overflowPunct/>
        <w:topLinePunct w:val="0"/>
        <w:bidi w:val="0"/>
        <w:spacing w:before="340" w:after="330"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资格性响应文件（格式）</w:t>
      </w:r>
    </w:p>
    <w:p w14:paraId="2C599142">
      <w:pPr>
        <w:pageBreakBefore w:val="0"/>
        <w:widowControl/>
        <w:kinsoku/>
        <w:wordWrap/>
        <w:overflowPunct/>
        <w:topLinePunct w:val="0"/>
        <w:bidi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一、供应商的资格证明文件</w:t>
      </w:r>
    </w:p>
    <w:p w14:paraId="10AB78C4">
      <w:pPr>
        <w:pageBreakBefore w:val="0"/>
        <w:widowControl/>
        <w:kinsoku/>
        <w:wordWrap/>
        <w:overflowPunct/>
        <w:topLinePunct w:val="0"/>
        <w:bidi w:val="0"/>
        <w:spacing w:line="360" w:lineRule="auto"/>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附件1－1</w:t>
      </w:r>
    </w:p>
    <w:p w14:paraId="4BBD4314">
      <w:pPr>
        <w:pageBreakBefore w:val="0"/>
        <w:widowControl/>
        <w:kinsoku/>
        <w:wordWrap/>
        <w:overflowPunct/>
        <w:topLinePunct w:val="0"/>
        <w:bidi w:val="0"/>
        <w:spacing w:line="360" w:lineRule="auto"/>
        <w:ind w:right="480"/>
        <w:jc w:val="center"/>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法定代表人授权书</w:t>
      </w:r>
    </w:p>
    <w:p w14:paraId="63F2647A">
      <w:pPr>
        <w:widowControl/>
        <w:snapToGrid w:val="0"/>
        <w:spacing w:line="48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(采购人名称）_______________________：</w:t>
      </w:r>
    </w:p>
    <w:p w14:paraId="03ADFF31">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rPr>
      </w:pPr>
    </w:p>
    <w:p w14:paraId="3753943B">
      <w:pPr>
        <w:pageBreakBefore w:val="0"/>
        <w:kinsoku/>
        <w:wordWrap/>
        <w:overflowPunct/>
        <w:topLinePunct w:val="0"/>
        <w:bidi w:val="0"/>
        <w:spacing w:line="360" w:lineRule="auto"/>
        <w:ind w:firstLine="600" w:firstLineChars="25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eastAsia="zh-CN"/>
        </w:rPr>
        <w:t>（供应商全称）</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u w:val="single"/>
          <w:lang w:eastAsia="zh-CN"/>
        </w:rPr>
        <w:t xml:space="preserve">    （姓名）    </w:t>
      </w:r>
      <w:r>
        <w:rPr>
          <w:rFonts w:hint="eastAsia" w:ascii="宋体" w:hAnsi="宋体" w:eastAsia="宋体" w:cs="宋体"/>
          <w:color w:val="auto"/>
          <w:sz w:val="24"/>
          <w:highlight w:val="none"/>
          <w:lang w:eastAsia="zh-CN"/>
        </w:rPr>
        <w:t>授权</w:t>
      </w:r>
      <w:r>
        <w:rPr>
          <w:rFonts w:hint="eastAsia" w:ascii="宋体" w:hAnsi="宋体" w:eastAsia="宋体" w:cs="宋体"/>
          <w:color w:val="auto"/>
          <w:sz w:val="24"/>
          <w:highlight w:val="none"/>
          <w:u w:val="single"/>
          <w:lang w:eastAsia="zh-CN"/>
        </w:rPr>
        <w:t xml:space="preserve">  （响应代表姓名）</w:t>
      </w:r>
      <w:r>
        <w:rPr>
          <w:rFonts w:hint="eastAsia" w:ascii="宋体" w:hAnsi="宋体" w:eastAsia="宋体" w:cs="宋体"/>
          <w:color w:val="auto"/>
          <w:sz w:val="24"/>
          <w:highlight w:val="none"/>
          <w:lang w:eastAsia="zh-CN"/>
        </w:rPr>
        <w:t>为响应代表，代表本公司参加贵司组织的项目（</w:t>
      </w:r>
      <w:r>
        <w:rPr>
          <w:rFonts w:hint="eastAsia" w:ascii="宋体" w:hAnsi="宋体" w:eastAsia="宋体" w:cs="宋体"/>
          <w:color w:val="auto"/>
          <w:sz w:val="24"/>
          <w:highlight w:val="none"/>
        </w:rPr>
        <w:t>磋商编号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6ACD1228">
      <w:pPr>
        <w:pageBreakBefore w:val="0"/>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409F838">
      <w:pPr>
        <w:pageBreakBefore w:val="0"/>
        <w:kinsoku/>
        <w:overflowPunct/>
        <w:topLinePunct w:val="0"/>
        <w:bidi w:val="0"/>
        <w:spacing w:line="360" w:lineRule="auto"/>
        <w:outlineLvl w:val="9"/>
        <w:rPr>
          <w:rFonts w:hint="eastAsia" w:ascii="宋体" w:hAnsi="宋体" w:eastAsia="宋体" w:cs="宋体"/>
          <w:color w:val="auto"/>
          <w:sz w:val="24"/>
          <w:highlight w:val="none"/>
        </w:rPr>
      </w:pPr>
    </w:p>
    <w:p w14:paraId="62C4B1DF">
      <w:pPr>
        <w:pageBreakBefore w:val="0"/>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0BE873A3">
      <w:pPr>
        <w:pageBreakBefore w:val="0"/>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14776284">
      <w:pPr>
        <w:pageBreakBefore w:val="0"/>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：（盖公章）</w:t>
      </w:r>
    </w:p>
    <w:p w14:paraId="10A18184">
      <w:pPr>
        <w:pageBreakBefore w:val="0"/>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A5EA916">
      <w:pPr>
        <w:pageBreakBefore w:val="0"/>
        <w:kinsoku/>
        <w:wordWrap/>
        <w:overflowPunct/>
        <w:topLinePunct w:val="0"/>
        <w:bidi w:val="0"/>
        <w:spacing w:line="520" w:lineRule="exact"/>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w:t>
      </w:r>
      <w:r>
        <w:rPr>
          <w:rFonts w:hint="eastAsia" w:ascii="宋体" w:hAnsi="宋体" w:eastAsia="宋体" w:cs="宋体"/>
          <w:b/>
          <w:color w:val="auto"/>
          <w:sz w:val="24"/>
          <w:highlight w:val="none"/>
          <w:lang w:eastAsia="zh-CN"/>
        </w:rPr>
        <w:t>：</w:t>
      </w:r>
    </w:p>
    <w:p w14:paraId="32185311">
      <w:pPr>
        <w:pageBreakBefore w:val="0"/>
        <w:kinsoku/>
        <w:wordWrap/>
        <w:overflowPunct/>
        <w:topLinePunct w:val="0"/>
        <w:bidi w:val="0"/>
        <w:spacing w:line="52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法定代表人身份证</w:t>
      </w:r>
      <w:r>
        <w:rPr>
          <w:rFonts w:hint="eastAsia" w:ascii="宋体" w:hAnsi="宋体" w:eastAsia="宋体" w:cs="宋体"/>
          <w:b/>
          <w:color w:val="auto"/>
          <w:sz w:val="24"/>
          <w:highlight w:val="none"/>
          <w:lang w:eastAsia="zh-CN"/>
        </w:rPr>
        <w:t>明</w:t>
      </w:r>
      <w:r>
        <w:rPr>
          <w:rFonts w:hint="eastAsia" w:ascii="宋体" w:hAnsi="宋体" w:eastAsia="宋体" w:cs="宋体"/>
          <w:b/>
          <w:color w:val="auto"/>
          <w:sz w:val="24"/>
          <w:highlight w:val="none"/>
        </w:rPr>
        <w:t>复印件（加盖公章）</w:t>
      </w:r>
    </w:p>
    <w:p w14:paraId="35082EAD">
      <w:pPr>
        <w:pageBreakBefore w:val="0"/>
        <w:kinsoku/>
        <w:wordWrap/>
        <w:overflowPunct/>
        <w:topLinePunct w:val="0"/>
        <w:bidi w:val="0"/>
        <w:spacing w:line="520" w:lineRule="exact"/>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 委托代理人身份证证</w:t>
      </w:r>
      <w:r>
        <w:rPr>
          <w:rFonts w:hint="eastAsia" w:ascii="宋体" w:hAnsi="宋体" w:eastAsia="宋体" w:cs="宋体"/>
          <w:b/>
          <w:color w:val="auto"/>
          <w:sz w:val="24"/>
          <w:highlight w:val="none"/>
          <w:lang w:eastAsia="zh-CN"/>
        </w:rPr>
        <w:t>明</w:t>
      </w:r>
      <w:r>
        <w:rPr>
          <w:rFonts w:hint="eastAsia" w:ascii="宋体" w:hAnsi="宋体" w:eastAsia="宋体" w:cs="宋体"/>
          <w:b/>
          <w:color w:val="auto"/>
          <w:sz w:val="24"/>
          <w:highlight w:val="none"/>
        </w:rPr>
        <w:t>复印件（加盖公章）</w:t>
      </w:r>
    </w:p>
    <w:p w14:paraId="588BE35C">
      <w:pPr>
        <w:pageBreakBefore w:val="0"/>
        <w:widowControl/>
        <w:kinsoku/>
        <w:wordWrap/>
        <w:overflowPunct/>
        <w:topLinePunct w:val="0"/>
        <w:bidi w:val="0"/>
        <w:spacing w:line="360" w:lineRule="auto"/>
        <w:ind w:right="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4B46ED8">
      <w:pPr>
        <w:pageBreakBefore w:val="0"/>
        <w:widowControl/>
        <w:kinsoku/>
        <w:wordWrap/>
        <w:overflowPunct/>
        <w:topLinePunct w:val="0"/>
        <w:bidi w:val="0"/>
        <w:spacing w:line="360" w:lineRule="auto"/>
        <w:ind w:right="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1.供应商为法人单位时提供“法定代表人授权书”，供应商为其他组织时提供“单位负责人授权书”，供应商为自然人时提供“自然人身份证明材料”。</w:t>
      </w:r>
    </w:p>
    <w:p w14:paraId="311D76DE">
      <w:pPr>
        <w:pageBreakBefore w:val="0"/>
        <w:widowControl/>
        <w:kinsoku/>
        <w:wordWrap/>
        <w:overflowPunct/>
        <w:topLinePunct w:val="0"/>
        <w:bidi w:val="0"/>
        <w:spacing w:line="360" w:lineRule="auto"/>
        <w:ind w:right="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2.应附法定代表人/单位负责人身份证明材料复印件和委托代理人身份证明材料复印件。</w:t>
      </w:r>
    </w:p>
    <w:p w14:paraId="7E87AD17">
      <w:pPr>
        <w:pageBreakBefore w:val="0"/>
        <w:widowControl/>
        <w:kinsoku/>
        <w:wordWrap/>
        <w:overflowPunct/>
        <w:topLinePunct w:val="0"/>
        <w:bidi w:val="0"/>
        <w:spacing w:line="360" w:lineRule="auto"/>
        <w:ind w:right="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3.身份证明材料包括居民身份证或户口本或军官证或护照等。</w:t>
      </w:r>
    </w:p>
    <w:p w14:paraId="4B487F35">
      <w:pPr>
        <w:pageBreakBefore w:val="0"/>
        <w:widowControl/>
        <w:kinsoku/>
        <w:wordWrap/>
        <w:overflowPunct/>
        <w:topLinePunct w:val="0"/>
        <w:bidi w:val="0"/>
        <w:spacing w:line="360" w:lineRule="auto"/>
        <w:ind w:right="48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4.身份证明材料应同时提供其在有效期的材料，如居民身份证正、反面复印件。</w:t>
      </w:r>
    </w:p>
    <w:p w14:paraId="1FD654B4">
      <w:pPr>
        <w:pageBreakBefore w:val="0"/>
        <w:widowControl/>
        <w:kinsoku/>
        <w:wordWrap/>
        <w:overflowPunct/>
        <w:topLinePunct w:val="0"/>
        <w:bidi w:val="0"/>
        <w:spacing w:line="360" w:lineRule="auto"/>
        <w:ind w:right="480"/>
        <w:jc w:val="center"/>
        <w:outlineLvl w:val="9"/>
        <w:rPr>
          <w:rFonts w:hint="eastAsia" w:ascii="宋体" w:hAnsi="宋体" w:eastAsia="宋体" w:cs="宋体"/>
          <w:color w:val="auto"/>
          <w:sz w:val="28"/>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法定代表人证明书（格式）</w:t>
      </w:r>
    </w:p>
    <w:tbl>
      <w:tblPr>
        <w:tblStyle w:val="21"/>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14:paraId="157B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14:paraId="661C6ACD">
            <w:pPr>
              <w:tabs>
                <w:tab w:val="left" w:pos="210"/>
              </w:tabs>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eastAsia="宋体" w:cs="宋体"/>
                <w:color w:val="auto"/>
                <w:kern w:val="0"/>
                <w:highlight w:val="none"/>
                <w:lang w:eastAsia="zh-CN"/>
              </w:rPr>
              <w:t>四川国际招标有限责任公司</w:t>
            </w:r>
          </w:p>
        </w:tc>
      </w:tr>
      <w:tr w14:paraId="60C1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73A41794">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企</w:t>
            </w:r>
          </w:p>
          <w:p w14:paraId="0A024AA2">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业</w:t>
            </w:r>
          </w:p>
          <w:p w14:paraId="4B41A295">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w:t>
            </w:r>
          </w:p>
          <w:p w14:paraId="36E2AC15">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w:t>
            </w:r>
          </w:p>
        </w:tc>
        <w:tc>
          <w:tcPr>
            <w:tcW w:w="2160" w:type="dxa"/>
            <w:vAlign w:val="center"/>
          </w:tcPr>
          <w:p w14:paraId="411BCC76">
            <w:pPr>
              <w:tabs>
                <w:tab w:val="left" w:pos="210"/>
              </w:tabs>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企业名称</w:t>
            </w:r>
          </w:p>
        </w:tc>
        <w:tc>
          <w:tcPr>
            <w:tcW w:w="6656" w:type="dxa"/>
            <w:gridSpan w:val="4"/>
            <w:vAlign w:val="center"/>
          </w:tcPr>
          <w:p w14:paraId="11DE7F74">
            <w:pPr>
              <w:tabs>
                <w:tab w:val="left" w:pos="210"/>
              </w:tabs>
              <w:spacing w:line="360" w:lineRule="auto"/>
              <w:jc w:val="left"/>
              <w:rPr>
                <w:rFonts w:hint="eastAsia" w:ascii="宋体" w:hAnsi="宋体" w:eastAsia="宋体" w:cs="宋体"/>
                <w:color w:val="auto"/>
                <w:kern w:val="0"/>
                <w:highlight w:val="none"/>
              </w:rPr>
            </w:pPr>
          </w:p>
        </w:tc>
      </w:tr>
      <w:tr w14:paraId="7A6B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0FCF905B">
            <w:pPr>
              <w:tabs>
                <w:tab w:val="left" w:pos="210"/>
              </w:tabs>
              <w:spacing w:line="360" w:lineRule="auto"/>
              <w:ind w:firstLine="400" w:firstLineChars="200"/>
              <w:jc w:val="center"/>
              <w:rPr>
                <w:rFonts w:hint="eastAsia" w:ascii="宋体" w:hAnsi="宋体" w:eastAsia="宋体" w:cs="宋体"/>
                <w:color w:val="auto"/>
                <w:kern w:val="0"/>
                <w:highlight w:val="none"/>
              </w:rPr>
            </w:pPr>
          </w:p>
        </w:tc>
        <w:tc>
          <w:tcPr>
            <w:tcW w:w="2160" w:type="dxa"/>
            <w:vAlign w:val="center"/>
          </w:tcPr>
          <w:p w14:paraId="63F67640">
            <w:pPr>
              <w:tabs>
                <w:tab w:val="left" w:pos="210"/>
              </w:tabs>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法定地址</w:t>
            </w:r>
          </w:p>
        </w:tc>
        <w:tc>
          <w:tcPr>
            <w:tcW w:w="6656" w:type="dxa"/>
            <w:gridSpan w:val="4"/>
            <w:vAlign w:val="center"/>
          </w:tcPr>
          <w:p w14:paraId="7D296BAA">
            <w:pPr>
              <w:tabs>
                <w:tab w:val="left" w:pos="210"/>
              </w:tabs>
              <w:spacing w:line="360" w:lineRule="auto"/>
              <w:jc w:val="left"/>
              <w:rPr>
                <w:rFonts w:hint="eastAsia" w:ascii="宋体" w:hAnsi="宋体" w:eastAsia="宋体" w:cs="宋体"/>
                <w:color w:val="auto"/>
                <w:kern w:val="0"/>
                <w:highlight w:val="none"/>
              </w:rPr>
            </w:pPr>
          </w:p>
        </w:tc>
      </w:tr>
      <w:tr w14:paraId="0650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0F462B71">
            <w:pPr>
              <w:tabs>
                <w:tab w:val="left" w:pos="210"/>
              </w:tabs>
              <w:spacing w:line="360" w:lineRule="auto"/>
              <w:ind w:firstLine="400" w:firstLineChars="200"/>
              <w:jc w:val="center"/>
              <w:rPr>
                <w:rFonts w:hint="eastAsia" w:ascii="宋体" w:hAnsi="宋体" w:eastAsia="宋体" w:cs="宋体"/>
                <w:color w:val="auto"/>
                <w:kern w:val="0"/>
                <w:highlight w:val="none"/>
              </w:rPr>
            </w:pPr>
          </w:p>
        </w:tc>
        <w:tc>
          <w:tcPr>
            <w:tcW w:w="2160" w:type="dxa"/>
            <w:vAlign w:val="center"/>
          </w:tcPr>
          <w:p w14:paraId="449FFFA4">
            <w:pPr>
              <w:tabs>
                <w:tab w:val="left" w:pos="210"/>
              </w:tabs>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邮政编码</w:t>
            </w:r>
          </w:p>
        </w:tc>
        <w:tc>
          <w:tcPr>
            <w:tcW w:w="6656" w:type="dxa"/>
            <w:gridSpan w:val="4"/>
            <w:vAlign w:val="center"/>
          </w:tcPr>
          <w:p w14:paraId="08A6C5F0">
            <w:pPr>
              <w:tabs>
                <w:tab w:val="left" w:pos="210"/>
              </w:tabs>
              <w:spacing w:line="360" w:lineRule="auto"/>
              <w:jc w:val="left"/>
              <w:rPr>
                <w:rFonts w:hint="eastAsia" w:ascii="宋体" w:hAnsi="宋体" w:eastAsia="宋体" w:cs="宋体"/>
                <w:color w:val="auto"/>
                <w:kern w:val="0"/>
                <w:highlight w:val="none"/>
              </w:rPr>
            </w:pPr>
          </w:p>
        </w:tc>
      </w:tr>
      <w:tr w14:paraId="54AA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262CE597">
            <w:pPr>
              <w:tabs>
                <w:tab w:val="left" w:pos="210"/>
              </w:tabs>
              <w:spacing w:line="360" w:lineRule="auto"/>
              <w:ind w:firstLine="400" w:firstLineChars="200"/>
              <w:jc w:val="center"/>
              <w:rPr>
                <w:rFonts w:hint="eastAsia" w:ascii="宋体" w:hAnsi="宋体" w:eastAsia="宋体" w:cs="宋体"/>
                <w:color w:val="auto"/>
                <w:kern w:val="0"/>
                <w:highlight w:val="none"/>
              </w:rPr>
            </w:pPr>
          </w:p>
        </w:tc>
        <w:tc>
          <w:tcPr>
            <w:tcW w:w="2160" w:type="dxa"/>
            <w:vAlign w:val="center"/>
          </w:tcPr>
          <w:p w14:paraId="03902C18">
            <w:pPr>
              <w:tabs>
                <w:tab w:val="left" w:pos="210"/>
              </w:tabs>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工商登记机关</w:t>
            </w:r>
          </w:p>
        </w:tc>
        <w:tc>
          <w:tcPr>
            <w:tcW w:w="6656" w:type="dxa"/>
            <w:gridSpan w:val="4"/>
            <w:vAlign w:val="center"/>
          </w:tcPr>
          <w:p w14:paraId="694926E6">
            <w:pPr>
              <w:tabs>
                <w:tab w:val="left" w:pos="210"/>
              </w:tabs>
              <w:spacing w:line="360" w:lineRule="auto"/>
              <w:jc w:val="left"/>
              <w:rPr>
                <w:rFonts w:hint="eastAsia" w:ascii="宋体" w:hAnsi="宋体" w:eastAsia="宋体" w:cs="宋体"/>
                <w:color w:val="auto"/>
                <w:kern w:val="0"/>
                <w:highlight w:val="none"/>
              </w:rPr>
            </w:pPr>
          </w:p>
        </w:tc>
      </w:tr>
      <w:tr w14:paraId="2BC7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5E9DB1DF">
            <w:pPr>
              <w:tabs>
                <w:tab w:val="left" w:pos="210"/>
              </w:tabs>
              <w:spacing w:line="360" w:lineRule="auto"/>
              <w:ind w:firstLine="400" w:firstLineChars="200"/>
              <w:jc w:val="center"/>
              <w:rPr>
                <w:rFonts w:hint="eastAsia" w:ascii="宋体" w:hAnsi="宋体" w:eastAsia="宋体" w:cs="宋体"/>
                <w:color w:val="auto"/>
                <w:kern w:val="0"/>
                <w:highlight w:val="none"/>
              </w:rPr>
            </w:pPr>
          </w:p>
        </w:tc>
        <w:tc>
          <w:tcPr>
            <w:tcW w:w="2160" w:type="dxa"/>
            <w:vAlign w:val="center"/>
          </w:tcPr>
          <w:p w14:paraId="6720F077">
            <w:pPr>
              <w:tabs>
                <w:tab w:val="left" w:pos="210"/>
              </w:tabs>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统一社会信用代码</w:t>
            </w:r>
          </w:p>
        </w:tc>
        <w:tc>
          <w:tcPr>
            <w:tcW w:w="6656" w:type="dxa"/>
            <w:gridSpan w:val="4"/>
            <w:vAlign w:val="center"/>
          </w:tcPr>
          <w:p w14:paraId="3062A32F">
            <w:pPr>
              <w:tabs>
                <w:tab w:val="left" w:pos="210"/>
              </w:tabs>
              <w:spacing w:line="360" w:lineRule="auto"/>
              <w:jc w:val="left"/>
              <w:rPr>
                <w:rFonts w:hint="eastAsia" w:ascii="宋体" w:hAnsi="宋体" w:eastAsia="宋体" w:cs="宋体"/>
                <w:color w:val="auto"/>
                <w:kern w:val="0"/>
                <w:highlight w:val="none"/>
              </w:rPr>
            </w:pPr>
          </w:p>
        </w:tc>
      </w:tr>
      <w:tr w14:paraId="4B67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29743324">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w:t>
            </w:r>
          </w:p>
          <w:p w14:paraId="16BB461D">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定</w:t>
            </w:r>
          </w:p>
          <w:p w14:paraId="0F2AE5EE">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代</w:t>
            </w:r>
          </w:p>
          <w:p w14:paraId="385DAAC8">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表</w:t>
            </w:r>
          </w:p>
          <w:p w14:paraId="51E1B318">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w:t>
            </w:r>
          </w:p>
        </w:tc>
        <w:tc>
          <w:tcPr>
            <w:tcW w:w="2160" w:type="dxa"/>
            <w:vAlign w:val="center"/>
          </w:tcPr>
          <w:p w14:paraId="3B200C25">
            <w:pPr>
              <w:tabs>
                <w:tab w:val="left" w:pos="210"/>
              </w:tabs>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姓名</w:t>
            </w:r>
          </w:p>
        </w:tc>
        <w:tc>
          <w:tcPr>
            <w:tcW w:w="2340" w:type="dxa"/>
            <w:gridSpan w:val="2"/>
            <w:vAlign w:val="center"/>
          </w:tcPr>
          <w:p w14:paraId="165D53E3">
            <w:pPr>
              <w:tabs>
                <w:tab w:val="left" w:pos="210"/>
              </w:tabs>
              <w:spacing w:line="360" w:lineRule="auto"/>
              <w:ind w:firstLine="400" w:firstLineChars="200"/>
              <w:jc w:val="left"/>
              <w:rPr>
                <w:rFonts w:hint="eastAsia" w:ascii="宋体" w:hAnsi="宋体" w:eastAsia="宋体" w:cs="宋体"/>
                <w:color w:val="auto"/>
                <w:kern w:val="0"/>
                <w:highlight w:val="none"/>
              </w:rPr>
            </w:pPr>
          </w:p>
        </w:tc>
        <w:tc>
          <w:tcPr>
            <w:tcW w:w="2156" w:type="dxa"/>
            <w:vAlign w:val="center"/>
          </w:tcPr>
          <w:p w14:paraId="2BEEC4D4">
            <w:pPr>
              <w:tabs>
                <w:tab w:val="left" w:pos="210"/>
              </w:tabs>
              <w:spacing w:line="360" w:lineRule="auto"/>
              <w:ind w:firstLine="40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性别</w:t>
            </w:r>
          </w:p>
        </w:tc>
        <w:tc>
          <w:tcPr>
            <w:tcW w:w="2160" w:type="dxa"/>
            <w:vAlign w:val="center"/>
          </w:tcPr>
          <w:p w14:paraId="45398A05">
            <w:pPr>
              <w:tabs>
                <w:tab w:val="left" w:pos="210"/>
              </w:tabs>
              <w:spacing w:line="360" w:lineRule="auto"/>
              <w:ind w:firstLine="400" w:firstLineChars="200"/>
              <w:jc w:val="left"/>
              <w:rPr>
                <w:rFonts w:hint="eastAsia" w:ascii="宋体" w:hAnsi="宋体" w:eastAsia="宋体" w:cs="宋体"/>
                <w:color w:val="auto"/>
                <w:kern w:val="0"/>
                <w:highlight w:val="none"/>
              </w:rPr>
            </w:pPr>
          </w:p>
        </w:tc>
      </w:tr>
      <w:tr w14:paraId="5685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29D00990">
            <w:pPr>
              <w:tabs>
                <w:tab w:val="left" w:pos="210"/>
              </w:tabs>
              <w:spacing w:line="360" w:lineRule="auto"/>
              <w:ind w:firstLine="400" w:firstLineChars="200"/>
              <w:jc w:val="center"/>
              <w:rPr>
                <w:rFonts w:hint="eastAsia" w:ascii="宋体" w:hAnsi="宋体" w:eastAsia="宋体" w:cs="宋体"/>
                <w:color w:val="auto"/>
                <w:kern w:val="0"/>
                <w:highlight w:val="none"/>
              </w:rPr>
            </w:pPr>
          </w:p>
        </w:tc>
        <w:tc>
          <w:tcPr>
            <w:tcW w:w="2160" w:type="dxa"/>
            <w:vAlign w:val="center"/>
          </w:tcPr>
          <w:p w14:paraId="3D8550F7">
            <w:pPr>
              <w:tabs>
                <w:tab w:val="left" w:pos="210"/>
              </w:tabs>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职务</w:t>
            </w:r>
          </w:p>
        </w:tc>
        <w:tc>
          <w:tcPr>
            <w:tcW w:w="2340" w:type="dxa"/>
            <w:gridSpan w:val="2"/>
            <w:vAlign w:val="center"/>
          </w:tcPr>
          <w:p w14:paraId="6C769889">
            <w:pPr>
              <w:tabs>
                <w:tab w:val="left" w:pos="210"/>
              </w:tabs>
              <w:spacing w:line="360" w:lineRule="auto"/>
              <w:jc w:val="left"/>
              <w:rPr>
                <w:rFonts w:hint="eastAsia" w:ascii="宋体" w:hAnsi="宋体" w:eastAsia="宋体" w:cs="宋体"/>
                <w:color w:val="auto"/>
                <w:kern w:val="0"/>
                <w:highlight w:val="none"/>
              </w:rPr>
            </w:pPr>
          </w:p>
        </w:tc>
        <w:tc>
          <w:tcPr>
            <w:tcW w:w="2156" w:type="dxa"/>
            <w:vAlign w:val="center"/>
          </w:tcPr>
          <w:p w14:paraId="2BA44D35">
            <w:pPr>
              <w:tabs>
                <w:tab w:val="left" w:pos="210"/>
              </w:tabs>
              <w:spacing w:line="360" w:lineRule="auto"/>
              <w:ind w:firstLine="40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联系电话</w:t>
            </w:r>
          </w:p>
        </w:tc>
        <w:tc>
          <w:tcPr>
            <w:tcW w:w="2160" w:type="dxa"/>
            <w:vAlign w:val="center"/>
          </w:tcPr>
          <w:p w14:paraId="4B15AC8C">
            <w:pPr>
              <w:tabs>
                <w:tab w:val="left" w:pos="210"/>
              </w:tabs>
              <w:spacing w:line="360" w:lineRule="auto"/>
              <w:ind w:firstLine="400" w:firstLineChars="200"/>
              <w:jc w:val="left"/>
              <w:rPr>
                <w:rFonts w:hint="eastAsia" w:ascii="宋体" w:hAnsi="宋体" w:eastAsia="宋体" w:cs="宋体"/>
                <w:color w:val="auto"/>
                <w:kern w:val="0"/>
                <w:highlight w:val="none"/>
              </w:rPr>
            </w:pPr>
          </w:p>
        </w:tc>
      </w:tr>
      <w:tr w14:paraId="2C25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14:paraId="10EFC8E9">
            <w:pPr>
              <w:tabs>
                <w:tab w:val="left" w:pos="210"/>
              </w:tabs>
              <w:spacing w:line="360" w:lineRule="auto"/>
              <w:ind w:firstLine="400" w:firstLineChars="200"/>
              <w:jc w:val="center"/>
              <w:rPr>
                <w:rFonts w:hint="eastAsia" w:ascii="宋体" w:hAnsi="宋体" w:eastAsia="宋体" w:cs="宋体"/>
                <w:color w:val="auto"/>
                <w:kern w:val="0"/>
                <w:highlight w:val="none"/>
              </w:rPr>
            </w:pPr>
          </w:p>
        </w:tc>
        <w:tc>
          <w:tcPr>
            <w:tcW w:w="2160" w:type="dxa"/>
            <w:vAlign w:val="center"/>
          </w:tcPr>
          <w:p w14:paraId="4943190C">
            <w:pPr>
              <w:tabs>
                <w:tab w:val="left" w:pos="210"/>
              </w:tabs>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传真</w:t>
            </w:r>
          </w:p>
        </w:tc>
        <w:tc>
          <w:tcPr>
            <w:tcW w:w="6656" w:type="dxa"/>
            <w:gridSpan w:val="4"/>
            <w:vAlign w:val="center"/>
          </w:tcPr>
          <w:p w14:paraId="0FCAACAE">
            <w:pPr>
              <w:tabs>
                <w:tab w:val="left" w:pos="210"/>
              </w:tabs>
              <w:spacing w:line="360" w:lineRule="auto"/>
              <w:jc w:val="left"/>
              <w:rPr>
                <w:rFonts w:hint="eastAsia" w:ascii="宋体" w:hAnsi="宋体" w:eastAsia="宋体" w:cs="宋体"/>
                <w:color w:val="auto"/>
                <w:kern w:val="0"/>
                <w:highlight w:val="none"/>
              </w:rPr>
            </w:pPr>
          </w:p>
        </w:tc>
      </w:tr>
      <w:tr w14:paraId="6E0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14:paraId="5AFE1C1C">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w:t>
            </w:r>
          </w:p>
          <w:p w14:paraId="366965ED">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定</w:t>
            </w:r>
          </w:p>
          <w:p w14:paraId="0DF7A3D3">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代</w:t>
            </w:r>
          </w:p>
          <w:p w14:paraId="31718200">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表</w:t>
            </w:r>
          </w:p>
          <w:p w14:paraId="41E681C1">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人</w:t>
            </w:r>
          </w:p>
          <w:p w14:paraId="3099D21E">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身</w:t>
            </w:r>
          </w:p>
          <w:p w14:paraId="15D144E4">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份</w:t>
            </w:r>
          </w:p>
          <w:p w14:paraId="27A405F3">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证</w:t>
            </w:r>
          </w:p>
          <w:p w14:paraId="6D23E110">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复</w:t>
            </w:r>
          </w:p>
          <w:p w14:paraId="5F3D3796">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印</w:t>
            </w:r>
          </w:p>
          <w:p w14:paraId="006358D2">
            <w:pPr>
              <w:tabs>
                <w:tab w:val="left" w:pos="210"/>
              </w:tabs>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件</w:t>
            </w:r>
          </w:p>
        </w:tc>
        <w:tc>
          <w:tcPr>
            <w:tcW w:w="4316" w:type="dxa"/>
            <w:gridSpan w:val="2"/>
            <w:vMerge w:val="restart"/>
            <w:vAlign w:val="center"/>
          </w:tcPr>
          <w:p w14:paraId="6D9FE1CC">
            <w:pPr>
              <w:tabs>
                <w:tab w:val="left" w:pos="210"/>
              </w:tabs>
              <w:spacing w:line="360" w:lineRule="auto"/>
              <w:ind w:firstLine="40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（正反面）</w:t>
            </w:r>
          </w:p>
        </w:tc>
        <w:tc>
          <w:tcPr>
            <w:tcW w:w="4500" w:type="dxa"/>
            <w:gridSpan w:val="3"/>
            <w:vAlign w:val="center"/>
          </w:tcPr>
          <w:p w14:paraId="4E5238C2">
            <w:pPr>
              <w:tabs>
                <w:tab w:val="left" w:pos="210"/>
              </w:tabs>
              <w:spacing w:line="360" w:lineRule="auto"/>
              <w:ind w:firstLine="40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法定代表人（签字或盖章）</w:t>
            </w:r>
          </w:p>
        </w:tc>
      </w:tr>
      <w:tr w14:paraId="2C40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14:paraId="34A8FE33">
            <w:pPr>
              <w:tabs>
                <w:tab w:val="left" w:pos="210"/>
              </w:tabs>
              <w:spacing w:line="360" w:lineRule="auto"/>
              <w:ind w:firstLine="400" w:firstLineChars="200"/>
              <w:jc w:val="left"/>
              <w:rPr>
                <w:rFonts w:hint="eastAsia" w:ascii="宋体" w:hAnsi="宋体" w:eastAsia="宋体" w:cs="宋体"/>
                <w:color w:val="auto"/>
                <w:kern w:val="0"/>
                <w:highlight w:val="none"/>
              </w:rPr>
            </w:pPr>
          </w:p>
        </w:tc>
        <w:tc>
          <w:tcPr>
            <w:tcW w:w="4316" w:type="dxa"/>
            <w:gridSpan w:val="2"/>
            <w:vMerge w:val="continue"/>
            <w:vAlign w:val="center"/>
          </w:tcPr>
          <w:p w14:paraId="575654E0">
            <w:pPr>
              <w:tabs>
                <w:tab w:val="left" w:pos="210"/>
              </w:tabs>
              <w:spacing w:line="360" w:lineRule="auto"/>
              <w:ind w:firstLine="400" w:firstLineChars="200"/>
              <w:jc w:val="left"/>
              <w:rPr>
                <w:rFonts w:hint="eastAsia" w:ascii="宋体" w:hAnsi="宋体" w:eastAsia="宋体" w:cs="宋体"/>
                <w:color w:val="auto"/>
                <w:kern w:val="0"/>
                <w:highlight w:val="none"/>
              </w:rPr>
            </w:pPr>
          </w:p>
        </w:tc>
        <w:tc>
          <w:tcPr>
            <w:tcW w:w="4500" w:type="dxa"/>
            <w:gridSpan w:val="3"/>
            <w:vAlign w:val="bottom"/>
          </w:tcPr>
          <w:p w14:paraId="5CC03DC5">
            <w:pPr>
              <w:tabs>
                <w:tab w:val="left" w:pos="210"/>
              </w:tabs>
              <w:spacing w:line="360" w:lineRule="auto"/>
              <w:ind w:firstLine="40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（公章）</w:t>
            </w:r>
          </w:p>
          <w:p w14:paraId="4070EA52">
            <w:pPr>
              <w:tabs>
                <w:tab w:val="left" w:pos="210"/>
              </w:tabs>
              <w:spacing w:line="360" w:lineRule="auto"/>
              <w:jc w:val="left"/>
              <w:rPr>
                <w:rFonts w:hint="eastAsia" w:ascii="宋体" w:hAnsi="宋体" w:eastAsia="宋体" w:cs="宋体"/>
                <w:color w:val="auto"/>
                <w:kern w:val="0"/>
                <w:highlight w:val="none"/>
              </w:rPr>
            </w:pPr>
          </w:p>
          <w:p w14:paraId="2F27DE00">
            <w:pPr>
              <w:tabs>
                <w:tab w:val="left" w:pos="210"/>
              </w:tabs>
              <w:spacing w:line="360" w:lineRule="auto"/>
              <w:jc w:val="left"/>
              <w:rPr>
                <w:rFonts w:hint="eastAsia" w:ascii="宋体" w:hAnsi="宋体" w:eastAsia="宋体" w:cs="宋体"/>
                <w:color w:val="auto"/>
                <w:kern w:val="0"/>
                <w:highlight w:val="none"/>
              </w:rPr>
            </w:pPr>
          </w:p>
          <w:p w14:paraId="1BC342E4">
            <w:pPr>
              <w:tabs>
                <w:tab w:val="left" w:pos="210"/>
              </w:tabs>
              <w:spacing w:line="360" w:lineRule="auto"/>
              <w:jc w:val="left"/>
              <w:rPr>
                <w:rFonts w:hint="eastAsia" w:ascii="宋体" w:hAnsi="宋体" w:eastAsia="宋体" w:cs="宋体"/>
                <w:color w:val="auto"/>
                <w:kern w:val="0"/>
                <w:highlight w:val="none"/>
              </w:rPr>
            </w:pPr>
          </w:p>
          <w:p w14:paraId="2A6529A9">
            <w:pPr>
              <w:adjustRightInd w:val="0"/>
              <w:snapToGrid w:val="0"/>
              <w:spacing w:line="480" w:lineRule="auto"/>
              <w:ind w:firstLine="480" w:firstLineChars="200"/>
              <w:jc w:val="right"/>
              <w:rPr>
                <w:rFonts w:hint="eastAsia" w:ascii="宋体" w:hAnsi="宋体" w:eastAsia="宋体" w:cs="宋体"/>
                <w:color w:val="auto"/>
                <w:kern w:val="0"/>
                <w:highlight w:val="none"/>
              </w:rPr>
            </w:pPr>
            <w:r>
              <w:rPr>
                <w:rFonts w:hint="eastAsia" w:ascii="宋体" w:hAnsi="宋体" w:eastAsia="宋体" w:cs="宋体"/>
                <w:color w:val="auto"/>
                <w:sz w:val="24"/>
                <w:highlight w:val="none"/>
              </w:rPr>
              <w:t>_________年______月 _____日</w:t>
            </w:r>
          </w:p>
        </w:tc>
      </w:tr>
    </w:tbl>
    <w:p w14:paraId="179A7C01">
      <w:pPr>
        <w:pageBreakBefore w:val="0"/>
        <w:widowControl/>
        <w:kinsoku/>
        <w:wordWrap/>
        <w:overflowPunct/>
        <w:topLinePunct w:val="0"/>
        <w:bidi w:val="0"/>
        <w:spacing w:line="360" w:lineRule="auto"/>
        <w:ind w:right="48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附件1－2</w:t>
      </w:r>
    </w:p>
    <w:p w14:paraId="014C01F9">
      <w:pPr>
        <w:widowControl/>
        <w:wordWrap/>
        <w:spacing w:line="360" w:lineRule="auto"/>
        <w:ind w:right="480"/>
        <w:jc w:val="center"/>
        <w:rPr>
          <w:rFonts w:hint="eastAsia" w:ascii="宋体" w:hAnsi="宋体" w:eastAsia="宋体" w:cs="宋体"/>
          <w:sz w:val="24"/>
          <w:highlight w:val="none"/>
        </w:rPr>
      </w:pPr>
      <w:r>
        <w:rPr>
          <w:rFonts w:hint="eastAsia" w:ascii="宋体" w:hAnsi="宋体" w:eastAsia="宋体" w:cs="宋体"/>
          <w:b/>
          <w:sz w:val="24"/>
          <w:highlight w:val="none"/>
        </w:rPr>
        <w:t>供应商符合《政府采购法》第二十二条规定条件的承诺函</w:t>
      </w:r>
    </w:p>
    <w:p w14:paraId="3F7C721B">
      <w:pPr>
        <w:wordWrap/>
        <w:spacing w:line="400" w:lineRule="exact"/>
        <w:ind w:firstLine="432"/>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b/>
          <w:sz w:val="24"/>
          <w:highlight w:val="none"/>
          <w:u w:val="single" w:color="0D0D0D"/>
        </w:rPr>
        <w:t>四川国际招标有限责任公司</w:t>
      </w:r>
      <w:r>
        <w:rPr>
          <w:rFonts w:hint="eastAsia" w:ascii="宋体" w:hAnsi="宋体" w:eastAsia="宋体" w:cs="宋体"/>
          <w:sz w:val="24"/>
          <w:highlight w:val="none"/>
        </w:rPr>
        <w:t>：</w:t>
      </w:r>
    </w:p>
    <w:p w14:paraId="7991E0E8">
      <w:pPr>
        <w:wordWrap/>
        <w:spacing w:line="400" w:lineRule="exact"/>
        <w:ind w:firstLine="540"/>
        <w:rPr>
          <w:rFonts w:hint="eastAsia" w:ascii="宋体" w:hAnsi="宋体" w:eastAsia="宋体" w:cs="宋体"/>
          <w:sz w:val="24"/>
          <w:highlight w:val="none"/>
        </w:rPr>
      </w:pPr>
      <w:r>
        <w:rPr>
          <w:rFonts w:hint="eastAsia" w:ascii="宋体" w:hAnsi="宋体" w:eastAsia="宋体" w:cs="宋体"/>
          <w:sz w:val="24"/>
          <w:highlight w:val="none"/>
        </w:rPr>
        <w:t>本公司</w:t>
      </w:r>
      <w:r>
        <w:rPr>
          <w:rFonts w:hint="eastAsia" w:ascii="宋体" w:hAnsi="宋体" w:eastAsia="宋体" w:cs="宋体"/>
          <w:sz w:val="24"/>
          <w:highlight w:val="none"/>
          <w:u w:val="single" w:color="0D0D0D"/>
        </w:rPr>
        <w:t xml:space="preserve">       （公司名称）</w:t>
      </w:r>
      <w:r>
        <w:rPr>
          <w:rFonts w:hint="eastAsia" w:ascii="宋体" w:hAnsi="宋体" w:eastAsia="宋体" w:cs="宋体"/>
          <w:sz w:val="24"/>
          <w:highlight w:val="none"/>
        </w:rPr>
        <w:t>参加</w:t>
      </w:r>
      <w:r>
        <w:rPr>
          <w:rFonts w:hint="eastAsia" w:ascii="宋体" w:hAnsi="宋体" w:eastAsia="宋体" w:cs="宋体"/>
          <w:sz w:val="24"/>
          <w:highlight w:val="none"/>
          <w:u w:val="single" w:color="0D0D0D"/>
        </w:rPr>
        <w:t xml:space="preserve">        （项目名称）</w:t>
      </w:r>
      <w:r>
        <w:rPr>
          <w:rFonts w:hint="eastAsia" w:ascii="宋体" w:hAnsi="宋体" w:eastAsia="宋体" w:cs="宋体"/>
          <w:sz w:val="24"/>
          <w:highlight w:val="none"/>
        </w:rPr>
        <w:t>的磋商活动，现承诺：</w:t>
      </w:r>
    </w:p>
    <w:p w14:paraId="40446EED">
      <w:pPr>
        <w:wordWrap/>
        <w:spacing w:line="400" w:lineRule="exact"/>
        <w:ind w:firstLine="540"/>
        <w:rPr>
          <w:rFonts w:hint="eastAsia" w:ascii="宋体" w:hAnsi="宋体" w:eastAsia="宋体" w:cs="宋体"/>
          <w:sz w:val="24"/>
          <w:highlight w:val="none"/>
        </w:rPr>
      </w:pPr>
      <w:r>
        <w:rPr>
          <w:rFonts w:hint="eastAsia" w:ascii="宋体" w:hAnsi="宋体" w:eastAsia="宋体" w:cs="宋体"/>
          <w:sz w:val="24"/>
          <w:highlight w:val="none"/>
        </w:rPr>
        <w:t>我公司满足政府采购法第二十二条关于供应商的资格要求：</w:t>
      </w:r>
    </w:p>
    <w:p w14:paraId="447C116D">
      <w:pPr>
        <w:wordWrap/>
        <w:spacing w:line="400" w:lineRule="exact"/>
        <w:ind w:firstLine="432"/>
        <w:rPr>
          <w:rFonts w:hint="eastAsia" w:ascii="宋体" w:hAnsi="宋体" w:eastAsia="宋体" w:cs="宋体"/>
          <w:sz w:val="24"/>
          <w:highlight w:val="none"/>
        </w:rPr>
      </w:pPr>
      <w:r>
        <w:rPr>
          <w:rFonts w:hint="eastAsia" w:ascii="宋体" w:hAnsi="宋体" w:eastAsia="宋体" w:cs="宋体"/>
          <w:sz w:val="24"/>
          <w:highlight w:val="none"/>
        </w:rPr>
        <w:t xml:space="preserve">（一）具有独立承担民事责任的能力； </w:t>
      </w:r>
    </w:p>
    <w:p w14:paraId="342E55C1">
      <w:pPr>
        <w:wordWrap/>
        <w:spacing w:line="400" w:lineRule="exact"/>
        <w:ind w:firstLine="432"/>
        <w:rPr>
          <w:rFonts w:hint="eastAsia" w:ascii="宋体" w:hAnsi="宋体" w:eastAsia="宋体" w:cs="宋体"/>
          <w:sz w:val="24"/>
          <w:highlight w:val="none"/>
        </w:rPr>
      </w:pPr>
      <w:r>
        <w:rPr>
          <w:rFonts w:hint="eastAsia" w:ascii="宋体" w:hAnsi="宋体" w:eastAsia="宋体" w:cs="宋体"/>
          <w:sz w:val="24"/>
          <w:highlight w:val="none"/>
        </w:rPr>
        <w:t xml:space="preserve">（二）具有良好的商业信誉和健全的财务会计制度； </w:t>
      </w:r>
    </w:p>
    <w:p w14:paraId="25D8F97B">
      <w:pPr>
        <w:wordWrap/>
        <w:spacing w:line="400" w:lineRule="exact"/>
        <w:ind w:firstLine="432"/>
        <w:rPr>
          <w:rFonts w:hint="eastAsia" w:ascii="宋体" w:hAnsi="宋体" w:eastAsia="宋体" w:cs="宋体"/>
          <w:sz w:val="24"/>
          <w:highlight w:val="none"/>
        </w:rPr>
      </w:pPr>
      <w:r>
        <w:rPr>
          <w:rFonts w:hint="eastAsia" w:ascii="宋体" w:hAnsi="宋体" w:eastAsia="宋体" w:cs="宋体"/>
          <w:sz w:val="24"/>
          <w:highlight w:val="none"/>
        </w:rPr>
        <w:t xml:space="preserve">（三）具有履行合同所必需的设备和专业技术能力； </w:t>
      </w:r>
    </w:p>
    <w:p w14:paraId="35EB2A0A">
      <w:pPr>
        <w:wordWrap/>
        <w:spacing w:line="400" w:lineRule="exact"/>
        <w:ind w:firstLine="432"/>
        <w:rPr>
          <w:rFonts w:hint="eastAsia" w:ascii="宋体" w:hAnsi="宋体" w:eastAsia="宋体" w:cs="宋体"/>
          <w:sz w:val="24"/>
          <w:highlight w:val="none"/>
        </w:rPr>
      </w:pPr>
      <w:r>
        <w:rPr>
          <w:rFonts w:hint="eastAsia" w:ascii="宋体" w:hAnsi="宋体" w:eastAsia="宋体" w:cs="宋体"/>
          <w:sz w:val="24"/>
          <w:highlight w:val="none"/>
        </w:rPr>
        <w:t xml:space="preserve">（四）有依法缴纳税收和社会保障资金的良好记录； </w:t>
      </w:r>
    </w:p>
    <w:p w14:paraId="3CF12296">
      <w:pPr>
        <w:wordWrap/>
        <w:spacing w:line="400" w:lineRule="exact"/>
        <w:ind w:firstLine="432"/>
        <w:rPr>
          <w:rFonts w:hint="eastAsia" w:ascii="宋体" w:hAnsi="宋体" w:eastAsia="宋体" w:cs="宋体"/>
          <w:sz w:val="24"/>
          <w:highlight w:val="none"/>
        </w:rPr>
      </w:pPr>
      <w:r>
        <w:rPr>
          <w:rFonts w:hint="eastAsia" w:ascii="宋体" w:hAnsi="宋体" w:eastAsia="宋体" w:cs="宋体"/>
          <w:sz w:val="24"/>
          <w:highlight w:val="none"/>
        </w:rPr>
        <w:t>（五）参加政府采购活动前三年内，在经营活动中没有重大违法记录</w:t>
      </w:r>
      <w:r>
        <w:rPr>
          <w:rFonts w:hint="eastAsia" w:ascii="宋体" w:hAnsi="宋体" w:eastAsia="宋体" w:cs="宋体"/>
          <w:sz w:val="24"/>
          <w:highlight w:val="none"/>
          <w:lang w:eastAsia="zh-CN"/>
        </w:rPr>
        <w:t>；</w:t>
      </w:r>
    </w:p>
    <w:p w14:paraId="75AE1460">
      <w:pPr>
        <w:wordWrap/>
        <w:spacing w:line="400" w:lineRule="exact"/>
        <w:ind w:firstLine="432"/>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（六）法律、行政法规规定的其他条件。</w:t>
      </w:r>
    </w:p>
    <w:p w14:paraId="3BFC3BB4">
      <w:pPr>
        <w:spacing w:line="36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（七）根据采购项目提出的特殊条件。</w:t>
      </w:r>
    </w:p>
    <w:p w14:paraId="32AFB341">
      <w:pPr>
        <w:wordWrap/>
        <w:spacing w:line="400" w:lineRule="exact"/>
        <w:ind w:firstLine="432"/>
        <w:rPr>
          <w:rFonts w:hint="eastAsia" w:ascii="宋体" w:hAnsi="宋体" w:eastAsia="宋体" w:cs="宋体"/>
          <w:sz w:val="24"/>
          <w:highlight w:val="none"/>
        </w:rPr>
      </w:pPr>
      <w:r>
        <w:rPr>
          <w:rFonts w:hint="eastAsia" w:ascii="宋体" w:hAnsi="宋体" w:eastAsia="宋体" w:cs="宋体"/>
          <w:sz w:val="24"/>
          <w:highlight w:val="none"/>
        </w:rPr>
        <w:t>本单位对上述承诺的内容事项真实性负责。如经查实上述承诺的内容事项存在虚假，我单位愿意接受以提供虚假材料谋取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追究法律责任。</w:t>
      </w:r>
    </w:p>
    <w:p w14:paraId="64861D4C">
      <w:pPr>
        <w:wordWrap/>
        <w:spacing w:line="400" w:lineRule="exact"/>
        <w:ind w:firstLine="432"/>
        <w:rPr>
          <w:rFonts w:hint="eastAsia" w:ascii="宋体" w:hAnsi="宋体" w:eastAsia="宋体" w:cs="宋体"/>
          <w:sz w:val="24"/>
          <w:highlight w:val="none"/>
        </w:rPr>
      </w:pPr>
    </w:p>
    <w:p w14:paraId="719764CB">
      <w:pPr>
        <w:wordWrap/>
        <w:spacing w:line="400" w:lineRule="exact"/>
        <w:ind w:firstLine="432"/>
        <w:rPr>
          <w:rFonts w:hint="eastAsia" w:ascii="宋体" w:hAnsi="宋体" w:eastAsia="宋体" w:cs="宋体"/>
          <w:sz w:val="24"/>
          <w:highlight w:val="none"/>
        </w:rPr>
      </w:pPr>
    </w:p>
    <w:p w14:paraId="344F7A0C">
      <w:pPr>
        <w:widowControl/>
        <w:wordWrap/>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eastAsia="zh-CN"/>
        </w:rPr>
        <w:t>名称</w:t>
      </w:r>
      <w:r>
        <w:rPr>
          <w:rFonts w:hint="eastAsia" w:ascii="宋体" w:hAnsi="宋体" w:eastAsia="宋体" w:cs="宋体"/>
          <w:sz w:val="24"/>
          <w:highlight w:val="none"/>
        </w:rPr>
        <w:t>：                 （盖公章）</w:t>
      </w:r>
    </w:p>
    <w:p w14:paraId="442A99B6">
      <w:pPr>
        <w:widowControl/>
        <w:wordWrap/>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rPr>
        <w:t>法定代表人或</w:t>
      </w:r>
      <w:r>
        <w:rPr>
          <w:rFonts w:hint="eastAsia" w:ascii="宋体" w:hAnsi="宋体" w:eastAsia="宋体" w:cs="宋体"/>
          <w:sz w:val="24"/>
          <w:highlight w:val="none"/>
          <w:lang w:eastAsia="zh-CN"/>
        </w:rPr>
        <w:t>委托代理人</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rPr>
        <w:t>）：</w:t>
      </w:r>
    </w:p>
    <w:p w14:paraId="1372A526">
      <w:pPr>
        <w:widowControl/>
        <w:wordWrap/>
        <w:spacing w:line="360" w:lineRule="auto"/>
        <w:jc w:val="left"/>
        <w:rPr>
          <w:rFonts w:hint="eastAsia" w:ascii="宋体" w:hAnsi="宋体" w:eastAsia="宋体" w:cs="宋体"/>
          <w:sz w:val="24"/>
          <w:highlight w:val="none"/>
          <w:u w:val="single" w:color="0D0D0D"/>
        </w:rPr>
      </w:pPr>
      <w:r>
        <w:rPr>
          <w:rFonts w:hint="eastAsia" w:ascii="宋体" w:hAnsi="宋体" w:eastAsia="宋体" w:cs="宋体"/>
          <w:sz w:val="24"/>
          <w:highlight w:val="none"/>
        </w:rPr>
        <w:t>日    期：</w:t>
      </w:r>
    </w:p>
    <w:p w14:paraId="6A329519">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w:t>
      </w:r>
    </w:p>
    <w:p w14:paraId="48FA9DF8">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u w:val="single" w:color="0D0D0D"/>
        </w:rPr>
      </w:pPr>
    </w:p>
    <w:p w14:paraId="0D772C9A">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u w:val="single" w:color="0D0D0D"/>
        </w:rPr>
      </w:pPr>
    </w:p>
    <w:p w14:paraId="154AEA4B">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u w:val="single" w:color="0D0D0D"/>
        </w:rPr>
      </w:pPr>
    </w:p>
    <w:p w14:paraId="1FBA6825">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u w:val="single" w:color="0D0D0D"/>
        </w:rPr>
      </w:pPr>
    </w:p>
    <w:p w14:paraId="022F041D">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u w:val="single" w:color="0D0D0D"/>
        </w:rPr>
      </w:pPr>
    </w:p>
    <w:p w14:paraId="3D6718AC">
      <w:pPr>
        <w:pageBreakBefore w:val="0"/>
        <w:widowControl/>
        <w:kinsoku/>
        <w:wordWrap/>
        <w:overflowPunct/>
        <w:topLinePunct w:val="0"/>
        <w:bidi w:val="0"/>
        <w:spacing w:line="360" w:lineRule="auto"/>
        <w:ind w:right="480"/>
        <w:outlineLvl w:val="9"/>
        <w:rPr>
          <w:rFonts w:hint="eastAsia" w:ascii="宋体" w:hAnsi="宋体" w:eastAsia="宋体" w:cs="宋体"/>
          <w:b/>
          <w:color w:val="auto"/>
          <w:sz w:val="24"/>
          <w:highlight w:val="none"/>
          <w:lang w:eastAsia="zh-CN"/>
        </w:rPr>
      </w:pPr>
    </w:p>
    <w:p w14:paraId="4C447955">
      <w:pPr>
        <w:pageBreakBefore w:val="0"/>
        <w:widowControl/>
        <w:kinsoku/>
        <w:wordWrap/>
        <w:overflowPunct/>
        <w:topLinePunct w:val="0"/>
        <w:bidi w:val="0"/>
        <w:spacing w:line="360" w:lineRule="auto"/>
        <w:ind w:right="480"/>
        <w:jc w:val="left"/>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br w:type="page"/>
      </w:r>
      <w:r>
        <w:rPr>
          <w:rFonts w:hint="eastAsia" w:ascii="宋体" w:hAnsi="宋体" w:eastAsia="宋体" w:cs="宋体"/>
          <w:b/>
          <w:color w:val="auto"/>
          <w:sz w:val="24"/>
          <w:highlight w:val="none"/>
          <w:lang w:eastAsia="zh-CN"/>
        </w:rPr>
        <w:t>附件1-3</w:t>
      </w:r>
    </w:p>
    <w:p w14:paraId="64D56A8B">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p w14:paraId="41EF2D1B">
      <w:pPr>
        <w:widowControl/>
        <w:wordWrap/>
        <w:spacing w:line="360" w:lineRule="auto"/>
        <w:ind w:right="480"/>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法人营业执照、税务登记证、组织机构代码证</w:t>
      </w:r>
    </w:p>
    <w:p w14:paraId="38352A30">
      <w:pPr>
        <w:widowControl/>
        <w:wordWrap/>
        <w:spacing w:after="120"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（注：法人营业执照、税务登记证、组织代码证等相关证明文件提供复印件。</w:t>
      </w:r>
      <w:r>
        <w:rPr>
          <w:rFonts w:hint="eastAsia" w:ascii="宋体" w:hAnsi="宋体" w:eastAsia="宋体" w:cs="宋体"/>
          <w:bCs/>
          <w:sz w:val="24"/>
          <w:highlight w:val="none"/>
        </w:rPr>
        <w:t>三证合一的按国家相关主管部门最新要求执行</w:t>
      </w:r>
      <w:r>
        <w:rPr>
          <w:rFonts w:hint="eastAsia" w:ascii="宋体" w:hAnsi="宋体" w:eastAsia="宋体" w:cs="宋体"/>
          <w:sz w:val="24"/>
          <w:highlight w:val="none"/>
        </w:rPr>
        <w:t>）</w:t>
      </w:r>
    </w:p>
    <w:p w14:paraId="4F97ACCF">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rPr>
      </w:pPr>
    </w:p>
    <w:p w14:paraId="6EC9B13B">
      <w:pPr>
        <w:pageBreakBefore w:val="0"/>
        <w:widowControl/>
        <w:kinsoku/>
        <w:wordWrap/>
        <w:overflowPunct/>
        <w:topLinePunct w:val="0"/>
        <w:bidi w:val="0"/>
        <w:spacing w:line="360" w:lineRule="auto"/>
        <w:outlineLvl w:val="9"/>
        <w:rPr>
          <w:rFonts w:hint="eastAsia" w:ascii="宋体" w:hAnsi="宋体" w:eastAsia="宋体" w:cs="宋体"/>
          <w:color w:val="auto"/>
          <w:sz w:val="24"/>
          <w:highlight w:val="none"/>
        </w:rPr>
      </w:pPr>
    </w:p>
    <w:p w14:paraId="69B1702C">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9DD5D7C">
      <w:pPr>
        <w:pStyle w:val="2"/>
        <w:pageBreakBefore w:val="0"/>
        <w:kinsoku/>
        <w:overflowPunct/>
        <w:topLinePunct w:val="0"/>
        <w:bidi w:val="0"/>
        <w:ind w:firstLine="482"/>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附件1－4</w:t>
      </w:r>
    </w:p>
    <w:p w14:paraId="18EA51E8">
      <w:pPr>
        <w:pageBreakBefore w:val="0"/>
        <w:kinsoku/>
        <w:overflowPunct/>
        <w:topLinePunct w:val="0"/>
        <w:bidi w:val="0"/>
        <w:jc w:val="center"/>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中小企业声明函</w:t>
      </w:r>
    </w:p>
    <w:p w14:paraId="2A31543C">
      <w:pPr>
        <w:pageBreakBefore w:val="0"/>
        <w:kinsoku/>
        <w:overflowPunct/>
        <w:topLinePunct w:val="0"/>
        <w:bidi w:val="0"/>
        <w:spacing w:line="360" w:lineRule="auto"/>
        <w:ind w:firstLine="440" w:firstLineChars="200"/>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本公司郑重声明，根据《政府采购促进中小企业发展管理办法》（财库〔2020〕46号）或《政府采购支持监狱企业发展有关问题的通知》（财库〔2014〕68号）的规定，本公司（联合体）参加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采购活动，服务全部由符合政策要求的中小企业承接。相关企业（含联合</w:t>
      </w:r>
    </w:p>
    <w:p w14:paraId="3DE9461F">
      <w:pPr>
        <w:pageBreakBefore w:val="0"/>
        <w:kinsoku/>
        <w:overflowPunct/>
        <w:topLinePunct w:val="0"/>
        <w:bidi w:val="0"/>
        <w:spacing w:line="360" w:lineRule="auto"/>
        <w:ind w:firstLine="440" w:firstLineChars="200"/>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体中的中小企业、签订分包意向协议的中小企业）的具体情况如下：</w:t>
      </w:r>
    </w:p>
    <w:p w14:paraId="2EB7A549">
      <w:pPr>
        <w:pageBreakBefore w:val="0"/>
        <w:kinsoku/>
        <w:overflowPunct/>
        <w:topLinePunct w:val="0"/>
        <w:bidi w:val="0"/>
        <w:spacing w:line="360" w:lineRule="auto"/>
        <w:ind w:firstLine="440" w:firstLineChars="200"/>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（采购文件中明确的所属行业）</w:t>
      </w:r>
      <w:r>
        <w:rPr>
          <w:rFonts w:hint="eastAsia" w:ascii="宋体" w:hAnsi="宋体" w:eastAsia="宋体" w:cs="宋体"/>
          <w:color w:val="auto"/>
          <w:sz w:val="22"/>
          <w:szCs w:val="22"/>
          <w:highlight w:val="none"/>
        </w:rPr>
        <w:t>；承接企业为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（中型企业、小型企业、微型企业）</w:t>
      </w:r>
      <w:r>
        <w:rPr>
          <w:rFonts w:hint="eastAsia" w:ascii="宋体" w:hAnsi="宋体" w:eastAsia="宋体" w:cs="宋体"/>
          <w:color w:val="auto"/>
          <w:sz w:val="22"/>
          <w:szCs w:val="22"/>
          <w:highlight w:val="none"/>
        </w:rPr>
        <w:t>；</w:t>
      </w:r>
    </w:p>
    <w:p w14:paraId="44A46993">
      <w:pPr>
        <w:pageBreakBefore w:val="0"/>
        <w:kinsoku/>
        <w:overflowPunct/>
        <w:topLinePunct w:val="0"/>
        <w:bidi w:val="0"/>
        <w:spacing w:line="360" w:lineRule="auto"/>
        <w:ind w:firstLine="440" w:firstLineChars="200"/>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（采购文件中明确的所属行业）</w:t>
      </w:r>
      <w:r>
        <w:rPr>
          <w:rFonts w:hint="eastAsia" w:ascii="宋体" w:hAnsi="宋体" w:eastAsia="宋体" w:cs="宋体"/>
          <w:color w:val="auto"/>
          <w:sz w:val="22"/>
          <w:szCs w:val="22"/>
          <w:highlight w:val="none"/>
        </w:rPr>
        <w:t>；承接企业为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（中型企业、小型企业、微型企业）</w:t>
      </w:r>
      <w:r>
        <w:rPr>
          <w:rFonts w:hint="eastAsia" w:ascii="宋体" w:hAnsi="宋体" w:eastAsia="宋体" w:cs="宋体"/>
          <w:color w:val="auto"/>
          <w:sz w:val="22"/>
          <w:szCs w:val="22"/>
          <w:highlight w:val="none"/>
        </w:rPr>
        <w:t>；</w:t>
      </w:r>
    </w:p>
    <w:p w14:paraId="6D6BD761">
      <w:pPr>
        <w:pageBreakBefore w:val="0"/>
        <w:kinsoku/>
        <w:overflowPunct/>
        <w:topLinePunct w:val="0"/>
        <w:bidi w:val="0"/>
        <w:spacing w:line="360" w:lineRule="auto"/>
        <w:ind w:firstLine="440" w:firstLineChars="200"/>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p>
    <w:p w14:paraId="214D0D93">
      <w:pPr>
        <w:pageBreakBefore w:val="0"/>
        <w:kinsoku/>
        <w:overflowPunct/>
        <w:topLinePunct w:val="0"/>
        <w:bidi w:val="0"/>
        <w:spacing w:line="360" w:lineRule="auto"/>
        <w:ind w:firstLine="440" w:firstLineChars="200"/>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w:t>
      </w:r>
    </w:p>
    <w:p w14:paraId="4FD7916C">
      <w:pPr>
        <w:pageBreakBefore w:val="0"/>
        <w:kinsoku/>
        <w:overflowPunct/>
        <w:topLinePunct w:val="0"/>
        <w:bidi w:val="0"/>
        <w:spacing w:line="360" w:lineRule="auto"/>
        <w:ind w:firstLine="440" w:firstLineChars="200"/>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本企业对上述声明内容的真实性负责。如有虚假，将依法承担相应责任。</w:t>
      </w:r>
    </w:p>
    <w:p w14:paraId="5F40F4F9">
      <w:pPr>
        <w:pageBreakBefore w:val="0"/>
        <w:kinsoku/>
        <w:overflowPunct/>
        <w:topLinePunct w:val="0"/>
        <w:bidi w:val="0"/>
        <w:spacing w:line="360" w:lineRule="auto"/>
        <w:ind w:firstLine="440" w:firstLineChars="20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w:t>
      </w:r>
    </w:p>
    <w:p w14:paraId="3D7568CF">
      <w:pPr>
        <w:pageBreakBefore w:val="0"/>
        <w:kinsoku/>
        <w:overflowPunct/>
        <w:topLinePunct w:val="0"/>
        <w:bidi w:val="0"/>
        <w:spacing w:line="360" w:lineRule="auto"/>
        <w:ind w:firstLine="4840" w:firstLineChars="2200"/>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eastAsia="zh-CN"/>
        </w:rPr>
        <w:t xml:space="preserve">  </w:t>
      </w:r>
      <w:r>
        <w:rPr>
          <w:rFonts w:hint="eastAsia" w:ascii="宋体" w:hAnsi="宋体" w:eastAsia="宋体" w:cs="宋体"/>
          <w:color w:val="auto"/>
          <w:sz w:val="22"/>
          <w:szCs w:val="22"/>
          <w:highlight w:val="none"/>
        </w:rPr>
        <w:t>期：</w:t>
      </w:r>
    </w:p>
    <w:p w14:paraId="4AB8712B">
      <w:pPr>
        <w:pageBreakBefore w:val="0"/>
        <w:kinsoku/>
        <w:overflowPunct/>
        <w:topLinePunct w:val="0"/>
        <w:bidi w:val="0"/>
        <w:spacing w:line="360" w:lineRule="auto"/>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w:t>
      </w:r>
    </w:p>
    <w:p w14:paraId="57F6F78E">
      <w:pPr>
        <w:pageBreakBefore w:val="0"/>
        <w:numPr>
          <w:ilvl w:val="0"/>
          <w:numId w:val="7"/>
        </w:numPr>
        <w:kinsoku/>
        <w:overflowPunct/>
        <w:topLinePunct w:val="0"/>
        <w:bidi w:val="0"/>
        <w:spacing w:line="360" w:lineRule="auto"/>
        <w:outlineLvl w:val="9"/>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投标人符合《工业和信息化部、国家统计局、国家发展和改革委员会、财政部关于印发中小企业划型标准规定的通知》（工信部联企业〔2011〕300号）。</w:t>
      </w:r>
    </w:p>
    <w:p w14:paraId="2F28F510">
      <w:pPr>
        <w:pageBreakBefore w:val="0"/>
        <w:numPr>
          <w:ilvl w:val="0"/>
          <w:numId w:val="7"/>
        </w:numPr>
        <w:kinsoku/>
        <w:overflowPunct/>
        <w:topLinePunct w:val="0"/>
        <w:bidi w:val="0"/>
        <w:spacing w:line="360" w:lineRule="auto"/>
        <w:outlineLvl w:val="9"/>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 xml:space="preserve">从业人员、营业收入、资产总额填报上一年度数据，无上一年度数据的新成立企业可不填报。 </w:t>
      </w:r>
    </w:p>
    <w:p w14:paraId="785F2D51">
      <w:pPr>
        <w:pageBreakBefore w:val="0"/>
        <w:kinsoku/>
        <w:overflowPunct/>
        <w:topLinePunct w:val="0"/>
        <w:bidi w:val="0"/>
        <w:outlineLvl w:val="9"/>
        <w:rPr>
          <w:rFonts w:hint="eastAsia" w:ascii="宋体" w:hAnsi="宋体" w:eastAsia="宋体" w:cs="宋体"/>
          <w:color w:val="auto"/>
          <w:sz w:val="18"/>
          <w:szCs w:val="22"/>
          <w:highlight w:val="none"/>
        </w:rPr>
      </w:pPr>
      <w:r>
        <w:rPr>
          <w:rFonts w:hint="eastAsia" w:ascii="宋体" w:hAnsi="宋体" w:eastAsia="宋体" w:cs="宋体"/>
          <w:color w:val="auto"/>
          <w:sz w:val="18"/>
          <w:szCs w:val="22"/>
          <w:highlight w:val="none"/>
        </w:rPr>
        <w:br w:type="page"/>
      </w:r>
    </w:p>
    <w:p w14:paraId="571BE5B2">
      <w:pPr>
        <w:pageBreakBefore w:val="0"/>
        <w:kinsoku/>
        <w:overflowPunct/>
        <w:topLinePunct w:val="0"/>
        <w:bidi w:val="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附件1-5</w:t>
      </w:r>
    </w:p>
    <w:p w14:paraId="4174079C">
      <w:pPr>
        <w:pageBreakBefore w:val="0"/>
        <w:kinsoku/>
        <w:overflowPunct/>
        <w:topLinePunct w:val="0"/>
        <w:bidi w:val="0"/>
        <w:jc w:val="center"/>
        <w:outlineLvl w:val="9"/>
        <w:rPr>
          <w:rFonts w:hint="eastAsia" w:ascii="宋体" w:hAnsi="宋体" w:eastAsia="宋体" w:cs="宋体"/>
          <w:b/>
          <w:color w:val="auto"/>
          <w:sz w:val="24"/>
          <w:szCs w:val="22"/>
          <w:highlight w:val="none"/>
          <w:lang w:eastAsia="zh-CN"/>
        </w:rPr>
      </w:pPr>
      <w:r>
        <w:rPr>
          <w:rFonts w:hint="eastAsia" w:ascii="宋体" w:hAnsi="宋体" w:eastAsia="宋体" w:cs="宋体"/>
          <w:b/>
          <w:color w:val="auto"/>
          <w:sz w:val="24"/>
          <w:szCs w:val="22"/>
          <w:highlight w:val="none"/>
          <w:lang w:val="en-US" w:eastAsia="zh-CN"/>
        </w:rPr>
        <w:t xml:space="preserve"> </w:t>
      </w:r>
      <w:r>
        <w:rPr>
          <w:rFonts w:hint="eastAsia" w:ascii="宋体" w:hAnsi="宋体" w:eastAsia="宋体" w:cs="宋体"/>
          <w:b/>
          <w:color w:val="auto"/>
          <w:sz w:val="24"/>
          <w:szCs w:val="22"/>
          <w:highlight w:val="none"/>
          <w:lang w:eastAsia="zh-CN"/>
        </w:rPr>
        <w:t>残疾人福利性单位声明函</w:t>
      </w:r>
    </w:p>
    <w:p w14:paraId="498E6595">
      <w:pPr>
        <w:pageBreakBefore w:val="0"/>
        <w:kinsoku/>
        <w:overflowPunct/>
        <w:topLinePunct w:val="0"/>
        <w:bidi w:val="0"/>
        <w:spacing w:line="588" w:lineRule="exact"/>
        <w:outlineLvl w:val="9"/>
        <w:rPr>
          <w:rFonts w:hint="eastAsia" w:ascii="宋体" w:hAnsi="宋体" w:eastAsia="宋体" w:cs="宋体"/>
          <w:b/>
          <w:color w:val="auto"/>
          <w:spacing w:val="6"/>
          <w:sz w:val="18"/>
          <w:szCs w:val="22"/>
          <w:highlight w:val="none"/>
        </w:rPr>
      </w:pPr>
    </w:p>
    <w:p w14:paraId="1C417241">
      <w:pPr>
        <w:pageBreakBefore w:val="0"/>
        <w:kinsoku/>
        <w:overflowPunct/>
        <w:topLinePunct w:val="0"/>
        <w:bidi w:val="0"/>
        <w:spacing w:line="588" w:lineRule="exact"/>
        <w:ind w:firstLine="464" w:firstLineChars="200"/>
        <w:outlineLvl w:val="9"/>
        <w:rPr>
          <w:rFonts w:hint="eastAsia" w:ascii="宋体" w:hAnsi="宋体" w:eastAsia="宋体" w:cs="宋体"/>
          <w:color w:val="auto"/>
          <w:spacing w:val="6"/>
          <w:sz w:val="22"/>
          <w:szCs w:val="16"/>
          <w:highlight w:val="none"/>
        </w:rPr>
      </w:pPr>
      <w:r>
        <w:rPr>
          <w:rFonts w:hint="eastAsia" w:ascii="宋体" w:hAnsi="宋体" w:eastAsia="宋体" w:cs="宋体"/>
          <w:color w:val="auto"/>
          <w:spacing w:val="6"/>
          <w:sz w:val="22"/>
          <w:szCs w:val="16"/>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16"/>
          <w:highlight w:val="none"/>
        </w:rPr>
        <w:t>〔2017〕 141</w:t>
      </w:r>
      <w:r>
        <w:rPr>
          <w:rFonts w:hint="eastAsia" w:ascii="宋体" w:hAnsi="宋体" w:eastAsia="宋体" w:cs="宋体"/>
          <w:color w:val="auto"/>
          <w:spacing w:val="6"/>
          <w:sz w:val="22"/>
          <w:szCs w:val="16"/>
          <w:highlight w:val="none"/>
        </w:rPr>
        <w:t>号）的规定，本单位为符合条件的残疾人福利性单位，且本单位参加</w:t>
      </w:r>
      <w:r>
        <w:rPr>
          <w:rFonts w:hint="eastAsia" w:ascii="宋体" w:hAnsi="宋体" w:eastAsia="宋体" w:cs="宋体"/>
          <w:color w:val="auto"/>
          <w:sz w:val="22"/>
          <w:szCs w:val="16"/>
          <w:highlight w:val="none"/>
          <w:u w:val="single"/>
        </w:rPr>
        <w:t>XXXX</w:t>
      </w:r>
      <w:r>
        <w:rPr>
          <w:rFonts w:hint="eastAsia" w:ascii="宋体" w:hAnsi="宋体" w:eastAsia="宋体" w:cs="宋体"/>
          <w:color w:val="auto"/>
          <w:spacing w:val="6"/>
          <w:sz w:val="22"/>
          <w:szCs w:val="16"/>
          <w:highlight w:val="none"/>
        </w:rPr>
        <w:t>单位的</w:t>
      </w:r>
      <w:r>
        <w:rPr>
          <w:rFonts w:hint="eastAsia" w:ascii="宋体" w:hAnsi="宋体" w:eastAsia="宋体" w:cs="宋体"/>
          <w:color w:val="auto"/>
          <w:sz w:val="22"/>
          <w:szCs w:val="16"/>
          <w:highlight w:val="none"/>
          <w:u w:val="single"/>
        </w:rPr>
        <w:t>XXXX</w:t>
      </w:r>
      <w:r>
        <w:rPr>
          <w:rFonts w:hint="eastAsia" w:ascii="宋体" w:hAnsi="宋体" w:eastAsia="宋体" w:cs="宋体"/>
          <w:color w:val="auto"/>
          <w:spacing w:val="6"/>
          <w:sz w:val="22"/>
          <w:szCs w:val="16"/>
          <w:highlight w:val="none"/>
        </w:rPr>
        <w:t>项目采购活动提供本单位制造的货物（由本单位承担工程/提供服务），或者提供其他残疾人福利性单位制造的货物（不包括使用非残疾人福利性单位注册商标的货物）。</w:t>
      </w:r>
    </w:p>
    <w:p w14:paraId="4178BC3F">
      <w:pPr>
        <w:pageBreakBefore w:val="0"/>
        <w:kinsoku/>
        <w:overflowPunct/>
        <w:topLinePunct w:val="0"/>
        <w:bidi w:val="0"/>
        <w:spacing w:line="588" w:lineRule="exact"/>
        <w:ind w:firstLine="464" w:firstLineChars="200"/>
        <w:outlineLvl w:val="9"/>
        <w:rPr>
          <w:rFonts w:hint="eastAsia" w:ascii="宋体" w:hAnsi="宋体" w:eastAsia="宋体" w:cs="宋体"/>
          <w:color w:val="auto"/>
          <w:spacing w:val="6"/>
          <w:sz w:val="22"/>
          <w:szCs w:val="16"/>
          <w:highlight w:val="none"/>
        </w:rPr>
      </w:pPr>
      <w:r>
        <w:rPr>
          <w:rFonts w:hint="eastAsia" w:ascii="宋体" w:hAnsi="宋体" w:eastAsia="宋体" w:cs="宋体"/>
          <w:color w:val="auto"/>
          <w:spacing w:val="6"/>
          <w:sz w:val="22"/>
          <w:szCs w:val="16"/>
          <w:highlight w:val="none"/>
        </w:rPr>
        <w:t>本单位对上述声明的真实性负责。如有虚假，将依法承担相应责任。</w:t>
      </w:r>
    </w:p>
    <w:p w14:paraId="39CD87C6">
      <w:pPr>
        <w:pageBreakBefore w:val="0"/>
        <w:kinsoku/>
        <w:overflowPunct/>
        <w:topLinePunct w:val="0"/>
        <w:bidi w:val="0"/>
        <w:spacing w:line="588" w:lineRule="exact"/>
        <w:outlineLvl w:val="9"/>
        <w:rPr>
          <w:rFonts w:hint="eastAsia" w:ascii="宋体" w:hAnsi="宋体" w:eastAsia="宋体" w:cs="宋体"/>
          <w:color w:val="auto"/>
          <w:spacing w:val="6"/>
          <w:sz w:val="18"/>
          <w:szCs w:val="22"/>
          <w:highlight w:val="none"/>
        </w:rPr>
      </w:pPr>
    </w:p>
    <w:p w14:paraId="1D56C6C0">
      <w:pPr>
        <w:pageBreakBefore w:val="0"/>
        <w:kinsoku/>
        <w:overflowPunct/>
        <w:topLinePunct w:val="0"/>
        <w:bidi w:val="0"/>
        <w:spacing w:line="588" w:lineRule="exact"/>
        <w:outlineLvl w:val="9"/>
        <w:rPr>
          <w:rFonts w:hint="eastAsia" w:ascii="宋体" w:hAnsi="宋体" w:eastAsia="宋体" w:cs="宋体"/>
          <w:color w:val="auto"/>
          <w:spacing w:val="6"/>
          <w:sz w:val="18"/>
          <w:szCs w:val="22"/>
          <w:highlight w:val="none"/>
        </w:rPr>
      </w:pPr>
    </w:p>
    <w:p w14:paraId="33EC72DD">
      <w:pPr>
        <w:pageBreakBefore w:val="0"/>
        <w:tabs>
          <w:tab w:val="left" w:pos="4860"/>
        </w:tabs>
        <w:kinsoku/>
        <w:overflowPunct/>
        <w:topLinePunct w:val="0"/>
        <w:bidi w:val="0"/>
        <w:spacing w:line="588" w:lineRule="exact"/>
        <w:ind w:right="1560"/>
        <w:outlineLvl w:val="9"/>
        <w:rPr>
          <w:rFonts w:hint="eastAsia" w:ascii="宋体" w:hAnsi="宋体" w:eastAsia="宋体" w:cs="宋体"/>
          <w:color w:val="auto"/>
          <w:spacing w:val="6"/>
          <w:sz w:val="22"/>
          <w:szCs w:val="16"/>
          <w:highlight w:val="none"/>
        </w:rPr>
      </w:pPr>
      <w:r>
        <w:rPr>
          <w:rFonts w:hint="eastAsia" w:ascii="宋体" w:hAnsi="宋体" w:eastAsia="宋体" w:cs="宋体"/>
          <w:color w:val="auto"/>
          <w:spacing w:val="6"/>
          <w:sz w:val="22"/>
          <w:szCs w:val="16"/>
          <w:highlight w:val="none"/>
        </w:rPr>
        <w:t>单位名称（盖章）：</w:t>
      </w:r>
    </w:p>
    <w:p w14:paraId="15EBC17E">
      <w:pPr>
        <w:pageBreakBefore w:val="0"/>
        <w:kinsoku/>
        <w:overflowPunct/>
        <w:topLinePunct w:val="0"/>
        <w:bidi w:val="0"/>
        <w:outlineLvl w:val="9"/>
        <w:rPr>
          <w:rFonts w:hint="eastAsia" w:ascii="宋体" w:hAnsi="宋体" w:eastAsia="宋体" w:cs="宋体"/>
          <w:color w:val="auto"/>
          <w:spacing w:val="6"/>
          <w:sz w:val="22"/>
          <w:szCs w:val="16"/>
          <w:highlight w:val="none"/>
        </w:rPr>
      </w:pPr>
      <w:r>
        <w:rPr>
          <w:rFonts w:hint="eastAsia" w:ascii="宋体" w:hAnsi="宋体" w:eastAsia="宋体" w:cs="宋体"/>
          <w:color w:val="auto"/>
          <w:spacing w:val="6"/>
          <w:sz w:val="22"/>
          <w:szCs w:val="16"/>
          <w:highlight w:val="none"/>
        </w:rPr>
        <w:t>日  期：</w:t>
      </w:r>
    </w:p>
    <w:p w14:paraId="21EE2F37">
      <w:pPr>
        <w:pageBreakBefore w:val="0"/>
        <w:kinsoku/>
        <w:overflowPunct/>
        <w:topLinePunct w:val="0"/>
        <w:bidi w:val="0"/>
        <w:spacing w:line="360" w:lineRule="auto"/>
        <w:outlineLvl w:val="9"/>
        <w:rPr>
          <w:rFonts w:hint="eastAsia" w:ascii="宋体" w:hAnsi="宋体" w:eastAsia="宋体" w:cs="宋体"/>
          <w:color w:val="auto"/>
          <w:sz w:val="22"/>
          <w:szCs w:val="16"/>
          <w:highlight w:val="none"/>
        </w:rPr>
      </w:pPr>
    </w:p>
    <w:p w14:paraId="28103606">
      <w:pPr>
        <w:pageBreakBefore w:val="0"/>
        <w:kinsoku/>
        <w:overflowPunct/>
        <w:topLinePunct w:val="0"/>
        <w:bidi w:val="0"/>
        <w:spacing w:line="360" w:lineRule="auto"/>
        <w:outlineLvl w:val="9"/>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注：</w:t>
      </w:r>
    </w:p>
    <w:p w14:paraId="46D19C8D">
      <w:pPr>
        <w:pageBreakBefore w:val="0"/>
        <w:numPr>
          <w:ilvl w:val="0"/>
          <w:numId w:val="0"/>
        </w:numPr>
        <w:kinsoku/>
        <w:overflowPunct/>
        <w:topLinePunct w:val="0"/>
        <w:bidi w:val="0"/>
        <w:spacing w:line="360" w:lineRule="auto"/>
        <w:outlineLvl w:val="9"/>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lang w:val="en-US" w:eastAsia="zh-CN"/>
        </w:rPr>
        <w:t>1.</w:t>
      </w:r>
      <w:r>
        <w:rPr>
          <w:rFonts w:hint="eastAsia" w:ascii="宋体" w:hAnsi="宋体" w:eastAsia="宋体" w:cs="宋体"/>
          <w:color w:val="auto"/>
          <w:sz w:val="22"/>
          <w:szCs w:val="16"/>
          <w:highlight w:val="none"/>
        </w:rPr>
        <w:t>残疾人福利性单位视同小型、微型企业，享受预留份额、评审中价格扣除等促进中小企业发展的政府采购政策。残疾人福利性单位属于小型、微型企业的，不重复享受政策。</w:t>
      </w:r>
    </w:p>
    <w:p w14:paraId="73592114">
      <w:pPr>
        <w:pageBreakBefore w:val="0"/>
        <w:numPr>
          <w:ilvl w:val="0"/>
          <w:numId w:val="0"/>
        </w:numPr>
        <w:kinsoku/>
        <w:overflowPunct/>
        <w:topLinePunct w:val="0"/>
        <w:bidi w:val="0"/>
        <w:spacing w:line="360" w:lineRule="auto"/>
        <w:outlineLvl w:val="9"/>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lang w:val="en-US" w:eastAsia="zh-CN"/>
        </w:rPr>
        <w:t>2.</w:t>
      </w:r>
      <w:r>
        <w:rPr>
          <w:rFonts w:hint="eastAsia" w:ascii="宋体" w:hAnsi="宋体" w:eastAsia="宋体" w:cs="宋体"/>
          <w:color w:val="auto"/>
          <w:sz w:val="22"/>
          <w:szCs w:val="16"/>
          <w:highlight w:val="none"/>
          <w:lang w:eastAsia="zh-CN"/>
        </w:rPr>
        <w:t>供应商</w:t>
      </w:r>
      <w:r>
        <w:rPr>
          <w:rFonts w:hint="eastAsia" w:ascii="宋体" w:hAnsi="宋体" w:eastAsia="宋体" w:cs="宋体"/>
          <w:color w:val="auto"/>
          <w:sz w:val="22"/>
          <w:szCs w:val="16"/>
          <w:highlight w:val="none"/>
        </w:rPr>
        <w:t>为非残疾人福利性单位的，可不提供此声明。</w:t>
      </w:r>
    </w:p>
    <w:p w14:paraId="17A571FE">
      <w:pPr>
        <w:pageBreakBefore w:val="0"/>
        <w:kinsoku/>
        <w:overflowPunct/>
        <w:topLinePunct w:val="0"/>
        <w:bidi w:val="0"/>
        <w:outlineLvl w:val="9"/>
        <w:rPr>
          <w:rFonts w:hint="eastAsia" w:ascii="宋体" w:hAnsi="宋体" w:eastAsia="宋体" w:cs="宋体"/>
          <w:color w:val="auto"/>
          <w:sz w:val="18"/>
          <w:szCs w:val="22"/>
          <w:highlight w:val="none"/>
        </w:rPr>
      </w:pPr>
      <w:r>
        <w:rPr>
          <w:rFonts w:hint="eastAsia" w:ascii="宋体" w:hAnsi="宋体" w:eastAsia="宋体" w:cs="宋体"/>
          <w:color w:val="auto"/>
          <w:sz w:val="18"/>
          <w:szCs w:val="22"/>
          <w:highlight w:val="none"/>
        </w:rPr>
        <w:br w:type="page"/>
      </w:r>
    </w:p>
    <w:p w14:paraId="213F816E">
      <w:pPr>
        <w:pageBreakBefore w:val="0"/>
        <w:kinsoku/>
        <w:overflowPunct/>
        <w:topLinePunct w:val="0"/>
        <w:bidi w:val="0"/>
        <w:jc w:val="both"/>
        <w:outlineLvl w:val="9"/>
        <w:rPr>
          <w:rFonts w:hint="eastAsia" w:ascii="宋体" w:hAnsi="宋体" w:eastAsia="宋体" w:cs="宋体"/>
          <w:b/>
          <w:color w:val="auto"/>
          <w:sz w:val="24"/>
          <w:szCs w:val="22"/>
          <w:highlight w:val="none"/>
          <w:lang w:val="en-US" w:eastAsia="zh-CN"/>
        </w:rPr>
      </w:pPr>
      <w:r>
        <w:rPr>
          <w:rFonts w:hint="eastAsia" w:ascii="宋体" w:hAnsi="宋体" w:eastAsia="宋体" w:cs="宋体"/>
          <w:b/>
          <w:color w:val="auto"/>
          <w:sz w:val="24"/>
          <w:szCs w:val="22"/>
          <w:highlight w:val="none"/>
          <w:lang w:val="en-US" w:eastAsia="zh-CN"/>
        </w:rPr>
        <w:t>附件1-6</w:t>
      </w:r>
    </w:p>
    <w:p w14:paraId="17DA3243">
      <w:pPr>
        <w:pageBreakBefore w:val="0"/>
        <w:kinsoku/>
        <w:overflowPunct/>
        <w:topLinePunct w:val="0"/>
        <w:bidi w:val="0"/>
        <w:jc w:val="center"/>
        <w:outlineLvl w:val="9"/>
        <w:rPr>
          <w:rFonts w:hint="eastAsia" w:ascii="宋体" w:hAnsi="宋体" w:eastAsia="宋体" w:cs="宋体"/>
          <w:b/>
          <w:color w:val="auto"/>
          <w:sz w:val="24"/>
          <w:szCs w:val="22"/>
          <w:highlight w:val="none"/>
          <w:lang w:eastAsia="zh-CN"/>
        </w:rPr>
      </w:pPr>
      <w:r>
        <w:rPr>
          <w:rFonts w:hint="eastAsia" w:ascii="宋体" w:hAnsi="宋体" w:eastAsia="宋体" w:cs="宋体"/>
          <w:b/>
          <w:color w:val="auto"/>
          <w:sz w:val="24"/>
          <w:szCs w:val="22"/>
          <w:highlight w:val="none"/>
          <w:lang w:eastAsia="zh-CN"/>
        </w:rPr>
        <w:t xml:space="preserve"> </w:t>
      </w:r>
      <w:r>
        <w:rPr>
          <w:rFonts w:hint="eastAsia" w:ascii="宋体" w:hAnsi="宋体" w:eastAsia="宋体" w:cs="宋体"/>
          <w:b/>
          <w:color w:val="auto"/>
          <w:sz w:val="24"/>
          <w:szCs w:val="22"/>
          <w:highlight w:val="none"/>
          <w:lang w:val="en-US" w:eastAsia="zh-CN"/>
        </w:rPr>
        <w:t xml:space="preserve"> </w:t>
      </w:r>
      <w:r>
        <w:rPr>
          <w:rFonts w:hint="eastAsia" w:ascii="宋体" w:hAnsi="宋体" w:eastAsia="宋体" w:cs="宋体"/>
          <w:b/>
          <w:color w:val="auto"/>
          <w:sz w:val="24"/>
          <w:szCs w:val="22"/>
          <w:highlight w:val="none"/>
          <w:lang w:eastAsia="zh-CN"/>
        </w:rPr>
        <w:t>监狱企业</w:t>
      </w:r>
    </w:p>
    <w:p w14:paraId="15152055">
      <w:pPr>
        <w:pageBreakBefore w:val="0"/>
        <w:kinsoku/>
        <w:overflowPunct/>
        <w:topLinePunct w:val="0"/>
        <w:bidi w:val="0"/>
        <w:spacing w:line="588" w:lineRule="exact"/>
        <w:outlineLvl w:val="9"/>
        <w:rPr>
          <w:rFonts w:hint="eastAsia" w:ascii="宋体" w:hAnsi="宋体" w:eastAsia="宋体" w:cs="宋体"/>
          <w:b/>
          <w:color w:val="auto"/>
          <w:spacing w:val="6"/>
          <w:highlight w:val="none"/>
        </w:rPr>
      </w:pPr>
    </w:p>
    <w:p w14:paraId="32BA60A0">
      <w:pPr>
        <w:pageBreakBefore w:val="0"/>
        <w:kinsoku/>
        <w:overflowPunct/>
        <w:topLinePunct w:val="0"/>
        <w:bidi w:val="0"/>
        <w:spacing w:line="360" w:lineRule="auto"/>
        <w:ind w:firstLine="440" w:firstLineChars="200"/>
        <w:outlineLvl w:val="9"/>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根据《政府采购支持监狱企业发展有关问题的通知》（财库〔2014〕68号）的规定监狱企业参加采购活动的，应提供由省级以上监狱管理局、戒毒管理局(含新疆生产建设兵团)出具的属于监狱企业的证明文件。</w:t>
      </w:r>
    </w:p>
    <w:p w14:paraId="300B76C7">
      <w:pPr>
        <w:pageBreakBefore w:val="0"/>
        <w:kinsoku/>
        <w:overflowPunct/>
        <w:topLinePunct w:val="0"/>
        <w:bidi w:val="0"/>
        <w:spacing w:line="360" w:lineRule="auto"/>
        <w:outlineLvl w:val="9"/>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注：</w:t>
      </w:r>
    </w:p>
    <w:p w14:paraId="75CD2562">
      <w:pPr>
        <w:pageBreakBefore w:val="0"/>
        <w:kinsoku/>
        <w:overflowPunct/>
        <w:topLinePunct w:val="0"/>
        <w:bidi w:val="0"/>
        <w:spacing w:line="360" w:lineRule="auto"/>
        <w:outlineLvl w:val="9"/>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1、</w:t>
      </w:r>
      <w:r>
        <w:rPr>
          <w:rFonts w:hint="eastAsia" w:ascii="宋体" w:hAnsi="宋体" w:eastAsia="宋体" w:cs="宋体"/>
          <w:color w:val="auto"/>
          <w:sz w:val="22"/>
          <w:szCs w:val="16"/>
          <w:highlight w:val="none"/>
          <w:lang w:eastAsia="zh-CN"/>
        </w:rPr>
        <w:t>供应商</w:t>
      </w:r>
      <w:r>
        <w:rPr>
          <w:rFonts w:hint="eastAsia" w:ascii="宋体" w:hAnsi="宋体" w:eastAsia="宋体" w:cs="宋体"/>
          <w:color w:val="auto"/>
          <w:sz w:val="22"/>
          <w:szCs w:val="16"/>
          <w:highlight w:val="none"/>
        </w:rPr>
        <w:t>符合《政府采购支持监狱企业发展有关问题的通知》（财库〔2014〕68号）规定的划分标准为监狱企业适用。</w:t>
      </w:r>
    </w:p>
    <w:p w14:paraId="10404842">
      <w:pPr>
        <w:pageBreakBefore w:val="0"/>
        <w:kinsoku/>
        <w:overflowPunct/>
        <w:topLinePunct w:val="0"/>
        <w:bidi w:val="0"/>
        <w:spacing w:line="360" w:lineRule="auto"/>
        <w:outlineLvl w:val="9"/>
        <w:rPr>
          <w:rFonts w:hint="eastAsia" w:ascii="宋体" w:hAnsi="宋体" w:eastAsia="宋体" w:cs="宋体"/>
          <w:color w:val="auto"/>
          <w:sz w:val="22"/>
          <w:szCs w:val="16"/>
          <w:highlight w:val="none"/>
        </w:rPr>
        <w:sectPr>
          <w:footerReference r:id="rId4" w:type="default"/>
          <w:type w:val="continuous"/>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2"/>
          <w:szCs w:val="16"/>
          <w:highlight w:val="none"/>
        </w:rPr>
        <w:t>2、在政府采购活动中，监狱企业视同小型、微型企业，享受预留份额、评审中价格扣除等政府采购促进中小企业发展的政府采购政策。</w:t>
      </w:r>
    </w:p>
    <w:p w14:paraId="03849DD3">
      <w:pPr>
        <w:pageBreakBefore w:val="0"/>
        <w:kinsoku/>
        <w:overflowPunct/>
        <w:topLinePunct w:val="0"/>
        <w:bidi w:val="0"/>
        <w:outlineLvl w:val="9"/>
        <w:rPr>
          <w:rFonts w:hint="eastAsia" w:ascii="宋体" w:hAnsi="宋体" w:eastAsia="宋体" w:cs="宋体"/>
          <w:b/>
          <w:color w:val="auto"/>
          <w:sz w:val="22"/>
          <w:szCs w:val="22"/>
          <w:highlight w:val="none"/>
          <w:lang w:eastAsia="zh-CN"/>
        </w:rPr>
      </w:pPr>
    </w:p>
    <w:p w14:paraId="5B06DDCB">
      <w:pPr>
        <w:pageBreakBefore w:val="0"/>
        <w:kinsoku/>
        <w:overflowPunct/>
        <w:topLinePunct w:val="0"/>
        <w:bidi w:val="0"/>
        <w:outlineLvl w:val="9"/>
        <w:rPr>
          <w:rFonts w:hint="eastAsia" w:ascii="宋体" w:hAnsi="宋体" w:eastAsia="宋体" w:cs="宋体"/>
          <w:color w:val="auto"/>
          <w:highlight w:val="none"/>
        </w:rPr>
      </w:pPr>
    </w:p>
    <w:p w14:paraId="1CDFFD70">
      <w:pPr>
        <w:pageBreakBefore w:val="0"/>
        <w:kinsoku/>
        <w:overflowPunct/>
        <w:topLinePunct w:val="0"/>
        <w:bidi w:val="0"/>
        <w:outlineLvl w:val="9"/>
        <w:rPr>
          <w:rFonts w:hint="eastAsia" w:ascii="宋体" w:hAnsi="宋体" w:eastAsia="宋体" w:cs="宋体"/>
          <w:color w:val="auto"/>
          <w:sz w:val="24"/>
          <w:highlight w:val="none"/>
          <w:lang w:val="en-US" w:eastAsia="zh-CN"/>
        </w:rPr>
      </w:pPr>
    </w:p>
    <w:p w14:paraId="2E2DA64B">
      <w:pPr>
        <w:pageBreakBefore w:val="0"/>
        <w:kinsoku/>
        <w:overflowPunct/>
        <w:topLinePunct w:val="0"/>
        <w:bidi w:val="0"/>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br w:type="page"/>
      </w:r>
    </w:p>
    <w:p w14:paraId="173F9F2D">
      <w:pPr>
        <w:pageBreakBefore w:val="0"/>
        <w:kinsoku/>
        <w:overflowPunct/>
        <w:topLinePunct w:val="0"/>
        <w:bidi w:val="0"/>
        <w:outlineLvl w:val="9"/>
        <w:rPr>
          <w:rFonts w:hint="eastAsia" w:ascii="宋体" w:hAnsi="宋体" w:eastAsia="宋体" w:cs="宋体"/>
          <w:color w:val="auto"/>
          <w:highlight w:val="none"/>
        </w:rPr>
      </w:pPr>
    </w:p>
    <w:p w14:paraId="4CE30038">
      <w:pPr>
        <w:pStyle w:val="2"/>
        <w:pageBreakBefore w:val="0"/>
        <w:kinsoku/>
        <w:overflowPunct/>
        <w:topLinePunct w:val="0"/>
        <w:bidi w:val="0"/>
        <w:ind w:firstLine="482"/>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附件1－</w:t>
      </w:r>
      <w:r>
        <w:rPr>
          <w:rFonts w:hint="eastAsia" w:ascii="宋体" w:hAnsi="宋体" w:eastAsia="宋体" w:cs="宋体"/>
          <w:b/>
          <w:color w:val="auto"/>
          <w:sz w:val="24"/>
          <w:highlight w:val="none"/>
          <w:lang w:val="en-US" w:eastAsia="zh-CN"/>
        </w:rPr>
        <w:t>7</w:t>
      </w:r>
    </w:p>
    <w:p w14:paraId="7DB124EC">
      <w:pPr>
        <w:pageBreakBefore w:val="0"/>
        <w:widowControl/>
        <w:kinsoku/>
        <w:wordWrap/>
        <w:overflowPunct/>
        <w:topLinePunct w:val="0"/>
        <w:bidi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磋商文件要求提供的其他证明文件。</w:t>
      </w:r>
    </w:p>
    <w:p w14:paraId="746F37FC">
      <w:pPr>
        <w:pageBreakBefore w:val="0"/>
        <w:kinsoku/>
        <w:overflowPunct/>
        <w:topLinePunct w:val="0"/>
        <w:bidi w:val="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C314A2A">
      <w:pPr>
        <w:pageBreakBefore w:val="0"/>
        <w:widowControl/>
        <w:tabs>
          <w:tab w:val="left" w:pos="900"/>
        </w:tabs>
        <w:kinsoku/>
        <w:wordWrap/>
        <w:overflowPunct/>
        <w:topLinePunct w:val="0"/>
        <w:bidi w:val="0"/>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技术服务性响应文件（格式）</w:t>
      </w:r>
    </w:p>
    <w:p w14:paraId="6D67064E">
      <w:pPr>
        <w:pageBreakBefore w:val="0"/>
        <w:widowControl/>
        <w:kinsoku/>
        <w:wordWrap/>
        <w:overflowPunct/>
        <w:topLinePunct w:val="0"/>
        <w:bidi w:val="0"/>
        <w:spacing w:line="420" w:lineRule="exact"/>
        <w:jc w:val="left"/>
        <w:outlineLvl w:val="9"/>
        <w:rPr>
          <w:rFonts w:hint="eastAsia" w:ascii="宋体" w:hAnsi="宋体" w:eastAsia="宋体" w:cs="宋体"/>
          <w:b/>
          <w:color w:val="auto"/>
          <w:sz w:val="24"/>
          <w:highlight w:val="none"/>
        </w:rPr>
      </w:pPr>
    </w:p>
    <w:p w14:paraId="1EF083FF">
      <w:pPr>
        <w:pageBreakBefore w:val="0"/>
        <w:widowControl/>
        <w:kinsoku/>
        <w:wordWrap/>
        <w:overflowPunct/>
        <w:topLinePunct w:val="0"/>
        <w:bidi w:val="0"/>
        <w:spacing w:line="420" w:lineRule="exact"/>
        <w:jc w:val="center"/>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一、响 应 函</w:t>
      </w:r>
    </w:p>
    <w:p w14:paraId="551618E3">
      <w:pPr>
        <w:pageBreakBefore w:val="0"/>
        <w:kinsoku/>
        <w:wordWrap/>
        <w:overflowPunct/>
        <w:topLinePunct w:val="0"/>
        <w:bidi w:val="0"/>
        <w:spacing w:line="360" w:lineRule="exact"/>
        <w:ind w:firstLine="1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b/>
          <w:color w:val="auto"/>
          <w:sz w:val="24"/>
          <w:highlight w:val="none"/>
          <w:u w:val="single" w:color="0D0D0D"/>
        </w:rPr>
        <w:t>四川国际招标有限责任公司</w:t>
      </w:r>
    </w:p>
    <w:p w14:paraId="6A617429">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）的磋商文件，正式授权的下述签字人(</w:t>
      </w:r>
      <w:r>
        <w:rPr>
          <w:rFonts w:hint="eastAsia" w:ascii="宋体" w:hAnsi="宋体" w:eastAsia="宋体" w:cs="宋体"/>
          <w:color w:val="auto"/>
          <w:sz w:val="24"/>
          <w:highlight w:val="none"/>
          <w:u w:val="single"/>
        </w:rPr>
        <w:t>姓名和职务</w:t>
      </w:r>
      <w:r>
        <w:rPr>
          <w:rFonts w:hint="eastAsia" w:ascii="宋体" w:hAnsi="宋体" w:eastAsia="宋体" w:cs="宋体"/>
          <w:color w:val="auto"/>
          <w:sz w:val="24"/>
          <w:highlight w:val="none"/>
        </w:rPr>
        <w:t>)代表供应商（</w:t>
      </w:r>
      <w:r>
        <w:rPr>
          <w:rFonts w:hint="eastAsia" w:ascii="宋体" w:hAnsi="宋体" w:eastAsia="宋体" w:cs="宋体"/>
          <w:color w:val="auto"/>
          <w:sz w:val="24"/>
          <w:highlight w:val="none"/>
          <w:u w:val="single"/>
        </w:rPr>
        <w:t>供应商的名称</w:t>
      </w:r>
      <w:r>
        <w:rPr>
          <w:rFonts w:hint="eastAsia" w:ascii="宋体" w:hAnsi="宋体" w:eastAsia="宋体" w:cs="宋体"/>
          <w:color w:val="auto"/>
          <w:sz w:val="24"/>
          <w:highlight w:val="none"/>
        </w:rPr>
        <w:t>）提交文件正本</w:t>
      </w:r>
      <w:r>
        <w:rPr>
          <w:rFonts w:hint="eastAsia" w:ascii="宋体" w:hAnsi="宋体" w:eastAsia="宋体" w:cs="宋体"/>
          <w:color w:val="auto"/>
          <w:sz w:val="24"/>
          <w:highlight w:val="none"/>
          <w:u w:val="single"/>
        </w:rPr>
        <w:t>1</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 xml:space="preserve">份。  </w:t>
      </w:r>
    </w:p>
    <w:p w14:paraId="5712E40E">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据此函，签字人兹宣布同意如下：</w:t>
      </w:r>
    </w:p>
    <w:p w14:paraId="43A82A24">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我们根据磋商文件的规定，承担完成合同的责任和义务。</w:t>
      </w:r>
    </w:p>
    <w:p w14:paraId="62510077">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(2)我们已详细审核全部磋商文件，包括磋商文件修改书(如果有的话)，参考资料及有关附件，我们完全理解并放弃提出含糊不清或误解的问题的权利。</w:t>
      </w:r>
    </w:p>
    <w:p w14:paraId="51F03411">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 我们承诺本项目磋商响应文件有效期为递交磋商响应文件截止之日</w:t>
      </w:r>
    </w:p>
    <w:p w14:paraId="649BB30E">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起</w:t>
      </w:r>
      <w:r>
        <w:rPr>
          <w:rFonts w:hint="eastAsia" w:ascii="宋体" w:hAnsi="宋体" w:eastAsia="宋体" w:cs="宋体"/>
          <w:color w:val="auto"/>
          <w:sz w:val="24"/>
          <w:highlight w:val="none"/>
          <w:u w:val="single"/>
          <w:lang w:eastAsia="zh-CN"/>
        </w:rPr>
        <w:t xml:space="preserve">  90  </w:t>
      </w:r>
      <w:r>
        <w:rPr>
          <w:rFonts w:hint="eastAsia" w:ascii="宋体" w:hAnsi="宋体" w:eastAsia="宋体" w:cs="宋体"/>
          <w:color w:val="auto"/>
          <w:sz w:val="24"/>
          <w:highlight w:val="none"/>
          <w:lang w:eastAsia="zh-CN"/>
        </w:rPr>
        <w:t>天（日历日）。</w:t>
      </w:r>
    </w:p>
    <w:p w14:paraId="6D3D3BBD">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 同意向贵方提供贵方可能要求的与本报价有关任何证据或资料。</w:t>
      </w:r>
    </w:p>
    <w:p w14:paraId="684771EF">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 我们完全理解贵方不一定要接受最低报价的报价或收到的任何报价。</w:t>
      </w:r>
    </w:p>
    <w:p w14:paraId="0C83D6B2">
      <w:pPr>
        <w:pageBreakBefore w:val="0"/>
        <w:widowControl/>
        <w:kinsoku/>
        <w:wordWrap/>
        <w:overflowPunct/>
        <w:topLinePunct w:val="0"/>
        <w:bidi w:val="0"/>
        <w:spacing w:line="480" w:lineRule="exact"/>
        <w:ind w:left="100" w:leftChars="50" w:firstLine="480" w:firstLineChars="20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与本报价有关的正式通讯地址为：</w:t>
      </w:r>
    </w:p>
    <w:p w14:paraId="4E0D3FEA">
      <w:pPr>
        <w:pageBreakBefore w:val="0"/>
        <w:widowControl/>
        <w:kinsoku/>
        <w:wordWrap/>
        <w:overflowPunct/>
        <w:topLinePunct w:val="0"/>
        <w:bidi w:val="0"/>
        <w:spacing w:line="460" w:lineRule="exact"/>
        <w:jc w:val="left"/>
        <w:outlineLvl w:val="9"/>
        <w:rPr>
          <w:rFonts w:hint="eastAsia" w:ascii="宋体" w:hAnsi="宋体" w:eastAsia="宋体" w:cs="宋体"/>
          <w:color w:val="auto"/>
          <w:sz w:val="24"/>
          <w:highlight w:val="none"/>
        </w:rPr>
      </w:pPr>
    </w:p>
    <w:p w14:paraId="4076644D">
      <w:pPr>
        <w:pageBreakBefore w:val="0"/>
        <w:widowControl/>
        <w:kinsoku/>
        <w:wordWrap/>
        <w:overflowPunct/>
        <w:topLinePunct w:val="0"/>
        <w:bidi w:val="0"/>
        <w:spacing w:line="460" w:lineRule="exact"/>
        <w:jc w:val="left"/>
        <w:outlineLvl w:val="9"/>
        <w:rPr>
          <w:rFonts w:hint="eastAsia" w:ascii="宋体" w:hAnsi="宋体" w:eastAsia="宋体" w:cs="宋体"/>
          <w:color w:val="auto"/>
          <w:sz w:val="24"/>
          <w:highlight w:val="none"/>
        </w:rPr>
      </w:pPr>
    </w:p>
    <w:p w14:paraId="5DDD2DBA">
      <w:pPr>
        <w:pageBreakBefore w:val="0"/>
        <w:widowControl/>
        <w:kinsoku/>
        <w:wordWrap/>
        <w:overflowPunct/>
        <w:topLinePunct w:val="0"/>
        <w:bidi w:val="0"/>
        <w:spacing w:line="46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：（盖公章）</w:t>
      </w:r>
    </w:p>
    <w:p w14:paraId="3657B4DA">
      <w:pPr>
        <w:pageBreakBefore w:val="0"/>
        <w:widowControl/>
        <w:kinsoku/>
        <w:wordWrap/>
        <w:overflowPunct/>
        <w:topLinePunct w:val="0"/>
        <w:bidi w:val="0"/>
        <w:spacing w:line="460" w:lineRule="exact"/>
        <w:jc w:val="left"/>
        <w:outlineLvl w:val="9"/>
        <w:rPr>
          <w:rFonts w:hint="eastAsia" w:ascii="宋体" w:hAnsi="宋体" w:eastAsia="宋体" w:cs="宋体"/>
          <w:color w:val="auto"/>
          <w:sz w:val="24"/>
          <w:highlight w:val="none"/>
          <w:u w:val="single" w:color="0D0D0D"/>
        </w:rPr>
      </w:pPr>
      <w:r>
        <w:rPr>
          <w:rFonts w:hint="eastAsia" w:ascii="宋体" w:hAnsi="宋体" w:eastAsia="宋体" w:cs="宋体"/>
          <w:color w:val="auto"/>
          <w:sz w:val="24"/>
          <w:highlight w:val="none"/>
        </w:rPr>
        <w:t>地址：</w:t>
      </w:r>
    </w:p>
    <w:p w14:paraId="7066CE42">
      <w:pPr>
        <w:pageBreakBefore w:val="0"/>
        <w:widowControl/>
        <w:kinsoku/>
        <w:wordWrap/>
        <w:overflowPunct/>
        <w:topLinePunct w:val="0"/>
        <w:bidi w:val="0"/>
        <w:spacing w:line="460" w:lineRule="exact"/>
        <w:jc w:val="left"/>
        <w:outlineLvl w:val="9"/>
        <w:rPr>
          <w:rFonts w:hint="eastAsia" w:ascii="宋体" w:hAnsi="宋体" w:eastAsia="宋体" w:cs="宋体"/>
          <w:color w:val="auto"/>
          <w:sz w:val="24"/>
          <w:highlight w:val="none"/>
          <w:u w:val="single" w:color="0D0D0D"/>
        </w:rPr>
      </w:pPr>
      <w:r>
        <w:rPr>
          <w:rFonts w:hint="eastAsia" w:ascii="宋体" w:hAnsi="宋体" w:eastAsia="宋体" w:cs="宋体"/>
          <w:color w:val="auto"/>
          <w:sz w:val="24"/>
          <w:highlight w:val="none"/>
        </w:rPr>
        <w:t>电话：      传真：</w:t>
      </w:r>
    </w:p>
    <w:p w14:paraId="1295E374">
      <w:pPr>
        <w:pageBreakBefore w:val="0"/>
        <w:widowControl/>
        <w:kinsoku/>
        <w:wordWrap/>
        <w:overflowPunct/>
        <w:topLinePunct w:val="0"/>
        <w:bidi w:val="0"/>
        <w:spacing w:line="460" w:lineRule="exact"/>
        <w:jc w:val="left"/>
        <w:outlineLvl w:val="9"/>
        <w:rPr>
          <w:rFonts w:hint="eastAsia" w:ascii="宋体" w:hAnsi="宋体" w:eastAsia="宋体" w:cs="宋体"/>
          <w:color w:val="auto"/>
          <w:sz w:val="24"/>
          <w:highlight w:val="none"/>
          <w:u w:val="single" w:color="0D0D0D"/>
        </w:rPr>
      </w:pPr>
      <w:r>
        <w:rPr>
          <w:rFonts w:hint="eastAsia" w:ascii="宋体" w:hAnsi="宋体" w:eastAsia="宋体" w:cs="宋体"/>
          <w:color w:val="auto"/>
          <w:sz w:val="24"/>
          <w:highlight w:val="none"/>
        </w:rPr>
        <w:t>邮政编码：</w:t>
      </w:r>
    </w:p>
    <w:p w14:paraId="180090F1">
      <w:pPr>
        <w:pageBreakBefore w:val="0"/>
        <w:widowControl/>
        <w:kinsoku/>
        <w:wordWrap/>
        <w:overflowPunct/>
        <w:topLinePunct w:val="0"/>
        <w:bidi w:val="0"/>
        <w:spacing w:line="400" w:lineRule="exact"/>
        <w:jc w:val="left"/>
        <w:outlineLvl w:val="9"/>
        <w:rPr>
          <w:rFonts w:hint="eastAsia" w:ascii="宋体" w:hAnsi="宋体" w:eastAsia="宋体" w:cs="宋体"/>
          <w:color w:val="auto"/>
          <w:sz w:val="24"/>
          <w:highlight w:val="none"/>
          <w:u w:val="single" w:color="0D0D0D"/>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委托代理人</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rPr>
        <w:t>）：</w:t>
      </w:r>
    </w:p>
    <w:p w14:paraId="7DB75890">
      <w:pPr>
        <w:pageBreakBefore w:val="0"/>
        <w:widowControl/>
        <w:kinsoku/>
        <w:wordWrap/>
        <w:overflowPunct/>
        <w:topLinePunct w:val="0"/>
        <w:bidi w:val="0"/>
        <w:spacing w:line="460" w:lineRule="exact"/>
        <w:jc w:val="left"/>
        <w:outlineLvl w:val="9"/>
        <w:rPr>
          <w:rFonts w:hint="eastAsia" w:ascii="宋体" w:hAnsi="宋体" w:eastAsia="宋体" w:cs="宋体"/>
          <w:color w:val="auto"/>
          <w:sz w:val="24"/>
          <w:highlight w:val="none"/>
          <w:u w:val="single" w:color="0D0D0D"/>
        </w:rPr>
      </w:pPr>
      <w:r>
        <w:rPr>
          <w:rFonts w:hint="eastAsia" w:ascii="宋体" w:hAnsi="宋体" w:eastAsia="宋体" w:cs="宋体"/>
          <w:color w:val="auto"/>
          <w:sz w:val="24"/>
          <w:highlight w:val="none"/>
        </w:rPr>
        <w:t xml:space="preserve">日期：  年  月   日        </w:t>
      </w:r>
    </w:p>
    <w:p w14:paraId="2D32E3FB">
      <w:pPr>
        <w:pageBreakBefore w:val="0"/>
        <w:widowControl/>
        <w:kinsoku/>
        <w:wordWrap/>
        <w:overflowPunct/>
        <w:topLinePunct w:val="0"/>
        <w:bidi w:val="0"/>
        <w:spacing w:line="360" w:lineRule="auto"/>
        <w:jc w:val="left"/>
        <w:outlineLvl w:val="9"/>
        <w:rPr>
          <w:rFonts w:hint="eastAsia" w:ascii="宋体" w:hAnsi="宋体" w:eastAsia="宋体" w:cs="宋体"/>
          <w:color w:val="auto"/>
          <w:sz w:val="24"/>
          <w:highlight w:val="none"/>
        </w:rPr>
      </w:pPr>
    </w:p>
    <w:p w14:paraId="2788279D">
      <w:pPr>
        <w:pageBreakBefore w:val="0"/>
        <w:widowControl/>
        <w:kinsoku/>
        <w:wordWrap/>
        <w:overflowPunct/>
        <w:topLinePunct w:val="0"/>
        <w:bidi w:val="0"/>
        <w:spacing w:line="360" w:lineRule="auto"/>
        <w:jc w:val="left"/>
        <w:outlineLvl w:val="9"/>
        <w:rPr>
          <w:rFonts w:hint="eastAsia" w:ascii="宋体" w:hAnsi="宋体" w:eastAsia="宋体" w:cs="宋体"/>
          <w:b/>
          <w:color w:val="auto"/>
          <w:sz w:val="24"/>
          <w:highlight w:val="none"/>
          <w:lang w:eastAsia="zh-CN"/>
        </w:rPr>
      </w:pPr>
    </w:p>
    <w:p w14:paraId="665C4665">
      <w:pPr>
        <w:pageBreakBefore w:val="0"/>
        <w:kinsoku/>
        <w:overflowPunct/>
        <w:topLinePunct w:val="0"/>
        <w:bidi w:val="0"/>
        <w:outlineLvl w:val="9"/>
        <w:rPr>
          <w:rFonts w:hint="eastAsia" w:ascii="宋体" w:hAnsi="宋体" w:eastAsia="宋体" w:cs="宋体"/>
          <w:b/>
          <w:color w:val="auto"/>
          <w:sz w:val="24"/>
          <w:highlight w:val="none"/>
          <w:lang w:eastAsia="zh-CN"/>
        </w:rPr>
      </w:pPr>
      <w:bookmarkStart w:id="83" w:name="_Toc29546"/>
      <w:bookmarkStart w:id="84" w:name="_Toc217446090"/>
      <w:bookmarkStart w:id="85" w:name="_Toc17440"/>
    </w:p>
    <w:p w14:paraId="3F6ADC3C">
      <w:pPr>
        <w:pageBreakBefore w:val="0"/>
        <w:kinsoku/>
        <w:overflowPunct/>
        <w:topLinePunct w:val="0"/>
        <w:bidi w:val="0"/>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br w:type="page"/>
      </w:r>
    </w:p>
    <w:p w14:paraId="2D667CD2">
      <w:pPr>
        <w:pageBreakBefore w:val="0"/>
        <w:kinsoku/>
        <w:overflowPunct/>
        <w:topLinePunct w:val="0"/>
        <w:bidi w:val="0"/>
        <w:spacing w:line="360" w:lineRule="auto"/>
        <w:jc w:val="center"/>
        <w:outlineLvl w:val="9"/>
        <w:rPr>
          <w:rFonts w:hint="eastAsia" w:ascii="宋体" w:hAnsi="宋体" w:eastAsia="宋体" w:cs="宋体"/>
          <w:b/>
          <w:color w:val="auto"/>
          <w:sz w:val="24"/>
          <w:highlight w:val="none"/>
          <w:lang w:eastAsia="zh-CN"/>
        </w:rPr>
      </w:pPr>
    </w:p>
    <w:p w14:paraId="1D62EC86">
      <w:pPr>
        <w:pageBreakBefore w:val="0"/>
        <w:widowControl/>
        <w:kinsoku/>
        <w:wordWrap/>
        <w:overflowPunct/>
        <w:topLinePunct w:val="0"/>
        <w:bidi w:val="0"/>
        <w:spacing w:line="42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二、承诺函</w:t>
      </w:r>
    </w:p>
    <w:p w14:paraId="35516CC7">
      <w:pPr>
        <w:pageBreakBefore w:val="0"/>
        <w:kinsoku/>
        <w:overflowPunct/>
        <w:topLinePunct w:val="0"/>
        <w:bidi w:val="0"/>
        <w:spacing w:line="360" w:lineRule="atLeast"/>
        <w:jc w:val="center"/>
        <w:outlineLvl w:val="9"/>
        <w:rPr>
          <w:rFonts w:hint="eastAsia" w:ascii="宋体" w:hAnsi="宋体" w:eastAsia="宋体" w:cs="宋体"/>
          <w:b/>
          <w:color w:val="auto"/>
          <w:sz w:val="22"/>
          <w:szCs w:val="21"/>
          <w:highlight w:val="none"/>
        </w:rPr>
      </w:pPr>
    </w:p>
    <w:p w14:paraId="31A7393D">
      <w:pPr>
        <w:pageBreakBefore w:val="0"/>
        <w:kinsoku/>
        <w:overflowPunct/>
        <w:topLinePunct w:val="0"/>
        <w:bidi w:val="0"/>
        <w:spacing w:line="360" w:lineRule="atLeast"/>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u w:val="single"/>
        </w:rPr>
        <w:t>（</w:t>
      </w:r>
      <w:r>
        <w:rPr>
          <w:rFonts w:hint="eastAsia" w:ascii="宋体" w:hAnsi="宋体" w:eastAsia="宋体" w:cs="宋体"/>
          <w:b/>
          <w:color w:val="auto"/>
          <w:sz w:val="24"/>
          <w:szCs w:val="22"/>
          <w:highlight w:val="none"/>
          <w:u w:val="single"/>
        </w:rPr>
        <w:t>四川国际招标有限责任公司</w:t>
      </w:r>
      <w:r>
        <w:rPr>
          <w:rFonts w:hint="eastAsia" w:ascii="宋体" w:hAnsi="宋体" w:eastAsia="宋体" w:cs="宋体"/>
          <w:color w:val="auto"/>
          <w:sz w:val="24"/>
          <w:szCs w:val="22"/>
          <w:highlight w:val="none"/>
          <w:u w:val="single"/>
        </w:rPr>
        <w:t>）</w:t>
      </w:r>
      <w:r>
        <w:rPr>
          <w:rFonts w:hint="eastAsia" w:ascii="宋体" w:hAnsi="宋体" w:eastAsia="宋体" w:cs="宋体"/>
          <w:color w:val="auto"/>
          <w:sz w:val="24"/>
          <w:szCs w:val="22"/>
          <w:highlight w:val="none"/>
        </w:rPr>
        <w:t>：</w:t>
      </w:r>
    </w:p>
    <w:p w14:paraId="25A8B82E">
      <w:pPr>
        <w:pageBreakBefore w:val="0"/>
        <w:kinsoku/>
        <w:overflowPunct/>
        <w:topLinePunct w:val="0"/>
        <w:bidi w:val="0"/>
        <w:spacing w:line="360" w:lineRule="atLeast"/>
        <w:ind w:firstLine="480" w:firstLineChars="200"/>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我单位作为本次采购项目的</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，根据文件要求，现郑重承诺如下：</w:t>
      </w:r>
    </w:p>
    <w:p w14:paraId="28B06987">
      <w:pPr>
        <w:pageBreakBefore w:val="0"/>
        <w:kinsoku/>
        <w:overflowPunct/>
        <w:topLinePunct w:val="0"/>
        <w:bidi w:val="0"/>
        <w:spacing w:line="360" w:lineRule="atLeast"/>
        <w:ind w:firstLine="480" w:firstLineChars="200"/>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一、完全接受和满足本项目</w:t>
      </w:r>
      <w:r>
        <w:rPr>
          <w:rFonts w:hint="eastAsia" w:ascii="宋体" w:hAnsi="宋体" w:eastAsia="宋体" w:cs="宋体"/>
          <w:color w:val="auto"/>
          <w:sz w:val="24"/>
          <w:szCs w:val="22"/>
          <w:highlight w:val="none"/>
          <w:lang w:eastAsia="zh-CN"/>
        </w:rPr>
        <w:t>磋商</w:t>
      </w:r>
      <w:r>
        <w:rPr>
          <w:rFonts w:hint="eastAsia" w:ascii="宋体" w:hAnsi="宋体" w:eastAsia="宋体" w:cs="宋体"/>
          <w:color w:val="auto"/>
          <w:sz w:val="24"/>
          <w:szCs w:val="22"/>
          <w:highlight w:val="none"/>
        </w:rPr>
        <w:t>文件中规定的实质性要求，如对文件有异议，已依法进行维权救济，不存在对招标文件有异议的同时又参加</w:t>
      </w:r>
      <w:r>
        <w:rPr>
          <w:rFonts w:hint="eastAsia" w:ascii="宋体" w:hAnsi="宋体" w:eastAsia="宋体" w:cs="宋体"/>
          <w:color w:val="auto"/>
          <w:sz w:val="24"/>
          <w:szCs w:val="22"/>
          <w:highlight w:val="none"/>
          <w:lang w:eastAsia="zh-CN"/>
        </w:rPr>
        <w:t>磋商</w:t>
      </w:r>
      <w:r>
        <w:rPr>
          <w:rFonts w:hint="eastAsia" w:ascii="宋体" w:hAnsi="宋体" w:eastAsia="宋体" w:cs="宋体"/>
          <w:color w:val="auto"/>
          <w:sz w:val="24"/>
          <w:szCs w:val="22"/>
          <w:highlight w:val="none"/>
        </w:rPr>
        <w:t>以求侥幸</w:t>
      </w:r>
      <w:r>
        <w:rPr>
          <w:rFonts w:hint="eastAsia" w:ascii="宋体" w:hAnsi="宋体" w:eastAsia="宋体" w:cs="宋体"/>
          <w:color w:val="auto"/>
          <w:sz w:val="24"/>
          <w:szCs w:val="22"/>
          <w:highlight w:val="none"/>
          <w:lang w:eastAsia="zh-CN"/>
        </w:rPr>
        <w:t>成交</w:t>
      </w:r>
      <w:r>
        <w:rPr>
          <w:rFonts w:hint="eastAsia" w:ascii="宋体" w:hAnsi="宋体" w:eastAsia="宋体" w:cs="宋体"/>
          <w:color w:val="auto"/>
          <w:sz w:val="24"/>
          <w:szCs w:val="22"/>
          <w:highlight w:val="none"/>
        </w:rPr>
        <w:t>或者为实现其他非法目的的行为。</w:t>
      </w:r>
    </w:p>
    <w:p w14:paraId="7D3F43D0">
      <w:pPr>
        <w:pageBreakBefore w:val="0"/>
        <w:kinsoku/>
        <w:overflowPunct/>
        <w:topLinePunct w:val="0"/>
        <w:bidi w:val="0"/>
        <w:spacing w:line="360" w:lineRule="atLeast"/>
        <w:ind w:firstLine="480" w:firstLineChars="200"/>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二、参加本次采购活动，为采购项目提供整体设计、规范编制或者项目管理、监理、检测等服务的供应商，不得再参加该采购项目的其他采购活动。</w:t>
      </w:r>
    </w:p>
    <w:p w14:paraId="69C20DED">
      <w:pPr>
        <w:pageBreakBefore w:val="0"/>
        <w:kinsoku/>
        <w:overflowPunct/>
        <w:topLinePunct w:val="0"/>
        <w:bidi w:val="0"/>
        <w:spacing w:line="360" w:lineRule="atLeast"/>
        <w:ind w:firstLine="480" w:firstLineChars="200"/>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三、参加本次招标采购活动，不存在和其他供应商在同一合同项下的采购项目中，同时委托同一个自然人、同一家庭的人员、同一单位的人员作为代理人的行为。</w:t>
      </w:r>
    </w:p>
    <w:p w14:paraId="2970F5F5">
      <w:pPr>
        <w:pageBreakBefore w:val="0"/>
        <w:kinsoku/>
        <w:overflowPunct/>
        <w:topLinePunct w:val="0"/>
        <w:bidi w:val="0"/>
        <w:spacing w:line="360" w:lineRule="atLeast"/>
        <w:ind w:firstLine="480" w:firstLineChars="200"/>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w:t>
      </w:r>
      <w:r>
        <w:rPr>
          <w:rFonts w:hint="eastAsia" w:ascii="宋体" w:hAnsi="宋体" w:eastAsia="宋体" w:cs="宋体"/>
          <w:color w:val="auto"/>
          <w:sz w:val="24"/>
          <w:szCs w:val="22"/>
          <w:highlight w:val="none"/>
          <w:lang w:eastAsia="zh-CN"/>
        </w:rPr>
        <w:t>响应</w:t>
      </w:r>
      <w:r>
        <w:rPr>
          <w:rFonts w:hint="eastAsia" w:ascii="宋体" w:hAnsi="宋体" w:eastAsia="宋体" w:cs="宋体"/>
          <w:color w:val="auto"/>
          <w:sz w:val="24"/>
          <w:szCs w:val="22"/>
          <w:highlight w:val="none"/>
        </w:rPr>
        <w:t>文件中提供的能够给予我单位带来优惠、好处的任何材料资料和技术、服务、商务、响应产品等响应承诺情况都是真实的、有效的、合法的。</w:t>
      </w:r>
    </w:p>
    <w:p w14:paraId="09D075EE">
      <w:pPr>
        <w:pageBreakBefore w:val="0"/>
        <w:kinsoku/>
        <w:overflowPunct/>
        <w:topLinePunct w:val="0"/>
        <w:bidi w:val="0"/>
        <w:spacing w:line="360" w:lineRule="atLeast"/>
        <w:ind w:firstLine="480" w:firstLineChars="200"/>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五、如本项目</w:t>
      </w:r>
      <w:r>
        <w:rPr>
          <w:rFonts w:hint="eastAsia" w:ascii="宋体" w:hAnsi="宋体" w:eastAsia="宋体" w:cs="宋体"/>
          <w:color w:val="auto"/>
          <w:sz w:val="24"/>
          <w:szCs w:val="22"/>
          <w:highlight w:val="none"/>
          <w:lang w:eastAsia="zh-CN"/>
        </w:rPr>
        <w:t>评审</w:t>
      </w:r>
      <w:r>
        <w:rPr>
          <w:rFonts w:hint="eastAsia" w:ascii="宋体" w:hAnsi="宋体" w:eastAsia="宋体" w:cs="宋体"/>
          <w:color w:val="auto"/>
          <w:sz w:val="24"/>
          <w:szCs w:val="22"/>
          <w:highlight w:val="none"/>
        </w:rPr>
        <w:t>过程中需要提供样品，则我单位提供的样品即为</w:t>
      </w:r>
      <w:r>
        <w:rPr>
          <w:rFonts w:hint="eastAsia" w:ascii="宋体" w:hAnsi="宋体" w:eastAsia="宋体" w:cs="宋体"/>
          <w:color w:val="auto"/>
          <w:sz w:val="24"/>
          <w:szCs w:val="22"/>
          <w:highlight w:val="none"/>
          <w:lang w:eastAsia="zh-CN"/>
        </w:rPr>
        <w:t>成交</w:t>
      </w:r>
      <w:r>
        <w:rPr>
          <w:rFonts w:hint="eastAsia" w:ascii="宋体" w:hAnsi="宋体" w:eastAsia="宋体" w:cs="宋体"/>
          <w:color w:val="auto"/>
          <w:sz w:val="24"/>
          <w:szCs w:val="22"/>
          <w:highlight w:val="none"/>
        </w:rPr>
        <w:t>后将要提供的</w:t>
      </w:r>
      <w:r>
        <w:rPr>
          <w:rFonts w:hint="eastAsia" w:ascii="宋体" w:hAnsi="宋体" w:eastAsia="宋体" w:cs="宋体"/>
          <w:color w:val="auto"/>
          <w:sz w:val="24"/>
          <w:szCs w:val="22"/>
          <w:highlight w:val="none"/>
          <w:lang w:eastAsia="zh-CN"/>
        </w:rPr>
        <w:t>成交</w:t>
      </w:r>
      <w:r>
        <w:rPr>
          <w:rFonts w:hint="eastAsia" w:ascii="宋体" w:hAnsi="宋体" w:eastAsia="宋体" w:cs="宋体"/>
          <w:color w:val="auto"/>
          <w:sz w:val="24"/>
          <w:szCs w:val="22"/>
          <w:highlight w:val="none"/>
        </w:rPr>
        <w:t>产品，我单位对提供样品的性能和质量负责，因样品存在缺陷或者不符合文件要求导致未能</w:t>
      </w:r>
      <w:r>
        <w:rPr>
          <w:rFonts w:hint="eastAsia" w:ascii="宋体" w:hAnsi="宋体" w:eastAsia="宋体" w:cs="宋体"/>
          <w:color w:val="auto"/>
          <w:sz w:val="24"/>
          <w:szCs w:val="22"/>
          <w:highlight w:val="none"/>
          <w:lang w:eastAsia="zh-CN"/>
        </w:rPr>
        <w:t>成交</w:t>
      </w:r>
      <w:r>
        <w:rPr>
          <w:rFonts w:hint="eastAsia" w:ascii="宋体" w:hAnsi="宋体" w:eastAsia="宋体" w:cs="宋体"/>
          <w:color w:val="auto"/>
          <w:sz w:val="24"/>
          <w:szCs w:val="22"/>
          <w:highlight w:val="none"/>
        </w:rPr>
        <w:t>的，我单位愿意承担相应不利后果。</w:t>
      </w:r>
    </w:p>
    <w:p w14:paraId="47472417">
      <w:pPr>
        <w:pageBreakBefore w:val="0"/>
        <w:kinsoku/>
        <w:overflowPunct/>
        <w:topLinePunct w:val="0"/>
        <w:bidi w:val="0"/>
        <w:spacing w:line="360" w:lineRule="atLeast"/>
        <w:ind w:firstLine="480" w:firstLineChars="200"/>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本单位对上述承诺的内容事项真实性负责。如经查实上述承诺的内容事项存在虚假，我单位愿意接受以提供虚假材料谋取</w:t>
      </w:r>
      <w:r>
        <w:rPr>
          <w:rFonts w:hint="eastAsia" w:ascii="宋体" w:hAnsi="宋体" w:eastAsia="宋体" w:cs="宋体"/>
          <w:color w:val="auto"/>
          <w:sz w:val="24"/>
          <w:szCs w:val="22"/>
          <w:highlight w:val="none"/>
          <w:lang w:eastAsia="zh-CN"/>
        </w:rPr>
        <w:t>成交</w:t>
      </w:r>
      <w:r>
        <w:rPr>
          <w:rFonts w:hint="eastAsia" w:ascii="宋体" w:hAnsi="宋体" w:eastAsia="宋体" w:cs="宋体"/>
          <w:color w:val="auto"/>
          <w:sz w:val="24"/>
          <w:szCs w:val="22"/>
          <w:highlight w:val="none"/>
        </w:rPr>
        <w:t>追究法律责任。</w:t>
      </w:r>
    </w:p>
    <w:p w14:paraId="6F82B227">
      <w:pPr>
        <w:pageBreakBefore w:val="0"/>
        <w:kinsoku/>
        <w:overflowPunct/>
        <w:topLinePunct w:val="0"/>
        <w:bidi w:val="0"/>
        <w:spacing w:line="360" w:lineRule="atLeast"/>
        <w:ind w:firstLine="470" w:firstLineChars="196"/>
        <w:jc w:val="left"/>
        <w:outlineLvl w:val="9"/>
        <w:rPr>
          <w:rFonts w:hint="eastAsia" w:ascii="宋体" w:hAnsi="宋体" w:eastAsia="宋体" w:cs="宋体"/>
          <w:color w:val="auto"/>
          <w:sz w:val="24"/>
          <w:szCs w:val="22"/>
          <w:highlight w:val="none"/>
        </w:rPr>
      </w:pPr>
    </w:p>
    <w:p w14:paraId="48BA24C9">
      <w:pPr>
        <w:pStyle w:val="2"/>
        <w:pageBreakBefore w:val="0"/>
        <w:kinsoku/>
        <w:overflowPunct/>
        <w:topLinePunct w:val="0"/>
        <w:bidi w:val="0"/>
        <w:outlineLvl w:val="9"/>
        <w:rPr>
          <w:rFonts w:hint="eastAsia" w:ascii="宋体" w:hAnsi="宋体" w:eastAsia="宋体" w:cs="宋体"/>
          <w:color w:val="auto"/>
          <w:sz w:val="24"/>
          <w:szCs w:val="24"/>
          <w:highlight w:val="none"/>
        </w:rPr>
      </w:pPr>
    </w:p>
    <w:p w14:paraId="3EF37EC3">
      <w:pPr>
        <w:pStyle w:val="2"/>
        <w:pageBreakBefore w:val="0"/>
        <w:kinsoku/>
        <w:overflowPunct/>
        <w:topLinePunct w:val="0"/>
        <w:bidi w:val="0"/>
        <w:outlineLvl w:val="9"/>
        <w:rPr>
          <w:rFonts w:hint="eastAsia" w:ascii="宋体" w:hAnsi="宋体" w:eastAsia="宋体" w:cs="宋体"/>
          <w:color w:val="auto"/>
          <w:sz w:val="24"/>
          <w:szCs w:val="24"/>
          <w:highlight w:val="none"/>
        </w:rPr>
      </w:pPr>
    </w:p>
    <w:p w14:paraId="14E32687">
      <w:pPr>
        <w:pStyle w:val="2"/>
        <w:pageBreakBefore w:val="0"/>
        <w:kinsoku/>
        <w:overflowPunct/>
        <w:topLinePunct w:val="0"/>
        <w:bidi w:val="0"/>
        <w:outlineLvl w:val="9"/>
        <w:rPr>
          <w:rFonts w:hint="eastAsia" w:ascii="宋体" w:hAnsi="宋体" w:eastAsia="宋体" w:cs="宋体"/>
          <w:color w:val="auto"/>
          <w:sz w:val="24"/>
          <w:szCs w:val="24"/>
          <w:highlight w:val="none"/>
        </w:rPr>
      </w:pPr>
    </w:p>
    <w:p w14:paraId="2F8C3A89">
      <w:pPr>
        <w:pageBreakBefore w:val="0"/>
        <w:kinsoku/>
        <w:overflowPunct/>
        <w:topLinePunct w:val="0"/>
        <w:bidi w:val="0"/>
        <w:spacing w:line="360" w:lineRule="atLeast"/>
        <w:ind w:firstLine="470" w:firstLineChars="196"/>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供应商名称：（单位公章）</w:t>
      </w:r>
    </w:p>
    <w:p w14:paraId="1382D35C">
      <w:pPr>
        <w:pageBreakBefore w:val="0"/>
        <w:kinsoku/>
        <w:overflowPunct/>
        <w:topLinePunct w:val="0"/>
        <w:bidi w:val="0"/>
        <w:spacing w:line="360" w:lineRule="atLeast"/>
        <w:ind w:firstLine="470" w:firstLineChars="196"/>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法定代表人或委托代理人：（签字或盖章）：</w:t>
      </w:r>
    </w:p>
    <w:p w14:paraId="2D353F32">
      <w:pPr>
        <w:pageBreakBefore w:val="0"/>
        <w:kinsoku/>
        <w:overflowPunct/>
        <w:topLinePunct w:val="0"/>
        <w:bidi w:val="0"/>
        <w:spacing w:line="360" w:lineRule="atLeast"/>
        <w:ind w:firstLine="470" w:firstLineChars="196"/>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日期：</w:t>
      </w:r>
    </w:p>
    <w:p w14:paraId="0096634F">
      <w:pPr>
        <w:pStyle w:val="2"/>
        <w:pageBreakBefore w:val="0"/>
        <w:kinsoku/>
        <w:overflowPunct/>
        <w:topLinePunct w:val="0"/>
        <w:bidi w:val="0"/>
        <w:outlineLvl w:val="9"/>
        <w:rPr>
          <w:rFonts w:hint="eastAsia" w:ascii="宋体" w:hAnsi="宋体" w:eastAsia="宋体" w:cs="宋体"/>
          <w:color w:val="auto"/>
          <w:sz w:val="21"/>
          <w:szCs w:val="28"/>
          <w:highlight w:val="none"/>
          <w:lang w:eastAsia="zh-CN"/>
        </w:rPr>
      </w:pPr>
      <w:r>
        <w:rPr>
          <w:rFonts w:hint="eastAsia" w:ascii="宋体" w:hAnsi="宋体" w:eastAsia="宋体" w:cs="宋体"/>
          <w:color w:val="auto"/>
          <w:sz w:val="21"/>
          <w:szCs w:val="28"/>
          <w:highlight w:val="none"/>
          <w:lang w:eastAsia="zh-CN"/>
        </w:rPr>
        <w:br w:type="page"/>
      </w:r>
    </w:p>
    <w:p w14:paraId="075589E4">
      <w:pPr>
        <w:pageBreakBefore w:val="0"/>
        <w:kinsoku/>
        <w:overflowPunct/>
        <w:topLinePunct w:val="0"/>
        <w:bidi w:val="0"/>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w:t>
      </w:r>
      <w:bookmarkEnd w:id="83"/>
      <w:bookmarkEnd w:id="84"/>
      <w:bookmarkEnd w:id="85"/>
      <w:r>
        <w:rPr>
          <w:rFonts w:hint="eastAsia" w:ascii="宋体" w:hAnsi="宋体" w:eastAsia="宋体" w:cs="宋体"/>
          <w:b/>
          <w:color w:val="auto"/>
          <w:sz w:val="24"/>
          <w:highlight w:val="none"/>
        </w:rPr>
        <w:t>技术</w:t>
      </w:r>
      <w:r>
        <w:rPr>
          <w:rFonts w:hint="eastAsia" w:ascii="宋体" w:hAnsi="宋体" w:eastAsia="宋体" w:cs="宋体"/>
          <w:b/>
          <w:color w:val="auto"/>
          <w:sz w:val="24"/>
          <w:highlight w:val="none"/>
          <w:lang w:eastAsia="zh-CN"/>
        </w:rPr>
        <w:t>服务</w:t>
      </w:r>
      <w:r>
        <w:rPr>
          <w:rFonts w:hint="eastAsia" w:ascii="宋体" w:hAnsi="宋体" w:eastAsia="宋体" w:cs="宋体"/>
          <w:b/>
          <w:color w:val="auto"/>
          <w:sz w:val="24"/>
          <w:highlight w:val="none"/>
        </w:rPr>
        <w:t>响应表</w:t>
      </w:r>
    </w:p>
    <w:p w14:paraId="1D46E48A">
      <w:pPr>
        <w:pageBreakBefore w:val="0"/>
        <w:kinsoku/>
        <w:overflowPunct/>
        <w:topLinePunct w:val="0"/>
        <w:bidi w:val="0"/>
        <w:outlineLvl w:val="9"/>
        <w:rPr>
          <w:rFonts w:hint="eastAsia" w:ascii="宋体" w:hAnsi="宋体" w:eastAsia="宋体" w:cs="宋体"/>
          <w:b/>
          <w:color w:val="auto"/>
          <w:sz w:val="24"/>
          <w:highlight w:val="none"/>
        </w:rPr>
      </w:pPr>
    </w:p>
    <w:p w14:paraId="0FBF1042">
      <w:pPr>
        <w:pageBreakBefore w:val="0"/>
        <w:kinsoku/>
        <w:overflowPunct/>
        <w:topLinePunct w:val="0"/>
        <w:bidi w:val="0"/>
        <w:spacing w:after="12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项目</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eastAsia="zh-CN"/>
        </w:rPr>
        <w:t xml:space="preserve">                    项目</w:t>
      </w:r>
      <w:r>
        <w:rPr>
          <w:rFonts w:hint="eastAsia" w:ascii="宋体" w:hAnsi="宋体" w:eastAsia="宋体" w:cs="宋体"/>
          <w:b/>
          <w:color w:val="auto"/>
          <w:sz w:val="24"/>
          <w:highlight w:val="none"/>
        </w:rPr>
        <w:t xml:space="preserve">编号：  </w:t>
      </w:r>
    </w:p>
    <w:tbl>
      <w:tblPr>
        <w:tblStyle w:val="2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1A8C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2C99A502">
            <w:pPr>
              <w:pageBreakBefore w:val="0"/>
              <w:kinsoku/>
              <w:overflowPunct/>
              <w:topLinePunct w:val="0"/>
              <w:bidi w:val="0"/>
              <w:spacing w:before="60" w:after="6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vAlign w:val="center"/>
          </w:tcPr>
          <w:p w14:paraId="548E1420">
            <w:pPr>
              <w:pageBreakBefore w:val="0"/>
              <w:kinsoku/>
              <w:overflowPunct/>
              <w:topLinePunct w:val="0"/>
              <w:bidi w:val="0"/>
              <w:spacing w:before="60" w:after="6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磋商文件条目号</w:t>
            </w:r>
          </w:p>
        </w:tc>
        <w:tc>
          <w:tcPr>
            <w:tcW w:w="2085" w:type="dxa"/>
            <w:vAlign w:val="center"/>
          </w:tcPr>
          <w:p w14:paraId="37DC0F4C">
            <w:pPr>
              <w:pageBreakBefore w:val="0"/>
              <w:kinsoku/>
              <w:overflowPunct/>
              <w:topLinePunct w:val="0"/>
              <w:bidi w:val="0"/>
              <w:spacing w:before="60" w:after="6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w:t>
            </w:r>
          </w:p>
        </w:tc>
        <w:tc>
          <w:tcPr>
            <w:tcW w:w="3060" w:type="dxa"/>
            <w:vAlign w:val="center"/>
          </w:tcPr>
          <w:p w14:paraId="69B87D3C">
            <w:pPr>
              <w:pageBreakBefore w:val="0"/>
              <w:kinsoku/>
              <w:overflowPunct/>
              <w:topLinePunct w:val="0"/>
              <w:bidi w:val="0"/>
              <w:spacing w:before="60" w:after="6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磋商响应文件响应说明</w:t>
            </w:r>
          </w:p>
        </w:tc>
        <w:tc>
          <w:tcPr>
            <w:tcW w:w="1440" w:type="dxa"/>
            <w:vAlign w:val="center"/>
          </w:tcPr>
          <w:p w14:paraId="64A2B67B">
            <w:pPr>
              <w:pageBreakBefore w:val="0"/>
              <w:kinsoku/>
              <w:overflowPunct/>
              <w:topLinePunct w:val="0"/>
              <w:bidi w:val="0"/>
              <w:spacing w:before="60" w:after="6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00B4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11D7427">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245" w:type="dxa"/>
          </w:tcPr>
          <w:p w14:paraId="5CA71CAA">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2085" w:type="dxa"/>
          </w:tcPr>
          <w:p w14:paraId="65EE433D">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3060" w:type="dxa"/>
          </w:tcPr>
          <w:p w14:paraId="29EE97E5">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440" w:type="dxa"/>
          </w:tcPr>
          <w:p w14:paraId="304C7A03">
            <w:pPr>
              <w:pageBreakBefore w:val="0"/>
              <w:kinsoku/>
              <w:overflowPunct/>
              <w:topLinePunct w:val="0"/>
              <w:bidi w:val="0"/>
              <w:spacing w:before="120" w:after="120"/>
              <w:outlineLvl w:val="9"/>
              <w:rPr>
                <w:rFonts w:hint="eastAsia" w:ascii="宋体" w:hAnsi="宋体" w:eastAsia="宋体" w:cs="宋体"/>
                <w:color w:val="auto"/>
                <w:sz w:val="24"/>
                <w:highlight w:val="none"/>
              </w:rPr>
            </w:pPr>
          </w:p>
        </w:tc>
      </w:tr>
      <w:tr w14:paraId="3357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329637E">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245" w:type="dxa"/>
          </w:tcPr>
          <w:p w14:paraId="0B92DB4A">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2085" w:type="dxa"/>
          </w:tcPr>
          <w:p w14:paraId="101ECB28">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3060" w:type="dxa"/>
          </w:tcPr>
          <w:p w14:paraId="042E8E53">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440" w:type="dxa"/>
          </w:tcPr>
          <w:p w14:paraId="513DEB6B">
            <w:pPr>
              <w:pageBreakBefore w:val="0"/>
              <w:kinsoku/>
              <w:overflowPunct/>
              <w:topLinePunct w:val="0"/>
              <w:bidi w:val="0"/>
              <w:spacing w:before="120" w:after="120"/>
              <w:outlineLvl w:val="9"/>
              <w:rPr>
                <w:rFonts w:hint="eastAsia" w:ascii="宋体" w:hAnsi="宋体" w:eastAsia="宋体" w:cs="宋体"/>
                <w:color w:val="auto"/>
                <w:sz w:val="24"/>
                <w:highlight w:val="none"/>
              </w:rPr>
            </w:pPr>
          </w:p>
        </w:tc>
      </w:tr>
      <w:tr w14:paraId="5FA4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DAD5333">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245" w:type="dxa"/>
          </w:tcPr>
          <w:p w14:paraId="5F004128">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2085" w:type="dxa"/>
          </w:tcPr>
          <w:p w14:paraId="772AD90D">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3060" w:type="dxa"/>
          </w:tcPr>
          <w:p w14:paraId="3548AE58">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440" w:type="dxa"/>
          </w:tcPr>
          <w:p w14:paraId="6E292857">
            <w:pPr>
              <w:pageBreakBefore w:val="0"/>
              <w:kinsoku/>
              <w:overflowPunct/>
              <w:topLinePunct w:val="0"/>
              <w:bidi w:val="0"/>
              <w:spacing w:before="120" w:after="120"/>
              <w:outlineLvl w:val="9"/>
              <w:rPr>
                <w:rFonts w:hint="eastAsia" w:ascii="宋体" w:hAnsi="宋体" w:eastAsia="宋体" w:cs="宋体"/>
                <w:color w:val="auto"/>
                <w:sz w:val="24"/>
                <w:highlight w:val="none"/>
              </w:rPr>
            </w:pPr>
          </w:p>
        </w:tc>
      </w:tr>
      <w:tr w14:paraId="317D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62C6EFF8">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245" w:type="dxa"/>
          </w:tcPr>
          <w:p w14:paraId="10912DE6">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2085" w:type="dxa"/>
          </w:tcPr>
          <w:p w14:paraId="5C0CBC9B">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3060" w:type="dxa"/>
          </w:tcPr>
          <w:p w14:paraId="33F5FFCE">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440" w:type="dxa"/>
          </w:tcPr>
          <w:p w14:paraId="79F71FE8">
            <w:pPr>
              <w:pageBreakBefore w:val="0"/>
              <w:kinsoku/>
              <w:overflowPunct/>
              <w:topLinePunct w:val="0"/>
              <w:bidi w:val="0"/>
              <w:spacing w:before="120" w:after="120"/>
              <w:outlineLvl w:val="9"/>
              <w:rPr>
                <w:rFonts w:hint="eastAsia" w:ascii="宋体" w:hAnsi="宋体" w:eastAsia="宋体" w:cs="宋体"/>
                <w:color w:val="auto"/>
                <w:sz w:val="24"/>
                <w:highlight w:val="none"/>
              </w:rPr>
            </w:pPr>
          </w:p>
        </w:tc>
      </w:tr>
      <w:tr w14:paraId="4D3B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50215792">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245" w:type="dxa"/>
          </w:tcPr>
          <w:p w14:paraId="7BD99514">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2085" w:type="dxa"/>
          </w:tcPr>
          <w:p w14:paraId="0C5B9BF5">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3060" w:type="dxa"/>
          </w:tcPr>
          <w:p w14:paraId="683B8F1C">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440" w:type="dxa"/>
          </w:tcPr>
          <w:p w14:paraId="0A9B9F25">
            <w:pPr>
              <w:pageBreakBefore w:val="0"/>
              <w:kinsoku/>
              <w:overflowPunct/>
              <w:topLinePunct w:val="0"/>
              <w:bidi w:val="0"/>
              <w:spacing w:before="120" w:after="120"/>
              <w:outlineLvl w:val="9"/>
              <w:rPr>
                <w:rFonts w:hint="eastAsia" w:ascii="宋体" w:hAnsi="宋体" w:eastAsia="宋体" w:cs="宋体"/>
                <w:color w:val="auto"/>
                <w:sz w:val="24"/>
                <w:highlight w:val="none"/>
              </w:rPr>
            </w:pPr>
          </w:p>
        </w:tc>
      </w:tr>
      <w:tr w14:paraId="17B7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EED2B8C">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245" w:type="dxa"/>
          </w:tcPr>
          <w:p w14:paraId="291EF963">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2085" w:type="dxa"/>
          </w:tcPr>
          <w:p w14:paraId="70A9F973">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3060" w:type="dxa"/>
          </w:tcPr>
          <w:p w14:paraId="34253312">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440" w:type="dxa"/>
          </w:tcPr>
          <w:p w14:paraId="5AF37C6F">
            <w:pPr>
              <w:pageBreakBefore w:val="0"/>
              <w:kinsoku/>
              <w:overflowPunct/>
              <w:topLinePunct w:val="0"/>
              <w:bidi w:val="0"/>
              <w:spacing w:before="120" w:after="120"/>
              <w:outlineLvl w:val="9"/>
              <w:rPr>
                <w:rFonts w:hint="eastAsia" w:ascii="宋体" w:hAnsi="宋体" w:eastAsia="宋体" w:cs="宋体"/>
                <w:color w:val="auto"/>
                <w:sz w:val="24"/>
                <w:highlight w:val="none"/>
              </w:rPr>
            </w:pPr>
          </w:p>
        </w:tc>
      </w:tr>
      <w:tr w14:paraId="77A2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C203368">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245" w:type="dxa"/>
          </w:tcPr>
          <w:p w14:paraId="2DA5B615">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2085" w:type="dxa"/>
          </w:tcPr>
          <w:p w14:paraId="0BB9586C">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3060" w:type="dxa"/>
          </w:tcPr>
          <w:p w14:paraId="23341018">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440" w:type="dxa"/>
          </w:tcPr>
          <w:p w14:paraId="5550CBDF">
            <w:pPr>
              <w:pageBreakBefore w:val="0"/>
              <w:kinsoku/>
              <w:overflowPunct/>
              <w:topLinePunct w:val="0"/>
              <w:bidi w:val="0"/>
              <w:spacing w:before="120" w:after="120"/>
              <w:outlineLvl w:val="9"/>
              <w:rPr>
                <w:rFonts w:hint="eastAsia" w:ascii="宋体" w:hAnsi="宋体" w:eastAsia="宋体" w:cs="宋体"/>
                <w:color w:val="auto"/>
                <w:sz w:val="24"/>
                <w:highlight w:val="none"/>
              </w:rPr>
            </w:pPr>
          </w:p>
        </w:tc>
      </w:tr>
      <w:tr w14:paraId="2ED2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D54D481">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245" w:type="dxa"/>
          </w:tcPr>
          <w:p w14:paraId="2C8EE467">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2085" w:type="dxa"/>
          </w:tcPr>
          <w:p w14:paraId="6D56A658">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3060" w:type="dxa"/>
          </w:tcPr>
          <w:p w14:paraId="0724FC67">
            <w:pPr>
              <w:pageBreakBefore w:val="0"/>
              <w:kinsoku/>
              <w:overflowPunct/>
              <w:topLinePunct w:val="0"/>
              <w:bidi w:val="0"/>
              <w:spacing w:before="120" w:after="120"/>
              <w:outlineLvl w:val="9"/>
              <w:rPr>
                <w:rFonts w:hint="eastAsia" w:ascii="宋体" w:hAnsi="宋体" w:eastAsia="宋体" w:cs="宋体"/>
                <w:color w:val="auto"/>
                <w:sz w:val="24"/>
                <w:highlight w:val="none"/>
              </w:rPr>
            </w:pPr>
          </w:p>
        </w:tc>
        <w:tc>
          <w:tcPr>
            <w:tcW w:w="1440" w:type="dxa"/>
          </w:tcPr>
          <w:p w14:paraId="700A4264">
            <w:pPr>
              <w:pageBreakBefore w:val="0"/>
              <w:kinsoku/>
              <w:overflowPunct/>
              <w:topLinePunct w:val="0"/>
              <w:bidi w:val="0"/>
              <w:spacing w:before="120" w:after="120"/>
              <w:outlineLvl w:val="9"/>
              <w:rPr>
                <w:rFonts w:hint="eastAsia" w:ascii="宋体" w:hAnsi="宋体" w:eastAsia="宋体" w:cs="宋体"/>
                <w:color w:val="auto"/>
                <w:sz w:val="24"/>
                <w:highlight w:val="none"/>
              </w:rPr>
            </w:pPr>
          </w:p>
        </w:tc>
      </w:tr>
    </w:tbl>
    <w:p w14:paraId="51B58074">
      <w:pPr>
        <w:pageBreakBefore w:val="0"/>
        <w:kinsoku/>
        <w:overflowPunct/>
        <w:topLinePunct w:val="0"/>
        <w:bidi w:val="0"/>
        <w:spacing w:line="4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D89DB11">
      <w:pPr>
        <w:pageBreakBefore w:val="0"/>
        <w:kinsoku/>
        <w:overflowPunct/>
        <w:topLinePunct w:val="0"/>
        <w:bidi w:val="0"/>
        <w:spacing w:line="4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对磋商文件第四章（三）“</w:t>
      </w:r>
      <w:r>
        <w:rPr>
          <w:rFonts w:hint="eastAsia" w:ascii="宋体" w:hAnsi="宋体" w:eastAsia="宋体" w:cs="宋体"/>
          <w:b/>
          <w:color w:val="auto"/>
          <w:sz w:val="22"/>
          <w:szCs w:val="22"/>
          <w:highlight w:val="none"/>
          <w:lang w:eastAsia="zh-CN"/>
        </w:rPr>
        <w:t>技术</w:t>
      </w:r>
      <w:r>
        <w:rPr>
          <w:rFonts w:hint="eastAsia" w:ascii="宋体" w:hAnsi="宋体" w:eastAsia="宋体" w:cs="宋体"/>
          <w:b/>
          <w:color w:val="auto"/>
          <w:sz w:val="22"/>
          <w:szCs w:val="22"/>
          <w:highlight w:val="none"/>
          <w:lang w:val="en-US" w:eastAsia="zh-CN"/>
        </w:rPr>
        <w:t>服务</w:t>
      </w:r>
      <w:r>
        <w:rPr>
          <w:rFonts w:hint="eastAsia" w:ascii="宋体" w:hAnsi="宋体" w:eastAsia="宋体" w:cs="宋体"/>
          <w:b/>
          <w:color w:val="auto"/>
          <w:sz w:val="22"/>
          <w:szCs w:val="22"/>
          <w:highlight w:val="none"/>
          <w:lang w:eastAsia="zh-CN"/>
        </w:rPr>
        <w:t>要求</w:t>
      </w:r>
      <w:r>
        <w:rPr>
          <w:rFonts w:hint="eastAsia" w:ascii="宋体" w:hAnsi="宋体" w:eastAsia="宋体" w:cs="宋体"/>
          <w:color w:val="auto"/>
          <w:sz w:val="24"/>
          <w:highlight w:val="none"/>
          <w:lang w:eastAsia="zh-CN"/>
        </w:rPr>
        <w:t>”内容做出响应，</w:t>
      </w:r>
      <w:r>
        <w:rPr>
          <w:rFonts w:hint="eastAsia" w:ascii="宋体" w:hAnsi="宋体" w:eastAsia="宋体" w:cs="宋体"/>
          <w:color w:val="auto"/>
          <w:sz w:val="24"/>
          <w:highlight w:val="none"/>
        </w:rPr>
        <w:t>供应商必须据实填写，不得虚假应答，否则将取消其报价或成交资格。采购文件中涉及的条款，供应商须逐条响应</w:t>
      </w:r>
      <w:r>
        <w:rPr>
          <w:rFonts w:hint="eastAsia" w:ascii="宋体" w:hAnsi="宋体" w:eastAsia="宋体" w:cs="宋体"/>
          <w:color w:val="auto"/>
          <w:sz w:val="24"/>
          <w:highlight w:val="none"/>
          <w:lang w:eastAsia="zh-CN"/>
        </w:rPr>
        <w:t>。</w:t>
      </w:r>
    </w:p>
    <w:p w14:paraId="0E18CAE6">
      <w:pPr>
        <w:pageBreakBefore w:val="0"/>
        <w:kinsoku/>
        <w:overflowPunct/>
        <w:topLinePunct w:val="0"/>
        <w:bidi w:val="0"/>
        <w:spacing w:line="400" w:lineRule="exact"/>
        <w:ind w:firstLine="420" w:firstLineChars="175"/>
        <w:outlineLvl w:val="9"/>
        <w:rPr>
          <w:rFonts w:hint="eastAsia" w:ascii="宋体" w:hAnsi="宋体" w:eastAsia="宋体" w:cs="宋体"/>
          <w:color w:val="auto"/>
          <w:sz w:val="24"/>
          <w:highlight w:val="none"/>
          <w:lang w:eastAsia="zh-CN"/>
        </w:rPr>
      </w:pPr>
    </w:p>
    <w:p w14:paraId="18F87E5F">
      <w:pPr>
        <w:pageBreakBefore w:val="0"/>
        <w:kinsoku/>
        <w:overflowPunct/>
        <w:topLinePunct w:val="0"/>
        <w:bidi w:val="0"/>
        <w:spacing w:line="400" w:lineRule="exact"/>
        <w:ind w:firstLine="420" w:firstLineChars="175"/>
        <w:outlineLvl w:val="9"/>
        <w:rPr>
          <w:rFonts w:hint="eastAsia" w:ascii="宋体" w:hAnsi="宋体" w:eastAsia="宋体" w:cs="宋体"/>
          <w:color w:val="auto"/>
          <w:sz w:val="24"/>
          <w:highlight w:val="none"/>
          <w:lang w:eastAsia="zh-CN"/>
        </w:rPr>
      </w:pPr>
    </w:p>
    <w:p w14:paraId="220CBC10">
      <w:pPr>
        <w:pageBreakBefore w:val="0"/>
        <w:kinsoku/>
        <w:overflowPunct/>
        <w:topLinePunct w:val="0"/>
        <w:bidi w:val="0"/>
        <w:spacing w:line="400" w:lineRule="exact"/>
        <w:ind w:firstLine="420" w:firstLineChars="17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         （盖</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5DB6903D">
      <w:pPr>
        <w:pageBreakBefore w:val="0"/>
        <w:kinsoku/>
        <w:overflowPunct/>
        <w:topLinePunct w:val="0"/>
        <w:bidi w:val="0"/>
        <w:spacing w:line="400" w:lineRule="exact"/>
        <w:ind w:firstLine="420" w:firstLineChars="175"/>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委托代理人</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w:t>
      </w:r>
    </w:p>
    <w:p w14:paraId="47FFDEBA">
      <w:pPr>
        <w:pageBreakBefore w:val="0"/>
        <w:kinsoku/>
        <w:overflowPunct/>
        <w:topLinePunct w:val="0"/>
        <w:bidi w:val="0"/>
        <w:spacing w:line="400" w:lineRule="exact"/>
        <w:ind w:firstLine="420" w:firstLineChars="175"/>
        <w:outlineLvl w:val="9"/>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日期:</w:t>
      </w:r>
    </w:p>
    <w:p w14:paraId="76002331">
      <w:pPr>
        <w:pageBreakBefore w:val="0"/>
        <w:widowControl/>
        <w:kinsoku/>
        <w:wordWrap/>
        <w:overflowPunct/>
        <w:topLinePunct w:val="0"/>
        <w:bidi w:val="0"/>
        <w:spacing w:line="42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、商务要求响应</w:t>
      </w:r>
      <w:r>
        <w:rPr>
          <w:rFonts w:hint="eastAsia" w:ascii="宋体" w:hAnsi="宋体" w:eastAsia="宋体" w:cs="宋体"/>
          <w:b/>
          <w:color w:val="auto"/>
          <w:sz w:val="24"/>
          <w:highlight w:val="none"/>
          <w:lang w:eastAsia="zh-CN"/>
        </w:rPr>
        <w:t>表</w:t>
      </w:r>
    </w:p>
    <w:p w14:paraId="39D9BFE7">
      <w:pPr>
        <w:pageBreakBefore w:val="0"/>
        <w:widowControl/>
        <w:kinsoku/>
        <w:wordWrap/>
        <w:overflowPunct/>
        <w:topLinePunct w:val="0"/>
        <w:bidi w:val="0"/>
        <w:jc w:val="center"/>
        <w:outlineLvl w:val="9"/>
        <w:rPr>
          <w:rFonts w:hint="eastAsia" w:ascii="宋体" w:hAnsi="宋体" w:eastAsia="宋体" w:cs="宋体"/>
          <w:color w:val="auto"/>
          <w:sz w:val="24"/>
          <w:highlight w:val="none"/>
        </w:rPr>
      </w:pPr>
    </w:p>
    <w:p w14:paraId="337F54F9">
      <w:pPr>
        <w:pageBreakBefore w:val="0"/>
        <w:widowControl/>
        <w:kinsoku/>
        <w:wordWrap/>
        <w:overflowPunct/>
        <w:topLinePunct w:val="0"/>
        <w:bidi w:val="0"/>
        <w:spacing w:after="12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项目</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eastAsia="zh-CN"/>
        </w:rPr>
        <w:t xml:space="preserve">               项目</w:t>
      </w:r>
      <w:r>
        <w:rPr>
          <w:rFonts w:hint="eastAsia" w:ascii="宋体" w:hAnsi="宋体" w:eastAsia="宋体" w:cs="宋体"/>
          <w:b/>
          <w:color w:val="auto"/>
          <w:sz w:val="24"/>
          <w:highlight w:val="none"/>
        </w:rPr>
        <w:t xml:space="preserve">编号 </w:t>
      </w:r>
      <w:r>
        <w:rPr>
          <w:rFonts w:hint="eastAsia" w:ascii="宋体" w:hAnsi="宋体" w:eastAsia="宋体" w:cs="宋体"/>
          <w:b/>
          <w:color w:val="auto"/>
          <w:sz w:val="24"/>
          <w:highlight w:val="none"/>
          <w:lang w:eastAsia="zh-CN"/>
        </w:rPr>
        <w:t>：</w:t>
      </w:r>
    </w:p>
    <w:tbl>
      <w:tblPr>
        <w:tblStyle w:val="21"/>
        <w:tblW w:w="8854" w:type="dxa"/>
        <w:tblInd w:w="-269" w:type="dxa"/>
        <w:tblLayout w:type="fixed"/>
        <w:tblCellMar>
          <w:top w:w="0" w:type="dxa"/>
          <w:left w:w="0" w:type="dxa"/>
          <w:bottom w:w="0" w:type="dxa"/>
          <w:right w:w="0" w:type="dxa"/>
        </w:tblCellMar>
      </w:tblPr>
      <w:tblGrid>
        <w:gridCol w:w="828"/>
        <w:gridCol w:w="1956"/>
        <w:gridCol w:w="2413"/>
        <w:gridCol w:w="2361"/>
        <w:gridCol w:w="1296"/>
      </w:tblGrid>
      <w:tr w14:paraId="75525B47">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8773A37">
            <w:pPr>
              <w:pageBreakBefore w:val="0"/>
              <w:widowControl/>
              <w:kinsoku/>
              <w:wordWrap/>
              <w:overflowPunct/>
              <w:topLinePunct w:val="0"/>
              <w:bidi w:val="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6533117">
            <w:pPr>
              <w:pageBreakBefore w:val="0"/>
              <w:widowControl/>
              <w:kinsoku/>
              <w:wordWrap/>
              <w:overflowPunct/>
              <w:topLinePunct w:val="0"/>
              <w:bidi w:val="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CABD404">
            <w:pPr>
              <w:pageBreakBefore w:val="0"/>
              <w:widowControl/>
              <w:kinsoku/>
              <w:wordWrap/>
              <w:overflowPunct/>
              <w:topLinePunct w:val="0"/>
              <w:bidi w:val="0"/>
              <w:ind w:firstLine="98"/>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11FA99C">
            <w:pPr>
              <w:pageBreakBefore w:val="0"/>
              <w:widowControl/>
              <w:kinsoku/>
              <w:wordWrap/>
              <w:overflowPunct/>
              <w:topLinePunct w:val="0"/>
              <w:bidi w:val="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C5703D9">
            <w:pPr>
              <w:pageBreakBefore w:val="0"/>
              <w:widowControl/>
              <w:kinsoku/>
              <w:wordWrap/>
              <w:overflowPunct/>
              <w:topLinePunct w:val="0"/>
              <w:bidi w:val="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正</w:t>
            </w:r>
            <w:r>
              <w:rPr>
                <w:rFonts w:hint="eastAsia" w:ascii="宋体" w:hAnsi="宋体" w:eastAsia="宋体" w:cs="宋体"/>
                <w:color w:val="auto"/>
                <w:sz w:val="24"/>
                <w:highlight w:val="none"/>
              </w:rPr>
              <w:t>偏离</w:t>
            </w:r>
          </w:p>
        </w:tc>
      </w:tr>
      <w:tr w14:paraId="2CC06C23">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40D7981">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6704EAC">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D1C34ED">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4B4F1C5">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A7B1DD">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0A2B69F2">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6080D78">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BD5D461">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1A11ADE">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60EE454">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9F95C7C">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30AFA879">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6D32A13">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F426758">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87B9A7C">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EC2ED0E">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04F3BA5">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58637E56">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0D27C07">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1792EDC">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D13B80">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1A7DEF5">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73FC3CD">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0F1C30B4">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00CAAEA">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D78929">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0069184">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D54BE30">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1748DF6">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608CB81D">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8767D21">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5CE2C1">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0124743">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4448E3E">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4D3F00">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1DFA8DDE">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481F48">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A36FEB8">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2209FED">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932D1D6">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E5D3C25">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684715F8">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50345F0">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26D9D12">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8DAF560">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CB696D0">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6577DAB">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42ACCA9F">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9CE6C3E">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6145332">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EF7FCE1">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683562E">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40D027A">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r w14:paraId="53932F9A">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FC789C">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5838CED">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C34B8F0">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CE4B3D">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5976574">
            <w:pPr>
              <w:pageBreakBefore w:val="0"/>
              <w:widowControl/>
              <w:kinsoku/>
              <w:wordWrap/>
              <w:overflowPunct/>
              <w:topLinePunct w:val="0"/>
              <w:bidi w:val="0"/>
              <w:jc w:val="left"/>
              <w:outlineLvl w:val="9"/>
              <w:rPr>
                <w:rFonts w:hint="eastAsia" w:ascii="宋体" w:hAnsi="宋体" w:eastAsia="宋体" w:cs="宋体"/>
                <w:color w:val="auto"/>
                <w:sz w:val="24"/>
                <w:highlight w:val="none"/>
              </w:rPr>
            </w:pPr>
          </w:p>
        </w:tc>
      </w:tr>
    </w:tbl>
    <w:p w14:paraId="0715DD26">
      <w:pPr>
        <w:pageBreakBefore w:val="0"/>
        <w:kinsoku/>
        <w:overflowPunct/>
        <w:topLinePunct w:val="0"/>
        <w:bidi w:val="0"/>
        <w:spacing w:line="400" w:lineRule="exact"/>
        <w:ind w:left="570" w:leftChars="285"/>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采购文件中涉及的商务条款，供应商须逐条响应。如有供应商未在商务条款中罗列的条款，视为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响应采购文件要求，并在磋商现场补充澄清说明。</w:t>
      </w:r>
    </w:p>
    <w:p w14:paraId="1DA817A1">
      <w:pPr>
        <w:pageBreakBefore w:val="0"/>
        <w:kinsoku/>
        <w:overflowPunct/>
        <w:topLinePunct w:val="0"/>
        <w:bidi w:val="0"/>
        <w:spacing w:line="400" w:lineRule="exact"/>
        <w:ind w:left="570" w:leftChars="28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2、商务条款不允许负偏离， 否则</w:t>
      </w:r>
      <w:r>
        <w:rPr>
          <w:rFonts w:hint="eastAsia" w:ascii="宋体" w:hAnsi="宋体" w:eastAsia="宋体" w:cs="宋体"/>
          <w:color w:val="auto"/>
          <w:sz w:val="24"/>
          <w:highlight w:val="none"/>
          <w:lang w:eastAsia="zh-CN"/>
        </w:rPr>
        <w:t>被</w:t>
      </w:r>
      <w:r>
        <w:rPr>
          <w:rFonts w:hint="eastAsia" w:ascii="宋体" w:hAnsi="宋体" w:eastAsia="宋体" w:cs="宋体"/>
          <w:color w:val="auto"/>
          <w:sz w:val="24"/>
          <w:highlight w:val="none"/>
        </w:rPr>
        <w:t>视为无效文件处理。</w:t>
      </w:r>
    </w:p>
    <w:p w14:paraId="0A1C1F51">
      <w:pPr>
        <w:pageBreakBefore w:val="0"/>
        <w:kinsoku/>
        <w:overflowPunct/>
        <w:topLinePunct w:val="0"/>
        <w:bidi w:val="0"/>
        <w:spacing w:line="400" w:lineRule="exact"/>
        <w:ind w:left="570" w:leftChars="285"/>
        <w:outlineLvl w:val="9"/>
        <w:rPr>
          <w:rFonts w:hint="eastAsia" w:ascii="宋体" w:hAnsi="宋体" w:eastAsia="宋体" w:cs="宋体"/>
          <w:color w:val="auto"/>
          <w:sz w:val="24"/>
          <w:highlight w:val="none"/>
        </w:rPr>
      </w:pPr>
    </w:p>
    <w:p w14:paraId="020A604A">
      <w:pPr>
        <w:pageBreakBefore w:val="0"/>
        <w:widowControl/>
        <w:kinsoku/>
        <w:wordWrap/>
        <w:overflowPunct/>
        <w:topLinePunct w:val="0"/>
        <w:bidi w:val="0"/>
        <w:spacing w:line="400" w:lineRule="exact"/>
        <w:ind w:firstLine="420"/>
        <w:jc w:val="left"/>
        <w:outlineLvl w:val="9"/>
        <w:rPr>
          <w:rFonts w:hint="eastAsia" w:ascii="宋体" w:hAnsi="宋体" w:eastAsia="宋体" w:cs="宋体"/>
          <w:color w:val="auto"/>
          <w:sz w:val="24"/>
          <w:highlight w:val="none"/>
        </w:rPr>
      </w:pPr>
    </w:p>
    <w:p w14:paraId="26A449DF">
      <w:pPr>
        <w:pageBreakBefore w:val="0"/>
        <w:widowControl/>
        <w:kinsoku/>
        <w:wordWrap/>
        <w:overflowPunct/>
        <w:topLinePunct w:val="0"/>
        <w:bidi w:val="0"/>
        <w:spacing w:line="400" w:lineRule="exact"/>
        <w:ind w:firstLine="420"/>
        <w:jc w:val="left"/>
        <w:outlineLvl w:val="9"/>
        <w:rPr>
          <w:rFonts w:hint="eastAsia" w:ascii="宋体" w:hAnsi="宋体" w:eastAsia="宋体" w:cs="宋体"/>
          <w:color w:val="auto"/>
          <w:sz w:val="24"/>
          <w:highlight w:val="none"/>
        </w:rPr>
      </w:pPr>
    </w:p>
    <w:p w14:paraId="191B9B4D">
      <w:pPr>
        <w:pageBreakBefore w:val="0"/>
        <w:widowControl/>
        <w:kinsoku/>
        <w:wordWrap/>
        <w:overflowPunct/>
        <w:topLinePunct w:val="0"/>
        <w:bidi w:val="0"/>
        <w:spacing w:line="400" w:lineRule="exact"/>
        <w:ind w:firstLine="42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3F6E8421">
      <w:pPr>
        <w:pageBreakBefore w:val="0"/>
        <w:widowControl/>
        <w:kinsoku/>
        <w:wordWrap/>
        <w:overflowPunct/>
        <w:topLinePunct w:val="0"/>
        <w:bidi w:val="0"/>
        <w:spacing w:line="400" w:lineRule="exact"/>
        <w:ind w:firstLine="42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委托代理人</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rPr>
        <w:t>）：</w:t>
      </w:r>
    </w:p>
    <w:p w14:paraId="3647CFD6">
      <w:pPr>
        <w:pageBreakBefore w:val="0"/>
        <w:widowControl/>
        <w:kinsoku/>
        <w:wordWrap/>
        <w:overflowPunct/>
        <w:topLinePunct w:val="0"/>
        <w:bidi w:val="0"/>
        <w:spacing w:line="400" w:lineRule="exact"/>
        <w:ind w:firstLine="420"/>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p>
    <w:p w14:paraId="1BEA803A">
      <w:pPr>
        <w:pageBreakBefore w:val="0"/>
        <w:kinsoku/>
        <w:wordWrap/>
        <w:overflowPunct/>
        <w:topLinePunct w:val="0"/>
        <w:bidi w:val="0"/>
        <w:outlineLvl w:val="9"/>
        <w:rPr>
          <w:rFonts w:hint="eastAsia" w:ascii="宋体" w:hAnsi="宋体" w:eastAsia="宋体" w:cs="宋体"/>
          <w:color w:val="auto"/>
          <w:sz w:val="24"/>
          <w:highlight w:val="none"/>
        </w:rPr>
      </w:pPr>
    </w:p>
    <w:p w14:paraId="77C1B973">
      <w:pPr>
        <w:pageBreakBefore w:val="0"/>
        <w:kinsoku/>
        <w:wordWrap/>
        <w:overflowPunct/>
        <w:topLinePunct w:val="0"/>
        <w:bidi w:val="0"/>
        <w:outlineLvl w:val="9"/>
        <w:rPr>
          <w:rFonts w:hint="eastAsia" w:ascii="宋体" w:hAnsi="宋体" w:eastAsia="宋体" w:cs="宋体"/>
          <w:color w:val="auto"/>
          <w:sz w:val="24"/>
          <w:highlight w:val="none"/>
        </w:rPr>
      </w:pPr>
    </w:p>
    <w:p w14:paraId="07F8598C">
      <w:pPr>
        <w:pageBreakBefore w:val="0"/>
        <w:kinsoku/>
        <w:wordWrap/>
        <w:overflowPunct/>
        <w:topLinePunct w:val="0"/>
        <w:bidi w:val="0"/>
        <w:ind w:firstLine="265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、初始磋商报价表</w:t>
      </w:r>
    </w:p>
    <w:p w14:paraId="365D4F1B">
      <w:pPr>
        <w:pageBreakBefore w:val="0"/>
        <w:kinsoku/>
        <w:wordWrap/>
        <w:overflowPunct/>
        <w:topLinePunct w:val="0"/>
        <w:bidi w:val="0"/>
        <w:outlineLvl w:val="9"/>
        <w:rPr>
          <w:rFonts w:hint="eastAsia" w:ascii="宋体" w:hAnsi="宋体" w:eastAsia="宋体" w:cs="宋体"/>
          <w:b/>
          <w:color w:val="auto"/>
          <w:szCs w:val="20"/>
          <w:highlight w:val="none"/>
        </w:rPr>
      </w:pPr>
    </w:p>
    <w:tbl>
      <w:tblPr>
        <w:tblStyle w:val="21"/>
        <w:tblW w:w="9278"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1592"/>
        <w:gridCol w:w="2739"/>
        <w:gridCol w:w="2127"/>
        <w:gridCol w:w="2120"/>
      </w:tblGrid>
      <w:tr w14:paraId="52E1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00" w:type="dxa"/>
            <w:tcMar>
              <w:left w:w="0" w:type="dxa"/>
              <w:right w:w="0" w:type="dxa"/>
            </w:tcMar>
            <w:vAlign w:val="center"/>
          </w:tcPr>
          <w:p w14:paraId="74A8050D">
            <w:pPr>
              <w:pageBreakBefore w:val="0"/>
              <w:widowControl/>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2" w:type="dxa"/>
            <w:tcMar>
              <w:left w:w="0" w:type="dxa"/>
              <w:right w:w="0" w:type="dxa"/>
            </w:tcMar>
            <w:vAlign w:val="center"/>
          </w:tcPr>
          <w:p w14:paraId="73581AB8">
            <w:pPr>
              <w:pageBreakBefore w:val="0"/>
              <w:widowControl/>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2739" w:type="dxa"/>
            <w:tcMar>
              <w:left w:w="0" w:type="dxa"/>
              <w:right w:w="0" w:type="dxa"/>
            </w:tcMar>
            <w:vAlign w:val="center"/>
          </w:tcPr>
          <w:p w14:paraId="4BADEB5F">
            <w:pPr>
              <w:pageBreakBefore w:val="0"/>
              <w:widowControl/>
              <w:kinsoku/>
              <w:overflowPunct/>
              <w:topLinePunct w:val="0"/>
              <w:bidi w:val="0"/>
              <w:spacing w:line="360" w:lineRule="auto"/>
              <w:ind w:firstLine="105"/>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127" w:type="dxa"/>
            <w:tcMar>
              <w:left w:w="0" w:type="dxa"/>
              <w:right w:w="0" w:type="dxa"/>
            </w:tcMar>
            <w:vAlign w:val="center"/>
          </w:tcPr>
          <w:p w14:paraId="7B54D87F">
            <w:pPr>
              <w:pageBreakBefore w:val="0"/>
              <w:widowControl/>
              <w:kinsoku/>
              <w:overflowPunct/>
              <w:topLinePunct w:val="0"/>
              <w:bidi w:val="0"/>
              <w:spacing w:line="360" w:lineRule="auto"/>
              <w:ind w:firstLine="105"/>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rPr>
              <w:t>）</w:t>
            </w:r>
          </w:p>
        </w:tc>
        <w:tc>
          <w:tcPr>
            <w:tcW w:w="2120" w:type="dxa"/>
            <w:tcMar>
              <w:left w:w="0" w:type="dxa"/>
              <w:right w:w="0" w:type="dxa"/>
            </w:tcMar>
            <w:vAlign w:val="center"/>
          </w:tcPr>
          <w:p w14:paraId="7B2E158E">
            <w:pPr>
              <w:pageBreakBefore w:val="0"/>
              <w:widowControl/>
              <w:kinsoku/>
              <w:overflowPunct/>
              <w:topLinePunct w:val="0"/>
              <w:bidi w:val="0"/>
              <w:spacing w:line="360" w:lineRule="auto"/>
              <w:ind w:firstLine="105"/>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5A3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trPr>
        <w:tc>
          <w:tcPr>
            <w:tcW w:w="700" w:type="dxa"/>
            <w:tcMar>
              <w:left w:w="0" w:type="dxa"/>
              <w:right w:w="0" w:type="dxa"/>
            </w:tcMar>
            <w:vAlign w:val="center"/>
          </w:tcPr>
          <w:p w14:paraId="7ED1B960">
            <w:pPr>
              <w:pageBreakBefore w:val="0"/>
              <w:widowControl/>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2" w:type="dxa"/>
            <w:tcMar>
              <w:left w:w="0" w:type="dxa"/>
              <w:right w:w="0" w:type="dxa"/>
            </w:tcMar>
            <w:vAlign w:val="center"/>
          </w:tcPr>
          <w:p w14:paraId="2C118966">
            <w:pPr>
              <w:pageBreakBefore w:val="0"/>
              <w:widowControl/>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c>
        <w:tc>
          <w:tcPr>
            <w:tcW w:w="2739" w:type="dxa"/>
            <w:tcMar>
              <w:left w:w="0" w:type="dxa"/>
              <w:right w:w="0" w:type="dxa"/>
            </w:tcMar>
            <w:vAlign w:val="center"/>
          </w:tcPr>
          <w:p w14:paraId="197889E7">
            <w:pPr>
              <w:pageBreakBefore w:val="0"/>
              <w:widowControl/>
              <w:kinsoku/>
              <w:overflowPunct/>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c>
          <w:tcPr>
            <w:tcW w:w="2127" w:type="dxa"/>
            <w:tcMar>
              <w:left w:w="0" w:type="dxa"/>
              <w:right w:w="0" w:type="dxa"/>
            </w:tcMar>
            <w:vAlign w:val="center"/>
          </w:tcPr>
          <w:p w14:paraId="75763939">
            <w:pPr>
              <w:pageBreakBefore w:val="0"/>
              <w:widowControl/>
              <w:kinsoku/>
              <w:overflowPunct/>
              <w:topLinePunct w:val="0"/>
              <w:bidi w:val="0"/>
              <w:spacing w:line="360" w:lineRule="auto"/>
              <w:outlineLvl w:val="9"/>
              <w:rPr>
                <w:rFonts w:hint="eastAsia" w:ascii="宋体" w:hAnsi="宋体" w:eastAsia="宋体" w:cs="宋体"/>
                <w:color w:val="auto"/>
                <w:sz w:val="24"/>
                <w:szCs w:val="24"/>
                <w:highlight w:val="none"/>
              </w:rPr>
            </w:pPr>
          </w:p>
          <w:p w14:paraId="3B9FC464">
            <w:pPr>
              <w:pageBreakBefore w:val="0"/>
              <w:widowControl/>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w:t>
            </w:r>
          </w:p>
          <w:p w14:paraId="41AF9026">
            <w:pPr>
              <w:pStyle w:val="2"/>
              <w:pageBreakBefore w:val="0"/>
              <w:kinsoku/>
              <w:overflowPunct/>
              <w:topLinePunct w:val="0"/>
              <w:bidi w:val="0"/>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tc>
        <w:tc>
          <w:tcPr>
            <w:tcW w:w="2120" w:type="dxa"/>
            <w:tcMar>
              <w:left w:w="0" w:type="dxa"/>
              <w:right w:w="0" w:type="dxa"/>
            </w:tcMar>
            <w:vAlign w:val="center"/>
          </w:tcPr>
          <w:p w14:paraId="1D06C872">
            <w:pPr>
              <w:pageBreakBefore w:val="0"/>
              <w:widowControl/>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4A5FDACA">
      <w:pPr>
        <w:pageBreakBefore w:val="0"/>
        <w:widowControl/>
        <w:kinsoku/>
        <w:wordWrap/>
        <w:overflowPunct/>
        <w:topLinePunct w:val="0"/>
        <w:bidi w:val="0"/>
        <w:spacing w:line="360" w:lineRule="auto"/>
        <w:ind w:firstLine="461"/>
        <w:jc w:val="left"/>
        <w:outlineLvl w:val="9"/>
        <w:rPr>
          <w:rFonts w:hint="eastAsia" w:ascii="宋体" w:hAnsi="宋体" w:eastAsia="宋体" w:cs="宋体"/>
          <w:color w:val="auto"/>
          <w:sz w:val="24"/>
          <w:highlight w:val="none"/>
        </w:rPr>
      </w:pPr>
    </w:p>
    <w:p w14:paraId="3946B15B">
      <w:pPr>
        <w:pageBreakBefore w:val="0"/>
        <w:kinsoku/>
        <w:wordWrap/>
        <w:overflowPunct/>
        <w:topLinePunct w:val="0"/>
        <w:bidi w:val="0"/>
        <w:jc w:val="left"/>
        <w:outlineLvl w:val="9"/>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注：</w:t>
      </w:r>
    </w:p>
    <w:p w14:paraId="0FFC7025">
      <w:pPr>
        <w:pageBreakBefore w:val="0"/>
        <w:widowControl/>
        <w:shd w:val="clear"/>
        <w:tabs>
          <w:tab w:val="left" w:pos="1620"/>
        </w:tabs>
        <w:kinsoku/>
        <w:overflowPunct/>
        <w:topLinePunct w:val="0"/>
        <w:bidi w:val="0"/>
        <w:spacing w:line="360" w:lineRule="auto"/>
        <w:ind w:right="-188" w:rightChars="-94"/>
        <w:jc w:val="left"/>
        <w:outlineLvl w:val="9"/>
        <w:rPr>
          <w:rFonts w:hint="eastAsia" w:ascii="宋体" w:hAnsi="宋体" w:eastAsia="宋体" w:cs="宋体"/>
          <w:color w:val="auto"/>
          <w:sz w:val="24"/>
          <w:szCs w:val="22"/>
          <w:highlight w:val="none"/>
          <w:lang w:eastAsia="zh-CN"/>
        </w:rPr>
      </w:pPr>
    </w:p>
    <w:p w14:paraId="0B177FFC">
      <w:pPr>
        <w:pageBreakBefore w:val="0"/>
        <w:widowControl/>
        <w:shd w:val="clear"/>
        <w:tabs>
          <w:tab w:val="left" w:pos="1620"/>
        </w:tabs>
        <w:kinsoku/>
        <w:overflowPunct/>
        <w:topLinePunct w:val="0"/>
        <w:bidi w:val="0"/>
        <w:spacing w:line="360" w:lineRule="auto"/>
        <w:ind w:right="-188" w:rightChars="-94"/>
        <w:jc w:val="left"/>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1、</w:t>
      </w:r>
      <w:r>
        <w:rPr>
          <w:rFonts w:hint="eastAsia" w:ascii="宋体" w:hAnsi="宋体" w:eastAsia="宋体" w:cs="宋体"/>
          <w:color w:val="auto"/>
          <w:sz w:val="24"/>
          <w:szCs w:val="22"/>
          <w:highlight w:val="none"/>
        </w:rPr>
        <w:t>供应商响应报价中必须包括本项目全部内容的费用（包括但不限于</w:t>
      </w:r>
      <w:r>
        <w:rPr>
          <w:rFonts w:hint="eastAsia" w:ascii="宋体" w:hAnsi="宋体" w:eastAsia="宋体" w:cs="宋体"/>
          <w:color w:val="auto"/>
          <w:sz w:val="24"/>
          <w:szCs w:val="22"/>
          <w:highlight w:val="none"/>
          <w:lang w:eastAsia="zh-CN"/>
        </w:rPr>
        <w:t>服务中的项目内容、人员成本、服务实施范围、达到服务标准及要求所产生的全部费用</w:t>
      </w:r>
      <w:r>
        <w:rPr>
          <w:rFonts w:hint="eastAsia" w:ascii="宋体" w:hAnsi="宋体" w:eastAsia="宋体" w:cs="宋体"/>
          <w:color w:val="auto"/>
          <w:sz w:val="24"/>
          <w:szCs w:val="22"/>
          <w:highlight w:val="none"/>
        </w:rPr>
        <w:t>。。</w:t>
      </w:r>
    </w:p>
    <w:p w14:paraId="094170FC">
      <w:pPr>
        <w:pageBreakBefore w:val="0"/>
        <w:widowControl/>
        <w:shd w:val="clear"/>
        <w:tabs>
          <w:tab w:val="left" w:pos="1620"/>
        </w:tabs>
        <w:kinsoku/>
        <w:overflowPunct/>
        <w:topLinePunct w:val="0"/>
        <w:bidi w:val="0"/>
        <w:spacing w:line="360" w:lineRule="auto"/>
        <w:ind w:right="-188" w:rightChars="-94"/>
        <w:jc w:val="left"/>
        <w:outlineLvl w:val="9"/>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2、以上报价明细，主要用于让磋商小组了解报价构成结构，供磋商谈判参考使用。</w:t>
      </w:r>
    </w:p>
    <w:p w14:paraId="597485ED">
      <w:pPr>
        <w:pageBreakBefore w:val="0"/>
        <w:widowControl/>
        <w:kinsoku/>
        <w:wordWrap/>
        <w:overflowPunct/>
        <w:topLinePunct w:val="0"/>
        <w:bidi w:val="0"/>
        <w:ind w:firstLine="105"/>
        <w:jc w:val="center"/>
        <w:outlineLvl w:val="9"/>
        <w:rPr>
          <w:rFonts w:hint="eastAsia" w:ascii="宋体" w:hAnsi="宋体" w:eastAsia="宋体" w:cs="宋体"/>
          <w:color w:val="auto"/>
          <w:sz w:val="22"/>
          <w:szCs w:val="28"/>
          <w:highlight w:val="none"/>
          <w:lang w:eastAsia="zh-CN"/>
        </w:rPr>
      </w:pPr>
    </w:p>
    <w:p w14:paraId="75751A8F">
      <w:pPr>
        <w:pageBreakBefore w:val="0"/>
        <w:widowControl/>
        <w:kinsoku/>
        <w:wordWrap/>
        <w:overflowPunct/>
        <w:topLinePunct w:val="0"/>
        <w:bidi w:val="0"/>
        <w:ind w:firstLine="105"/>
        <w:jc w:val="both"/>
        <w:outlineLvl w:val="9"/>
        <w:rPr>
          <w:rFonts w:hint="eastAsia" w:ascii="宋体" w:hAnsi="宋体" w:eastAsia="宋体" w:cs="宋体"/>
          <w:color w:val="auto"/>
          <w:sz w:val="22"/>
          <w:szCs w:val="28"/>
          <w:highlight w:val="none"/>
          <w:lang w:eastAsia="zh-CN"/>
        </w:rPr>
      </w:pPr>
    </w:p>
    <w:p w14:paraId="1FE2C2BE">
      <w:pPr>
        <w:pageBreakBefore w:val="0"/>
        <w:widowControl/>
        <w:kinsoku/>
        <w:wordWrap/>
        <w:overflowPunct/>
        <w:topLinePunct w:val="0"/>
        <w:bidi w:val="0"/>
        <w:ind w:firstLine="105"/>
        <w:jc w:val="both"/>
        <w:outlineLvl w:val="9"/>
        <w:rPr>
          <w:rFonts w:hint="eastAsia" w:ascii="宋体" w:hAnsi="宋体" w:eastAsia="宋体" w:cs="宋体"/>
          <w:color w:val="auto"/>
          <w:sz w:val="22"/>
          <w:szCs w:val="28"/>
          <w:highlight w:val="none"/>
          <w:lang w:eastAsia="zh-CN"/>
        </w:rPr>
      </w:pPr>
    </w:p>
    <w:p w14:paraId="7BEAE0EB">
      <w:pPr>
        <w:pageBreakBefore w:val="0"/>
        <w:widowControl/>
        <w:kinsoku/>
        <w:wordWrap/>
        <w:overflowPunct/>
        <w:topLinePunct w:val="0"/>
        <w:bidi w:val="0"/>
        <w:ind w:firstLine="105"/>
        <w:jc w:val="both"/>
        <w:outlineLvl w:val="9"/>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供应商名称：</w:t>
      </w:r>
      <w:r>
        <w:rPr>
          <w:rFonts w:hint="eastAsia" w:ascii="宋体" w:hAnsi="宋体" w:eastAsia="宋体" w:cs="宋体"/>
          <w:color w:val="auto"/>
          <w:sz w:val="22"/>
          <w:szCs w:val="28"/>
          <w:highlight w:val="none"/>
          <w:lang w:eastAsia="zh-CN"/>
        </w:rPr>
        <w:tab/>
      </w:r>
      <w:r>
        <w:rPr>
          <w:rFonts w:hint="eastAsia" w:ascii="宋体" w:hAnsi="宋体" w:eastAsia="宋体" w:cs="宋体"/>
          <w:color w:val="auto"/>
          <w:sz w:val="22"/>
          <w:szCs w:val="28"/>
          <w:highlight w:val="none"/>
          <w:lang w:eastAsia="zh-CN"/>
        </w:rPr>
        <w:tab/>
      </w:r>
      <w:r>
        <w:rPr>
          <w:rFonts w:hint="eastAsia" w:ascii="宋体" w:hAnsi="宋体" w:eastAsia="宋体" w:cs="宋体"/>
          <w:color w:val="auto"/>
          <w:sz w:val="22"/>
          <w:szCs w:val="28"/>
          <w:highlight w:val="none"/>
          <w:lang w:eastAsia="zh-CN"/>
        </w:rPr>
        <w:tab/>
      </w:r>
      <w:r>
        <w:rPr>
          <w:rFonts w:hint="eastAsia" w:ascii="宋体" w:hAnsi="宋体" w:eastAsia="宋体" w:cs="宋体"/>
          <w:color w:val="auto"/>
          <w:sz w:val="22"/>
          <w:szCs w:val="28"/>
          <w:highlight w:val="none"/>
          <w:lang w:eastAsia="zh-CN"/>
        </w:rPr>
        <w:tab/>
      </w:r>
      <w:r>
        <w:rPr>
          <w:rFonts w:hint="eastAsia" w:ascii="宋体" w:hAnsi="宋体" w:eastAsia="宋体" w:cs="宋体"/>
          <w:color w:val="auto"/>
          <w:sz w:val="22"/>
          <w:szCs w:val="28"/>
          <w:highlight w:val="none"/>
          <w:lang w:eastAsia="zh-CN"/>
        </w:rPr>
        <w:tab/>
      </w:r>
      <w:r>
        <w:rPr>
          <w:rFonts w:hint="eastAsia" w:ascii="宋体" w:hAnsi="宋体" w:eastAsia="宋体" w:cs="宋体"/>
          <w:color w:val="auto"/>
          <w:sz w:val="22"/>
          <w:szCs w:val="28"/>
          <w:highlight w:val="none"/>
          <w:lang w:eastAsia="zh-CN"/>
        </w:rPr>
        <w:t xml:space="preserve">      (盖公章)</w:t>
      </w:r>
    </w:p>
    <w:p w14:paraId="3B7A54DC">
      <w:pPr>
        <w:pageBreakBefore w:val="0"/>
        <w:widowControl/>
        <w:kinsoku/>
        <w:wordWrap/>
        <w:overflowPunct/>
        <w:topLinePunct w:val="0"/>
        <w:bidi w:val="0"/>
        <w:ind w:firstLine="105"/>
        <w:jc w:val="both"/>
        <w:outlineLvl w:val="9"/>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法定代表人或委托代理人（签字或盖章）：</w:t>
      </w:r>
    </w:p>
    <w:p w14:paraId="1CEC054B">
      <w:pPr>
        <w:pageBreakBefore w:val="0"/>
        <w:widowControl/>
        <w:kinsoku/>
        <w:wordWrap/>
        <w:overflowPunct/>
        <w:topLinePunct w:val="0"/>
        <w:bidi w:val="0"/>
        <w:ind w:firstLine="105"/>
        <w:jc w:val="both"/>
        <w:outlineLvl w:val="9"/>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eastAsia="zh-CN"/>
        </w:rPr>
        <w:t>日 期：</w:t>
      </w:r>
    </w:p>
    <w:p w14:paraId="1E054BB8">
      <w:pPr>
        <w:keepNext/>
        <w:keepLines/>
        <w:pageBreakBefore w:val="0"/>
        <w:tabs>
          <w:tab w:val="left" w:pos="720"/>
        </w:tabs>
        <w:kinsoku/>
        <w:wordWrap/>
        <w:overflowPunct/>
        <w:topLinePunct w:val="0"/>
        <w:bidi w:val="0"/>
        <w:spacing w:before="260" w:after="260" w:line="400" w:lineRule="exact"/>
        <w:jc w:val="center"/>
        <w:outlineLvl w:val="9"/>
        <w:rPr>
          <w:rFonts w:hint="eastAsia" w:ascii="宋体" w:hAnsi="宋体" w:eastAsia="宋体" w:cs="宋体"/>
          <w:b/>
          <w:color w:val="auto"/>
          <w:sz w:val="28"/>
          <w:highlight w:val="none"/>
        </w:rPr>
      </w:pPr>
    </w:p>
    <w:p w14:paraId="2AFEA2E4">
      <w:pPr>
        <w:pageBreakBefore w:val="0"/>
        <w:kinsoku/>
        <w:overflowPunct/>
        <w:topLinePunct w:val="0"/>
        <w:bidi w:val="0"/>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br w:type="page"/>
      </w:r>
    </w:p>
    <w:p w14:paraId="2894FFF2">
      <w:pPr>
        <w:keepNext/>
        <w:keepLines/>
        <w:pageBreakBefore w:val="0"/>
        <w:tabs>
          <w:tab w:val="left" w:pos="720"/>
        </w:tabs>
        <w:kinsoku/>
        <w:wordWrap/>
        <w:overflowPunct/>
        <w:topLinePunct w:val="0"/>
        <w:bidi w:val="0"/>
        <w:spacing w:before="260" w:after="260" w:line="4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w:t>
      </w:r>
      <w:r>
        <w:rPr>
          <w:rFonts w:hint="eastAsia" w:ascii="宋体" w:hAnsi="宋体" w:eastAsia="宋体" w:cs="宋体"/>
          <w:b w:val="0"/>
          <w:bCs w:val="0"/>
          <w:i w:val="0"/>
          <w:iCs w:val="0"/>
          <w:color w:val="auto"/>
          <w:kern w:val="0"/>
          <w:sz w:val="24"/>
          <w:szCs w:val="24"/>
          <w:highlight w:val="none"/>
          <w:lang w:val="en-US" w:eastAsia="zh-CN" w:bidi="ar"/>
        </w:rPr>
        <w:t>项目实施方案</w:t>
      </w:r>
    </w:p>
    <w:p w14:paraId="3512CAC3">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bookmarkStart w:id="86" w:name="_Toc181520579"/>
      <w:bookmarkStart w:id="87" w:name="_Toc214858837"/>
      <w:bookmarkStart w:id="88" w:name="_Toc250042668"/>
    </w:p>
    <w:p w14:paraId="2D6111D4">
      <w:pPr>
        <w:spacing w:line="48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供应商按磋商文件的要求，依据第五章 磋商程序“综合评分明细表”相关内容编写，依据评标因素及权重分值表要求内容编制。</w:t>
      </w:r>
    </w:p>
    <w:p w14:paraId="29FFB18D">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4A19A3A5">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1024B627">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40888AD4">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39929BA2">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13E63B59">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2F10368B">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28220F81">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7CCA7D64">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6A7B943B">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07B0B362">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27F9DBEE">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5447008D">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30130E5D">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23D48DBF">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34B0E5AD">
      <w:pPr>
        <w:pageBreakBefore w:val="0"/>
        <w:kinsoku/>
        <w:overflowPunct/>
        <w:topLinePunct w:val="0"/>
        <w:bidi w:val="0"/>
        <w:spacing w:line="400" w:lineRule="exact"/>
        <w:outlineLvl w:val="9"/>
        <w:rPr>
          <w:rFonts w:hint="eastAsia" w:ascii="宋体" w:hAnsi="宋体" w:eastAsia="宋体" w:cs="宋体"/>
          <w:color w:val="auto"/>
          <w:sz w:val="24"/>
          <w:highlight w:val="none"/>
          <w:u w:val="single"/>
          <w:lang w:eastAsia="zh-CN"/>
        </w:rPr>
      </w:pPr>
    </w:p>
    <w:p w14:paraId="5A452276">
      <w:pPr>
        <w:pStyle w:val="2"/>
        <w:pageBreakBefore w:val="0"/>
        <w:kinsoku/>
        <w:overflowPunct/>
        <w:topLinePunct w:val="0"/>
        <w:bidi w:val="0"/>
        <w:outlineLvl w:val="9"/>
        <w:rPr>
          <w:rFonts w:hint="eastAsia" w:ascii="宋体" w:hAnsi="宋体" w:eastAsia="宋体" w:cs="宋体"/>
          <w:color w:val="auto"/>
          <w:highlight w:val="none"/>
          <w:lang w:eastAsia="zh-CN"/>
        </w:rPr>
      </w:pPr>
    </w:p>
    <w:p w14:paraId="132EBA58">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73A394B3">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48036496">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5750D460">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1F6A031A">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0A008358">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5C31544D">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6AA990DD">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5E7147B2">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6FE48264">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4EA94F3A">
      <w:pPr>
        <w:pageBreakBefore w:val="0"/>
        <w:kinsoku/>
        <w:overflowPunct/>
        <w:topLinePunct w:val="0"/>
        <w:bidi w:val="0"/>
        <w:spacing w:line="400" w:lineRule="exact"/>
        <w:jc w:val="center"/>
        <w:outlineLvl w:val="9"/>
        <w:rPr>
          <w:rFonts w:hint="eastAsia" w:ascii="宋体" w:hAnsi="宋体" w:eastAsia="宋体" w:cs="宋体"/>
          <w:b/>
          <w:color w:val="auto"/>
          <w:sz w:val="24"/>
          <w:highlight w:val="none"/>
          <w:lang w:eastAsia="zh-CN"/>
        </w:rPr>
      </w:pPr>
    </w:p>
    <w:p w14:paraId="1D36CF28">
      <w:pPr>
        <w:pageBreakBefore w:val="0"/>
        <w:kinsoku/>
        <w:overflowPunct/>
        <w:topLinePunct w:val="0"/>
        <w:bidi w:val="0"/>
        <w:spacing w:line="360" w:lineRule="auto"/>
        <w:jc w:val="center"/>
        <w:outlineLvl w:val="9"/>
        <w:rPr>
          <w:rFonts w:hint="eastAsia" w:ascii="宋体" w:hAnsi="宋体" w:eastAsia="宋体" w:cs="宋体"/>
          <w:b/>
          <w:color w:val="auto"/>
          <w:sz w:val="24"/>
          <w:highlight w:val="none"/>
          <w:lang w:eastAsia="zh-CN"/>
        </w:rPr>
      </w:pPr>
    </w:p>
    <w:p w14:paraId="6664C345">
      <w:pPr>
        <w:pageBreakBefore w:val="0"/>
        <w:kinsoku/>
        <w:overflowPunct/>
        <w:topLinePunct w:val="0"/>
        <w:bidi w:val="0"/>
        <w:spacing w:line="360" w:lineRule="auto"/>
        <w:jc w:val="center"/>
        <w:outlineLvl w:val="9"/>
        <w:rPr>
          <w:rFonts w:hint="eastAsia" w:ascii="宋体" w:hAnsi="宋体" w:eastAsia="宋体" w:cs="宋体"/>
          <w:b/>
          <w:color w:val="auto"/>
          <w:sz w:val="24"/>
          <w:highlight w:val="none"/>
          <w:lang w:eastAsia="zh-CN"/>
        </w:rPr>
      </w:pPr>
    </w:p>
    <w:p w14:paraId="69A7C70A">
      <w:pPr>
        <w:pageBreakBefore w:val="0"/>
        <w:kinsoku/>
        <w:overflowPunct/>
        <w:topLinePunct w:val="0"/>
        <w:bidi w:val="0"/>
        <w:spacing w:line="360" w:lineRule="auto"/>
        <w:jc w:val="center"/>
        <w:outlineLvl w:val="9"/>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lang w:eastAsia="zh-CN"/>
        </w:rPr>
        <w:t>七</w:t>
      </w:r>
      <w:bookmarkEnd w:id="86"/>
      <w:bookmarkEnd w:id="87"/>
      <w:bookmarkEnd w:id="88"/>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本项目服务人员情况表</w:t>
      </w:r>
    </w:p>
    <w:p w14:paraId="178D3798">
      <w:pPr>
        <w:pageBreakBefore w:val="0"/>
        <w:widowControl/>
        <w:kinsoku/>
        <w:wordWrap/>
        <w:overflowPunct/>
        <w:topLinePunct w:val="0"/>
        <w:bidi w:val="0"/>
        <w:spacing w:line="40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 xml:space="preserve">项目名称：                      </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p>
    <w:tbl>
      <w:tblPr>
        <w:tblStyle w:val="21"/>
        <w:tblW w:w="8694" w:type="dxa"/>
        <w:tblInd w:w="-189" w:type="dxa"/>
        <w:tblLayout w:type="fixed"/>
        <w:tblCellMar>
          <w:top w:w="0" w:type="dxa"/>
          <w:left w:w="0" w:type="dxa"/>
          <w:bottom w:w="0" w:type="dxa"/>
          <w:right w:w="0" w:type="dxa"/>
        </w:tblCellMar>
      </w:tblPr>
      <w:tblGrid>
        <w:gridCol w:w="1137"/>
        <w:gridCol w:w="821"/>
        <w:gridCol w:w="1066"/>
        <w:gridCol w:w="1418"/>
        <w:gridCol w:w="1276"/>
        <w:gridCol w:w="2976"/>
      </w:tblGrid>
      <w:tr w14:paraId="71037748">
        <w:tblPrEx>
          <w:tblCellMar>
            <w:top w:w="0" w:type="dxa"/>
            <w:left w:w="0" w:type="dxa"/>
            <w:bottom w:w="0" w:type="dxa"/>
            <w:right w:w="0" w:type="dxa"/>
          </w:tblCellMar>
        </w:tblPrEx>
        <w:trPr>
          <w:trHeight w:val="652" w:hRule="atLeast"/>
        </w:trPr>
        <w:tc>
          <w:tcPr>
            <w:tcW w:w="113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E6CD953">
            <w:pPr>
              <w:pageBreakBefore w:val="0"/>
              <w:widowControl/>
              <w:kinsoku/>
              <w:wordWrap/>
              <w:overflowPunct/>
              <w:topLinePunct w:val="0"/>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63B26B4">
            <w:pPr>
              <w:pageBreakBefore w:val="0"/>
              <w:widowControl/>
              <w:kinsoku/>
              <w:wordWrap/>
              <w:overflowPunct/>
              <w:topLinePunct w:val="0"/>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B0E2C65">
            <w:pPr>
              <w:pageBreakBefore w:val="0"/>
              <w:widowControl/>
              <w:kinsoku/>
              <w:wordWrap/>
              <w:overflowPunct/>
              <w:topLinePunct w:val="0"/>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B3057AE">
            <w:pPr>
              <w:pageBreakBefore w:val="0"/>
              <w:widowControl/>
              <w:kinsoku/>
              <w:wordWrap/>
              <w:overflowPunct/>
              <w:topLinePunct w:val="0"/>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45E5DE7">
            <w:pPr>
              <w:pageBreakBefore w:val="0"/>
              <w:widowControl/>
              <w:kinsoku/>
              <w:wordWrap/>
              <w:overflowPunct/>
              <w:topLinePunct w:val="0"/>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8ABB607">
            <w:pPr>
              <w:pageBreakBefore w:val="0"/>
              <w:widowControl/>
              <w:kinsoku/>
              <w:wordWrap/>
              <w:overflowPunct/>
              <w:topLinePunct w:val="0"/>
              <w:bidi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人员职称</w:t>
            </w:r>
          </w:p>
        </w:tc>
      </w:tr>
      <w:tr w14:paraId="4F641406">
        <w:tblPrEx>
          <w:tblCellMar>
            <w:top w:w="0" w:type="dxa"/>
            <w:left w:w="0" w:type="dxa"/>
            <w:bottom w:w="0" w:type="dxa"/>
            <w:right w:w="0" w:type="dxa"/>
          </w:tblCellMar>
        </w:tblPrEx>
        <w:trPr>
          <w:cantSplit/>
          <w:trHeight w:val="736"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662F5F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管理人员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7EE02">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64ABF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D564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CE6F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E968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779C2B9C">
        <w:tblPrEx>
          <w:tblCellMar>
            <w:top w:w="0" w:type="dxa"/>
            <w:left w:w="0" w:type="dxa"/>
            <w:bottom w:w="0" w:type="dxa"/>
            <w:right w:w="0" w:type="dxa"/>
          </w:tblCellMar>
        </w:tblPrEx>
        <w:trPr>
          <w:cantSplit/>
          <w:trHeight w:val="69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0564D4E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34D9621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2F969">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E90100">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8C97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57458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025C5102">
        <w:tblPrEx>
          <w:tblCellMar>
            <w:top w:w="0" w:type="dxa"/>
            <w:left w:w="0" w:type="dxa"/>
            <w:bottom w:w="0" w:type="dxa"/>
            <w:right w:w="0" w:type="dxa"/>
          </w:tblCellMar>
        </w:tblPrEx>
        <w:trPr>
          <w:cantSplit/>
          <w:trHeight w:val="780"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2114FF7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9BDE9">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760F71">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41B02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54A9F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0D529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4C87E43E">
        <w:tblPrEx>
          <w:tblCellMar>
            <w:top w:w="0" w:type="dxa"/>
            <w:left w:w="0" w:type="dxa"/>
            <w:bottom w:w="0" w:type="dxa"/>
            <w:right w:w="0" w:type="dxa"/>
          </w:tblCellMar>
        </w:tblPrEx>
        <w:trPr>
          <w:cantSplit/>
          <w:trHeight w:val="816" w:hRule="atLeast"/>
        </w:trPr>
        <w:tc>
          <w:tcPr>
            <w:tcW w:w="1137"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F3190A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服务团队人员</w:t>
            </w: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92C7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5221C">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503F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7F202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396A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5A04DE43">
        <w:tblPrEx>
          <w:tblCellMar>
            <w:top w:w="0" w:type="dxa"/>
            <w:left w:w="0" w:type="dxa"/>
            <w:bottom w:w="0" w:type="dxa"/>
            <w:right w:w="0" w:type="dxa"/>
          </w:tblCellMar>
        </w:tblPrEx>
        <w:trPr>
          <w:cantSplit/>
          <w:trHeight w:val="838"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3D3EAC70">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275140F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377A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181D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D7770">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DAEDB">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7DB0F54E">
        <w:tblPrEx>
          <w:tblCellMar>
            <w:top w:w="0" w:type="dxa"/>
            <w:left w:w="0" w:type="dxa"/>
            <w:bottom w:w="0" w:type="dxa"/>
            <w:right w:w="0" w:type="dxa"/>
          </w:tblCellMar>
        </w:tblPrEx>
        <w:trPr>
          <w:cantSplit/>
          <w:trHeight w:val="826" w:hRule="atLeast"/>
        </w:trPr>
        <w:tc>
          <w:tcPr>
            <w:tcW w:w="1137"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tcPr>
          <w:p w14:paraId="320B717C">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821" w:type="dxa"/>
            <w:tcBorders>
              <w:top w:val="single" w:color="000000" w:sz="4" w:space="0"/>
              <w:left w:val="single" w:color="000000" w:sz="4" w:space="0"/>
              <w:bottom w:val="single" w:color="000000" w:sz="4" w:space="0"/>
              <w:right w:val="single" w:color="000000" w:sz="4" w:space="0"/>
            </w:tcBorders>
            <w:tcMar>
              <w:left w:w="0" w:type="dxa"/>
              <w:right w:w="0" w:type="dxa"/>
            </w:tcMar>
          </w:tcPr>
          <w:p w14:paraId="02B971F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7810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F526C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55D1E9">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29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D972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bl>
    <w:p w14:paraId="0EFDEBEC">
      <w:pPr>
        <w:pageBreakBefore w:val="0"/>
        <w:widowControl/>
        <w:tabs>
          <w:tab w:val="left" w:pos="555"/>
          <w:tab w:val="left" w:pos="2214"/>
          <w:tab w:val="left" w:pos="3774"/>
          <w:tab w:val="left" w:pos="4854"/>
          <w:tab w:val="left" w:pos="5934"/>
          <w:tab w:val="left" w:pos="7014"/>
          <w:tab w:val="left" w:pos="8214"/>
          <w:tab w:val="left" w:pos="10134"/>
          <w:tab w:val="left" w:pos="11124"/>
        </w:tabs>
        <w:kinsoku/>
        <w:wordWrap/>
        <w:overflowPunct/>
        <w:topLinePunct w:val="0"/>
        <w:bidi w:val="0"/>
        <w:spacing w:line="400" w:lineRule="exact"/>
        <w:ind w:left="410" w:firstLine="360"/>
        <w:jc w:val="left"/>
        <w:outlineLvl w:val="9"/>
        <w:rPr>
          <w:rFonts w:hint="eastAsia" w:ascii="宋体" w:hAnsi="宋体" w:eastAsia="宋体" w:cs="宋体"/>
          <w:color w:val="auto"/>
          <w:sz w:val="24"/>
          <w:highlight w:val="none"/>
        </w:rPr>
      </w:pPr>
    </w:p>
    <w:p w14:paraId="6E97580C">
      <w:pPr>
        <w:pageBreakBefore w:val="0"/>
        <w:kinsoku/>
        <w:overflowPunct/>
        <w:topLinePunct w:val="0"/>
        <w:bidi w:val="0"/>
        <w:spacing w:line="360" w:lineRule="auto"/>
        <w:ind w:firstLine="477" w:firstLineChars="199"/>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供应商可尽量充分地提供为本案服务的工作人员相关证明材料，以便于磋商小组成员综合评定。</w:t>
      </w:r>
    </w:p>
    <w:p w14:paraId="4C3C9467">
      <w:pPr>
        <w:pageBreakBefore w:val="0"/>
        <w:widowControl/>
        <w:tabs>
          <w:tab w:val="left" w:pos="555"/>
          <w:tab w:val="left" w:pos="2214"/>
          <w:tab w:val="left" w:pos="3774"/>
          <w:tab w:val="left" w:pos="4854"/>
          <w:tab w:val="left" w:pos="5934"/>
          <w:tab w:val="left" w:pos="7014"/>
          <w:tab w:val="left" w:pos="8214"/>
          <w:tab w:val="left" w:pos="10134"/>
          <w:tab w:val="left" w:pos="11124"/>
        </w:tabs>
        <w:kinsoku/>
        <w:wordWrap/>
        <w:overflowPunct/>
        <w:topLinePunct w:val="0"/>
        <w:bidi w:val="0"/>
        <w:spacing w:line="400" w:lineRule="exact"/>
        <w:ind w:left="410" w:leftChars="205" w:firstLine="600" w:firstLineChars="250"/>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2.供应商可根据具体人员数量延展表格。</w:t>
      </w:r>
    </w:p>
    <w:p w14:paraId="71140277">
      <w:pPr>
        <w:pageBreakBefore w:val="0"/>
        <w:widowControl/>
        <w:kinsoku/>
        <w:wordWrap/>
        <w:overflowPunct/>
        <w:topLinePunct w:val="0"/>
        <w:bidi w:val="0"/>
        <w:spacing w:line="400" w:lineRule="exact"/>
        <w:jc w:val="center"/>
        <w:outlineLvl w:val="9"/>
        <w:rPr>
          <w:rFonts w:hint="eastAsia" w:ascii="宋体" w:hAnsi="宋体" w:eastAsia="宋体" w:cs="宋体"/>
          <w:b/>
          <w:color w:val="auto"/>
          <w:sz w:val="24"/>
          <w:highlight w:val="none"/>
        </w:rPr>
      </w:pPr>
    </w:p>
    <w:p w14:paraId="2BE850E2">
      <w:pPr>
        <w:pageBreakBefore w:val="0"/>
        <w:widowControl/>
        <w:kinsoku/>
        <w:wordWrap/>
        <w:overflowPunct/>
        <w:topLinePunct w:val="0"/>
        <w:bidi w:val="0"/>
        <w:spacing w:line="400" w:lineRule="exact"/>
        <w:jc w:val="center"/>
        <w:outlineLvl w:val="9"/>
        <w:rPr>
          <w:rFonts w:hint="eastAsia" w:ascii="宋体" w:hAnsi="宋体" w:eastAsia="宋体" w:cs="宋体"/>
          <w:b/>
          <w:color w:val="auto"/>
          <w:sz w:val="24"/>
          <w:highlight w:val="none"/>
        </w:rPr>
      </w:pPr>
    </w:p>
    <w:p w14:paraId="5B599221">
      <w:pPr>
        <w:pageBreakBefore w:val="0"/>
        <w:widowControl/>
        <w:kinsoku/>
        <w:wordWrap/>
        <w:overflowPunct/>
        <w:topLinePunct w:val="0"/>
        <w:bidi w:val="0"/>
        <w:spacing w:line="400" w:lineRule="exact"/>
        <w:jc w:val="left"/>
        <w:outlineLvl w:val="9"/>
        <w:rPr>
          <w:rFonts w:hint="eastAsia" w:ascii="宋体" w:hAnsi="宋体" w:eastAsia="宋体" w:cs="宋体"/>
          <w:b/>
          <w:color w:val="auto"/>
          <w:sz w:val="24"/>
          <w:highlight w:val="none"/>
        </w:rPr>
      </w:pPr>
    </w:p>
    <w:p w14:paraId="49166C8F">
      <w:pPr>
        <w:pageBreakBefore w:val="0"/>
        <w:widowControl/>
        <w:kinsoku/>
        <w:wordWrap/>
        <w:overflowPunct/>
        <w:topLinePunct w:val="0"/>
        <w:bidi w:val="0"/>
        <w:spacing w:line="400" w:lineRule="exact"/>
        <w:jc w:val="left"/>
        <w:outlineLvl w:val="9"/>
        <w:rPr>
          <w:rFonts w:hint="eastAsia" w:ascii="宋体" w:hAnsi="宋体" w:eastAsia="宋体" w:cs="宋体"/>
          <w:b/>
          <w:color w:val="auto"/>
          <w:sz w:val="24"/>
          <w:highlight w:val="none"/>
        </w:rPr>
      </w:pPr>
    </w:p>
    <w:p w14:paraId="130331EB">
      <w:pPr>
        <w:pageBreakBefore w:val="0"/>
        <w:widowControl/>
        <w:kinsoku/>
        <w:wordWrap/>
        <w:overflowPunct/>
        <w:topLinePunct w:val="0"/>
        <w:bidi w:val="0"/>
        <w:spacing w:line="360" w:lineRule="auto"/>
        <w:ind w:firstLine="461"/>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(盖公章)</w:t>
      </w:r>
    </w:p>
    <w:p w14:paraId="6BE00639">
      <w:pPr>
        <w:pageBreakBefore w:val="0"/>
        <w:widowControl/>
        <w:kinsoku/>
        <w:wordWrap/>
        <w:overflowPunct/>
        <w:topLinePunct w:val="0"/>
        <w:bidi w:val="0"/>
        <w:spacing w:line="360" w:lineRule="auto"/>
        <w:ind w:firstLine="461"/>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委托代理人</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或盖章</w:t>
      </w:r>
      <w:r>
        <w:rPr>
          <w:rFonts w:hint="eastAsia" w:ascii="宋体" w:hAnsi="宋体" w:eastAsia="宋体" w:cs="宋体"/>
          <w:color w:val="auto"/>
          <w:sz w:val="24"/>
          <w:highlight w:val="none"/>
        </w:rPr>
        <w:t>）：</w:t>
      </w:r>
    </w:p>
    <w:p w14:paraId="642EE049">
      <w:pPr>
        <w:pageBreakBefore w:val="0"/>
        <w:widowControl/>
        <w:kinsoku/>
        <w:wordWrap/>
        <w:overflowPunct/>
        <w:topLinePunct w:val="0"/>
        <w:bidi w:val="0"/>
        <w:spacing w:line="360" w:lineRule="auto"/>
        <w:ind w:firstLine="461"/>
        <w:jc w:val="lef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日期：</w:t>
      </w:r>
    </w:p>
    <w:p w14:paraId="2026295C">
      <w:pPr>
        <w:pageBreakBefore w:val="0"/>
        <w:widowControl/>
        <w:kinsoku/>
        <w:wordWrap/>
        <w:overflowPunct/>
        <w:topLinePunct w:val="0"/>
        <w:bidi w:val="0"/>
        <w:spacing w:line="360" w:lineRule="auto"/>
        <w:ind w:firstLine="461"/>
        <w:jc w:val="center"/>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lang w:eastAsia="zh-CN"/>
        </w:rPr>
        <w:br w:type="page"/>
      </w: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、类似项目业绩一览表</w:t>
      </w:r>
    </w:p>
    <w:tbl>
      <w:tblPr>
        <w:tblStyle w:val="21"/>
        <w:tblW w:w="8595" w:type="dxa"/>
        <w:jc w:val="center"/>
        <w:tblLayout w:type="fixed"/>
        <w:tblCellMar>
          <w:top w:w="0" w:type="dxa"/>
          <w:left w:w="0" w:type="dxa"/>
          <w:bottom w:w="0" w:type="dxa"/>
          <w:right w:w="0" w:type="dxa"/>
        </w:tblCellMar>
      </w:tblPr>
      <w:tblGrid>
        <w:gridCol w:w="640"/>
        <w:gridCol w:w="1281"/>
        <w:gridCol w:w="1173"/>
        <w:gridCol w:w="1032"/>
        <w:gridCol w:w="1120"/>
        <w:gridCol w:w="9"/>
        <w:gridCol w:w="1412"/>
        <w:gridCol w:w="1928"/>
      </w:tblGrid>
      <w:tr w14:paraId="073030B6">
        <w:tblPrEx>
          <w:tblCellMar>
            <w:top w:w="0" w:type="dxa"/>
            <w:left w:w="0" w:type="dxa"/>
            <w:bottom w:w="0" w:type="dxa"/>
            <w:right w:w="0" w:type="dxa"/>
          </w:tblCellMar>
        </w:tblPrEx>
        <w:trPr>
          <w:trHeight w:val="819" w:hRule="atLeast"/>
          <w:jc w:val="center"/>
        </w:trPr>
        <w:tc>
          <w:tcPr>
            <w:tcW w:w="640"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14:paraId="30BB6FDF">
            <w:pPr>
              <w:pageBreakBefore w:val="0"/>
              <w:widowControl/>
              <w:kinsoku/>
              <w:wordWrap/>
              <w:overflowPunct/>
              <w:topLinePunct w:val="0"/>
              <w:bidi w:val="0"/>
              <w:spacing w:line="4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年份</w:t>
            </w:r>
          </w:p>
        </w:tc>
        <w:tc>
          <w:tcPr>
            <w:tcW w:w="1281"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484F7F7">
            <w:pPr>
              <w:pageBreakBefore w:val="0"/>
              <w:widowControl/>
              <w:kinsoku/>
              <w:wordWrap/>
              <w:overflowPunct/>
              <w:topLinePunct w:val="0"/>
              <w:bidi w:val="0"/>
              <w:spacing w:line="4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用户名称</w:t>
            </w:r>
          </w:p>
        </w:tc>
        <w:tc>
          <w:tcPr>
            <w:tcW w:w="117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66E8DA12">
            <w:pPr>
              <w:pageBreakBefore w:val="0"/>
              <w:widowControl/>
              <w:kinsoku/>
              <w:wordWrap/>
              <w:overflowPunct/>
              <w:topLinePunct w:val="0"/>
              <w:bidi w:val="0"/>
              <w:spacing w:line="4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103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63831080">
            <w:pPr>
              <w:pageBreakBefore w:val="0"/>
              <w:widowControl/>
              <w:kinsoku/>
              <w:wordWrap/>
              <w:overflowPunct/>
              <w:topLinePunct w:val="0"/>
              <w:bidi w:val="0"/>
              <w:spacing w:line="4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完成时间</w:t>
            </w:r>
          </w:p>
        </w:tc>
        <w:tc>
          <w:tcPr>
            <w:tcW w:w="112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01FAA4F">
            <w:pPr>
              <w:pageBreakBefore w:val="0"/>
              <w:widowControl/>
              <w:kinsoku/>
              <w:wordWrap/>
              <w:overflowPunct/>
              <w:topLinePunct w:val="0"/>
              <w:bidi w:val="0"/>
              <w:spacing w:line="400" w:lineRule="exact"/>
              <w:ind w:firstLine="105"/>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合同金额</w:t>
            </w:r>
          </w:p>
        </w:tc>
        <w:tc>
          <w:tcPr>
            <w:tcW w:w="1421" w:type="dxa"/>
            <w:gridSpan w:val="2"/>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1D5B3485">
            <w:pPr>
              <w:pageBreakBefore w:val="0"/>
              <w:widowControl/>
              <w:kinsoku/>
              <w:wordWrap/>
              <w:overflowPunct/>
              <w:topLinePunct w:val="0"/>
              <w:bidi w:val="0"/>
              <w:spacing w:line="4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完成项目质量</w:t>
            </w:r>
          </w:p>
        </w:tc>
        <w:tc>
          <w:tcPr>
            <w:tcW w:w="1928" w:type="dxa"/>
            <w:tcBorders>
              <w:top w:val="single" w:color="000000" w:sz="4" w:space="0"/>
              <w:left w:val="single" w:color="000000" w:sz="4" w:space="0"/>
              <w:bottom w:val="single" w:color="000000" w:sz="6" w:space="0"/>
              <w:right w:val="single" w:color="000000" w:sz="4" w:space="0"/>
            </w:tcBorders>
            <w:tcMar>
              <w:left w:w="0" w:type="dxa"/>
              <w:right w:w="0" w:type="dxa"/>
            </w:tcMar>
            <w:vAlign w:val="center"/>
          </w:tcPr>
          <w:p w14:paraId="3F075483">
            <w:pPr>
              <w:pageBreakBefore w:val="0"/>
              <w:widowControl/>
              <w:kinsoku/>
              <w:wordWrap/>
              <w:overflowPunct/>
              <w:topLinePunct w:val="0"/>
              <w:bidi w:val="0"/>
              <w:spacing w:line="4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40A8AA01">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7A7872B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D6D490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5BCBE6C">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3E3371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AC5C55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217282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C666B1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33CBDE6C">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7382B8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C92422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CC6A2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07645A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0C106CA">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EAC0BD0">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EC6EEE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7067735D">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90E569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E31B09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137AE5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9E2022C">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5B37452">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5FEA2AA">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BC47A2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721F37D5">
        <w:tblPrEx>
          <w:tblCellMar>
            <w:top w:w="0" w:type="dxa"/>
            <w:left w:w="0" w:type="dxa"/>
            <w:bottom w:w="0" w:type="dxa"/>
            <w:right w:w="0" w:type="dxa"/>
          </w:tblCellMar>
        </w:tblPrEx>
        <w:trPr>
          <w:trHeight w:val="539" w:hRule="atLeast"/>
          <w:jc w:val="center"/>
        </w:trPr>
        <w:tc>
          <w:tcPr>
            <w:tcW w:w="640" w:type="dxa"/>
            <w:tcBorders>
              <w:top w:val="single" w:color="000000" w:sz="6" w:space="0"/>
              <w:left w:val="single" w:color="000000" w:sz="4" w:space="0"/>
              <w:bottom w:val="single" w:color="000000" w:sz="4" w:space="0"/>
              <w:right w:val="single" w:color="000000" w:sz="6" w:space="0"/>
            </w:tcBorders>
            <w:tcMar>
              <w:left w:w="0" w:type="dxa"/>
              <w:right w:w="0" w:type="dxa"/>
            </w:tcMar>
            <w:vAlign w:val="center"/>
          </w:tcPr>
          <w:p w14:paraId="67EF3210">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716EB02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2FCCE1E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6F40D98A">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6" w:space="0"/>
              <w:left w:val="single" w:color="000000" w:sz="6" w:space="0"/>
              <w:bottom w:val="single" w:color="000000" w:sz="4" w:space="0"/>
              <w:right w:val="single" w:color="000000" w:sz="4" w:space="0"/>
            </w:tcBorders>
            <w:tcMar>
              <w:left w:w="0" w:type="dxa"/>
              <w:right w:w="0" w:type="dxa"/>
            </w:tcMar>
            <w:vAlign w:val="center"/>
          </w:tcPr>
          <w:p w14:paraId="0C0CAE7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6F237ED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5E041EB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59D27AB9">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3024E89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1FCB35A">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AB0B17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E0351E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7971CE1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A7CCFBB">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4C7698B">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4EA40443">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0A3EC0E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DC0BA7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1CD3563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1C959E01">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4BFEADB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B9512B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8F365B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01BA14FC">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60FF0E0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358B7017">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4241FEF7">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174C14B">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2C2FEE2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3CE16F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B279EDB">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094E3B5F">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2870AAC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7B3CF92">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30B238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77CA7E1">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26379F8C">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240F70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539A68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1E6FA2E8">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718499C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4B1E6AB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26288FE2">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59A4D4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38474C9B">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062ADDC">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5B09D2C">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11C778B3">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5D6B9C8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1305D6B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9BDFAA0">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FA83DA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6094EAB2">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E45C5EA">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EA896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4E653021">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5A255BFB">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0CF726C">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200665B2">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EE142C9">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6CAA878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C5D99D1">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4ACB0D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036D6ECC">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64E06CF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1CBB702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51F471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19F913E">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1998C087">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30C55C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090BFA">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722B8BA6">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38A0145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4387DAB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E3BA5BA">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CB99C17">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6353319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08E66A6">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21E0EEF">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r w14:paraId="0640F1A4">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7B4D0375">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B8D9BB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74108B8">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9976AAD">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5C5BFBB2">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363D193">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C5B5F4">
            <w:pPr>
              <w:pageBreakBefore w:val="0"/>
              <w:widowControl/>
              <w:kinsoku/>
              <w:wordWrap/>
              <w:overflowPunct/>
              <w:topLinePunct w:val="0"/>
              <w:bidi w:val="0"/>
              <w:spacing w:line="400" w:lineRule="exact"/>
              <w:jc w:val="center"/>
              <w:outlineLvl w:val="9"/>
              <w:rPr>
                <w:rFonts w:hint="eastAsia" w:ascii="宋体" w:hAnsi="宋体" w:eastAsia="宋体" w:cs="宋体"/>
                <w:color w:val="auto"/>
                <w:sz w:val="24"/>
                <w:highlight w:val="none"/>
              </w:rPr>
            </w:pPr>
          </w:p>
        </w:tc>
      </w:tr>
    </w:tbl>
    <w:p w14:paraId="14FEF26D">
      <w:pPr>
        <w:pageBreakBefore w:val="0"/>
        <w:widowControl/>
        <w:tabs>
          <w:tab w:val="left" w:pos="555"/>
          <w:tab w:val="left" w:pos="2214"/>
          <w:tab w:val="left" w:pos="3774"/>
          <w:tab w:val="left" w:pos="4854"/>
          <w:tab w:val="left" w:pos="5934"/>
          <w:tab w:val="left" w:pos="7014"/>
          <w:tab w:val="left" w:pos="8214"/>
          <w:tab w:val="left" w:pos="10134"/>
          <w:tab w:val="left" w:pos="11124"/>
        </w:tabs>
        <w:kinsoku/>
        <w:wordWrap/>
        <w:overflowPunct/>
        <w:topLinePunct w:val="0"/>
        <w:bidi w:val="0"/>
        <w:spacing w:line="400" w:lineRule="exact"/>
        <w:ind w:left="410"/>
        <w:jc w:val="left"/>
        <w:outlineLvl w:val="9"/>
        <w:rPr>
          <w:rFonts w:hint="eastAsia" w:ascii="宋体" w:hAnsi="宋体" w:eastAsia="宋体" w:cs="宋体"/>
          <w:color w:val="auto"/>
          <w:sz w:val="24"/>
          <w:highlight w:val="none"/>
        </w:rPr>
      </w:pPr>
    </w:p>
    <w:p w14:paraId="35C6BD1E">
      <w:pPr>
        <w:pageBreakBefore w:val="0"/>
        <w:widowControl/>
        <w:tabs>
          <w:tab w:val="left" w:pos="555"/>
          <w:tab w:val="left" w:pos="2214"/>
          <w:tab w:val="left" w:pos="3774"/>
          <w:tab w:val="left" w:pos="4854"/>
          <w:tab w:val="left" w:pos="5934"/>
          <w:tab w:val="left" w:pos="7014"/>
          <w:tab w:val="left" w:pos="8214"/>
          <w:tab w:val="left" w:pos="10134"/>
          <w:tab w:val="left" w:pos="11124"/>
        </w:tabs>
        <w:kinsoku/>
        <w:wordWrap/>
        <w:overflowPunct/>
        <w:topLinePunct w:val="0"/>
        <w:bidi w:val="0"/>
        <w:spacing w:line="400" w:lineRule="exact"/>
        <w:ind w:left="410"/>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注：1.供应商（仅限于供应商自己实施的）以上业绩需提供有关书面证明材料。</w:t>
      </w:r>
    </w:p>
    <w:p w14:paraId="503C5BD7">
      <w:pPr>
        <w:pageBreakBefore w:val="0"/>
        <w:widowControl/>
        <w:tabs>
          <w:tab w:val="left" w:pos="555"/>
          <w:tab w:val="left" w:pos="2214"/>
          <w:tab w:val="left" w:pos="3774"/>
          <w:tab w:val="left" w:pos="4854"/>
          <w:tab w:val="left" w:pos="5934"/>
          <w:tab w:val="left" w:pos="7014"/>
          <w:tab w:val="left" w:pos="8214"/>
          <w:tab w:val="left" w:pos="10134"/>
          <w:tab w:val="left" w:pos="11124"/>
        </w:tabs>
        <w:kinsoku/>
        <w:wordWrap/>
        <w:overflowPunct/>
        <w:topLinePunct w:val="0"/>
        <w:bidi w:val="0"/>
        <w:spacing w:line="400" w:lineRule="exact"/>
        <w:ind w:left="410"/>
        <w:jc w:val="left"/>
        <w:outlineLvl w:val="9"/>
        <w:rPr>
          <w:rFonts w:hint="eastAsia" w:ascii="宋体" w:hAnsi="宋体" w:eastAsia="宋体" w:cs="宋体"/>
          <w:color w:val="auto"/>
          <w:sz w:val="22"/>
          <w:szCs w:val="22"/>
          <w:highlight w:val="none"/>
        </w:rPr>
      </w:pPr>
    </w:p>
    <w:p w14:paraId="5FED8ED3">
      <w:pPr>
        <w:pageBreakBefore w:val="0"/>
        <w:widowControl/>
        <w:kinsoku/>
        <w:wordWrap/>
        <w:overflowPunct/>
        <w:topLinePunct w:val="0"/>
        <w:bidi w:val="0"/>
        <w:spacing w:line="400" w:lineRule="exact"/>
        <w:outlineLvl w:val="9"/>
        <w:rPr>
          <w:rFonts w:hint="eastAsia" w:ascii="宋体" w:hAnsi="宋体" w:eastAsia="宋体" w:cs="宋体"/>
          <w:color w:val="auto"/>
          <w:sz w:val="22"/>
          <w:szCs w:val="22"/>
          <w:highlight w:val="none"/>
          <w:lang w:eastAsia="zh-CN"/>
        </w:rPr>
      </w:pPr>
    </w:p>
    <w:p w14:paraId="36FFF28D">
      <w:pPr>
        <w:pageBreakBefore w:val="0"/>
        <w:widowControl/>
        <w:kinsoku/>
        <w:wordWrap/>
        <w:overflowPunct/>
        <w:topLinePunct w:val="0"/>
        <w:bidi w:val="0"/>
        <w:spacing w:line="360" w:lineRule="auto"/>
        <w:ind w:firstLine="461"/>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(盖公章)</w:t>
      </w:r>
    </w:p>
    <w:p w14:paraId="31419161">
      <w:pPr>
        <w:pageBreakBefore w:val="0"/>
        <w:widowControl/>
        <w:kinsoku/>
        <w:wordWrap/>
        <w:overflowPunct/>
        <w:topLinePunct w:val="0"/>
        <w:bidi w:val="0"/>
        <w:spacing w:line="360" w:lineRule="auto"/>
        <w:ind w:firstLine="461"/>
        <w:jc w:val="lef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w:t>
      </w:r>
      <w:r>
        <w:rPr>
          <w:rFonts w:hint="eastAsia" w:ascii="宋体" w:hAnsi="宋体" w:eastAsia="宋体" w:cs="宋体"/>
          <w:color w:val="auto"/>
          <w:sz w:val="22"/>
          <w:szCs w:val="22"/>
          <w:highlight w:val="none"/>
          <w:lang w:eastAsia="zh-CN"/>
        </w:rPr>
        <w:t>委托代理人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或盖章</w:t>
      </w:r>
      <w:r>
        <w:rPr>
          <w:rFonts w:hint="eastAsia" w:ascii="宋体" w:hAnsi="宋体" w:eastAsia="宋体" w:cs="宋体"/>
          <w:color w:val="auto"/>
          <w:sz w:val="22"/>
          <w:szCs w:val="22"/>
          <w:highlight w:val="none"/>
        </w:rPr>
        <w:t>）：</w:t>
      </w:r>
    </w:p>
    <w:p w14:paraId="5DCFE936">
      <w:pPr>
        <w:pageBreakBefore w:val="0"/>
        <w:widowControl/>
        <w:kinsoku/>
        <w:wordWrap/>
        <w:overflowPunct/>
        <w:topLinePunct w:val="0"/>
        <w:bidi w:val="0"/>
        <w:spacing w:line="360" w:lineRule="auto"/>
        <w:ind w:firstLine="461"/>
        <w:jc w:val="left"/>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p>
    <w:p w14:paraId="2CF17987">
      <w:pPr>
        <w:pageBreakBefore w:val="0"/>
        <w:kinsoku/>
        <w:wordWrap/>
        <w:overflowPunct/>
        <w:topLinePunct w:val="0"/>
        <w:bidi w:val="0"/>
        <w:outlineLvl w:val="9"/>
        <w:rPr>
          <w:rFonts w:hint="eastAsia" w:ascii="宋体" w:hAnsi="宋体" w:eastAsia="宋体" w:cs="宋体"/>
          <w:b/>
          <w:color w:val="auto"/>
          <w:sz w:val="24"/>
          <w:highlight w:val="none"/>
          <w:lang w:eastAsia="zh-CN"/>
        </w:rPr>
      </w:pPr>
    </w:p>
    <w:p w14:paraId="4D093C2F">
      <w:pPr>
        <w:pageBreakBefore w:val="0"/>
        <w:kinsoku/>
        <w:overflowPunct/>
        <w:topLinePunct w:val="0"/>
        <w:bidi w:val="0"/>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br w:type="page"/>
      </w:r>
    </w:p>
    <w:p w14:paraId="6FA87BF5">
      <w:pPr>
        <w:pageBreakBefore w:val="0"/>
        <w:widowControl/>
        <w:numPr>
          <w:ilvl w:val="0"/>
          <w:numId w:val="0"/>
        </w:numPr>
        <w:kinsoku/>
        <w:wordWrap/>
        <w:overflowPunct/>
        <w:topLinePunct w:val="0"/>
        <w:bidi w:val="0"/>
        <w:spacing w:line="360" w:lineRule="auto"/>
        <w:ind w:firstLine="461" w:firstLineChars="0"/>
        <w:jc w:val="center"/>
        <w:outlineLvl w:val="9"/>
        <w:rPr>
          <w:rFonts w:hint="eastAsia" w:ascii="宋体" w:hAnsi="宋体" w:eastAsia="宋体" w:cs="宋体"/>
          <w:b/>
          <w:color w:val="auto"/>
          <w:sz w:val="24"/>
          <w:highlight w:val="none"/>
          <w:lang w:eastAsia="zh-CN"/>
        </w:rPr>
      </w:pPr>
      <w:r>
        <w:rPr>
          <w:rFonts w:hint="eastAsia" w:hAnsi="宋体" w:cs="宋体"/>
          <w:b/>
          <w:color w:val="auto"/>
          <w:kern w:val="2"/>
          <w:sz w:val="24"/>
          <w:szCs w:val="24"/>
          <w:lang w:val="en-US" w:eastAsia="zh-CN" w:bidi="ar-SA"/>
        </w:rPr>
        <w:t>九</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highlight w:val="none"/>
          <w:lang w:eastAsia="zh-CN"/>
        </w:rPr>
        <w:t>其他相关材料</w:t>
      </w:r>
    </w:p>
    <w:p w14:paraId="39BFD750">
      <w:pPr>
        <w:pageBreakBefore w:val="0"/>
        <w:widowControl/>
        <w:numPr>
          <w:ilvl w:val="0"/>
          <w:numId w:val="0"/>
        </w:numPr>
        <w:kinsoku/>
        <w:wordWrap/>
        <w:overflowPunct/>
        <w:topLinePunct w:val="0"/>
        <w:bidi w:val="0"/>
        <w:spacing w:line="360" w:lineRule="auto"/>
        <w:jc w:val="both"/>
        <w:outlineLvl w:val="9"/>
        <w:rPr>
          <w:rFonts w:hint="eastAsia" w:ascii="宋体" w:hAnsi="宋体" w:eastAsia="宋体" w:cs="宋体"/>
          <w:b/>
          <w:color w:val="auto"/>
          <w:sz w:val="24"/>
          <w:highlight w:val="none"/>
          <w:lang w:eastAsia="zh-CN"/>
        </w:rPr>
      </w:pPr>
    </w:p>
    <w:sectPr>
      <w:headerReference r:id="rId5" w:type="default"/>
      <w:footerReference r:id="rId6" w:type="default"/>
      <w:endnotePr>
        <w:numFmt w:val="decimal"/>
      </w:endnotePr>
      <w:type w:val="continuous"/>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FreeSerif">
    <w:altName w:val="Segoe Print"/>
    <w:panose1 w:val="02020603050405020304"/>
    <w:charset w:val="00"/>
    <w:family w:val="auto"/>
    <w:pitch w:val="default"/>
    <w:sig w:usb0="00000000" w:usb1="00000000" w:usb2="43501B29" w:usb3="04000043" w:csb0="600101FF" w:csb1="FFFF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script"/>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1549">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87DD67">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2</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5787DD67">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2</w:t>
                    </w:r>
                    <w:r>
                      <w:rPr>
                        <w:rFonts w:hint="eastAsia"/>
                        <w:sz w:val="18"/>
                        <w:lang w:eastAsia="zh-CN"/>
                      </w:rPr>
                      <w:fldChar w:fldCharType="end"/>
                    </w:r>
                  </w:p>
                </w:txbxContent>
              </v:textbox>
            </v:shape>
          </w:pict>
        </mc:Fallback>
      </mc:AlternateContent>
    </w:r>
  </w:p>
  <w:p w14:paraId="142928F2">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F3E4">
    <w:pPr>
      <w:pStyle w:val="16"/>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45</w:t>
    </w:r>
    <w:r>
      <w:fldChar w:fldCharType="end"/>
    </w:r>
  </w:p>
  <w:p w14:paraId="508B368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5A77">
    <w:pPr>
      <w:widowControl/>
      <w:tabs>
        <w:tab w:val="center" w:pos="4153"/>
        <w:tab w:val="right" w:pos="8306"/>
      </w:tabs>
      <w:wordWrap/>
      <w:jc w:val="left"/>
      <w:rPr>
        <w:rFonts w:ascii="Times New Roman"/>
        <w:color w:val="000000"/>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877E7C">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52</w:t>
                          </w:r>
                          <w:r>
                            <w:rPr>
                              <w:rFonts w:hint="eastAsia"/>
                              <w:sz w:val="18"/>
                              <w:lang w:eastAsia="zh-CN"/>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Zg2s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hoMs8Jfi7Q8SR8qSpwwiLDJODT5i5TuuWduRPP1e9/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09mDazwEAAKoDAAAOAAAAAAAAAAEAIAAAAB4BAABkcnMv&#10;ZTJvRG9jLnhtbFBLBQYAAAAABgAGAFkBAABfBQAAAAA=&#10;">
              <v:fill on="f" focussize="0,0"/>
              <v:stroke on="f"/>
              <v:imagedata o:title=""/>
              <o:lock v:ext="edit" aspectratio="f"/>
              <v:textbox inset="0mm,0mm,0mm,0mm" style="mso-fit-shape-to-text:t;">
                <w:txbxContent>
                  <w:p w14:paraId="7B877E7C">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52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56B9">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6342C"/>
    <w:multiLevelType w:val="singleLevel"/>
    <w:tmpl w:val="F036342C"/>
    <w:lvl w:ilvl="0" w:tentative="0">
      <w:start w:val="11"/>
      <w:numFmt w:val="chineseCounting"/>
      <w:suff w:val="nothing"/>
      <w:lvlText w:val="%1、"/>
      <w:lvlJc w:val="left"/>
      <w:rPr>
        <w:rFonts w:hint="eastAsia"/>
      </w:rPr>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cs="Times New Roman"/>
      </w:rPr>
    </w:lvl>
  </w:abstractNum>
  <w:abstractNum w:abstractNumId="3">
    <w:nsid w:val="584EEBCC"/>
    <w:multiLevelType w:val="singleLevel"/>
    <w:tmpl w:val="584EEBCC"/>
    <w:lvl w:ilvl="0" w:tentative="0">
      <w:start w:val="1"/>
      <w:numFmt w:val="decimal"/>
      <w:pStyle w:val="8"/>
      <w:lvlText w:val="%1."/>
      <w:lvlJc w:val="left"/>
      <w:pPr>
        <w:tabs>
          <w:tab w:val="left" w:pos="780"/>
        </w:tabs>
        <w:ind w:left="780" w:hanging="360"/>
      </w:pPr>
    </w:lvl>
  </w:abstractNum>
  <w:abstractNum w:abstractNumId="4">
    <w:nsid w:val="59C07086"/>
    <w:multiLevelType w:val="singleLevel"/>
    <w:tmpl w:val="59C07086"/>
    <w:lvl w:ilvl="0" w:tentative="0">
      <w:start w:val="1"/>
      <w:numFmt w:val="decimal"/>
      <w:suff w:val="nothing"/>
      <w:lvlText w:val="%1、"/>
      <w:lvlJc w:val="left"/>
    </w:lvl>
  </w:abstractNum>
  <w:abstractNum w:abstractNumId="5">
    <w:nsid w:val="5A8CB3EB"/>
    <w:multiLevelType w:val="singleLevel"/>
    <w:tmpl w:val="5A8CB3EB"/>
    <w:lvl w:ilvl="0" w:tentative="0">
      <w:start w:val="1"/>
      <w:numFmt w:val="chineseCounting"/>
      <w:suff w:val="nothing"/>
      <w:lvlText w:val="%1、"/>
      <w:lvlJc w:val="left"/>
      <w:rPr>
        <w:rFonts w:hint="eastAsia"/>
      </w:rPr>
    </w:lvl>
  </w:abstractNum>
  <w:abstractNum w:abstractNumId="6">
    <w:nsid w:val="666F7EB7"/>
    <w:multiLevelType w:val="multilevel"/>
    <w:tmpl w:val="666F7EB7"/>
    <w:lvl w:ilvl="0" w:tentative="0">
      <w:start w:val="1"/>
      <w:numFmt w:val="chineseCountingThousand"/>
      <w:pStyle w:val="3"/>
      <w:suff w:val="nothing"/>
      <w:lvlText w:val="第%1部分 "/>
      <w:lvlJc w:val="left"/>
      <w:pPr>
        <w:ind w:left="0" w:firstLine="0"/>
      </w:pPr>
      <w:rPr>
        <w:rFonts w:hint="default" w:ascii="Arial" w:hAnsi="Arial" w:eastAsia="黑体"/>
        <w:b/>
        <w:i w:val="0"/>
        <w:sz w:val="44"/>
      </w:rPr>
    </w:lvl>
    <w:lvl w:ilvl="1" w:tentative="0">
      <w:start w:val="1"/>
      <w:numFmt w:val="decimal"/>
      <w:isLgl/>
      <w:suff w:val="nothing"/>
      <w:lvlText w:val="%1.%2."/>
      <w:lvlJc w:val="left"/>
      <w:pPr>
        <w:ind w:left="0" w:firstLine="0"/>
      </w:pPr>
      <w:rPr>
        <w:rFonts w:hint="default" w:ascii="Arial" w:hAnsi="Arial" w:eastAsia="黑体"/>
        <w:b/>
        <w:i w:val="0"/>
        <w:sz w:val="36"/>
      </w:rPr>
    </w:lvl>
    <w:lvl w:ilvl="2" w:tentative="0">
      <w:start w:val="1"/>
      <w:numFmt w:val="decimal"/>
      <w:isLgl/>
      <w:suff w:val="nothing"/>
      <w:lvlText w:val="%1.%2.%3."/>
      <w:lvlJc w:val="left"/>
      <w:pPr>
        <w:ind w:left="0" w:firstLine="0"/>
      </w:pPr>
      <w:rPr>
        <w:rFonts w:hint="default" w:ascii="Arial" w:hAnsi="Arial" w:eastAsia="黑体"/>
        <w:b/>
        <w:i w:val="0"/>
        <w:sz w:val="32"/>
      </w:rPr>
    </w:lvl>
    <w:lvl w:ilvl="3" w:tentative="0">
      <w:start w:val="1"/>
      <w:numFmt w:val="decimal"/>
      <w:isLgl/>
      <w:suff w:val="nothing"/>
      <w:lvlText w:val="%1.%2.%3.%4."/>
      <w:lvlJc w:val="left"/>
      <w:pPr>
        <w:ind w:left="0" w:firstLine="0"/>
      </w:pPr>
      <w:rPr>
        <w:rFonts w:hint="default" w:ascii="Arial" w:hAnsi="Arial" w:eastAsia="黑体"/>
        <w:b/>
        <w:i w:val="0"/>
        <w:sz w:val="30"/>
      </w:rPr>
    </w:lvl>
    <w:lvl w:ilvl="4" w:tentative="0">
      <w:start w:val="1"/>
      <w:numFmt w:val="decimal"/>
      <w:isLgl/>
      <w:suff w:val="nothing"/>
      <w:lvlText w:val="%1.%2.%3.%4.%5."/>
      <w:lvlJc w:val="left"/>
      <w:pPr>
        <w:ind w:left="0" w:firstLine="0"/>
      </w:pPr>
      <w:rPr>
        <w:rFonts w:hint="default" w:ascii="Arial" w:hAnsi="Arial" w:eastAsia="黑体"/>
        <w:b/>
        <w:i w:val="0"/>
        <w:sz w:val="28"/>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3"/>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NWY4N2VjNTY1ZDBjNzI5N2JlYzJmYmMzNTg1YzAifQ=="/>
  </w:docVars>
  <w:rsids>
    <w:rsidRoot w:val="00AA5782"/>
    <w:rsid w:val="00016FBA"/>
    <w:rsid w:val="0004569B"/>
    <w:rsid w:val="001125BE"/>
    <w:rsid w:val="00155351"/>
    <w:rsid w:val="00177862"/>
    <w:rsid w:val="001C4EBD"/>
    <w:rsid w:val="002272C5"/>
    <w:rsid w:val="00304204"/>
    <w:rsid w:val="00321C60"/>
    <w:rsid w:val="003D075B"/>
    <w:rsid w:val="00437C54"/>
    <w:rsid w:val="004672B9"/>
    <w:rsid w:val="004826FA"/>
    <w:rsid w:val="004E43BF"/>
    <w:rsid w:val="00575DC9"/>
    <w:rsid w:val="005F65F0"/>
    <w:rsid w:val="00666660"/>
    <w:rsid w:val="007614EE"/>
    <w:rsid w:val="00776C4E"/>
    <w:rsid w:val="007B1726"/>
    <w:rsid w:val="008253C2"/>
    <w:rsid w:val="00825A80"/>
    <w:rsid w:val="00891CDF"/>
    <w:rsid w:val="00943C5E"/>
    <w:rsid w:val="00972799"/>
    <w:rsid w:val="00A62521"/>
    <w:rsid w:val="00AA5782"/>
    <w:rsid w:val="00AE0F69"/>
    <w:rsid w:val="00B90DD3"/>
    <w:rsid w:val="00BA61E9"/>
    <w:rsid w:val="00C33BD8"/>
    <w:rsid w:val="00CB2B33"/>
    <w:rsid w:val="00CD58F8"/>
    <w:rsid w:val="00D4454D"/>
    <w:rsid w:val="00D8674F"/>
    <w:rsid w:val="00EA34A0"/>
    <w:rsid w:val="00EB1C0E"/>
    <w:rsid w:val="01017684"/>
    <w:rsid w:val="01080A12"/>
    <w:rsid w:val="011E0236"/>
    <w:rsid w:val="013637D1"/>
    <w:rsid w:val="01CA5CC8"/>
    <w:rsid w:val="01DF29D6"/>
    <w:rsid w:val="021052EA"/>
    <w:rsid w:val="025657AD"/>
    <w:rsid w:val="028916DF"/>
    <w:rsid w:val="02BF3353"/>
    <w:rsid w:val="02DD1435"/>
    <w:rsid w:val="02E11EE3"/>
    <w:rsid w:val="03345AEF"/>
    <w:rsid w:val="033C49A3"/>
    <w:rsid w:val="035C5045"/>
    <w:rsid w:val="036F6B27"/>
    <w:rsid w:val="03750CA5"/>
    <w:rsid w:val="0385634A"/>
    <w:rsid w:val="038C280D"/>
    <w:rsid w:val="03DB0660"/>
    <w:rsid w:val="04037616"/>
    <w:rsid w:val="040556DD"/>
    <w:rsid w:val="043D09D3"/>
    <w:rsid w:val="04815B84"/>
    <w:rsid w:val="04953D64"/>
    <w:rsid w:val="04DD5D12"/>
    <w:rsid w:val="04ED41A7"/>
    <w:rsid w:val="0513414D"/>
    <w:rsid w:val="056106F1"/>
    <w:rsid w:val="05685F23"/>
    <w:rsid w:val="05687CD1"/>
    <w:rsid w:val="058C7E64"/>
    <w:rsid w:val="05E530D0"/>
    <w:rsid w:val="060A2B37"/>
    <w:rsid w:val="06782196"/>
    <w:rsid w:val="069A65B0"/>
    <w:rsid w:val="069D7E4F"/>
    <w:rsid w:val="06AF1498"/>
    <w:rsid w:val="06BC4542"/>
    <w:rsid w:val="06C76EE4"/>
    <w:rsid w:val="07230354"/>
    <w:rsid w:val="0748692C"/>
    <w:rsid w:val="074E2EF7"/>
    <w:rsid w:val="07B00772"/>
    <w:rsid w:val="07C0774C"/>
    <w:rsid w:val="07CB46B1"/>
    <w:rsid w:val="07FB5108"/>
    <w:rsid w:val="08033CE1"/>
    <w:rsid w:val="080D1143"/>
    <w:rsid w:val="081E0B1B"/>
    <w:rsid w:val="082663F8"/>
    <w:rsid w:val="08314CF2"/>
    <w:rsid w:val="0849203C"/>
    <w:rsid w:val="08901A19"/>
    <w:rsid w:val="08D86F1C"/>
    <w:rsid w:val="09774987"/>
    <w:rsid w:val="09E71B0D"/>
    <w:rsid w:val="09EA6B33"/>
    <w:rsid w:val="0A25726B"/>
    <w:rsid w:val="0A3A5137"/>
    <w:rsid w:val="0A40746F"/>
    <w:rsid w:val="0AC260D6"/>
    <w:rsid w:val="0AC30636"/>
    <w:rsid w:val="0B1804A2"/>
    <w:rsid w:val="0B380146"/>
    <w:rsid w:val="0B493D92"/>
    <w:rsid w:val="0B9F1F73"/>
    <w:rsid w:val="0BE81B6C"/>
    <w:rsid w:val="0BF64289"/>
    <w:rsid w:val="0BFD7BF6"/>
    <w:rsid w:val="0C063DA0"/>
    <w:rsid w:val="0C770FC2"/>
    <w:rsid w:val="0C7C795A"/>
    <w:rsid w:val="0C9C5D9B"/>
    <w:rsid w:val="0CE51C08"/>
    <w:rsid w:val="0CEA5470"/>
    <w:rsid w:val="0D097E76"/>
    <w:rsid w:val="0D1424ED"/>
    <w:rsid w:val="0D605732"/>
    <w:rsid w:val="0D6C37A9"/>
    <w:rsid w:val="0D7A2C98"/>
    <w:rsid w:val="0D981CA6"/>
    <w:rsid w:val="0DA11FD2"/>
    <w:rsid w:val="0DC16823"/>
    <w:rsid w:val="0E094B84"/>
    <w:rsid w:val="0E121122"/>
    <w:rsid w:val="0E1A3B33"/>
    <w:rsid w:val="0E5232CD"/>
    <w:rsid w:val="0ED2440E"/>
    <w:rsid w:val="0EEC54CF"/>
    <w:rsid w:val="0F362BEE"/>
    <w:rsid w:val="10205FE2"/>
    <w:rsid w:val="10374E70"/>
    <w:rsid w:val="106F28B8"/>
    <w:rsid w:val="10993435"/>
    <w:rsid w:val="109A014B"/>
    <w:rsid w:val="10AA73F0"/>
    <w:rsid w:val="10E02E12"/>
    <w:rsid w:val="1111121D"/>
    <w:rsid w:val="11A55E09"/>
    <w:rsid w:val="122671D9"/>
    <w:rsid w:val="128B14A3"/>
    <w:rsid w:val="12902616"/>
    <w:rsid w:val="12A8362A"/>
    <w:rsid w:val="12E3308D"/>
    <w:rsid w:val="13491142"/>
    <w:rsid w:val="13775E89"/>
    <w:rsid w:val="138865EB"/>
    <w:rsid w:val="139F5206"/>
    <w:rsid w:val="13E250F3"/>
    <w:rsid w:val="144855F0"/>
    <w:rsid w:val="14551D69"/>
    <w:rsid w:val="146F2E2A"/>
    <w:rsid w:val="14BA0BCF"/>
    <w:rsid w:val="14EA24B1"/>
    <w:rsid w:val="150B407F"/>
    <w:rsid w:val="15572111"/>
    <w:rsid w:val="15BB5BFB"/>
    <w:rsid w:val="15F66C34"/>
    <w:rsid w:val="165F2A2B"/>
    <w:rsid w:val="16E236D1"/>
    <w:rsid w:val="16EB42BE"/>
    <w:rsid w:val="16EF2001"/>
    <w:rsid w:val="17632B4A"/>
    <w:rsid w:val="178C784F"/>
    <w:rsid w:val="17AC4D67"/>
    <w:rsid w:val="1800023D"/>
    <w:rsid w:val="181B5077"/>
    <w:rsid w:val="1869701C"/>
    <w:rsid w:val="19212219"/>
    <w:rsid w:val="19A74E14"/>
    <w:rsid w:val="19F636A6"/>
    <w:rsid w:val="1A3B37AF"/>
    <w:rsid w:val="1A534654"/>
    <w:rsid w:val="1ABC669E"/>
    <w:rsid w:val="1AFF47DC"/>
    <w:rsid w:val="1B0D0CA7"/>
    <w:rsid w:val="1B79633D"/>
    <w:rsid w:val="1BA64C58"/>
    <w:rsid w:val="1BAD248A"/>
    <w:rsid w:val="1BCF41AF"/>
    <w:rsid w:val="1BD23C9F"/>
    <w:rsid w:val="1BE55780"/>
    <w:rsid w:val="1C5D5B51"/>
    <w:rsid w:val="1CFF0AC4"/>
    <w:rsid w:val="1D4A5755"/>
    <w:rsid w:val="1D5D2423"/>
    <w:rsid w:val="1D74500E"/>
    <w:rsid w:val="1D756FD8"/>
    <w:rsid w:val="1D874F90"/>
    <w:rsid w:val="1DFB572F"/>
    <w:rsid w:val="1EE066D3"/>
    <w:rsid w:val="1F5A0233"/>
    <w:rsid w:val="1F64765F"/>
    <w:rsid w:val="1F6966C8"/>
    <w:rsid w:val="1F910CBF"/>
    <w:rsid w:val="204131A1"/>
    <w:rsid w:val="206155F1"/>
    <w:rsid w:val="208E288A"/>
    <w:rsid w:val="208F21EB"/>
    <w:rsid w:val="20A10EC0"/>
    <w:rsid w:val="20BF2EEE"/>
    <w:rsid w:val="218E0668"/>
    <w:rsid w:val="219E28AF"/>
    <w:rsid w:val="21F23AD5"/>
    <w:rsid w:val="22617B2B"/>
    <w:rsid w:val="22AA14D2"/>
    <w:rsid w:val="22BB548D"/>
    <w:rsid w:val="22C73E32"/>
    <w:rsid w:val="22E61AD1"/>
    <w:rsid w:val="22EC5646"/>
    <w:rsid w:val="23700025"/>
    <w:rsid w:val="23775858"/>
    <w:rsid w:val="23DF435A"/>
    <w:rsid w:val="24305A06"/>
    <w:rsid w:val="244D480A"/>
    <w:rsid w:val="24D9609E"/>
    <w:rsid w:val="24EF2718"/>
    <w:rsid w:val="25055DB0"/>
    <w:rsid w:val="25BC1C48"/>
    <w:rsid w:val="26077EF0"/>
    <w:rsid w:val="263C68E5"/>
    <w:rsid w:val="265579A6"/>
    <w:rsid w:val="26747E2C"/>
    <w:rsid w:val="26A9555A"/>
    <w:rsid w:val="26CB1A16"/>
    <w:rsid w:val="26DA442E"/>
    <w:rsid w:val="271F0794"/>
    <w:rsid w:val="274E4B21"/>
    <w:rsid w:val="27582F28"/>
    <w:rsid w:val="27AA5AD0"/>
    <w:rsid w:val="27B150B0"/>
    <w:rsid w:val="27FE6547"/>
    <w:rsid w:val="28213FE4"/>
    <w:rsid w:val="28357A8F"/>
    <w:rsid w:val="284E0B51"/>
    <w:rsid w:val="28665E9B"/>
    <w:rsid w:val="28CA467C"/>
    <w:rsid w:val="290D4568"/>
    <w:rsid w:val="29310257"/>
    <w:rsid w:val="294206B6"/>
    <w:rsid w:val="295757E3"/>
    <w:rsid w:val="2987256D"/>
    <w:rsid w:val="29B349F8"/>
    <w:rsid w:val="2A257690"/>
    <w:rsid w:val="2A2656A7"/>
    <w:rsid w:val="2A3C3357"/>
    <w:rsid w:val="2A3E0838"/>
    <w:rsid w:val="2A44045E"/>
    <w:rsid w:val="2A4E3A78"/>
    <w:rsid w:val="2AAD1B5F"/>
    <w:rsid w:val="2AAE58D7"/>
    <w:rsid w:val="2AB47391"/>
    <w:rsid w:val="2ABA186F"/>
    <w:rsid w:val="2AC46EA9"/>
    <w:rsid w:val="2AF459E0"/>
    <w:rsid w:val="2B146082"/>
    <w:rsid w:val="2B273353"/>
    <w:rsid w:val="2B89651D"/>
    <w:rsid w:val="2BAA5AC3"/>
    <w:rsid w:val="2BFB4B4C"/>
    <w:rsid w:val="2C0C6D59"/>
    <w:rsid w:val="2C640943"/>
    <w:rsid w:val="2CA64AB8"/>
    <w:rsid w:val="2CBB1E27"/>
    <w:rsid w:val="2CF75313"/>
    <w:rsid w:val="2D1E4F96"/>
    <w:rsid w:val="2D3E2F42"/>
    <w:rsid w:val="2D5C786C"/>
    <w:rsid w:val="2D630BFB"/>
    <w:rsid w:val="2DA07759"/>
    <w:rsid w:val="2DAA59FA"/>
    <w:rsid w:val="2DB9081B"/>
    <w:rsid w:val="2DEE275A"/>
    <w:rsid w:val="2DF40D54"/>
    <w:rsid w:val="2E271C28"/>
    <w:rsid w:val="2E2B2ECE"/>
    <w:rsid w:val="2E3A6428"/>
    <w:rsid w:val="2E41718E"/>
    <w:rsid w:val="2E4A5917"/>
    <w:rsid w:val="2E70537D"/>
    <w:rsid w:val="2E821D26"/>
    <w:rsid w:val="2E9C43C4"/>
    <w:rsid w:val="2EC338F8"/>
    <w:rsid w:val="2F233BF6"/>
    <w:rsid w:val="2F6A6270"/>
    <w:rsid w:val="2F727404"/>
    <w:rsid w:val="2F740E9D"/>
    <w:rsid w:val="2F767619"/>
    <w:rsid w:val="2F8A246F"/>
    <w:rsid w:val="2FC75471"/>
    <w:rsid w:val="2FED0C50"/>
    <w:rsid w:val="301B0008"/>
    <w:rsid w:val="302723B3"/>
    <w:rsid w:val="304F5466"/>
    <w:rsid w:val="30724A13"/>
    <w:rsid w:val="3078676B"/>
    <w:rsid w:val="318A7980"/>
    <w:rsid w:val="319E48F7"/>
    <w:rsid w:val="32866623"/>
    <w:rsid w:val="328C792B"/>
    <w:rsid w:val="32B53042"/>
    <w:rsid w:val="32BB5B39"/>
    <w:rsid w:val="32DD31FD"/>
    <w:rsid w:val="32F15051"/>
    <w:rsid w:val="334C5F3E"/>
    <w:rsid w:val="33A8380B"/>
    <w:rsid w:val="33AD111E"/>
    <w:rsid w:val="33F12522"/>
    <w:rsid w:val="346239BA"/>
    <w:rsid w:val="347831DE"/>
    <w:rsid w:val="34796F56"/>
    <w:rsid w:val="349D49F2"/>
    <w:rsid w:val="34C53F49"/>
    <w:rsid w:val="35162B08"/>
    <w:rsid w:val="352073D1"/>
    <w:rsid w:val="352C5D76"/>
    <w:rsid w:val="358243C9"/>
    <w:rsid w:val="35DE13F5"/>
    <w:rsid w:val="362C0724"/>
    <w:rsid w:val="36317AE8"/>
    <w:rsid w:val="36372C24"/>
    <w:rsid w:val="36877708"/>
    <w:rsid w:val="36D466C5"/>
    <w:rsid w:val="36E96615"/>
    <w:rsid w:val="370E607B"/>
    <w:rsid w:val="373700EB"/>
    <w:rsid w:val="377759CE"/>
    <w:rsid w:val="37DF5322"/>
    <w:rsid w:val="381B4771"/>
    <w:rsid w:val="385F36D3"/>
    <w:rsid w:val="38983E4E"/>
    <w:rsid w:val="38A8392A"/>
    <w:rsid w:val="38AA1DD4"/>
    <w:rsid w:val="38CA4224"/>
    <w:rsid w:val="38DE382B"/>
    <w:rsid w:val="38F117B0"/>
    <w:rsid w:val="39273424"/>
    <w:rsid w:val="39534219"/>
    <w:rsid w:val="39987E7E"/>
    <w:rsid w:val="39CD7B28"/>
    <w:rsid w:val="39E15381"/>
    <w:rsid w:val="39E60207"/>
    <w:rsid w:val="3A0B68A2"/>
    <w:rsid w:val="3A2D26CB"/>
    <w:rsid w:val="3A573895"/>
    <w:rsid w:val="3A5E226D"/>
    <w:rsid w:val="3A8723CC"/>
    <w:rsid w:val="3AAA7E69"/>
    <w:rsid w:val="3B0752BB"/>
    <w:rsid w:val="3B245E6D"/>
    <w:rsid w:val="3B3B6874"/>
    <w:rsid w:val="3B672DC6"/>
    <w:rsid w:val="3B9763AB"/>
    <w:rsid w:val="3BAB20EB"/>
    <w:rsid w:val="3BAB412E"/>
    <w:rsid w:val="3BC92571"/>
    <w:rsid w:val="3BD553B9"/>
    <w:rsid w:val="3BE850ED"/>
    <w:rsid w:val="3C073099"/>
    <w:rsid w:val="3C553E04"/>
    <w:rsid w:val="3CC039BB"/>
    <w:rsid w:val="3CCA034E"/>
    <w:rsid w:val="3CCD43AC"/>
    <w:rsid w:val="3D021202"/>
    <w:rsid w:val="3D646090"/>
    <w:rsid w:val="3D6D517E"/>
    <w:rsid w:val="3E0159AA"/>
    <w:rsid w:val="3E6616BF"/>
    <w:rsid w:val="3F065ABF"/>
    <w:rsid w:val="3F0F473E"/>
    <w:rsid w:val="3F23346C"/>
    <w:rsid w:val="3F4E5833"/>
    <w:rsid w:val="3F9E5AC2"/>
    <w:rsid w:val="3FB928FC"/>
    <w:rsid w:val="3FDF2363"/>
    <w:rsid w:val="3FF1653A"/>
    <w:rsid w:val="3FFA0F4B"/>
    <w:rsid w:val="40275AB8"/>
    <w:rsid w:val="403C77B5"/>
    <w:rsid w:val="403E177F"/>
    <w:rsid w:val="40491ED2"/>
    <w:rsid w:val="40582115"/>
    <w:rsid w:val="40694322"/>
    <w:rsid w:val="40714F85"/>
    <w:rsid w:val="40C53319"/>
    <w:rsid w:val="40F0234E"/>
    <w:rsid w:val="418732F8"/>
    <w:rsid w:val="42870A90"/>
    <w:rsid w:val="42B07FE6"/>
    <w:rsid w:val="42C24C7A"/>
    <w:rsid w:val="42EA3D09"/>
    <w:rsid w:val="42F36125"/>
    <w:rsid w:val="42F44377"/>
    <w:rsid w:val="42F51E9D"/>
    <w:rsid w:val="42F817BB"/>
    <w:rsid w:val="43160791"/>
    <w:rsid w:val="432307B8"/>
    <w:rsid w:val="4348021F"/>
    <w:rsid w:val="435A7F52"/>
    <w:rsid w:val="43702C88"/>
    <w:rsid w:val="438F5E4E"/>
    <w:rsid w:val="43D420E3"/>
    <w:rsid w:val="43F074F2"/>
    <w:rsid w:val="446E63AB"/>
    <w:rsid w:val="448654A3"/>
    <w:rsid w:val="44F3065E"/>
    <w:rsid w:val="451A5BEB"/>
    <w:rsid w:val="45521829"/>
    <w:rsid w:val="45632F4B"/>
    <w:rsid w:val="458614D2"/>
    <w:rsid w:val="47786C87"/>
    <w:rsid w:val="47AA14A8"/>
    <w:rsid w:val="482A5323"/>
    <w:rsid w:val="482B547F"/>
    <w:rsid w:val="48E10279"/>
    <w:rsid w:val="490948F4"/>
    <w:rsid w:val="491A265E"/>
    <w:rsid w:val="49366D6C"/>
    <w:rsid w:val="49374FBE"/>
    <w:rsid w:val="494F20C6"/>
    <w:rsid w:val="49540615"/>
    <w:rsid w:val="49E30645"/>
    <w:rsid w:val="4A3E412A"/>
    <w:rsid w:val="4A9F106C"/>
    <w:rsid w:val="4AA85A47"/>
    <w:rsid w:val="4B38501D"/>
    <w:rsid w:val="4BA6467C"/>
    <w:rsid w:val="4C15535E"/>
    <w:rsid w:val="4C9B2BDF"/>
    <w:rsid w:val="4CC96874"/>
    <w:rsid w:val="4CFA4C80"/>
    <w:rsid w:val="4D1B4BF6"/>
    <w:rsid w:val="4D565C2E"/>
    <w:rsid w:val="4D9E259A"/>
    <w:rsid w:val="4DA150FB"/>
    <w:rsid w:val="4DBC3CE3"/>
    <w:rsid w:val="4DEE5E67"/>
    <w:rsid w:val="4E0B07C7"/>
    <w:rsid w:val="4E0F02B7"/>
    <w:rsid w:val="4E2F2707"/>
    <w:rsid w:val="4E440BEC"/>
    <w:rsid w:val="4E5A52AA"/>
    <w:rsid w:val="4E5E2FEC"/>
    <w:rsid w:val="4E685C19"/>
    <w:rsid w:val="4E7A0332"/>
    <w:rsid w:val="4E7B5A93"/>
    <w:rsid w:val="4E9D1044"/>
    <w:rsid w:val="4EB01849"/>
    <w:rsid w:val="4ECC43FA"/>
    <w:rsid w:val="4ED567FA"/>
    <w:rsid w:val="4F07768F"/>
    <w:rsid w:val="4F7B372A"/>
    <w:rsid w:val="4FC157AA"/>
    <w:rsid w:val="4FE614EB"/>
    <w:rsid w:val="500951DA"/>
    <w:rsid w:val="50650662"/>
    <w:rsid w:val="50F16C1A"/>
    <w:rsid w:val="513D513B"/>
    <w:rsid w:val="51A21957"/>
    <w:rsid w:val="51B3364F"/>
    <w:rsid w:val="51D13AD5"/>
    <w:rsid w:val="51EE77A2"/>
    <w:rsid w:val="52002963"/>
    <w:rsid w:val="52493686"/>
    <w:rsid w:val="526B596A"/>
    <w:rsid w:val="527D20AF"/>
    <w:rsid w:val="52CB6777"/>
    <w:rsid w:val="52D7511B"/>
    <w:rsid w:val="5311062D"/>
    <w:rsid w:val="533D1F68"/>
    <w:rsid w:val="53D17DBD"/>
    <w:rsid w:val="543A3BB4"/>
    <w:rsid w:val="543D334B"/>
    <w:rsid w:val="546649A9"/>
    <w:rsid w:val="54694499"/>
    <w:rsid w:val="551110D6"/>
    <w:rsid w:val="5543118E"/>
    <w:rsid w:val="557B0928"/>
    <w:rsid w:val="55A16B67"/>
    <w:rsid w:val="55A57753"/>
    <w:rsid w:val="569D24F0"/>
    <w:rsid w:val="56D007FF"/>
    <w:rsid w:val="576D42A0"/>
    <w:rsid w:val="576F0018"/>
    <w:rsid w:val="578A6C00"/>
    <w:rsid w:val="579E445A"/>
    <w:rsid w:val="57C74ED6"/>
    <w:rsid w:val="57D85BBE"/>
    <w:rsid w:val="58484328"/>
    <w:rsid w:val="58BA0195"/>
    <w:rsid w:val="58FC3B2E"/>
    <w:rsid w:val="596516D3"/>
    <w:rsid w:val="59F91E1B"/>
    <w:rsid w:val="5A001134"/>
    <w:rsid w:val="5A2E41BB"/>
    <w:rsid w:val="5A6D59A8"/>
    <w:rsid w:val="5AD07020"/>
    <w:rsid w:val="5B61236E"/>
    <w:rsid w:val="5BB57FC4"/>
    <w:rsid w:val="5BBB382C"/>
    <w:rsid w:val="5BD033CB"/>
    <w:rsid w:val="5BFE196B"/>
    <w:rsid w:val="5C14118E"/>
    <w:rsid w:val="5C2F421A"/>
    <w:rsid w:val="5C515F3F"/>
    <w:rsid w:val="5C9A78E6"/>
    <w:rsid w:val="5CAC7D1A"/>
    <w:rsid w:val="5D0C00B7"/>
    <w:rsid w:val="5D186A5C"/>
    <w:rsid w:val="5D1D4073"/>
    <w:rsid w:val="5D2B49E2"/>
    <w:rsid w:val="5D44310D"/>
    <w:rsid w:val="5D554A6F"/>
    <w:rsid w:val="5D610403"/>
    <w:rsid w:val="5D740137"/>
    <w:rsid w:val="5D756F8A"/>
    <w:rsid w:val="5DC32448"/>
    <w:rsid w:val="5DEC28A5"/>
    <w:rsid w:val="5E1D07CE"/>
    <w:rsid w:val="5E3641C2"/>
    <w:rsid w:val="5E856373"/>
    <w:rsid w:val="5EC56770"/>
    <w:rsid w:val="5ED115B9"/>
    <w:rsid w:val="5F3F4774"/>
    <w:rsid w:val="5F461713"/>
    <w:rsid w:val="5F7B09CA"/>
    <w:rsid w:val="5F881C77"/>
    <w:rsid w:val="5FA42829"/>
    <w:rsid w:val="5FA62A45"/>
    <w:rsid w:val="5FCF2018"/>
    <w:rsid w:val="5FD01870"/>
    <w:rsid w:val="60261490"/>
    <w:rsid w:val="604A2168"/>
    <w:rsid w:val="6089214B"/>
    <w:rsid w:val="60A61087"/>
    <w:rsid w:val="613902DE"/>
    <w:rsid w:val="61C545DF"/>
    <w:rsid w:val="61E84C4F"/>
    <w:rsid w:val="6212240B"/>
    <w:rsid w:val="62767405"/>
    <w:rsid w:val="62DF5DD4"/>
    <w:rsid w:val="630E6937"/>
    <w:rsid w:val="63CB65D6"/>
    <w:rsid w:val="63D25BB7"/>
    <w:rsid w:val="63DF2082"/>
    <w:rsid w:val="63E92F01"/>
    <w:rsid w:val="63EB6C79"/>
    <w:rsid w:val="6424211E"/>
    <w:rsid w:val="643A375C"/>
    <w:rsid w:val="64743E88"/>
    <w:rsid w:val="64B4350F"/>
    <w:rsid w:val="64E060B2"/>
    <w:rsid w:val="65066175"/>
    <w:rsid w:val="65AC3A77"/>
    <w:rsid w:val="65B405D8"/>
    <w:rsid w:val="6667042F"/>
    <w:rsid w:val="66A17AC3"/>
    <w:rsid w:val="66BB0B84"/>
    <w:rsid w:val="66C0619B"/>
    <w:rsid w:val="6736D388"/>
    <w:rsid w:val="674C7A2E"/>
    <w:rsid w:val="67795DF1"/>
    <w:rsid w:val="67921F72"/>
    <w:rsid w:val="67CA4DF7"/>
    <w:rsid w:val="67E931E7"/>
    <w:rsid w:val="683C203E"/>
    <w:rsid w:val="6848469A"/>
    <w:rsid w:val="6894168D"/>
    <w:rsid w:val="68C161FA"/>
    <w:rsid w:val="690028D2"/>
    <w:rsid w:val="69BA3375"/>
    <w:rsid w:val="69C53AC8"/>
    <w:rsid w:val="6A7E0847"/>
    <w:rsid w:val="6A947437"/>
    <w:rsid w:val="6AAC46FC"/>
    <w:rsid w:val="6AB44990"/>
    <w:rsid w:val="6AB9187F"/>
    <w:rsid w:val="6B2D7EF8"/>
    <w:rsid w:val="6B3B2294"/>
    <w:rsid w:val="6B513865"/>
    <w:rsid w:val="6B621F16"/>
    <w:rsid w:val="6B7B2FD8"/>
    <w:rsid w:val="6BA8544F"/>
    <w:rsid w:val="6BFF7765"/>
    <w:rsid w:val="6C4B4758"/>
    <w:rsid w:val="6C5D28FA"/>
    <w:rsid w:val="6C907DFC"/>
    <w:rsid w:val="6C9500C9"/>
    <w:rsid w:val="6C9C6D62"/>
    <w:rsid w:val="6CD96208"/>
    <w:rsid w:val="6CDF30F3"/>
    <w:rsid w:val="6D1F1741"/>
    <w:rsid w:val="6D4D62AE"/>
    <w:rsid w:val="6D8C5028"/>
    <w:rsid w:val="6D9914F3"/>
    <w:rsid w:val="6DD30EA9"/>
    <w:rsid w:val="6DF57072"/>
    <w:rsid w:val="6E312123"/>
    <w:rsid w:val="6E625D89"/>
    <w:rsid w:val="6EA670BA"/>
    <w:rsid w:val="6ECC76A7"/>
    <w:rsid w:val="6F174DC6"/>
    <w:rsid w:val="6F775864"/>
    <w:rsid w:val="6F8A37EA"/>
    <w:rsid w:val="6FD52C66"/>
    <w:rsid w:val="6FDB4045"/>
    <w:rsid w:val="6FFB6495"/>
    <w:rsid w:val="6FFD045F"/>
    <w:rsid w:val="700370F8"/>
    <w:rsid w:val="700E61C9"/>
    <w:rsid w:val="70182BA3"/>
    <w:rsid w:val="703258D6"/>
    <w:rsid w:val="70622071"/>
    <w:rsid w:val="70653675"/>
    <w:rsid w:val="70765B1C"/>
    <w:rsid w:val="707B3132"/>
    <w:rsid w:val="7091303E"/>
    <w:rsid w:val="709C1A26"/>
    <w:rsid w:val="70AD3C34"/>
    <w:rsid w:val="70D0347E"/>
    <w:rsid w:val="71047A01"/>
    <w:rsid w:val="710E21F8"/>
    <w:rsid w:val="711D41EA"/>
    <w:rsid w:val="71285068"/>
    <w:rsid w:val="713C4FB8"/>
    <w:rsid w:val="716F2C97"/>
    <w:rsid w:val="71866233"/>
    <w:rsid w:val="71F118FE"/>
    <w:rsid w:val="71F72C8D"/>
    <w:rsid w:val="72005FE5"/>
    <w:rsid w:val="722F2426"/>
    <w:rsid w:val="723445D9"/>
    <w:rsid w:val="723D4B43"/>
    <w:rsid w:val="726447C6"/>
    <w:rsid w:val="72824C4C"/>
    <w:rsid w:val="72B34E05"/>
    <w:rsid w:val="72D66D46"/>
    <w:rsid w:val="72E36F0C"/>
    <w:rsid w:val="733046A8"/>
    <w:rsid w:val="736B1B84"/>
    <w:rsid w:val="7372081D"/>
    <w:rsid w:val="73880040"/>
    <w:rsid w:val="73C54067"/>
    <w:rsid w:val="74474801"/>
    <w:rsid w:val="744F7262"/>
    <w:rsid w:val="74732A9E"/>
    <w:rsid w:val="7484215F"/>
    <w:rsid w:val="74A0760B"/>
    <w:rsid w:val="74E92D60"/>
    <w:rsid w:val="755F3023"/>
    <w:rsid w:val="75856CF0"/>
    <w:rsid w:val="75951D2B"/>
    <w:rsid w:val="75CE76D3"/>
    <w:rsid w:val="75D67789"/>
    <w:rsid w:val="75ED4AD2"/>
    <w:rsid w:val="76286950"/>
    <w:rsid w:val="76746FA2"/>
    <w:rsid w:val="768258C6"/>
    <w:rsid w:val="76F242B8"/>
    <w:rsid w:val="771E6D25"/>
    <w:rsid w:val="773D7394"/>
    <w:rsid w:val="774E52F4"/>
    <w:rsid w:val="77CE4CDB"/>
    <w:rsid w:val="77DA4BE2"/>
    <w:rsid w:val="77F33FA0"/>
    <w:rsid w:val="780600CD"/>
    <w:rsid w:val="783E7867"/>
    <w:rsid w:val="78434E7D"/>
    <w:rsid w:val="784D6621"/>
    <w:rsid w:val="785B6A23"/>
    <w:rsid w:val="786540B9"/>
    <w:rsid w:val="78882890"/>
    <w:rsid w:val="78986F77"/>
    <w:rsid w:val="78A31478"/>
    <w:rsid w:val="79167E9C"/>
    <w:rsid w:val="79B06543"/>
    <w:rsid w:val="7A1A416F"/>
    <w:rsid w:val="7A266805"/>
    <w:rsid w:val="7AB61937"/>
    <w:rsid w:val="7AE2272C"/>
    <w:rsid w:val="7AEC5358"/>
    <w:rsid w:val="7B4A02D1"/>
    <w:rsid w:val="7B796C60"/>
    <w:rsid w:val="7B811F45"/>
    <w:rsid w:val="7BAB0D70"/>
    <w:rsid w:val="7BAC0480"/>
    <w:rsid w:val="7C232FFC"/>
    <w:rsid w:val="7C6919DA"/>
    <w:rsid w:val="7C6D4277"/>
    <w:rsid w:val="7C7244F2"/>
    <w:rsid w:val="7C75137E"/>
    <w:rsid w:val="7CC40428"/>
    <w:rsid w:val="7CCB71F0"/>
    <w:rsid w:val="7CDC296F"/>
    <w:rsid w:val="7D4F1BCF"/>
    <w:rsid w:val="7D621902"/>
    <w:rsid w:val="7D7C36A7"/>
    <w:rsid w:val="7D7F4443"/>
    <w:rsid w:val="7DC205F3"/>
    <w:rsid w:val="7E2117BD"/>
    <w:rsid w:val="7E3D5ECB"/>
    <w:rsid w:val="7E466523"/>
    <w:rsid w:val="7E6478FC"/>
    <w:rsid w:val="7EA90C18"/>
    <w:rsid w:val="7ED953A7"/>
    <w:rsid w:val="7EDC1C1E"/>
    <w:rsid w:val="7F0C557C"/>
    <w:rsid w:val="7F211362"/>
    <w:rsid w:val="7FA2692E"/>
    <w:rsid w:val="ABDF0DCF"/>
    <w:rsid w:val="B78DD2E8"/>
    <w:rsid w:val="BCEFDE4F"/>
    <w:rsid w:val="BEDD3C09"/>
    <w:rsid w:val="DD7811F8"/>
    <w:rsid w:val="FABF4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1"/>
    <w:basedOn w:val="1"/>
    <w:next w:val="1"/>
    <w:qFormat/>
    <w:uiPriority w:val="9"/>
    <w:pPr>
      <w:keepNext/>
      <w:keepLines/>
      <w:numPr>
        <w:ilvl w:val="0"/>
        <w:numId w:val="1"/>
      </w:numPr>
      <w:spacing w:before="340" w:after="330" w:line="578" w:lineRule="auto"/>
      <w:outlineLvl w:val="0"/>
    </w:pPr>
    <w:rPr>
      <w:rFonts w:eastAsia="黑体"/>
      <w:b/>
      <w:bCs/>
      <w:kern w:val="44"/>
      <w:sz w:val="44"/>
      <w:szCs w:val="44"/>
    </w:rPr>
  </w:style>
  <w:style w:type="paragraph" w:styleId="4">
    <w:name w:val="heading 2"/>
    <w:basedOn w:val="1"/>
    <w:next w:val="1"/>
    <w:qFormat/>
    <w:uiPriority w:val="0"/>
    <w:pPr>
      <w:keepNext/>
      <w:keepLines/>
      <w:wordWrap/>
      <w:autoSpaceDE/>
      <w:autoSpaceDN/>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9"/>
    <w:pPr>
      <w:keepNext/>
      <w:keepLines/>
      <w:jc w:val="left"/>
      <w:outlineLvl w:val="3"/>
    </w:pPr>
    <w:rPr>
      <w:rFonts w:ascii="Cambria" w:hAnsi="Cambria"/>
      <w:b/>
      <w:bCs/>
      <w:kern w:val="0"/>
      <w:sz w:val="28"/>
      <w:szCs w:val="28"/>
    </w:rPr>
  </w:style>
  <w:style w:type="paragraph" w:styleId="7">
    <w:name w:val="heading 5"/>
    <w:basedOn w:val="8"/>
    <w:next w:val="9"/>
    <w:unhideWhenUsed/>
    <w:qFormat/>
    <w:uiPriority w:val="0"/>
    <w:pPr>
      <w:keepNext/>
      <w:keepLines/>
      <w:tabs>
        <w:tab w:val="left" w:pos="780"/>
      </w:tabs>
      <w:spacing w:before="280" w:beforeLines="0" w:beforeAutospacing="0" w:after="290" w:afterLines="0" w:afterAutospacing="0" w:line="372" w:lineRule="auto"/>
      <w:outlineLvl w:val="4"/>
    </w:pPr>
    <w:rPr>
      <w:b/>
      <w:sz w:val="28"/>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List Number 2"/>
    <w:basedOn w:val="1"/>
    <w:qFormat/>
    <w:uiPriority w:val="0"/>
    <w:pPr>
      <w:numPr>
        <w:ilvl w:val="0"/>
        <w:numId w:val="2"/>
      </w:numPr>
    </w:pPr>
  </w:style>
  <w:style w:type="paragraph" w:styleId="9">
    <w:name w:val="Normal (Web)"/>
    <w:basedOn w:val="1"/>
    <w:unhideWhenUsed/>
    <w:qFormat/>
    <w:uiPriority w:val="0"/>
    <w:pPr>
      <w:widowControl/>
      <w:wordWrap/>
      <w:autoSpaceDE/>
      <w:autoSpaceDN/>
      <w:spacing w:before="100" w:beforeAutospacing="1" w:after="100" w:afterAutospacing="1"/>
      <w:jc w:val="left"/>
    </w:pPr>
    <w:rPr>
      <w:rFonts w:hAnsi="宋体" w:cs="宋体"/>
      <w:kern w:val="0"/>
      <w:sz w:val="24"/>
      <w:lang w:eastAsia="zh-CN"/>
    </w:rPr>
  </w:style>
  <w:style w:type="paragraph" w:styleId="10">
    <w:name w:val="Normal Indent"/>
    <w:basedOn w:val="1"/>
    <w:next w:val="1"/>
    <w:qFormat/>
    <w:uiPriority w:val="0"/>
    <w:pPr>
      <w:wordWrap/>
      <w:autoSpaceDE/>
      <w:autoSpaceDN/>
      <w:ind w:firstLine="420" w:firstLineChars="200"/>
    </w:pPr>
    <w:rPr>
      <w:rFonts w:ascii="Times New Roman"/>
      <w:sz w:val="21"/>
    </w:rPr>
  </w:style>
  <w:style w:type="paragraph" w:styleId="11">
    <w:name w:val="annotation text"/>
    <w:basedOn w:val="1"/>
    <w:qFormat/>
    <w:uiPriority w:val="0"/>
    <w:pPr>
      <w:jc w:val="left"/>
    </w:pPr>
  </w:style>
  <w:style w:type="paragraph" w:styleId="12">
    <w:name w:val="Body Text Indent"/>
    <w:basedOn w:val="1"/>
    <w:qFormat/>
    <w:uiPriority w:val="99"/>
    <w:pPr>
      <w:ind w:left="420" w:leftChars="200"/>
    </w:pPr>
  </w:style>
  <w:style w:type="paragraph" w:styleId="13">
    <w:name w:val="Plain Text"/>
    <w:basedOn w:val="1"/>
    <w:next w:val="1"/>
    <w:qFormat/>
    <w:uiPriority w:val="0"/>
    <w:pPr>
      <w:adjustRightInd w:val="0"/>
    </w:pPr>
    <w:rPr>
      <w:rFonts w:hAnsi="Tms Rmn" w:cstheme="minorBidi"/>
      <w:szCs w:val="22"/>
    </w:rPr>
  </w:style>
  <w:style w:type="paragraph" w:styleId="14">
    <w:name w:val="Date"/>
    <w:basedOn w:val="1"/>
    <w:next w:val="1"/>
    <w:qFormat/>
    <w:uiPriority w:val="0"/>
    <w:pPr>
      <w:widowControl/>
      <w:wordWrap/>
      <w:autoSpaceDE/>
      <w:autoSpaceDN/>
      <w:ind w:left="100" w:leftChars="2500"/>
      <w:jc w:val="left"/>
    </w:pPr>
    <w:rPr>
      <w:rFonts w:ascii="Times New Roman"/>
      <w:kern w:val="0"/>
      <w:sz w:val="24"/>
    </w:rPr>
  </w:style>
  <w:style w:type="paragraph" w:styleId="15">
    <w:name w:val="Balloon Text"/>
    <w:basedOn w:val="1"/>
    <w:link w:val="37"/>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Body Text First Indent"/>
    <w:basedOn w:val="2"/>
    <w:qFormat/>
    <w:uiPriority w:val="0"/>
    <w:pPr>
      <w:spacing w:line="360" w:lineRule="auto"/>
      <w:ind w:firstLine="420"/>
    </w:pPr>
    <w:rPr>
      <w:rFonts w:hAnsi="宋体"/>
      <w:sz w:val="24"/>
    </w:rPr>
  </w:style>
  <w:style w:type="paragraph" w:styleId="20">
    <w:name w:val="Body Text First Indent 2"/>
    <w:basedOn w:val="12"/>
    <w:qFormat/>
    <w:uiPriority w:val="0"/>
    <w:pPr>
      <w:ind w:firstLine="420" w:firstLineChars="200"/>
    </w:p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23">
    <w:name w:val="Table Theme"/>
    <w:basedOn w:val="21"/>
    <w:qFormat/>
    <w:uiPriority w:val="0"/>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rPr>
      <w:rFonts w:ascii="Times New Roman" w:hAnsi="Times New Roman" w:eastAsia="宋体" w:cs="Times New Roman"/>
    </w:rPr>
  </w:style>
  <w:style w:type="character" w:styleId="27">
    <w:name w:val="annotation reference"/>
    <w:basedOn w:val="24"/>
    <w:qFormat/>
    <w:uiPriority w:val="0"/>
    <w:rPr>
      <w:sz w:val="21"/>
      <w:szCs w:val="21"/>
    </w:rPr>
  </w:style>
  <w:style w:type="paragraph" w:customStyle="1" w:styleId="28">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paragraph" w:customStyle="1" w:styleId="29">
    <w:name w:val="列出段落1"/>
    <w:basedOn w:val="1"/>
    <w:qFormat/>
    <w:uiPriority w:val="99"/>
    <w:pPr>
      <w:ind w:firstLine="420" w:firstLineChars="200"/>
    </w:pPr>
    <w:rPr>
      <w:rFonts w:ascii="Calibri" w:hAnsi="Calibri"/>
    </w:rPr>
  </w:style>
  <w:style w:type="paragraph" w:styleId="30">
    <w:name w:val="List Paragraph"/>
    <w:basedOn w:val="1"/>
    <w:qFormat/>
    <w:uiPriority w:val="34"/>
    <w:pPr>
      <w:wordWrap/>
      <w:autoSpaceDE/>
      <w:autoSpaceDN/>
      <w:ind w:firstLine="420" w:firstLineChars="200"/>
    </w:pPr>
    <w:rPr>
      <w:rFonts w:ascii="Times New Roman"/>
      <w:sz w:val="21"/>
      <w:lang w:eastAsia="zh-CN"/>
    </w:rPr>
  </w:style>
  <w:style w:type="paragraph" w:customStyle="1" w:styleId="31">
    <w:name w:val="正文首行缩进两字符"/>
    <w:basedOn w:val="1"/>
    <w:qFormat/>
    <w:uiPriority w:val="0"/>
    <w:pPr>
      <w:spacing w:line="360" w:lineRule="auto"/>
      <w:ind w:firstLine="200" w:firstLineChars="200"/>
    </w:pPr>
    <w:rPr>
      <w:lang w:eastAsia="zh-CN"/>
    </w:rPr>
  </w:style>
  <w:style w:type="paragraph" w:customStyle="1" w:styleId="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customStyle="1" w:styleId="34">
    <w:name w:val="首行缩进"/>
    <w:basedOn w:val="1"/>
    <w:qFormat/>
    <w:uiPriority w:val="0"/>
    <w:pPr>
      <w:ind w:firstLine="480" w:firstLineChars="200"/>
    </w:pPr>
    <w:rPr>
      <w:rFonts w:ascii="Calibri" w:hAnsi="Calibri"/>
    </w:rPr>
  </w:style>
  <w:style w:type="character" w:customStyle="1" w:styleId="35">
    <w:name w:val="font01"/>
    <w:basedOn w:val="24"/>
    <w:qFormat/>
    <w:uiPriority w:val="0"/>
    <w:rPr>
      <w:rFonts w:hint="eastAsia" w:ascii="宋体" w:hAnsi="宋体" w:eastAsia="宋体" w:cs="宋体"/>
      <w:b/>
      <w:bCs/>
      <w:color w:val="000000"/>
      <w:sz w:val="24"/>
      <w:szCs w:val="24"/>
      <w:u w:val="none"/>
    </w:rPr>
  </w:style>
  <w:style w:type="character" w:customStyle="1" w:styleId="36">
    <w:name w:val="font31"/>
    <w:basedOn w:val="24"/>
    <w:qFormat/>
    <w:uiPriority w:val="0"/>
    <w:rPr>
      <w:rFonts w:hint="eastAsia" w:ascii="宋体" w:hAnsi="宋体" w:eastAsia="宋体" w:cs="宋体"/>
      <w:color w:val="000000"/>
      <w:sz w:val="18"/>
      <w:szCs w:val="18"/>
      <w:u w:val="none"/>
    </w:rPr>
  </w:style>
  <w:style w:type="character" w:customStyle="1" w:styleId="37">
    <w:name w:val="批注框文本 Char"/>
    <w:basedOn w:val="24"/>
    <w:link w:val="15"/>
    <w:qFormat/>
    <w:uiPriority w:val="0"/>
    <w:rPr>
      <w:rFonts w:ascii="宋体"/>
      <w:kern w:val="2"/>
      <w:sz w:val="18"/>
      <w:szCs w:val="18"/>
      <w:lang w:eastAsia="ko-KR"/>
    </w:rPr>
  </w:style>
  <w:style w:type="character" w:customStyle="1" w:styleId="38">
    <w:name w:val="font41"/>
    <w:basedOn w:val="24"/>
    <w:qFormat/>
    <w:uiPriority w:val="0"/>
    <w:rPr>
      <w:rFonts w:hint="eastAsia" w:ascii="微软雅黑" w:hAnsi="微软雅黑" w:eastAsia="微软雅黑" w:cs="微软雅黑"/>
      <w:color w:val="000000"/>
      <w:sz w:val="28"/>
      <w:szCs w:val="28"/>
      <w:u w:val="none"/>
    </w:rPr>
  </w:style>
  <w:style w:type="paragraph" w:customStyle="1" w:styleId="39">
    <w:name w:val="正文首行缩进 21"/>
    <w:basedOn w:val="40"/>
    <w:next w:val="1"/>
    <w:qFormat/>
    <w:uiPriority w:val="0"/>
    <w:pPr>
      <w:tabs>
        <w:tab w:val="left" w:pos="5404"/>
      </w:tabs>
    </w:pPr>
    <w:rPr>
      <w:rFonts w:eastAsia="Times New Roman"/>
      <w:sz w:val="21"/>
      <w:lang w:val="en-US" w:eastAsia="zh-CN" w:bidi="ar-SA"/>
    </w:rPr>
  </w:style>
  <w:style w:type="paragraph" w:customStyle="1" w:styleId="40">
    <w:name w:val="正文文本缩进1"/>
    <w:basedOn w:val="1"/>
    <w:next w:val="1"/>
    <w:qFormat/>
    <w:uiPriority w:val="0"/>
    <w:pPr>
      <w:ind w:left="420" w:leftChars="200"/>
    </w:pPr>
    <w:rPr>
      <w:kern w:val="2"/>
      <w:sz w:val="21"/>
    </w:rPr>
  </w:style>
  <w:style w:type="paragraph" w:customStyle="1" w:styleId="41">
    <w:name w:val="Table Text"/>
    <w:basedOn w:val="1"/>
    <w:semiHidden/>
    <w:qFormat/>
    <w:uiPriority w:val="0"/>
    <w:pPr>
      <w:spacing w:before="177" w:line="406" w:lineRule="auto"/>
      <w:ind w:left="114" w:right="108"/>
    </w:pPr>
    <w:rPr>
      <w:rFonts w:ascii="宋体" w:hAnsi="宋体" w:eastAsia="宋体" w:cs="宋体"/>
      <w:sz w:val="20"/>
      <w:szCs w:val="20"/>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 w:type="paragraph" w:customStyle="1" w:styleId="45">
    <w:name w:val="正文2"/>
    <w:next w:val="46"/>
    <w:qFormat/>
    <w:uiPriority w:val="0"/>
    <w:pPr>
      <w:overflowPunct w:val="0"/>
      <w:autoSpaceDE w:val="0"/>
      <w:autoSpaceDN w:val="0"/>
      <w:adjustRightInd w:val="0"/>
      <w:spacing w:after="160" w:line="259" w:lineRule="auto"/>
      <w:jc w:val="both"/>
      <w:textAlignment w:val="baseline"/>
    </w:pPr>
    <w:rPr>
      <w:rFonts w:ascii="Times New Roman" w:hAnsi="Times New Roman" w:eastAsia="宋体" w:cs="Times New Roman"/>
      <w:sz w:val="21"/>
      <w:lang w:val="en-US" w:eastAsia="zh-CN" w:bidi="ar-SA"/>
    </w:rPr>
  </w:style>
  <w:style w:type="paragraph" w:customStyle="1" w:styleId="46">
    <w:name w:val="标题 51"/>
    <w:basedOn w:val="1"/>
    <w:next w:val="45"/>
    <w:unhideWhenUsed/>
    <w:qFormat/>
    <w:uiPriority w:val="0"/>
    <w:pPr>
      <w:keepNext/>
      <w:keepLines/>
      <w:widowControl/>
      <w:overflowPunct w:val="0"/>
      <w:autoSpaceDE w:val="0"/>
      <w:autoSpaceDN w:val="0"/>
      <w:adjustRightInd w:val="0"/>
      <w:spacing w:before="280" w:after="290" w:line="372" w:lineRule="auto"/>
      <w:textAlignment w:val="baseline"/>
      <w:outlineLvl w:val="4"/>
    </w:pPr>
    <w:rPr>
      <w:b/>
      <w:kern w:val="0"/>
      <w:sz w:val="28"/>
    </w:rPr>
  </w:style>
  <w:style w:type="paragraph" w:customStyle="1" w:styleId="47">
    <w:name w:val="null3"/>
    <w:qFormat/>
    <w:uiPriority w:val="0"/>
    <w:rPr>
      <w:rFonts w:hint="eastAsia" w:ascii="Calibri" w:hAnsi="Calibri" w:eastAsia="宋体" w:cs="Times New Roman"/>
      <w:lang w:val="en-US" w:eastAsia="zh-Hans"/>
    </w:rPr>
  </w:style>
  <w:style w:type="paragraph" w:customStyle="1" w:styleId="48">
    <w:name w:val="样式1"/>
    <w:basedOn w:val="1"/>
    <w:qFormat/>
    <w:uiPriority w:val="0"/>
    <w:pPr>
      <w:jc w:val="center"/>
    </w:pPr>
    <w:rPr>
      <w:rFonts w:eastAsia="方正大标宋简体"/>
      <w:sz w:val="5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21305</Words>
  <Characters>22061</Characters>
  <Lines>206</Lines>
  <Paragraphs>58</Paragraphs>
  <TotalTime>1</TotalTime>
  <ScaleCrop>false</ScaleCrop>
  <LinksUpToDate>false</LinksUpToDate>
  <CharactersWithSpaces>22803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2023-05-09T18:52:00Z</dcterms:created>
  <dc:creator>chuanzhao</dc:creator>
  <cp:lastModifiedBy>川招</cp:lastModifiedBy>
  <cp:lastPrinted>2025-04-15T17:25:00Z</cp:lastPrinted>
  <dcterms:modified xsi:type="dcterms:W3CDTF">2026-04-08T01:23:49Z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76427E905E9C482FAC016158C4C2D789_13</vt:lpwstr>
  </property>
  <property fmtid="{D5CDD505-2E9C-101B-9397-08002B2CF9AE}" pid="4" name="KSOTemplateDocerSaveRecord">
    <vt:lpwstr>eyJoZGlkIjoiZDY2Mjg2MjYwODVkYjVlZGQ2Mjg0NjY4Y2M4NmY3MGYiLCJ1c2VySWQiOiI2MDM4ODc3OTYifQ==</vt:lpwstr>
  </property>
</Properties>
</file>