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6BEB6">
      <w:pPr>
        <w:bidi w:val="0"/>
        <w:rPr>
          <w:rFonts w:hint="eastAsia" w:asciiTheme="minorEastAsia" w:hAnsiTheme="minorEastAsia" w:eastAsiaTheme="minorEastAsia" w:cstheme="minorEastAsia"/>
          <w:b/>
          <w:bCs/>
          <w:color w:val="auto"/>
        </w:rPr>
      </w:pPr>
      <w:bookmarkStart w:id="0" w:name="_Toc26093"/>
      <w:r>
        <w:rPr>
          <w:rFonts w:hint="eastAsia" w:asciiTheme="minorEastAsia" w:hAnsiTheme="minorEastAsia" w:eastAsiaTheme="minorEastAsia" w:cstheme="minorEastAsia"/>
          <w:b/>
          <w:color w:val="auto"/>
          <w:sz w:val="36"/>
          <w:szCs w:val="36"/>
          <w:lang w:val="en-US" w:eastAsia="zh-CN"/>
        </w:rPr>
        <w:t xml:space="preserve">                                   </w:t>
      </w:r>
      <w:r>
        <w:rPr>
          <w:rFonts w:hint="eastAsia" w:asciiTheme="minorEastAsia" w:hAnsiTheme="minorEastAsia" w:eastAsiaTheme="minorEastAsia" w:cstheme="minorEastAsia"/>
          <w:b/>
          <w:color w:val="auto"/>
          <w:sz w:val="32"/>
          <w:szCs w:val="32"/>
          <w:bdr w:val="single" w:color="auto" w:sz="4" w:space="0"/>
          <w:shd w:val="pct10" w:color="auto" w:fill="FFFFFF"/>
        </w:rPr>
        <w:t>政府采购项目</w:t>
      </w:r>
    </w:p>
    <w:p w14:paraId="38461F7A">
      <w:pPr>
        <w:bidi w:val="0"/>
        <w:rPr>
          <w:rFonts w:hint="eastAsia" w:ascii="宋体" w:hAnsi="宋体" w:eastAsia="宋体" w:cs="宋体"/>
          <w:b/>
          <w:bCs/>
          <w:sz w:val="28"/>
          <w:szCs w:val="28"/>
          <w:lang w:eastAsia="zh-CN"/>
        </w:rPr>
      </w:pPr>
      <w:r>
        <w:rPr>
          <w:rFonts w:hint="eastAsia" w:ascii="宋体" w:hAnsi="宋体" w:eastAsia="宋体" w:cs="宋体"/>
          <w:b/>
          <w:bCs/>
          <w:sz w:val="28"/>
          <w:szCs w:val="28"/>
        </w:rPr>
        <w:t>项目编号：</w:t>
      </w:r>
      <w:r>
        <w:rPr>
          <w:rFonts w:hint="eastAsia" w:ascii="宋体" w:hAnsi="宋体" w:eastAsia="宋体" w:cs="宋体"/>
          <w:b/>
          <w:bCs/>
          <w:sz w:val="28"/>
          <w:szCs w:val="28"/>
          <w:lang w:eastAsia="zh-CN"/>
        </w:rPr>
        <w:t>HDZX2026（006）CG</w:t>
      </w:r>
    </w:p>
    <w:p w14:paraId="1BD7FF51">
      <w:pPr>
        <w:pStyle w:val="13"/>
        <w:rPr>
          <w:rFonts w:hint="eastAsia" w:asciiTheme="minorEastAsia" w:hAnsiTheme="minorEastAsia" w:eastAsiaTheme="minorEastAsia" w:cstheme="minorEastAsia"/>
          <w:b/>
          <w:bCs/>
          <w:color w:val="auto"/>
          <w:sz w:val="28"/>
        </w:rPr>
      </w:pPr>
      <w:bookmarkStart w:id="128" w:name="_GoBack"/>
      <w:bookmarkEnd w:id="128"/>
    </w:p>
    <w:p w14:paraId="4533B2AB">
      <w:pPr>
        <w:pStyle w:val="13"/>
        <w:spacing w:before="199"/>
        <w:rPr>
          <w:rFonts w:hint="eastAsia" w:asciiTheme="minorEastAsia" w:hAnsiTheme="minorEastAsia" w:eastAsiaTheme="minorEastAsia" w:cstheme="minorEastAsia"/>
          <w:b/>
          <w:bCs/>
          <w:color w:val="auto"/>
          <w:sz w:val="28"/>
        </w:rPr>
      </w:pPr>
    </w:p>
    <w:p w14:paraId="4AD922F6">
      <w:pPr>
        <w:spacing w:before="0"/>
        <w:ind w:left="0" w:right="63" w:firstLine="0"/>
        <w:jc w:val="center"/>
        <w:rPr>
          <w:rFonts w:hint="eastAsia" w:asciiTheme="minorEastAsia" w:hAnsiTheme="minorEastAsia" w:eastAsiaTheme="minorEastAsia" w:cstheme="minorEastAsia"/>
          <w:b/>
          <w:bCs/>
          <w:color w:val="auto"/>
          <w:sz w:val="48"/>
        </w:rPr>
      </w:pPr>
      <w:r>
        <w:rPr>
          <w:rFonts w:hint="eastAsia" w:asciiTheme="minorEastAsia" w:hAnsiTheme="minorEastAsia" w:cstheme="minorEastAsia"/>
          <w:b/>
          <w:bCs/>
          <w:i w:val="0"/>
          <w:iCs w:val="0"/>
          <w:caps w:val="0"/>
          <w:color w:val="auto"/>
          <w:spacing w:val="0"/>
          <w:sz w:val="44"/>
          <w:szCs w:val="44"/>
          <w:shd w:val="clear" w:fill="FFFFFF"/>
          <w:lang w:val="en-US" w:eastAsia="zh-CN"/>
        </w:rPr>
        <w:t>千河千阳县柿沟村段水毁修复工程</w:t>
      </w:r>
    </w:p>
    <w:p w14:paraId="56F065CF">
      <w:pPr>
        <w:pStyle w:val="13"/>
        <w:rPr>
          <w:rFonts w:hint="eastAsia" w:asciiTheme="minorEastAsia" w:hAnsiTheme="minorEastAsia" w:eastAsiaTheme="minorEastAsia" w:cstheme="minorEastAsia"/>
          <w:b/>
          <w:bCs/>
          <w:color w:val="auto"/>
          <w:sz w:val="48"/>
        </w:rPr>
      </w:pPr>
    </w:p>
    <w:p w14:paraId="19B820D2">
      <w:pPr>
        <w:pStyle w:val="13"/>
        <w:spacing w:before="59"/>
        <w:rPr>
          <w:rFonts w:hint="eastAsia" w:asciiTheme="minorEastAsia" w:hAnsiTheme="minorEastAsia" w:eastAsiaTheme="minorEastAsia" w:cstheme="minorEastAsia"/>
          <w:b/>
          <w:bCs/>
          <w:color w:val="auto"/>
          <w:sz w:val="48"/>
        </w:rPr>
      </w:pPr>
    </w:p>
    <w:p w14:paraId="45FA3CBC">
      <w:pPr>
        <w:pStyle w:val="33"/>
        <w:rPr>
          <w:rFonts w:hint="eastAsia" w:asciiTheme="minorEastAsia" w:hAnsiTheme="minorEastAsia" w:eastAsiaTheme="minorEastAsia" w:cstheme="minorEastAsia"/>
          <w:b/>
          <w:bCs/>
          <w:color w:val="auto"/>
          <w:sz w:val="56"/>
        </w:rPr>
      </w:pPr>
      <w:r>
        <w:rPr>
          <w:rFonts w:hint="eastAsia" w:asciiTheme="minorEastAsia" w:hAnsiTheme="minorEastAsia" w:eastAsiaTheme="minorEastAsia" w:cstheme="minorEastAsia"/>
          <w:b/>
          <w:bCs/>
          <w:color w:val="auto"/>
          <w:spacing w:val="-4"/>
          <w:sz w:val="52"/>
          <w:szCs w:val="48"/>
          <w:lang w:val="en-US" w:eastAsia="zh-CN"/>
        </w:rPr>
        <w:t>竞争性</w:t>
      </w:r>
      <w:r>
        <w:rPr>
          <w:rFonts w:hint="eastAsia" w:asciiTheme="minorEastAsia" w:hAnsiTheme="minorEastAsia" w:eastAsiaTheme="minorEastAsia" w:cstheme="minorEastAsia"/>
          <w:b/>
          <w:bCs/>
          <w:color w:val="auto"/>
          <w:spacing w:val="-4"/>
          <w:sz w:val="52"/>
          <w:szCs w:val="48"/>
        </w:rPr>
        <w:t>磋商文件</w:t>
      </w:r>
    </w:p>
    <w:p w14:paraId="104FB961">
      <w:pPr>
        <w:rPr>
          <w:rFonts w:hint="eastAsia" w:asciiTheme="minorEastAsia" w:hAnsiTheme="minorEastAsia" w:eastAsiaTheme="minorEastAsia" w:cstheme="minorEastAsia"/>
          <w:b/>
          <w:bCs/>
          <w:color w:val="auto"/>
          <w:sz w:val="56"/>
        </w:rPr>
      </w:pPr>
    </w:p>
    <w:p w14:paraId="01884689">
      <w:pPr>
        <w:spacing w:before="0"/>
        <w:ind w:right="0"/>
        <w:jc w:val="left"/>
        <w:rPr>
          <w:rFonts w:hint="eastAsia" w:asciiTheme="minorEastAsia" w:hAnsiTheme="minorEastAsia" w:eastAsiaTheme="minorEastAsia" w:cstheme="minorEastAsia"/>
          <w:b/>
          <w:bCs/>
          <w:color w:val="auto"/>
          <w:spacing w:val="-3"/>
          <w:sz w:val="32"/>
        </w:rPr>
      </w:pPr>
    </w:p>
    <w:p w14:paraId="2A9C34FE">
      <w:pPr>
        <w:jc w:val="both"/>
        <w:rPr>
          <w:rFonts w:hint="eastAsia" w:ascii="宋体" w:hAnsi="宋体" w:eastAsia="宋体" w:cs="宋体"/>
          <w:sz w:val="21"/>
          <w:szCs w:val="24"/>
          <w:lang w:val="en-US" w:eastAsia="zh-CN"/>
        </w:rPr>
      </w:pPr>
    </w:p>
    <w:p w14:paraId="1DCEED34">
      <w:pPr>
        <w:jc w:val="center"/>
        <w:rPr>
          <w:rFonts w:hint="eastAsia" w:ascii="宋体" w:hAnsi="宋体" w:eastAsia="宋体" w:cs="宋体"/>
          <w:sz w:val="21"/>
          <w:szCs w:val="24"/>
          <w:lang w:val="en-US" w:eastAsia="zh-CN"/>
        </w:rPr>
      </w:pPr>
      <w:r>
        <w:drawing>
          <wp:inline distT="0" distB="0" distL="114300" distR="114300">
            <wp:extent cx="5395595" cy="1736725"/>
            <wp:effectExtent l="0" t="0" r="14605" b="158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5395595" cy="1736725"/>
                    </a:xfrm>
                    <a:prstGeom prst="rect">
                      <a:avLst/>
                    </a:prstGeom>
                    <a:noFill/>
                    <a:ln>
                      <a:noFill/>
                    </a:ln>
                  </pic:spPr>
                </pic:pic>
              </a:graphicData>
            </a:graphic>
          </wp:inline>
        </w:drawing>
      </w:r>
    </w:p>
    <w:p w14:paraId="4AD89C60">
      <w:pPr>
        <w:jc w:val="center"/>
        <w:rPr>
          <w:rFonts w:hint="eastAsia" w:ascii="宋体" w:hAnsi="宋体" w:eastAsia="宋体" w:cs="宋体"/>
          <w:sz w:val="21"/>
          <w:szCs w:val="24"/>
          <w:lang w:val="en-US" w:eastAsia="zh-CN"/>
        </w:rPr>
      </w:pPr>
    </w:p>
    <w:p w14:paraId="6AEA6334">
      <w:pPr>
        <w:jc w:val="center"/>
        <w:rPr>
          <w:rFonts w:hint="eastAsia" w:ascii="宋体" w:hAnsi="宋体" w:eastAsia="宋体" w:cs="宋体"/>
          <w:sz w:val="21"/>
          <w:szCs w:val="24"/>
          <w:lang w:val="en-US" w:eastAsia="zh-CN"/>
        </w:rPr>
      </w:pPr>
    </w:p>
    <w:p w14:paraId="6A3072F7">
      <w:pPr>
        <w:jc w:val="center"/>
        <w:rPr>
          <w:rFonts w:hint="eastAsia" w:ascii="宋体" w:hAnsi="宋体" w:eastAsia="宋体" w:cs="宋体"/>
          <w:sz w:val="21"/>
          <w:szCs w:val="24"/>
          <w:lang w:val="en-US" w:eastAsia="zh-CN"/>
        </w:rPr>
      </w:pPr>
    </w:p>
    <w:p w14:paraId="15BAC129">
      <w:pPr>
        <w:jc w:val="both"/>
        <w:rPr>
          <w:rFonts w:hint="eastAsia" w:asciiTheme="minorEastAsia" w:hAnsiTheme="minorEastAsia" w:eastAsiaTheme="minorEastAsia" w:cstheme="minorEastAsia"/>
          <w:b/>
          <w:bCs/>
          <w:color w:val="auto"/>
          <w:spacing w:val="-4"/>
          <w:kern w:val="2"/>
          <w:sz w:val="52"/>
          <w:szCs w:val="48"/>
          <w:lang w:val="en-US" w:eastAsia="zh-CN" w:bidi="ar-SA"/>
        </w:rPr>
      </w:pPr>
    </w:p>
    <w:p w14:paraId="77C7B728">
      <w:pPr>
        <w:jc w:val="center"/>
        <w:rPr>
          <w:rFonts w:hint="default" w:asciiTheme="minorEastAsia" w:hAnsiTheme="minorEastAsia" w:eastAsiaTheme="minorEastAsia" w:cstheme="minorEastAsia"/>
          <w:b/>
          <w:bCs/>
          <w:color w:val="auto"/>
          <w:spacing w:val="-4"/>
          <w:kern w:val="2"/>
          <w:sz w:val="28"/>
          <w:szCs w:val="28"/>
          <w:lang w:val="en-US" w:eastAsia="zh-CN" w:bidi="ar-SA"/>
        </w:rPr>
      </w:pPr>
      <w:r>
        <w:rPr>
          <w:rFonts w:hint="eastAsia" w:asciiTheme="minorEastAsia" w:hAnsiTheme="minorEastAsia" w:eastAsiaTheme="minorEastAsia" w:cstheme="minorEastAsia"/>
          <w:b/>
          <w:bCs/>
          <w:color w:val="auto"/>
          <w:spacing w:val="-4"/>
          <w:kern w:val="2"/>
          <w:sz w:val="28"/>
          <w:szCs w:val="28"/>
          <w:lang w:val="en-US" w:eastAsia="zh-CN" w:bidi="ar-SA"/>
        </w:rPr>
        <w:t>二0二六年四月</w:t>
      </w:r>
    </w:p>
    <w:sdt>
      <w:sdtPr>
        <w:rPr>
          <w:rFonts w:hint="eastAsia" w:ascii="宋体" w:hAnsi="宋体" w:eastAsia="宋体" w:cs="宋体"/>
          <w:sz w:val="21"/>
          <w:szCs w:val="24"/>
        </w:rPr>
        <w:id w:val="-1846540779"/>
        <w15:color w:val="DBDBDB"/>
        <w:docPartObj>
          <w:docPartGallery w:val="Table of Contents"/>
          <w:docPartUnique/>
        </w:docPartObj>
      </w:sdtPr>
      <w:sdtEndPr>
        <w:rPr>
          <w:rFonts w:hint="eastAsia" w:ascii="宋体" w:hAnsi="宋体" w:eastAsia="宋体" w:cs="宋体"/>
          <w:sz w:val="24"/>
          <w:szCs w:val="24"/>
        </w:rPr>
      </w:sdtEndPr>
      <w:sdtContent>
        <w:p w14:paraId="6DF356E4">
          <w:pPr>
            <w:jc w:val="center"/>
            <w:rPr>
              <w:rFonts w:hint="eastAsia" w:ascii="宋体" w:hAnsi="宋体" w:eastAsia="宋体" w:cs="宋体"/>
              <w:sz w:val="28"/>
              <w:szCs w:val="28"/>
            </w:rPr>
          </w:pPr>
        </w:p>
        <w:p w14:paraId="2D5F8E74">
          <w:pPr>
            <w:jc w:val="center"/>
            <w:rPr>
              <w:rFonts w:hint="eastAsia" w:ascii="宋体" w:hAnsi="宋体" w:eastAsia="宋体" w:cs="宋体"/>
              <w:sz w:val="21"/>
              <w:szCs w:val="24"/>
            </w:rPr>
          </w:pPr>
        </w:p>
        <w:p w14:paraId="5FDBA494">
          <w:pPr>
            <w:jc w:val="both"/>
            <w:rPr>
              <w:rFonts w:hint="eastAsia" w:ascii="宋体" w:hAnsi="宋体" w:eastAsia="宋体" w:cs="宋体"/>
              <w:b/>
              <w:bCs/>
              <w:color w:val="000000" w:themeColor="text1"/>
              <w:kern w:val="0"/>
              <w:sz w:val="36"/>
              <w:szCs w:val="36"/>
              <w14:textFill>
                <w14:solidFill>
                  <w14:schemeClr w14:val="tx1"/>
                </w14:solidFill>
              </w14:textFill>
            </w:rPr>
            <w:sectPr>
              <w:headerReference r:id="rId4" w:type="first"/>
              <w:headerReference r:id="rId3" w:type="default"/>
              <w:pgSz w:w="11906" w:h="16838"/>
              <w:pgMar w:top="1440" w:right="1701" w:bottom="1440" w:left="1701" w:header="851" w:footer="680" w:gutter="0"/>
              <w:pgNumType w:fmt="numberInDash" w:start="1" w:chapStyle="1"/>
              <w:cols w:space="720" w:num="1"/>
              <w:titlePg/>
              <w:docGrid w:type="lines" w:linePitch="312" w:charSpace="0"/>
            </w:sectPr>
          </w:pPr>
        </w:p>
        <w:p w14:paraId="2928413D">
          <w:pPr>
            <w:jc w:val="center"/>
            <w:rPr>
              <w:rFonts w:hint="eastAsia"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
              <w:bCs/>
              <w:color w:val="000000" w:themeColor="text1"/>
              <w:kern w:val="0"/>
              <w:sz w:val="36"/>
              <w:szCs w:val="36"/>
              <w14:textFill>
                <w14:solidFill>
                  <w14:schemeClr w14:val="tx1"/>
                </w14:solidFill>
              </w14:textFill>
            </w:rPr>
            <w:t>目  录</w:t>
          </w:r>
        </w:p>
        <w:p w14:paraId="4A290555">
          <w:pPr>
            <w:tabs>
              <w:tab w:val="left" w:pos="2294"/>
            </w:tabs>
            <w:spacing w:line="720" w:lineRule="auto"/>
            <w:jc w:val="left"/>
            <w:rPr>
              <w:rFonts w:hint="eastAsia" w:ascii="宋体" w:hAnsi="宋体" w:eastAsia="宋体" w:cs="宋体"/>
              <w:szCs w:val="24"/>
              <w:lang w:eastAsia="zh-CN"/>
            </w:rPr>
          </w:pPr>
          <w:r>
            <w:rPr>
              <w:rFonts w:hint="eastAsia" w:ascii="宋体" w:hAnsi="宋体" w:eastAsia="宋体" w:cs="宋体"/>
              <w:szCs w:val="24"/>
              <w:lang w:eastAsia="zh-CN"/>
            </w:rPr>
            <w:tab/>
          </w:r>
        </w:p>
        <w:p w14:paraId="6FAA89B6">
          <w:pPr>
            <w:pStyle w:val="25"/>
            <w:tabs>
              <w:tab w:val="right" w:leader="dot" w:pos="8504"/>
            </w:tabs>
            <w:spacing w:line="480" w:lineRule="auto"/>
            <w:rPr>
              <w:rFonts w:hint="eastAsia" w:ascii="宋体" w:hAnsi="宋体" w:eastAsia="宋体" w:cs="宋体"/>
              <w:b/>
              <w:bCs/>
              <w:sz w:val="24"/>
              <w:szCs w:val="24"/>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_Toc15198 </w:instrText>
          </w:r>
          <w:r>
            <w:rPr>
              <w:rFonts w:hint="eastAsia" w:ascii="宋体" w:hAnsi="宋体" w:eastAsia="宋体" w:cs="宋体"/>
              <w:b/>
              <w:bCs/>
              <w:sz w:val="24"/>
              <w:szCs w:val="24"/>
            </w:rPr>
            <w:fldChar w:fldCharType="separate"/>
          </w:r>
          <w:r>
            <w:rPr>
              <w:rFonts w:hint="eastAsia" w:ascii="宋体" w:hAnsi="宋体" w:eastAsia="宋体" w:cs="宋体"/>
              <w:b/>
              <w:bCs/>
              <w:kern w:val="0"/>
              <w:sz w:val="24"/>
              <w:szCs w:val="24"/>
            </w:rPr>
            <w:t>第一章 竞争性磋商公告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_Toc15198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11A26A73">
          <w:pPr>
            <w:pStyle w:val="25"/>
            <w:tabs>
              <w:tab w:val="right" w:leader="dot" w:pos="8504"/>
            </w:tabs>
            <w:spacing w:line="480" w:lineRule="auto"/>
            <w:rPr>
              <w:rFonts w:hint="eastAsia" w:ascii="宋体" w:hAnsi="宋体" w:eastAsia="宋体" w:cs="宋体"/>
              <w:b/>
              <w:bCs/>
              <w:sz w:val="24"/>
              <w:szCs w:val="24"/>
            </w:rPr>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_Toc6202 </w:instrText>
          </w:r>
          <w:r>
            <w:rPr>
              <w:rFonts w:hint="eastAsia" w:ascii="宋体" w:hAnsi="宋体" w:eastAsia="宋体" w:cs="宋体"/>
              <w:b/>
              <w:bCs/>
              <w:sz w:val="24"/>
              <w:szCs w:val="24"/>
            </w:rPr>
            <w:fldChar w:fldCharType="separate"/>
          </w:r>
          <w:r>
            <w:rPr>
              <w:rFonts w:hint="eastAsia" w:ascii="宋体" w:hAnsi="宋体" w:eastAsia="宋体" w:cs="宋体"/>
              <w:b/>
              <w:bCs/>
              <w:kern w:val="0"/>
              <w:sz w:val="24"/>
              <w:szCs w:val="24"/>
            </w:rPr>
            <w:t>第二章 供应商须知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_Toc6202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8</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71B295D5">
          <w:pPr>
            <w:pStyle w:val="25"/>
            <w:tabs>
              <w:tab w:val="right" w:leader="dot" w:pos="8504"/>
            </w:tabs>
            <w:spacing w:line="480" w:lineRule="auto"/>
            <w:rPr>
              <w:rFonts w:hint="eastAsia" w:ascii="宋体" w:hAnsi="宋体" w:eastAsia="宋体" w:cs="宋体"/>
              <w:b/>
              <w:bCs/>
              <w:sz w:val="24"/>
              <w:szCs w:val="24"/>
            </w:rPr>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_Toc8751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 xml:space="preserve">第三章 </w:t>
          </w:r>
          <w:r>
            <w:rPr>
              <w:rFonts w:hint="eastAsia" w:ascii="宋体" w:hAnsi="宋体" w:eastAsia="宋体" w:cs="宋体"/>
              <w:b/>
              <w:bCs/>
              <w:kern w:val="0"/>
              <w:sz w:val="24"/>
              <w:szCs w:val="24"/>
              <w:highlight w:val="none"/>
            </w:rPr>
            <w:t>工程量清单</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_Toc8751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34</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4010667B">
          <w:pPr>
            <w:pStyle w:val="25"/>
            <w:tabs>
              <w:tab w:val="right" w:leader="dot" w:pos="8504"/>
            </w:tabs>
            <w:spacing w:line="480" w:lineRule="auto"/>
            <w:rPr>
              <w:rFonts w:hint="eastAsia" w:ascii="宋体" w:hAnsi="宋体" w:eastAsia="宋体" w:cs="宋体"/>
              <w:b/>
              <w:bCs/>
              <w:sz w:val="24"/>
              <w:szCs w:val="24"/>
            </w:rPr>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_Toc13839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第四章</w:t>
          </w:r>
          <w:r>
            <w:rPr>
              <w:rFonts w:hint="eastAsia" w:ascii="宋体" w:hAnsi="宋体" w:eastAsia="宋体" w:cs="宋体"/>
              <w:b/>
              <w:bCs/>
              <w:kern w:val="0"/>
              <w:sz w:val="24"/>
              <w:szCs w:val="24"/>
            </w:rPr>
            <w:t xml:space="preserve">  </w:t>
          </w:r>
          <w:r>
            <w:rPr>
              <w:rFonts w:hint="eastAsia" w:ascii="宋体" w:hAnsi="宋体" w:eastAsia="宋体" w:cs="宋体"/>
              <w:b/>
              <w:bCs/>
              <w:sz w:val="24"/>
              <w:szCs w:val="24"/>
            </w:rPr>
            <w:t>合同主要条款及格式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_Toc13839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42</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7BE888CA">
          <w:pPr>
            <w:pStyle w:val="25"/>
            <w:tabs>
              <w:tab w:val="right" w:leader="dot" w:pos="8504"/>
            </w:tabs>
            <w:spacing w:line="480" w:lineRule="auto"/>
            <w:rPr>
              <w:rFonts w:hint="eastAsia" w:ascii="宋体" w:hAnsi="宋体" w:eastAsia="宋体" w:cs="宋体"/>
              <w:b/>
              <w:bCs/>
              <w:sz w:val="24"/>
              <w:szCs w:val="24"/>
            </w:rPr>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_Toc5799 </w:instrText>
          </w:r>
          <w:r>
            <w:rPr>
              <w:rFonts w:hint="eastAsia" w:ascii="宋体" w:hAnsi="宋体" w:eastAsia="宋体" w:cs="宋体"/>
              <w:b/>
              <w:bCs/>
              <w:sz w:val="24"/>
              <w:szCs w:val="24"/>
            </w:rPr>
            <w:fldChar w:fldCharType="separate"/>
          </w:r>
          <w:r>
            <w:rPr>
              <w:rFonts w:hint="eastAsia" w:ascii="宋体" w:hAnsi="宋体" w:eastAsia="宋体" w:cs="宋体"/>
              <w:b/>
              <w:bCs/>
              <w:kern w:val="0"/>
              <w:sz w:val="24"/>
              <w:szCs w:val="24"/>
            </w:rPr>
            <w:t>第五章 响应文件格式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_Toc5799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102</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553182B7">
          <w:pPr>
            <w:pStyle w:val="25"/>
            <w:tabs>
              <w:tab w:val="right" w:leader="dot" w:pos="8504"/>
            </w:tabs>
            <w:spacing w:line="480" w:lineRule="auto"/>
          </w:pPr>
          <w:r>
            <w:rPr>
              <w:rFonts w:hint="eastAsia" w:ascii="宋体" w:hAnsi="宋体" w:eastAsia="宋体" w:cs="宋体"/>
              <w:b/>
              <w:bCs/>
              <w:color w:val="000000" w:themeColor="text1"/>
              <w:sz w:val="24"/>
              <w:szCs w:val="24"/>
              <w14:textFill>
                <w14:solidFill>
                  <w14:schemeClr w14:val="tx1"/>
                </w14:solidFill>
              </w14:textFill>
            </w:rPr>
            <w:fldChar w:fldCharType="begin"/>
          </w:r>
          <w:r>
            <w:rPr>
              <w:rFonts w:hint="eastAsia" w:ascii="宋体" w:hAnsi="宋体" w:eastAsia="宋体" w:cs="宋体"/>
              <w:b/>
              <w:bCs/>
              <w:sz w:val="24"/>
              <w:szCs w:val="24"/>
            </w:rPr>
            <w:instrText xml:space="preserve"> HYPERLINK \l _Toc19431 </w:instrText>
          </w:r>
          <w:r>
            <w:rPr>
              <w:rFonts w:hint="eastAsia" w:ascii="宋体" w:hAnsi="宋体" w:eastAsia="宋体" w:cs="宋体"/>
              <w:b/>
              <w:bCs/>
              <w:sz w:val="24"/>
              <w:szCs w:val="24"/>
            </w:rPr>
            <w:fldChar w:fldCharType="separate"/>
          </w:r>
          <w:r>
            <w:rPr>
              <w:rFonts w:hint="eastAsia" w:ascii="宋体" w:hAnsi="宋体" w:eastAsia="宋体" w:cs="宋体"/>
              <w:b/>
              <w:bCs/>
              <w:kern w:val="0"/>
              <w:sz w:val="24"/>
              <w:szCs w:val="24"/>
              <w:lang w:val="en-US" w:eastAsia="zh-CN"/>
            </w:rPr>
            <w:t>第六章 图纸</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_Toc19431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123</w:t>
          </w:r>
          <w:r>
            <w:rPr>
              <w:rFonts w:hint="eastAsia" w:ascii="宋体" w:hAnsi="宋体" w:eastAsia="宋体" w:cs="宋体"/>
              <w:b/>
              <w:bCs/>
              <w:sz w:val="24"/>
              <w:szCs w:val="24"/>
            </w:rPr>
            <w:fldChar w:fldCharType="end"/>
          </w:r>
          <w:r>
            <w:rPr>
              <w:rFonts w:hint="eastAsia" w:ascii="宋体" w:hAnsi="宋体" w:eastAsia="宋体" w:cs="宋体"/>
              <w:b/>
              <w:bCs/>
              <w:color w:val="000000" w:themeColor="text1"/>
              <w:sz w:val="24"/>
              <w:szCs w:val="24"/>
              <w14:textFill>
                <w14:solidFill>
                  <w14:schemeClr w14:val="tx1"/>
                </w14:solidFill>
              </w14:textFill>
            </w:rPr>
            <w:fldChar w:fldCharType="end"/>
          </w:r>
        </w:p>
        <w:p w14:paraId="4EF7A6ED">
          <w:pPr>
            <w:pStyle w:val="25"/>
            <w:tabs>
              <w:tab w:val="right" w:leader="dot" w:pos="9170"/>
            </w:tabs>
            <w:spacing w:line="720" w:lineRule="auto"/>
            <w:ind w:right="-854" w:rightChars="-356"/>
            <w:rPr>
              <w:rFonts w:hint="eastAsia" w:ascii="宋体" w:hAnsi="宋体" w:eastAsia="宋体" w:cs="宋体"/>
            </w:rPr>
          </w:pPr>
          <w:r>
            <w:rPr>
              <w:rFonts w:hint="eastAsia" w:ascii="宋体" w:hAnsi="宋体" w:eastAsia="宋体" w:cs="宋体"/>
              <w:color w:val="000000" w:themeColor="text1"/>
              <w:szCs w:val="28"/>
              <w14:textFill>
                <w14:solidFill>
                  <w14:schemeClr w14:val="tx1"/>
                </w14:solidFill>
              </w14:textFill>
            </w:rPr>
            <w:fldChar w:fldCharType="end"/>
          </w:r>
        </w:p>
      </w:sdtContent>
    </w:sdt>
    <w:p w14:paraId="24884BF4">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77F5F53">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DDF9B1E">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633519B">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1AC60C9A">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EC981B7">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FA7FC6E">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C49E01">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C87A57E">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66BFC1B">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E0401A2">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sectPr>
          <w:footerReference r:id="rId6" w:type="first"/>
          <w:footerReference r:id="rId5" w:type="default"/>
          <w:pgSz w:w="11906" w:h="16838"/>
          <w:pgMar w:top="1440" w:right="1701" w:bottom="1440" w:left="1701" w:header="851" w:footer="680" w:gutter="0"/>
          <w:pgNumType w:fmt="decimal" w:start="1" w:chapStyle="1"/>
          <w:cols w:space="720" w:num="1"/>
          <w:titlePg/>
          <w:docGrid w:type="lines" w:linePitch="312" w:charSpace="0"/>
        </w:sectPr>
      </w:pPr>
    </w:p>
    <w:p w14:paraId="1D50D0E9">
      <w:pPr>
        <w:tabs>
          <w:tab w:val="left" w:pos="1245"/>
        </w:tabs>
        <w:jc w:val="center"/>
        <w:outlineLvl w:val="0"/>
        <w:rPr>
          <w:rFonts w:hint="eastAsia" w:ascii="宋体" w:hAnsi="宋体" w:eastAsia="宋体" w:cs="宋体"/>
          <w:b/>
          <w:bCs/>
          <w:color w:val="000000" w:themeColor="text1"/>
          <w:kern w:val="0"/>
          <w:sz w:val="36"/>
          <w:szCs w:val="36"/>
          <w14:textFill>
            <w14:solidFill>
              <w14:schemeClr w14:val="tx1"/>
            </w14:solidFill>
          </w14:textFill>
        </w:rPr>
      </w:pPr>
      <w:bookmarkStart w:id="1" w:name="_Toc15198"/>
      <w:r>
        <w:rPr>
          <w:rFonts w:hint="eastAsia" w:ascii="宋体" w:hAnsi="宋体" w:eastAsia="宋体" w:cs="宋体"/>
          <w:b/>
          <w:bCs/>
          <w:color w:val="000000" w:themeColor="text1"/>
          <w:kern w:val="0"/>
          <w:sz w:val="36"/>
          <w:szCs w:val="36"/>
          <w14:textFill>
            <w14:solidFill>
              <w14:schemeClr w14:val="tx1"/>
            </w14:solidFill>
          </w14:textFill>
        </w:rPr>
        <w:t>第一章</w:t>
      </w:r>
      <w:bookmarkEnd w:id="0"/>
      <w:r>
        <w:rPr>
          <w:rFonts w:hint="eastAsia" w:ascii="宋体" w:hAnsi="宋体" w:eastAsia="宋体" w:cs="宋体"/>
          <w:b/>
          <w:bCs/>
          <w:color w:val="000000" w:themeColor="text1"/>
          <w:kern w:val="0"/>
          <w:sz w:val="36"/>
          <w:szCs w:val="36"/>
          <w14:textFill>
            <w14:solidFill>
              <w14:schemeClr w14:val="tx1"/>
            </w14:solidFill>
          </w14:textFill>
        </w:rPr>
        <w:t xml:space="preserve"> </w:t>
      </w:r>
      <w:bookmarkStart w:id="2" w:name="OLE_LINK1"/>
      <w:r>
        <w:rPr>
          <w:rFonts w:hint="eastAsia" w:ascii="宋体" w:hAnsi="宋体" w:eastAsia="宋体" w:cs="宋体"/>
          <w:b/>
          <w:bCs/>
          <w:color w:val="000000" w:themeColor="text1"/>
          <w:kern w:val="0"/>
          <w:sz w:val="36"/>
          <w:szCs w:val="36"/>
          <w14:textFill>
            <w14:solidFill>
              <w14:schemeClr w14:val="tx1"/>
            </w14:solidFill>
          </w14:textFill>
        </w:rPr>
        <w:t>竞争性磋商公告</w:t>
      </w:r>
      <w:bookmarkEnd w:id="1"/>
      <w:r>
        <w:rPr>
          <w:rFonts w:hint="eastAsia" w:ascii="宋体" w:hAnsi="宋体" w:eastAsia="宋体" w:cs="宋体"/>
          <w:szCs w:val="24"/>
        </w:rPr>
        <w:t xml:space="preserve">  </w:t>
      </w:r>
    </w:p>
    <w:p w14:paraId="1B42E640">
      <w:pPr>
        <w:tabs>
          <w:tab w:val="left" w:pos="1245"/>
        </w:tabs>
        <w:spacing w:line="360" w:lineRule="auto"/>
        <w:jc w:val="center"/>
        <w:outlineLvl w:val="0"/>
        <w:rPr>
          <w:rFonts w:hint="eastAsia" w:ascii="宋体" w:hAnsi="宋体" w:eastAsia="宋体" w:cs="宋体"/>
          <w:b/>
          <w:bCs/>
          <w:color w:val="000000"/>
          <w:kern w:val="0"/>
          <w:sz w:val="24"/>
          <w:szCs w:val="24"/>
          <w:lang w:eastAsia="zh-CN"/>
        </w:rPr>
      </w:pPr>
      <w:bookmarkStart w:id="3" w:name="_Toc21197"/>
      <w:bookmarkStart w:id="4" w:name="OLE_LINK2"/>
      <w:r>
        <w:rPr>
          <w:rFonts w:hint="eastAsia" w:ascii="宋体" w:hAnsi="宋体" w:eastAsia="宋体" w:cs="宋体"/>
          <w:b/>
          <w:bCs/>
          <w:color w:val="000000"/>
          <w:kern w:val="0"/>
          <w:sz w:val="24"/>
          <w:szCs w:val="24"/>
          <w:lang w:val="en-US" w:eastAsia="zh-CN"/>
        </w:rPr>
        <w:t>千阳县河务工作站</w:t>
      </w:r>
      <w:r>
        <w:rPr>
          <w:rFonts w:hint="eastAsia" w:ascii="宋体" w:hAnsi="宋体" w:eastAsia="宋体" w:cs="宋体"/>
          <w:b/>
          <w:bCs/>
          <w:color w:val="000000"/>
          <w:kern w:val="0"/>
          <w:sz w:val="24"/>
          <w:szCs w:val="24"/>
          <w:lang w:eastAsia="zh-CN"/>
        </w:rPr>
        <w:t>千河千阳县柿沟村段水毁修复工程</w:t>
      </w:r>
      <w:bookmarkEnd w:id="3"/>
    </w:p>
    <w:p w14:paraId="6BD3AF79">
      <w:pPr>
        <w:tabs>
          <w:tab w:val="left" w:pos="1245"/>
        </w:tabs>
        <w:spacing w:line="360" w:lineRule="auto"/>
        <w:jc w:val="center"/>
        <w:outlineLvl w:val="0"/>
        <w:rPr>
          <w:rFonts w:hint="eastAsia" w:ascii="宋体" w:hAnsi="宋体" w:eastAsia="宋体" w:cs="宋体"/>
          <w:b/>
          <w:bCs/>
          <w:color w:val="000000"/>
          <w:kern w:val="0"/>
          <w:sz w:val="28"/>
          <w:szCs w:val="28"/>
        </w:rPr>
      </w:pPr>
      <w:bookmarkStart w:id="5" w:name="_Toc9542"/>
      <w:r>
        <w:rPr>
          <w:rFonts w:hint="eastAsia" w:ascii="宋体" w:hAnsi="宋体" w:eastAsia="宋体" w:cs="宋体"/>
          <w:b/>
          <w:bCs/>
          <w:color w:val="000000"/>
          <w:kern w:val="0"/>
          <w:sz w:val="24"/>
          <w:szCs w:val="24"/>
        </w:rPr>
        <w:t>竞争性磋商公告</w:t>
      </w:r>
      <w:bookmarkEnd w:id="5"/>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0"/>
      </w:tblGrid>
      <w:tr w14:paraId="1C008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5000" w:type="pct"/>
          </w:tcPr>
          <w:p w14:paraId="66400AA3">
            <w:pPr>
              <w:spacing w:line="500" w:lineRule="exact"/>
              <w:rPr>
                <w:rFonts w:hint="eastAsia" w:ascii="宋体" w:hAnsi="宋体" w:eastAsia="宋体" w:cs="宋体"/>
                <w:szCs w:val="24"/>
              </w:rPr>
            </w:pPr>
            <w:r>
              <w:rPr>
                <w:rFonts w:hint="eastAsia" w:ascii="宋体" w:hAnsi="宋体" w:eastAsia="宋体" w:cs="宋体"/>
                <w:szCs w:val="24"/>
              </w:rPr>
              <w:t>项目概况</w:t>
            </w:r>
          </w:p>
          <w:p w14:paraId="2CF50961">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千河千阳县柿沟村段水毁修复工程</w:t>
            </w:r>
            <w:r>
              <w:rPr>
                <w:rFonts w:hint="eastAsia" w:ascii="宋体" w:hAnsi="宋体" w:eastAsia="宋体" w:cs="宋体"/>
                <w:szCs w:val="24"/>
              </w:rPr>
              <w:t>的潜在供应商应在</w:t>
            </w:r>
            <w:r>
              <w:rPr>
                <w:rFonts w:hint="eastAsia" w:ascii="宋体" w:hAnsi="宋体" w:eastAsia="宋体" w:cs="宋体"/>
                <w:color w:val="auto"/>
                <w:shd w:val="clear" w:color="auto" w:fill="FFFFFF"/>
              </w:rPr>
              <w:t>【全国公共资源交易平台（陕西省·宝鸡市）】（http://ggzy.baoji.gov.cn/）获取</w:t>
            </w:r>
            <w:r>
              <w:rPr>
                <w:rFonts w:hint="eastAsia" w:ascii="宋体" w:hAnsi="宋体" w:eastAsia="宋体" w:cs="宋体"/>
                <w:color w:val="auto"/>
                <w:shd w:val="clear" w:color="auto" w:fill="FFFFFF"/>
                <w:lang w:val="en-US" w:eastAsia="zh-CN"/>
              </w:rPr>
              <w:t>采购</w:t>
            </w:r>
            <w:r>
              <w:rPr>
                <w:rFonts w:hint="eastAsia" w:ascii="宋体" w:hAnsi="宋体" w:eastAsia="宋体" w:cs="宋体"/>
                <w:color w:val="auto"/>
                <w:shd w:val="clear" w:color="auto" w:fill="FFFFFF"/>
              </w:rPr>
              <w:t>文</w:t>
            </w:r>
            <w:r>
              <w:rPr>
                <w:rFonts w:hint="eastAsia" w:ascii="宋体" w:hAnsi="宋体" w:eastAsia="宋体" w:cs="宋体"/>
                <w:color w:val="auto"/>
                <w:highlight w:val="none"/>
                <w:shd w:val="clear" w:color="auto" w:fill="FFFFFF"/>
              </w:rPr>
              <w:t>件，并于</w:t>
            </w:r>
            <w:r>
              <w:rPr>
                <w:rFonts w:hint="eastAsia" w:ascii="宋体" w:hAnsi="宋体" w:eastAsia="宋体" w:cs="宋体"/>
                <w:color w:val="auto"/>
                <w:highlight w:val="none"/>
                <w:shd w:val="clear" w:color="auto" w:fill="FFFFFF"/>
                <w:lang w:eastAsia="zh-CN"/>
              </w:rPr>
              <w:t>2026年04月15日</w:t>
            </w:r>
            <w:r>
              <w:rPr>
                <w:rFonts w:hint="eastAsia" w:ascii="宋体" w:hAnsi="宋体" w:eastAsia="宋体" w:cs="宋体"/>
                <w:color w:val="auto"/>
                <w:highlight w:val="none"/>
                <w:shd w:val="clear" w:color="auto" w:fill="FFFFFF"/>
                <w:lang w:val="en-US" w:eastAsia="zh-CN"/>
              </w:rPr>
              <w:t>09</w:t>
            </w:r>
            <w:r>
              <w:rPr>
                <w:rFonts w:hint="eastAsia" w:ascii="宋体" w:hAnsi="宋体" w:eastAsia="宋体" w:cs="宋体"/>
                <w:color w:val="auto"/>
                <w:highlight w:val="none"/>
                <w:shd w:val="clear" w:color="auto" w:fill="FFFFFF"/>
              </w:rPr>
              <w:t>时</w:t>
            </w:r>
            <w:r>
              <w:rPr>
                <w:rFonts w:hint="eastAsia" w:ascii="宋体" w:hAnsi="宋体" w:eastAsia="宋体" w:cs="宋体"/>
                <w:color w:val="auto"/>
                <w:highlight w:val="none"/>
                <w:shd w:val="clear" w:color="auto" w:fill="FFFFFF"/>
                <w:lang w:val="en-US" w:eastAsia="zh-CN"/>
              </w:rPr>
              <w:t>00</w:t>
            </w:r>
            <w:r>
              <w:rPr>
                <w:rFonts w:hint="eastAsia" w:ascii="宋体" w:hAnsi="宋体" w:eastAsia="宋体" w:cs="宋体"/>
                <w:color w:val="auto"/>
                <w:highlight w:val="none"/>
                <w:shd w:val="clear" w:color="auto" w:fill="FFFFFF"/>
              </w:rPr>
              <w:t>分（北京时间）前</w:t>
            </w:r>
            <w:r>
              <w:rPr>
                <w:rFonts w:hint="eastAsia" w:ascii="宋体" w:hAnsi="宋体" w:eastAsia="宋体" w:cs="宋体"/>
                <w:color w:val="auto"/>
                <w:highlight w:val="none"/>
                <w:shd w:val="clear" w:color="auto" w:fill="FFFFFF"/>
                <w:lang w:val="en-US" w:eastAsia="zh-CN"/>
              </w:rPr>
              <w:t>提交</w:t>
            </w:r>
            <w:r>
              <w:rPr>
                <w:rFonts w:hint="eastAsia" w:ascii="宋体" w:hAnsi="宋体" w:eastAsia="宋体" w:cs="宋体"/>
                <w:color w:val="auto"/>
                <w:highlight w:val="none"/>
                <w:shd w:val="clear" w:color="auto" w:fill="FFFFFF"/>
              </w:rPr>
              <w:t>响应文件。</w:t>
            </w:r>
          </w:p>
        </w:tc>
      </w:tr>
    </w:tbl>
    <w:p w14:paraId="6978B9AD">
      <w:pPr>
        <w:spacing w:line="500" w:lineRule="exact"/>
        <w:rPr>
          <w:rFonts w:hint="eastAsia" w:ascii="宋体" w:hAnsi="宋体" w:eastAsia="宋体" w:cs="宋体"/>
          <w:szCs w:val="24"/>
        </w:rPr>
      </w:pPr>
      <w:r>
        <w:rPr>
          <w:rFonts w:hint="eastAsia" w:ascii="宋体" w:hAnsi="宋体" w:eastAsia="宋体" w:cs="宋体"/>
          <w:szCs w:val="24"/>
        </w:rPr>
        <w:t>一、项目基本情况</w:t>
      </w:r>
    </w:p>
    <w:p w14:paraId="3D4F6AA0">
      <w:pPr>
        <w:spacing w:line="500" w:lineRule="exact"/>
        <w:rPr>
          <w:rFonts w:hint="eastAsia" w:ascii="宋体" w:hAnsi="宋体" w:eastAsia="宋体" w:cs="宋体"/>
          <w:szCs w:val="24"/>
          <w:lang w:eastAsia="zh-CN"/>
        </w:rPr>
      </w:pPr>
      <w:r>
        <w:rPr>
          <w:rFonts w:hint="eastAsia" w:ascii="宋体" w:hAnsi="宋体" w:eastAsia="宋体" w:cs="宋体"/>
          <w:szCs w:val="24"/>
        </w:rPr>
        <w:t>项目编</w:t>
      </w:r>
      <w:r>
        <w:rPr>
          <w:rFonts w:hint="eastAsia" w:ascii="宋体" w:hAnsi="宋体" w:eastAsia="宋体" w:cs="宋体"/>
          <w:szCs w:val="24"/>
          <w:highlight w:val="none"/>
        </w:rPr>
        <w:t>号：</w:t>
      </w:r>
      <w:r>
        <w:rPr>
          <w:rFonts w:hint="eastAsia" w:ascii="宋体" w:hAnsi="宋体" w:eastAsia="宋体" w:cs="宋体"/>
          <w:szCs w:val="24"/>
          <w:highlight w:val="none"/>
          <w:lang w:eastAsia="zh-CN"/>
        </w:rPr>
        <w:t>HDZX2026（006）CG</w:t>
      </w:r>
    </w:p>
    <w:p w14:paraId="3E1496D6">
      <w:pPr>
        <w:spacing w:line="500" w:lineRule="exact"/>
        <w:rPr>
          <w:rFonts w:hint="eastAsia" w:ascii="宋体" w:hAnsi="宋体" w:eastAsia="宋体" w:cs="宋体"/>
          <w:szCs w:val="24"/>
          <w:lang w:eastAsia="zh-CN"/>
        </w:rPr>
      </w:pPr>
      <w:r>
        <w:rPr>
          <w:rFonts w:hint="eastAsia" w:ascii="宋体" w:hAnsi="宋体" w:eastAsia="宋体" w:cs="宋体"/>
          <w:szCs w:val="24"/>
        </w:rPr>
        <w:t>项目名称：</w:t>
      </w:r>
      <w:r>
        <w:rPr>
          <w:rFonts w:hint="eastAsia" w:ascii="宋体" w:hAnsi="宋体" w:eastAsia="宋体" w:cs="宋体"/>
          <w:szCs w:val="24"/>
          <w:lang w:eastAsia="zh-CN"/>
        </w:rPr>
        <w:t>千河千阳县柿沟村段水毁修复工程</w:t>
      </w:r>
    </w:p>
    <w:p w14:paraId="25A54A89">
      <w:pPr>
        <w:spacing w:line="500" w:lineRule="exact"/>
        <w:rPr>
          <w:rFonts w:hint="eastAsia" w:ascii="宋体" w:hAnsi="宋体" w:eastAsia="宋体" w:cs="宋体"/>
          <w:szCs w:val="24"/>
        </w:rPr>
      </w:pPr>
      <w:r>
        <w:rPr>
          <w:rFonts w:hint="eastAsia" w:ascii="宋体" w:hAnsi="宋体" w:eastAsia="宋体" w:cs="宋体"/>
          <w:szCs w:val="24"/>
        </w:rPr>
        <w:t>采购方式：竞争性磋商</w:t>
      </w:r>
    </w:p>
    <w:p w14:paraId="34CD5B87">
      <w:pPr>
        <w:spacing w:line="500" w:lineRule="exact"/>
        <w:rPr>
          <w:rFonts w:hint="eastAsia" w:ascii="宋体" w:hAnsi="宋体" w:eastAsia="宋体" w:cs="宋体"/>
          <w:szCs w:val="24"/>
          <w:highlight w:val="none"/>
        </w:rPr>
      </w:pPr>
      <w:r>
        <w:rPr>
          <w:rFonts w:hint="eastAsia" w:ascii="宋体" w:hAnsi="宋体" w:eastAsia="宋体" w:cs="宋体"/>
          <w:szCs w:val="24"/>
        </w:rPr>
        <w:t>预算金额</w:t>
      </w:r>
      <w:r>
        <w:rPr>
          <w:rFonts w:hint="eastAsia" w:ascii="宋体" w:hAnsi="宋体" w:eastAsia="宋体" w:cs="宋体"/>
          <w:szCs w:val="24"/>
          <w:lang w:eastAsia="zh-CN"/>
        </w:rPr>
        <w:t>：</w:t>
      </w:r>
      <w:r>
        <w:rPr>
          <w:rFonts w:hint="eastAsia" w:ascii="宋体" w:hAnsi="宋体" w:eastAsia="宋体" w:cs="宋体"/>
          <w:szCs w:val="24"/>
          <w:highlight w:val="none"/>
          <w:lang w:val="en-US" w:eastAsia="zh-CN"/>
        </w:rPr>
        <w:t>600000.00</w:t>
      </w:r>
      <w:r>
        <w:rPr>
          <w:rFonts w:hint="eastAsia" w:ascii="宋体" w:hAnsi="宋体" w:eastAsia="宋体" w:cs="宋体"/>
          <w:szCs w:val="24"/>
          <w:highlight w:val="none"/>
        </w:rPr>
        <w:t>元</w:t>
      </w:r>
    </w:p>
    <w:p w14:paraId="5E896533">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采购需求：</w:t>
      </w:r>
    </w:p>
    <w:p w14:paraId="33CE624B">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合同包1(</w:t>
      </w:r>
      <w:r>
        <w:rPr>
          <w:rFonts w:hint="eastAsia" w:ascii="宋体" w:hAnsi="宋体" w:eastAsia="宋体" w:cs="宋体"/>
          <w:szCs w:val="24"/>
          <w:highlight w:val="none"/>
          <w:lang w:eastAsia="zh-CN"/>
        </w:rPr>
        <w:t>千河千阳县柿沟村段水毁修复工程</w:t>
      </w:r>
      <w:r>
        <w:rPr>
          <w:rFonts w:hint="eastAsia" w:ascii="宋体" w:hAnsi="宋体" w:eastAsia="宋体" w:cs="宋体"/>
          <w:szCs w:val="24"/>
          <w:highlight w:val="none"/>
        </w:rPr>
        <w:t>）:</w:t>
      </w:r>
    </w:p>
    <w:p w14:paraId="5408AC09">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合同包预算金额：</w:t>
      </w:r>
      <w:r>
        <w:rPr>
          <w:rFonts w:hint="eastAsia" w:ascii="宋体" w:hAnsi="宋体" w:eastAsia="宋体" w:cs="宋体"/>
          <w:szCs w:val="24"/>
          <w:highlight w:val="none"/>
          <w:lang w:val="en-US" w:eastAsia="zh-CN"/>
        </w:rPr>
        <w:t>600000.00</w:t>
      </w:r>
      <w:r>
        <w:rPr>
          <w:rFonts w:hint="eastAsia" w:ascii="宋体" w:hAnsi="宋体" w:eastAsia="宋体" w:cs="宋体"/>
          <w:szCs w:val="24"/>
          <w:highlight w:val="none"/>
        </w:rPr>
        <w:t>元</w:t>
      </w:r>
    </w:p>
    <w:p w14:paraId="63CC8FED">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合同包最高限价：</w:t>
      </w:r>
      <w:r>
        <w:rPr>
          <w:rFonts w:hint="eastAsia" w:ascii="宋体" w:hAnsi="宋体" w:eastAsia="宋体" w:cs="宋体"/>
          <w:szCs w:val="24"/>
          <w:highlight w:val="none"/>
          <w:lang w:val="en-US" w:eastAsia="zh-CN"/>
        </w:rPr>
        <w:t>597421.44</w:t>
      </w:r>
      <w:r>
        <w:rPr>
          <w:rFonts w:hint="eastAsia" w:ascii="宋体" w:hAnsi="宋体" w:eastAsia="宋体" w:cs="宋体"/>
          <w:szCs w:val="24"/>
          <w:highlight w:val="none"/>
        </w:rPr>
        <w:t>元</w:t>
      </w:r>
    </w:p>
    <w:tbl>
      <w:tblPr>
        <w:tblStyle w:val="37"/>
        <w:tblW w:w="5038" w:type="pct"/>
        <w:tblInd w:w="0" w:type="dxa"/>
        <w:tblLayout w:type="autofit"/>
        <w:tblCellMar>
          <w:top w:w="0" w:type="dxa"/>
          <w:left w:w="0" w:type="dxa"/>
          <w:bottom w:w="0" w:type="dxa"/>
          <w:right w:w="0" w:type="dxa"/>
        </w:tblCellMar>
      </w:tblPr>
      <w:tblGrid>
        <w:gridCol w:w="1089"/>
        <w:gridCol w:w="1781"/>
        <w:gridCol w:w="1914"/>
        <w:gridCol w:w="1218"/>
        <w:gridCol w:w="1612"/>
        <w:gridCol w:w="1882"/>
      </w:tblGrid>
      <w:tr w14:paraId="2EF9239F">
        <w:trPr>
          <w:trHeight w:val="1519" w:hRule="atLeast"/>
          <w:tblHeader/>
        </w:trPr>
        <w:tc>
          <w:tcPr>
            <w:tcW w:w="573"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157D506">
            <w:pPr>
              <w:spacing w:line="500" w:lineRule="exact"/>
              <w:jc w:val="center"/>
              <w:rPr>
                <w:rFonts w:hint="eastAsia" w:ascii="宋体" w:hAnsi="宋体" w:eastAsia="宋体" w:cs="宋体"/>
                <w:b/>
                <w:bCs/>
                <w:szCs w:val="21"/>
              </w:rPr>
            </w:pPr>
            <w:r>
              <w:rPr>
                <w:rFonts w:hint="eastAsia" w:ascii="宋体" w:hAnsi="宋体" w:eastAsia="宋体" w:cs="宋体"/>
                <w:b/>
                <w:bCs/>
                <w:szCs w:val="21"/>
              </w:rPr>
              <w:t>品目号</w:t>
            </w:r>
          </w:p>
        </w:tc>
        <w:tc>
          <w:tcPr>
            <w:tcW w:w="9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3FB2AE3">
            <w:pPr>
              <w:spacing w:line="500" w:lineRule="exact"/>
              <w:jc w:val="center"/>
              <w:rPr>
                <w:rFonts w:hint="eastAsia" w:ascii="宋体" w:hAnsi="宋体" w:eastAsia="宋体" w:cs="宋体"/>
                <w:b/>
                <w:bCs/>
                <w:szCs w:val="21"/>
              </w:rPr>
            </w:pPr>
            <w:r>
              <w:rPr>
                <w:rFonts w:hint="eastAsia" w:ascii="宋体" w:hAnsi="宋体" w:eastAsia="宋体" w:cs="宋体"/>
                <w:b/>
                <w:bCs/>
                <w:szCs w:val="21"/>
              </w:rPr>
              <w:t>品目名称</w:t>
            </w:r>
          </w:p>
        </w:tc>
        <w:tc>
          <w:tcPr>
            <w:tcW w:w="100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E66818D">
            <w:pPr>
              <w:spacing w:line="500" w:lineRule="exact"/>
              <w:jc w:val="center"/>
              <w:rPr>
                <w:rFonts w:hint="eastAsia" w:ascii="宋体" w:hAnsi="宋体" w:eastAsia="宋体" w:cs="宋体"/>
                <w:b/>
                <w:bCs/>
                <w:szCs w:val="21"/>
              </w:rPr>
            </w:pPr>
            <w:r>
              <w:rPr>
                <w:rFonts w:hint="eastAsia" w:ascii="宋体" w:hAnsi="宋体" w:eastAsia="宋体" w:cs="宋体"/>
                <w:b/>
                <w:bCs/>
                <w:szCs w:val="21"/>
              </w:rPr>
              <w:t>采购标的</w:t>
            </w:r>
          </w:p>
        </w:tc>
        <w:tc>
          <w:tcPr>
            <w:tcW w:w="64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FBD3C79">
            <w:pPr>
              <w:spacing w:line="500" w:lineRule="exact"/>
              <w:jc w:val="center"/>
              <w:rPr>
                <w:rFonts w:hint="eastAsia" w:ascii="宋体" w:hAnsi="宋体" w:eastAsia="宋体" w:cs="宋体"/>
                <w:b/>
                <w:bCs/>
                <w:szCs w:val="21"/>
              </w:rPr>
            </w:pPr>
            <w:r>
              <w:rPr>
                <w:rFonts w:hint="eastAsia" w:ascii="宋体" w:hAnsi="宋体" w:eastAsia="宋体" w:cs="宋体"/>
                <w:b/>
                <w:bCs/>
                <w:szCs w:val="21"/>
              </w:rPr>
              <w:t>数量</w:t>
            </w:r>
          </w:p>
          <w:p w14:paraId="30B84673">
            <w:pPr>
              <w:spacing w:line="500" w:lineRule="exact"/>
              <w:jc w:val="center"/>
              <w:rPr>
                <w:rFonts w:hint="eastAsia" w:ascii="宋体" w:hAnsi="宋体" w:eastAsia="宋体" w:cs="宋体"/>
                <w:b/>
                <w:bCs/>
                <w:szCs w:val="21"/>
              </w:rPr>
            </w:pPr>
            <w:r>
              <w:rPr>
                <w:rFonts w:hint="eastAsia" w:ascii="宋体" w:hAnsi="宋体" w:eastAsia="宋体" w:cs="宋体"/>
                <w:b/>
                <w:bCs/>
                <w:szCs w:val="21"/>
              </w:rPr>
              <w:t>（单位）</w:t>
            </w:r>
          </w:p>
        </w:tc>
        <w:tc>
          <w:tcPr>
            <w:tcW w:w="8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8F00294">
            <w:pPr>
              <w:spacing w:line="500" w:lineRule="exact"/>
              <w:jc w:val="center"/>
              <w:rPr>
                <w:rFonts w:hint="eastAsia" w:ascii="宋体" w:hAnsi="宋体" w:eastAsia="宋体" w:cs="宋体"/>
                <w:b/>
                <w:bCs/>
                <w:szCs w:val="21"/>
              </w:rPr>
            </w:pPr>
            <w:r>
              <w:rPr>
                <w:rFonts w:hint="eastAsia" w:ascii="宋体" w:hAnsi="宋体" w:eastAsia="宋体" w:cs="宋体"/>
                <w:b/>
                <w:bCs/>
                <w:szCs w:val="21"/>
              </w:rPr>
              <w:t>技术规格、参数及要求</w:t>
            </w:r>
          </w:p>
        </w:tc>
        <w:tc>
          <w:tcPr>
            <w:tcW w:w="9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B383033">
            <w:pPr>
              <w:spacing w:line="500" w:lineRule="exact"/>
              <w:jc w:val="center"/>
              <w:rPr>
                <w:rFonts w:hint="eastAsia" w:ascii="宋体" w:hAnsi="宋体" w:eastAsia="宋体" w:cs="宋体"/>
                <w:b/>
                <w:bCs/>
                <w:szCs w:val="21"/>
              </w:rPr>
            </w:pPr>
            <w:r>
              <w:rPr>
                <w:rFonts w:hint="eastAsia" w:ascii="宋体" w:hAnsi="宋体" w:eastAsia="宋体" w:cs="宋体"/>
                <w:b/>
                <w:bCs/>
                <w:szCs w:val="21"/>
              </w:rPr>
              <w:t>品目预算(元)</w:t>
            </w:r>
          </w:p>
        </w:tc>
      </w:tr>
      <w:tr w14:paraId="0167334F">
        <w:tblPrEx>
          <w:tblCellMar>
            <w:top w:w="0" w:type="dxa"/>
            <w:left w:w="0" w:type="dxa"/>
            <w:bottom w:w="0" w:type="dxa"/>
            <w:right w:w="0" w:type="dxa"/>
          </w:tblCellMar>
        </w:tblPrEx>
        <w:trPr>
          <w:trHeight w:val="1077" w:hRule="atLeast"/>
        </w:trPr>
        <w:tc>
          <w:tcPr>
            <w:tcW w:w="573"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6D9650E">
            <w:pPr>
              <w:spacing w:line="500" w:lineRule="exact"/>
              <w:jc w:val="center"/>
              <w:rPr>
                <w:rFonts w:hint="eastAsia" w:ascii="宋体" w:hAnsi="宋体" w:eastAsia="宋体" w:cs="宋体"/>
                <w:szCs w:val="21"/>
              </w:rPr>
            </w:pPr>
            <w:r>
              <w:rPr>
                <w:rFonts w:hint="eastAsia" w:ascii="宋体" w:hAnsi="宋体" w:eastAsia="宋体" w:cs="宋体"/>
                <w:szCs w:val="21"/>
              </w:rPr>
              <w:t>1-1</w:t>
            </w:r>
          </w:p>
        </w:tc>
        <w:tc>
          <w:tcPr>
            <w:tcW w:w="9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4CF37A6">
            <w:pPr>
              <w:spacing w:line="500" w:lineRule="exact"/>
              <w:jc w:val="center"/>
              <w:rPr>
                <w:rFonts w:hint="default" w:ascii="宋体" w:hAnsi="宋体" w:eastAsia="宋体" w:cs="宋体"/>
                <w:szCs w:val="21"/>
                <w:highlight w:val="red"/>
                <w:lang w:val="en-US"/>
              </w:rPr>
            </w:pPr>
            <w:r>
              <w:rPr>
                <w:rFonts w:hint="eastAsia" w:ascii="宋体" w:hAnsi="宋体" w:eastAsia="宋体" w:cs="宋体"/>
                <w:szCs w:val="21"/>
                <w:highlight w:val="none"/>
                <w:lang w:val="en-US" w:eastAsia="zh-CN"/>
              </w:rPr>
              <w:t>山洪防御工程</w:t>
            </w:r>
          </w:p>
        </w:tc>
        <w:tc>
          <w:tcPr>
            <w:tcW w:w="100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06FE9933">
            <w:pPr>
              <w:spacing w:line="500" w:lineRule="exact"/>
              <w:jc w:val="center"/>
              <w:rPr>
                <w:rFonts w:hint="default" w:ascii="宋体" w:hAnsi="宋体" w:eastAsia="宋体" w:cs="宋体"/>
                <w:szCs w:val="21"/>
                <w:highlight w:val="red"/>
                <w:lang w:val="en-US" w:eastAsia="zh-CN"/>
              </w:rPr>
            </w:pPr>
            <w:r>
              <w:rPr>
                <w:rFonts w:hint="eastAsia" w:ascii="宋体" w:hAnsi="宋体" w:eastAsia="宋体" w:cs="宋体"/>
                <w:szCs w:val="24"/>
                <w:highlight w:val="none"/>
                <w:lang w:val="en-US" w:eastAsia="zh-CN"/>
              </w:rPr>
              <w:t>防洪治理工程</w:t>
            </w:r>
          </w:p>
        </w:tc>
        <w:tc>
          <w:tcPr>
            <w:tcW w:w="641"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25608DB">
            <w:pPr>
              <w:spacing w:line="500" w:lineRule="exact"/>
              <w:jc w:val="center"/>
              <w:rPr>
                <w:rFonts w:hint="eastAsia" w:ascii="宋体" w:hAnsi="宋体" w:eastAsia="宋体" w:cs="宋体"/>
                <w:szCs w:val="21"/>
              </w:rPr>
            </w:pPr>
            <w:r>
              <w:rPr>
                <w:rFonts w:hint="eastAsia" w:ascii="宋体" w:hAnsi="宋体" w:eastAsia="宋体" w:cs="宋体"/>
                <w:szCs w:val="21"/>
              </w:rPr>
              <w:t>1(项)</w:t>
            </w:r>
          </w:p>
        </w:tc>
        <w:tc>
          <w:tcPr>
            <w:tcW w:w="8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54CA18D">
            <w:pPr>
              <w:spacing w:line="500" w:lineRule="exact"/>
              <w:jc w:val="center"/>
              <w:rPr>
                <w:rFonts w:hint="eastAsia" w:ascii="宋体" w:hAnsi="宋体" w:eastAsia="宋体" w:cs="宋体"/>
                <w:szCs w:val="21"/>
              </w:rPr>
            </w:pPr>
            <w:r>
              <w:rPr>
                <w:rFonts w:hint="eastAsia" w:ascii="宋体" w:hAnsi="宋体" w:eastAsia="宋体" w:cs="宋体"/>
                <w:szCs w:val="21"/>
              </w:rPr>
              <w:t>详见采购文件</w:t>
            </w:r>
          </w:p>
        </w:tc>
        <w:tc>
          <w:tcPr>
            <w:tcW w:w="990"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0639580">
            <w:pPr>
              <w:spacing w:line="500" w:lineRule="exact"/>
              <w:jc w:val="center"/>
              <w:rPr>
                <w:rFonts w:hint="eastAsia" w:ascii="宋体" w:hAnsi="宋体" w:eastAsia="宋体" w:cs="宋体"/>
                <w:szCs w:val="21"/>
                <w:lang w:eastAsia="zh-CN"/>
              </w:rPr>
            </w:pPr>
            <w:r>
              <w:rPr>
                <w:rFonts w:hint="eastAsia" w:ascii="宋体" w:hAnsi="宋体" w:eastAsia="宋体" w:cs="宋体"/>
                <w:szCs w:val="24"/>
                <w:highlight w:val="none"/>
                <w:lang w:val="en-US" w:eastAsia="zh-CN"/>
              </w:rPr>
              <w:t>600000.00</w:t>
            </w:r>
          </w:p>
        </w:tc>
      </w:tr>
    </w:tbl>
    <w:p w14:paraId="67E28609">
      <w:pPr>
        <w:spacing w:line="500" w:lineRule="exact"/>
        <w:rPr>
          <w:rFonts w:hint="eastAsia" w:ascii="宋体" w:hAnsi="宋体" w:eastAsia="宋体" w:cs="宋体"/>
          <w:szCs w:val="24"/>
        </w:rPr>
      </w:pPr>
      <w:r>
        <w:rPr>
          <w:rFonts w:hint="eastAsia" w:ascii="宋体" w:hAnsi="宋体" w:eastAsia="宋体" w:cs="宋体"/>
          <w:szCs w:val="24"/>
        </w:rPr>
        <w:t>本合同包不接受联合体投标</w:t>
      </w:r>
    </w:p>
    <w:p w14:paraId="3BC1E8E1">
      <w:pPr>
        <w:spacing w:line="500" w:lineRule="exact"/>
        <w:rPr>
          <w:rFonts w:hint="eastAsia" w:ascii="宋体" w:hAnsi="宋体" w:eastAsia="宋体" w:cs="宋体"/>
          <w:color w:val="auto"/>
          <w:highlight w:val="none"/>
          <w:shd w:val="clear" w:color="auto" w:fill="FFFFFF"/>
        </w:rPr>
      </w:pPr>
      <w:r>
        <w:rPr>
          <w:rFonts w:hint="eastAsia" w:ascii="宋体" w:hAnsi="宋体" w:eastAsia="宋体" w:cs="宋体"/>
          <w:szCs w:val="24"/>
        </w:rPr>
        <w:t>合同履行期限</w:t>
      </w:r>
      <w:r>
        <w:rPr>
          <w:rFonts w:hint="eastAsia" w:ascii="宋体" w:hAnsi="宋体" w:eastAsia="宋体" w:cs="宋体"/>
          <w:szCs w:val="24"/>
          <w:highlight w:val="none"/>
        </w:rPr>
        <w:t>：自签订合同之日起</w:t>
      </w:r>
      <w:r>
        <w:rPr>
          <w:rFonts w:hint="eastAsia" w:ascii="宋体" w:hAnsi="宋体" w:eastAsia="宋体" w:cs="宋体"/>
          <w:szCs w:val="24"/>
          <w:highlight w:val="none"/>
          <w:lang w:val="en-US" w:eastAsia="zh-CN"/>
        </w:rPr>
        <w:t>90日历天（</w:t>
      </w:r>
      <w:r>
        <w:rPr>
          <w:rFonts w:hint="eastAsia" w:ascii="宋体" w:hAnsi="宋体" w:eastAsia="宋体" w:cs="宋体"/>
          <w:color w:val="auto"/>
          <w:highlight w:val="none"/>
          <w:shd w:val="clear" w:color="auto" w:fill="FFFFFF"/>
        </w:rPr>
        <w:t>具体起止日期可随合同签订时间相应顺延</w:t>
      </w:r>
      <w:r>
        <w:rPr>
          <w:rFonts w:hint="eastAsia" w:ascii="宋体" w:hAnsi="宋体" w:eastAsia="宋体" w:cs="宋体"/>
          <w:szCs w:val="24"/>
          <w:highlight w:val="none"/>
          <w:lang w:val="en-US" w:eastAsia="zh-CN"/>
        </w:rPr>
        <w:t>）</w:t>
      </w:r>
    </w:p>
    <w:p w14:paraId="38D8E153">
      <w:pPr>
        <w:spacing w:line="500" w:lineRule="exact"/>
        <w:rPr>
          <w:rFonts w:hint="eastAsia" w:ascii="宋体" w:hAnsi="宋体" w:eastAsia="宋体" w:cs="宋体"/>
          <w:szCs w:val="24"/>
        </w:rPr>
      </w:pPr>
      <w:r>
        <w:rPr>
          <w:rFonts w:hint="eastAsia" w:ascii="宋体" w:hAnsi="宋体" w:eastAsia="宋体" w:cs="宋体"/>
          <w:szCs w:val="24"/>
        </w:rPr>
        <w:t>二、申请人的资格要求：</w:t>
      </w:r>
    </w:p>
    <w:p w14:paraId="1583FC31">
      <w:pPr>
        <w:spacing w:line="500" w:lineRule="exact"/>
        <w:rPr>
          <w:rFonts w:hint="eastAsia" w:ascii="宋体" w:hAnsi="宋体" w:eastAsia="宋体" w:cs="宋体"/>
          <w:szCs w:val="24"/>
        </w:rPr>
      </w:pPr>
      <w:r>
        <w:rPr>
          <w:rFonts w:hint="eastAsia" w:ascii="宋体" w:hAnsi="宋体" w:eastAsia="宋体" w:cs="宋体"/>
          <w:szCs w:val="24"/>
        </w:rPr>
        <w:t>1.满足《中华人民共和国政府采购法》第二十二条规定；</w:t>
      </w:r>
    </w:p>
    <w:p w14:paraId="1BA0E2D0">
      <w:pPr>
        <w:spacing w:line="500" w:lineRule="exact"/>
        <w:rPr>
          <w:rFonts w:hint="eastAsia" w:ascii="宋体" w:hAnsi="宋体" w:eastAsia="宋体" w:cs="宋体"/>
          <w:szCs w:val="24"/>
        </w:rPr>
      </w:pPr>
      <w:r>
        <w:rPr>
          <w:rFonts w:hint="eastAsia" w:ascii="宋体" w:hAnsi="宋体" w:eastAsia="宋体" w:cs="宋体"/>
          <w:szCs w:val="24"/>
        </w:rPr>
        <w:t>2.落实政府采购政策需满足的资格要求：</w:t>
      </w:r>
    </w:p>
    <w:p w14:paraId="609683D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szCs w:val="24"/>
        </w:rPr>
      </w:pPr>
      <w:r>
        <w:rPr>
          <w:rFonts w:hint="eastAsia" w:ascii="宋体" w:hAnsi="宋体" w:eastAsia="宋体" w:cs="宋体"/>
          <w:szCs w:val="24"/>
        </w:rPr>
        <w:t>合同包1(</w:t>
      </w:r>
      <w:r>
        <w:rPr>
          <w:rFonts w:hint="eastAsia" w:ascii="宋体" w:hAnsi="宋体" w:eastAsia="宋体" w:cs="宋体"/>
          <w:szCs w:val="24"/>
          <w:lang w:eastAsia="zh-CN"/>
        </w:rPr>
        <w:t>千河千阳县柿沟村段水毁修复工程</w:t>
      </w:r>
      <w:r>
        <w:rPr>
          <w:rFonts w:hint="eastAsia" w:ascii="宋体" w:hAnsi="宋体" w:eastAsia="宋体" w:cs="宋体"/>
          <w:szCs w:val="24"/>
        </w:rPr>
        <w:t>)落实政府采购政策需满足的资格要求如下:</w:t>
      </w:r>
    </w:p>
    <w:p w14:paraId="6C16C6B3">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（1）</w:t>
      </w:r>
      <w:r>
        <w:rPr>
          <w:rFonts w:hint="eastAsia" w:ascii="宋体" w:hAnsi="宋体" w:eastAsia="宋体" w:cs="宋体"/>
          <w:i w:val="0"/>
          <w:iCs w:val="0"/>
          <w:caps w:val="0"/>
          <w:color w:val="auto"/>
          <w:spacing w:val="0"/>
          <w:sz w:val="24"/>
          <w:szCs w:val="24"/>
          <w:shd w:val="clear" w:color="auto" w:fill="FFFFFF"/>
          <w:vertAlign w:val="baseline"/>
        </w:rPr>
        <w:t>《财政部、司法部关于政府采购支持监狱企业发展有关问题的通知》（财库[2014]68号）；</w:t>
      </w:r>
    </w:p>
    <w:p w14:paraId="5EEC19E4">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（2）</w:t>
      </w:r>
      <w:r>
        <w:rPr>
          <w:rFonts w:hint="eastAsia" w:ascii="宋体" w:hAnsi="宋体" w:eastAsia="宋体" w:cs="宋体"/>
          <w:i w:val="0"/>
          <w:iCs w:val="0"/>
          <w:caps w:val="0"/>
          <w:color w:val="auto"/>
          <w:spacing w:val="0"/>
          <w:sz w:val="24"/>
          <w:szCs w:val="24"/>
          <w:shd w:val="clear" w:color="auto" w:fill="FFFFFF"/>
          <w:vertAlign w:val="baseline"/>
        </w:rPr>
        <w:t>《三部门联合发布关于促进残疾人就业政府采购政策的通知》（财库[2017]141号）；</w:t>
      </w:r>
    </w:p>
    <w:p w14:paraId="7014EF49">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kern w:val="0"/>
          <w:sz w:val="24"/>
          <w:szCs w:val="24"/>
          <w:shd w:val="clear" w:fill="FFFFFF"/>
          <w:vertAlign w:val="baseline"/>
          <w:lang w:val="en-US" w:eastAsia="zh-CN" w:bidi="ar-SA"/>
        </w:rPr>
        <w:t>（3）</w:t>
      </w:r>
      <w:r>
        <w:rPr>
          <w:rFonts w:hint="eastAsia" w:ascii="宋体" w:hAnsi="宋体" w:eastAsia="宋体" w:cs="宋体"/>
          <w:i w:val="0"/>
          <w:iCs w:val="0"/>
          <w:caps w:val="0"/>
          <w:color w:val="auto"/>
          <w:spacing w:val="0"/>
          <w:sz w:val="24"/>
          <w:szCs w:val="24"/>
          <w:shd w:val="clear" w:color="auto" w:fill="FFFFFF"/>
          <w:vertAlign w:val="baseline"/>
        </w:rPr>
        <w:t>《政府采购促进中小企业发展管理办法》（财库[2020]46号）；</w:t>
      </w:r>
    </w:p>
    <w:p w14:paraId="2C55B61E">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（4）《关于进一步加大政府采购支持中小企业力度的通知》（财库〔2022〕19号）；</w:t>
      </w:r>
    </w:p>
    <w:p w14:paraId="6FEDB89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（5）宝鸡市财政局关于中、省《进一步加大政府采购支持中小企业力度的通知》落实措施的通知（宝市财办采（2022）9号）；</w:t>
      </w:r>
    </w:p>
    <w:p w14:paraId="77C684E1">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（6）《陕西省财政厅关于落实政府采购支持中小企业政策有关事项的通知》（陕财办采函〔2022〕10号）；</w:t>
      </w:r>
    </w:p>
    <w:p w14:paraId="00DF0925">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（7）关于印发环境标志产品政府采购品目清单的通知（财库〔2019〕18号）；</w:t>
      </w:r>
    </w:p>
    <w:p w14:paraId="609B1AA2">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（8）关于印发节能产品政府采购品目清单的通知（财库〔2019〕19号）；</w:t>
      </w:r>
    </w:p>
    <w:p w14:paraId="547BA2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（9）《国务院办公厅关于建立政府强制采购节能产品制度的通知》（国办发[2007]51号）；</w:t>
      </w:r>
    </w:p>
    <w:p w14:paraId="0D4BAFC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（10）《财政部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发展改革委</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生态环境部</w:t>
      </w:r>
      <w:r>
        <w:rPr>
          <w:rFonts w:hint="eastAsia" w:ascii="宋体" w:hAnsi="宋体" w:eastAsia="宋体" w:cs="宋体"/>
          <w:i w:val="0"/>
          <w:iCs w:val="0"/>
          <w:caps w:val="0"/>
          <w:color w:val="auto"/>
          <w:spacing w:val="0"/>
          <w:sz w:val="24"/>
          <w:szCs w:val="24"/>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shd w:val="clear" w:color="auto" w:fill="FFFFFF"/>
          <w:vertAlign w:val="baseline"/>
        </w:rPr>
        <w:t>市场监管总局关于调整优化节能产品、环境标志产品政府采购执行机制的通知》（财库[2019]9号）；</w:t>
      </w:r>
    </w:p>
    <w:p w14:paraId="15E69AB6">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（11）《关于发布参与实施政府采购节能产品、环境标志产品认证机构名录的公告》—2019年第16号；</w:t>
      </w:r>
    </w:p>
    <w:p w14:paraId="6D02C44C">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（12）《关于运用政府采购政策支持乡村产业振兴的通知》（财库〔2021〕19号）；</w:t>
      </w:r>
    </w:p>
    <w:p w14:paraId="7D841FB6">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（13）陕西省财政厅关于印发《陕西省中小企业政府采购信用融资办法》（陕财办采[2018]23号）；</w:t>
      </w:r>
    </w:p>
    <w:p w14:paraId="7F7B88EF">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（14）《陕西省财政厅关于加快推进我省中小企业政府采购信用融资工作的通知》（陕财办采〔2020〕15号）；</w:t>
      </w:r>
    </w:p>
    <w:p w14:paraId="1C00497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（15）《陕西省财政厅关于进一步优化政府采购营商环境有关事项的通知》（陕财办采〔2023〕4号）；</w:t>
      </w:r>
    </w:p>
    <w:p w14:paraId="3E73A7AA">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宋体" w:hAnsi="宋体" w:eastAsia="宋体" w:cs="宋体"/>
          <w:i w:val="0"/>
          <w:iCs w:val="0"/>
          <w:caps w:val="0"/>
          <w:color w:val="auto"/>
          <w:spacing w:val="0"/>
          <w:sz w:val="24"/>
          <w:szCs w:val="24"/>
          <w:shd w:val="clear" w:color="auto" w:fill="FFFFFF"/>
          <w:vertAlign w:val="baseline"/>
        </w:rPr>
      </w:pPr>
      <w:r>
        <w:rPr>
          <w:rFonts w:hint="eastAsia" w:ascii="宋体" w:hAnsi="宋体" w:eastAsia="宋体" w:cs="宋体"/>
          <w:i w:val="0"/>
          <w:iCs w:val="0"/>
          <w:caps w:val="0"/>
          <w:color w:val="auto"/>
          <w:spacing w:val="0"/>
          <w:sz w:val="24"/>
          <w:szCs w:val="24"/>
          <w:shd w:val="clear" w:color="auto" w:fill="FFFFFF"/>
          <w:vertAlign w:val="baseline"/>
        </w:rPr>
        <w:t>（16）《关于进一步落实政府采购支持中小企业相关政策的通知》(陕财办采(2023)3号)；</w:t>
      </w:r>
    </w:p>
    <w:p w14:paraId="5AAFD883">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Autospacing="0" w:afterAutospacing="0" w:line="360" w:lineRule="auto"/>
        <w:ind w:right="0" w:rightChars="0" w:firstLine="480" w:firstLineChars="200"/>
        <w:jc w:val="both"/>
        <w:textAlignment w:val="baseline"/>
        <w:rPr>
          <w:rFonts w:hint="eastAsia" w:asciiTheme="majorEastAsia" w:hAnsiTheme="majorEastAsia" w:eastAsiaTheme="majorEastAsia" w:cstheme="majorEastAsia"/>
          <w:sz w:val="24"/>
          <w:szCs w:val="24"/>
          <w:highlight w:val="none"/>
          <w:shd w:val="clear" w:color="auto" w:fill="FFFFFF"/>
        </w:rPr>
      </w:pPr>
      <w:r>
        <w:rPr>
          <w:rFonts w:hint="eastAsia" w:ascii="宋体" w:hAnsi="宋体" w:eastAsia="宋体" w:cs="宋体"/>
          <w:i w:val="0"/>
          <w:iCs w:val="0"/>
          <w:caps w:val="0"/>
          <w:color w:val="auto"/>
          <w:spacing w:val="0"/>
          <w:sz w:val="24"/>
          <w:szCs w:val="24"/>
          <w:shd w:val="clear" w:color="auto" w:fill="FFFFFF"/>
          <w:vertAlign w:val="baseline"/>
          <w:lang w:val="en-US" w:eastAsia="zh-CN"/>
        </w:rPr>
        <w:t>（17）其他需要落实的政府采购政策。</w:t>
      </w:r>
    </w:p>
    <w:p w14:paraId="6973E545">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3.本项目的特定资格要求：</w:t>
      </w:r>
    </w:p>
    <w:p w14:paraId="4869941E">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合同包1(</w:t>
      </w:r>
      <w:r>
        <w:rPr>
          <w:rFonts w:hint="eastAsia" w:ascii="宋体" w:hAnsi="宋体" w:eastAsia="宋体" w:cs="宋体"/>
          <w:szCs w:val="24"/>
          <w:lang w:eastAsia="zh-CN"/>
        </w:rPr>
        <w:t>千河千阳县柿沟村段水毁修复工程</w:t>
      </w:r>
      <w:r>
        <w:rPr>
          <w:rFonts w:hint="eastAsia" w:ascii="宋体" w:hAnsi="宋体" w:eastAsia="宋体" w:cs="宋体"/>
          <w:szCs w:val="24"/>
        </w:rPr>
        <w:t>)特定资格要求如下:</w:t>
      </w:r>
    </w:p>
    <w:p w14:paraId="63DC11D2">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w:t>
      </w:r>
      <w:r>
        <w:rPr>
          <w:rFonts w:hint="eastAsia" w:ascii="宋体" w:hAnsi="宋体" w:eastAsia="宋体" w:cs="宋体"/>
          <w:szCs w:val="24"/>
          <w:highlight w:val="none"/>
          <w:lang w:eastAsia="zh-CN"/>
        </w:rPr>
        <w:t>）</w:t>
      </w:r>
      <w:r>
        <w:rPr>
          <w:rFonts w:hint="eastAsia" w:ascii="宋体" w:hAnsi="宋体" w:eastAsia="宋体" w:cs="宋体"/>
          <w:szCs w:val="24"/>
          <w:highlight w:val="none"/>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highlight w:val="none"/>
          <w:lang w:val="en-US" w:eastAsia="zh-CN"/>
        </w:rPr>
        <w:t>；</w:t>
      </w:r>
    </w:p>
    <w:p w14:paraId="612ED0A7">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highlight w:val="none"/>
        </w:rPr>
        <w:t>供应商须具有水利水电工程施工总承包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454F1C04">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须为本单位注册人员，具备水利水电工程专业二级及以上注册建造师资格，具有水行政主管部门颁发的安全生产考核合格证，且无在建项目（提供无在建项目承诺书）</w:t>
      </w:r>
      <w:r>
        <w:rPr>
          <w:rFonts w:hint="eastAsia" w:ascii="宋体" w:hAnsi="宋体" w:eastAsia="宋体" w:cs="宋体"/>
          <w:highlight w:val="none"/>
        </w:rPr>
        <w:t>；</w:t>
      </w:r>
    </w:p>
    <w:p w14:paraId="2CA56D4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4</w:t>
      </w:r>
      <w:r>
        <w:rPr>
          <w:rFonts w:hint="eastAsia" w:ascii="宋体" w:hAnsi="宋体" w:eastAsia="宋体" w:cs="宋体"/>
          <w:szCs w:val="24"/>
          <w:highlight w:val="none"/>
          <w:lang w:eastAsia="zh-CN"/>
        </w:rPr>
        <w:t>）</w:t>
      </w:r>
      <w:r>
        <w:rPr>
          <w:rFonts w:hint="eastAsia" w:ascii="宋体" w:hAnsi="宋体" w:eastAsia="宋体" w:cs="宋体"/>
          <w:szCs w:val="24"/>
          <w:highlight w:val="none"/>
        </w:rPr>
        <w:t>财务状况报告：</w:t>
      </w:r>
      <w:r>
        <w:rPr>
          <w:rFonts w:hint="eastAsia" w:ascii="宋体" w:hAnsi="宋体" w:eastAsia="宋体" w:cs="宋体"/>
          <w:szCs w:val="24"/>
          <w:highlight w:val="none"/>
          <w:lang w:eastAsia="zh-CN"/>
        </w:rPr>
        <w:t>供应商须提供2024年度的财务审计报告（成立时间至提交磋商响应文件截止时间不足一年的可提供成立后任意时段的资产负债表）</w:t>
      </w:r>
      <w:r>
        <w:rPr>
          <w:rFonts w:hint="eastAsia" w:ascii="宋体" w:hAnsi="宋体" w:eastAsia="宋体" w:cs="宋体"/>
          <w:szCs w:val="24"/>
          <w:highlight w:val="none"/>
        </w:rPr>
        <w:t>，或银行出具的资信证明。其他组织和自然人提供银行出具的资信证明；</w:t>
      </w:r>
    </w:p>
    <w:p w14:paraId="4535F224">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5</w:t>
      </w:r>
      <w:r>
        <w:rPr>
          <w:rFonts w:hint="eastAsia" w:ascii="宋体" w:hAnsi="宋体" w:eastAsia="宋体" w:cs="宋体"/>
          <w:szCs w:val="24"/>
          <w:highlight w:val="none"/>
          <w:lang w:eastAsia="zh-CN"/>
        </w:rPr>
        <w:t>）</w:t>
      </w:r>
      <w:r>
        <w:rPr>
          <w:rFonts w:hint="eastAsia" w:ascii="宋体" w:hAnsi="宋体" w:eastAsia="宋体" w:cs="宋体"/>
          <w:szCs w:val="24"/>
          <w:highlight w:val="none"/>
        </w:rPr>
        <w:t>社保缴纳证明：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的社会保障资金缴存单据或社保机构开具的社会保险参保缴费情况证明，依法不需要缴纳社会保障资金的单位应提供相关证明材料；</w:t>
      </w:r>
    </w:p>
    <w:p w14:paraId="51ABFE3D">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的纳税证明或完税证明，依法免税的单位应提供相关证明材料；</w:t>
      </w:r>
    </w:p>
    <w:p w14:paraId="0DE175D0">
      <w:pPr>
        <w:spacing w:line="500" w:lineRule="exact"/>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7</w:t>
      </w:r>
      <w:r>
        <w:rPr>
          <w:rFonts w:hint="eastAsia" w:ascii="宋体" w:hAnsi="宋体" w:eastAsia="宋体" w:cs="宋体"/>
          <w:szCs w:val="24"/>
          <w:highlight w:val="none"/>
          <w:lang w:eastAsia="zh-CN"/>
        </w:rPr>
        <w:t>）</w:t>
      </w:r>
      <w:r>
        <w:rPr>
          <w:rFonts w:hint="eastAsia" w:ascii="宋体" w:hAnsi="宋体" w:eastAsia="宋体" w:cs="宋体"/>
          <w:szCs w:val="24"/>
          <w:highlight w:val="none"/>
        </w:rPr>
        <w:t>信用记录：</w:t>
      </w:r>
      <w:r>
        <w:rPr>
          <w:rFonts w:hint="eastAsia" w:ascii="宋体" w:hAnsi="宋体" w:eastAsia="宋体" w:cs="宋体"/>
          <w:szCs w:val="24"/>
          <w:highlight w:val="none"/>
          <w:lang w:val="en-US" w:eastAsia="zh-CN"/>
        </w:rPr>
        <w:t>供应商未被列入“信用中国”网站(www.creditchina.gov.cn)重大税收违法失信主体；未被列入</w:t>
      </w:r>
      <w:r>
        <w:rPr>
          <w:rFonts w:hint="eastAsia" w:ascii="宋体" w:hAnsi="宋体" w:cs="宋体"/>
          <w:i w:val="0"/>
          <w:iCs w:val="0"/>
          <w:caps w:val="0"/>
          <w:color w:val="101010"/>
          <w:spacing w:val="0"/>
          <w:sz w:val="24"/>
          <w:szCs w:val="24"/>
          <w:highlight w:val="none"/>
          <w:lang w:val="en-US" w:eastAsia="zh-CN"/>
        </w:rPr>
        <w:t>“中国执行信息公开网”</w:t>
      </w:r>
      <w:r>
        <w:rPr>
          <w:rFonts w:hint="eastAsia" w:ascii="宋体" w:hAnsi="宋体" w:eastAsia="宋体" w:cs="宋体"/>
          <w:szCs w:val="24"/>
          <w:highlight w:val="none"/>
          <w:lang w:val="en-US" w:eastAsia="zh-CN"/>
        </w:rPr>
        <w:t>(https://zxgk.court.gov.cn/zhzxgk/)失信被执行人；未被列入“中国政府采购网”(www.ccgp.gov.cn)“政府采购严重违法失信行为信息记录”；</w:t>
      </w:r>
    </w:p>
    <w:p w14:paraId="48F01F5D">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8</w:t>
      </w:r>
      <w:r>
        <w:rPr>
          <w:rFonts w:hint="eastAsia" w:ascii="宋体" w:hAnsi="宋体" w:eastAsia="宋体" w:cs="宋体"/>
          <w:szCs w:val="24"/>
          <w:highlight w:val="none"/>
          <w:lang w:eastAsia="zh-CN"/>
        </w:rPr>
        <w:t>）</w:t>
      </w:r>
      <w:r>
        <w:rPr>
          <w:rFonts w:hint="eastAsia" w:ascii="宋体" w:hAnsi="宋体" w:eastAsia="宋体" w:cs="宋体"/>
          <w:szCs w:val="24"/>
          <w:highlight w:val="none"/>
        </w:rPr>
        <w:t>控股管理关系：单位负责人为同一人或者存在直接控股、管理关系的不同供应商，不得参加同一合同项下的政府采购活动</w:t>
      </w:r>
      <w:r>
        <w:rPr>
          <w:rFonts w:hint="eastAsia" w:ascii="宋体" w:hAnsi="宋体" w:eastAsia="宋体" w:cs="宋体"/>
          <w:color w:val="auto"/>
          <w:highlight w:val="none"/>
          <w:shd w:val="clear" w:color="auto" w:fill="FFFFFF"/>
        </w:rPr>
        <w:t>（提供书面承诺</w:t>
      </w:r>
      <w:r>
        <w:rPr>
          <w:rFonts w:hint="eastAsia" w:ascii="宋体" w:hAnsi="宋体" w:eastAsia="宋体" w:cs="宋体"/>
          <w:color w:val="auto"/>
          <w:highlight w:val="none"/>
          <w:shd w:val="clear" w:color="auto" w:fill="FFFFFF"/>
          <w:lang w:eastAsia="zh-CN"/>
        </w:rPr>
        <w:t>）</w:t>
      </w:r>
      <w:r>
        <w:rPr>
          <w:rFonts w:hint="eastAsia" w:ascii="宋体" w:hAnsi="宋体" w:eastAsia="宋体" w:cs="宋体"/>
          <w:szCs w:val="24"/>
          <w:highlight w:val="none"/>
        </w:rPr>
        <w:t>；</w:t>
      </w:r>
    </w:p>
    <w:p w14:paraId="1CCB8A8A">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9</w:t>
      </w:r>
      <w:r>
        <w:rPr>
          <w:rFonts w:hint="eastAsia" w:ascii="宋体" w:hAnsi="宋体" w:eastAsia="宋体" w:cs="宋体"/>
          <w:szCs w:val="24"/>
          <w:highlight w:val="none"/>
          <w:lang w:eastAsia="zh-CN"/>
        </w:rPr>
        <w:t>）</w:t>
      </w:r>
      <w:r>
        <w:rPr>
          <w:rFonts w:hint="eastAsia" w:ascii="宋体" w:hAnsi="宋体" w:eastAsia="宋体" w:cs="宋体"/>
          <w:szCs w:val="24"/>
          <w:highlight w:val="none"/>
        </w:rPr>
        <w:t>书面声明：参加政府采购活动前3年内在经营活动中没有重大违法记录的书面声明；</w:t>
      </w:r>
    </w:p>
    <w:p w14:paraId="2CBA880F">
      <w:pPr>
        <w:pStyle w:val="32"/>
        <w:widowControl/>
        <w:wordWrap w:val="0"/>
        <w:spacing w:line="500" w:lineRule="exact"/>
        <w:ind w:firstLine="480" w:firstLineChars="200"/>
        <w:jc w:val="both"/>
        <w:textAlignment w:val="baseline"/>
        <w:rPr>
          <w:rFonts w:hint="eastAsia" w:ascii="宋体" w:hAnsi="宋体" w:eastAsia="宋体" w:cs="宋体"/>
          <w:color w:val="auto"/>
          <w:highlight w:val="none"/>
          <w:shd w:val="clear" w:color="auto" w:fill="FFFFFF"/>
          <w:lang w:val="en-US" w:eastAsia="zh-CN"/>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10</w:t>
      </w:r>
      <w:r>
        <w:rPr>
          <w:rFonts w:hint="eastAsia" w:ascii="宋体" w:hAnsi="宋体" w:eastAsia="宋体" w:cs="宋体"/>
          <w:szCs w:val="24"/>
          <w:highlight w:val="none"/>
          <w:lang w:eastAsia="zh-CN"/>
        </w:rPr>
        <w:t>）</w:t>
      </w:r>
      <w:r>
        <w:rPr>
          <w:rFonts w:hint="eastAsia" w:ascii="宋体" w:hAnsi="宋体" w:eastAsia="宋体" w:cs="宋体"/>
          <w:szCs w:val="24"/>
          <w:highlight w:val="none"/>
        </w:rPr>
        <w:t>法定代表人授权委托书：</w:t>
      </w:r>
      <w:r>
        <w:rPr>
          <w:rFonts w:hint="eastAsia" w:asciiTheme="majorEastAsia" w:hAnsiTheme="majorEastAsia" w:eastAsiaTheme="majorEastAsia" w:cstheme="majorEastAsia"/>
          <w:sz w:val="24"/>
          <w:szCs w:val="24"/>
          <w:highlight w:val="none"/>
          <w:shd w:val="clear" w:color="auto" w:fill="FFFFFF"/>
        </w:rPr>
        <w:t>供应商应授权合法的人员参加磋商全过程，其中法定代表人直接参加磋商的，须出具法定代表人资格证明书，法定代表人授权代表参加磋商的，须出具法定代表人资格证明书及法定代表人授权委托书；</w:t>
      </w:r>
    </w:p>
    <w:p w14:paraId="5A7AE7CE">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11</w:t>
      </w:r>
      <w:r>
        <w:rPr>
          <w:rFonts w:hint="eastAsia" w:ascii="宋体" w:hAnsi="宋体" w:eastAsia="宋体" w:cs="宋体"/>
          <w:szCs w:val="24"/>
          <w:highlight w:val="none"/>
          <w:lang w:eastAsia="zh-CN"/>
        </w:rPr>
        <w:t>）</w:t>
      </w:r>
      <w:r>
        <w:rPr>
          <w:rFonts w:hint="eastAsia" w:ascii="宋体" w:hAnsi="宋体" w:eastAsia="宋体" w:cs="宋体"/>
          <w:szCs w:val="24"/>
          <w:highlight w:val="none"/>
        </w:rPr>
        <w:t>履行合同所必须的证明资料：具有履行合同所必需的设备和专业技术</w:t>
      </w:r>
      <w:r>
        <w:rPr>
          <w:rFonts w:hint="eastAsia" w:ascii="宋体" w:hAnsi="宋体" w:eastAsia="宋体" w:cs="宋体"/>
          <w:szCs w:val="24"/>
          <w:highlight w:val="none"/>
          <w:lang w:val="en-US" w:eastAsia="zh-CN"/>
        </w:rPr>
        <w:t>能力</w:t>
      </w:r>
      <w:r>
        <w:rPr>
          <w:rFonts w:hint="eastAsia" w:ascii="宋体" w:hAnsi="宋体" w:eastAsia="宋体" w:cs="宋体"/>
          <w:color w:val="auto"/>
          <w:highlight w:val="none"/>
          <w:shd w:val="clear" w:color="auto" w:fill="FFFFFF"/>
          <w:lang w:val="en-US" w:eastAsia="zh-CN"/>
        </w:rPr>
        <w:t>（提供书面承诺）</w:t>
      </w:r>
      <w:r>
        <w:rPr>
          <w:rFonts w:hint="eastAsia" w:ascii="宋体" w:hAnsi="宋体" w:eastAsia="宋体" w:cs="宋体"/>
          <w:szCs w:val="24"/>
          <w:highlight w:val="none"/>
        </w:rPr>
        <w:t>；</w:t>
      </w:r>
    </w:p>
    <w:p w14:paraId="295342CE">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12</w:t>
      </w:r>
      <w:r>
        <w:rPr>
          <w:rFonts w:hint="eastAsia" w:ascii="宋体" w:hAnsi="宋体" w:eastAsia="宋体" w:cs="宋体"/>
          <w:szCs w:val="24"/>
          <w:highlight w:val="none"/>
          <w:lang w:eastAsia="zh-CN"/>
        </w:rPr>
        <w:t>）</w:t>
      </w:r>
      <w:r>
        <w:rPr>
          <w:rFonts w:hint="eastAsia" w:ascii="宋体" w:hAnsi="宋体" w:eastAsia="宋体" w:cs="宋体"/>
          <w:szCs w:val="24"/>
          <w:highlight w:val="none"/>
        </w:rPr>
        <w:t>专门面向中小企业声明函：本项目专门面向中小企业采购</w:t>
      </w:r>
      <w:r>
        <w:rPr>
          <w:rFonts w:hint="eastAsia" w:ascii="宋体" w:hAnsi="宋体" w:eastAsia="宋体" w:cs="宋体"/>
          <w:szCs w:val="24"/>
          <w:highlight w:val="none"/>
          <w:lang w:eastAsia="zh-CN"/>
        </w:rPr>
        <w:t>（</w:t>
      </w:r>
      <w:r>
        <w:rPr>
          <w:rFonts w:hint="eastAsia" w:ascii="宋体" w:hAnsi="宋体" w:eastAsia="宋体" w:cs="宋体"/>
          <w:szCs w:val="24"/>
          <w:highlight w:val="none"/>
        </w:rPr>
        <w:t>供应商须为中小企业，并提供声明函</w:t>
      </w:r>
      <w:r>
        <w:rPr>
          <w:rFonts w:hint="eastAsia" w:ascii="宋体" w:hAnsi="宋体" w:eastAsia="宋体" w:cs="宋体"/>
          <w:szCs w:val="24"/>
          <w:highlight w:val="none"/>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p w14:paraId="5CF3FC14">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三、获取采购文件</w:t>
      </w:r>
    </w:p>
    <w:p w14:paraId="32F8E675">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时间：</w:t>
      </w:r>
      <w:r>
        <w:rPr>
          <w:rFonts w:hint="eastAsia" w:ascii="宋体" w:hAnsi="宋体" w:eastAsia="宋体" w:cs="宋体"/>
          <w:szCs w:val="24"/>
          <w:highlight w:val="none"/>
          <w:lang w:eastAsia="zh-CN"/>
        </w:rPr>
        <w:t>2026年04月03日至2026年04月10日</w:t>
      </w:r>
      <w:r>
        <w:rPr>
          <w:rFonts w:hint="eastAsia" w:ascii="宋体" w:hAnsi="宋体" w:eastAsia="宋体" w:cs="宋体"/>
          <w:szCs w:val="24"/>
          <w:highlight w:val="none"/>
        </w:rPr>
        <w:t>，每天上午09:00:00至12:00:00，下午14:00:00至17:00:00（北京时间）</w:t>
      </w:r>
    </w:p>
    <w:p w14:paraId="6E055A5E">
      <w:pPr>
        <w:pStyle w:val="32"/>
        <w:widowControl/>
        <w:wordWrap w:val="0"/>
        <w:spacing w:line="560" w:lineRule="exact"/>
        <w:ind w:firstLine="480"/>
        <w:jc w:val="both"/>
        <w:rPr>
          <w:rFonts w:hint="eastAsia" w:ascii="宋体" w:hAnsi="宋体" w:eastAsia="宋体" w:cs="宋体"/>
          <w:szCs w:val="24"/>
          <w:highlight w:val="none"/>
        </w:rPr>
      </w:pPr>
      <w:r>
        <w:rPr>
          <w:rFonts w:hint="eastAsia" w:ascii="宋体" w:hAnsi="宋体" w:eastAsia="宋体" w:cs="宋体"/>
          <w:szCs w:val="24"/>
          <w:highlight w:val="none"/>
        </w:rPr>
        <w:t>途径：</w:t>
      </w:r>
      <w:r>
        <w:rPr>
          <w:rFonts w:hint="eastAsia" w:asciiTheme="majorEastAsia" w:hAnsiTheme="majorEastAsia" w:eastAsiaTheme="majorEastAsia" w:cstheme="majorEastAsia"/>
          <w:sz w:val="24"/>
          <w:szCs w:val="24"/>
          <w:highlight w:val="none"/>
          <w:shd w:val="clear" w:color="auto" w:fill="FFFFFF"/>
        </w:rPr>
        <w:t>【全国公共资源交易平台（陕西省·宝鸡市）】（</w:t>
      </w:r>
      <w:r>
        <w:rPr>
          <w:rFonts w:hint="eastAsia" w:asciiTheme="majorEastAsia" w:hAnsiTheme="majorEastAsia" w:eastAsiaTheme="majorEastAsia" w:cstheme="majorEastAsia"/>
          <w:sz w:val="24"/>
          <w:szCs w:val="24"/>
          <w:highlight w:val="none"/>
          <w:shd w:val="clear" w:color="auto" w:fill="FFFFFF"/>
          <w:lang w:eastAsia="zh-CN"/>
        </w:rPr>
        <w:t>http://ggzy.baoji.gov.cn/</w:t>
      </w:r>
      <w:r>
        <w:rPr>
          <w:rFonts w:hint="eastAsia" w:asciiTheme="majorEastAsia" w:hAnsiTheme="majorEastAsia" w:eastAsiaTheme="majorEastAsia" w:cstheme="majorEastAsia"/>
          <w:sz w:val="24"/>
          <w:szCs w:val="24"/>
          <w:highlight w:val="none"/>
          <w:shd w:val="clear" w:color="auto" w:fill="FFFFFF"/>
        </w:rPr>
        <w:t>）</w:t>
      </w:r>
    </w:p>
    <w:p w14:paraId="782D9CF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方式：在线获取</w:t>
      </w:r>
    </w:p>
    <w:p w14:paraId="747B639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Cs w:val="24"/>
          <w:highlight w:val="none"/>
        </w:rPr>
      </w:pPr>
      <w:r>
        <w:rPr>
          <w:rFonts w:hint="eastAsia" w:ascii="宋体" w:hAnsi="宋体" w:eastAsia="宋体" w:cs="宋体"/>
          <w:szCs w:val="24"/>
          <w:highlight w:val="none"/>
        </w:rPr>
        <w:t>售价：0元</w:t>
      </w:r>
    </w:p>
    <w:p w14:paraId="6EDD67BA">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四、响应文件提交</w:t>
      </w:r>
    </w:p>
    <w:p w14:paraId="2C66881A">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截止时间：</w:t>
      </w:r>
      <w:r>
        <w:rPr>
          <w:rFonts w:hint="eastAsia" w:ascii="宋体" w:hAnsi="宋体" w:eastAsia="宋体" w:cs="宋体"/>
          <w:szCs w:val="24"/>
          <w:highlight w:val="none"/>
          <w:lang w:eastAsia="zh-CN"/>
        </w:rPr>
        <w:t>2026年04月15日</w:t>
      </w:r>
      <w:r>
        <w:rPr>
          <w:rFonts w:hint="eastAsia" w:ascii="宋体" w:hAnsi="宋体" w:eastAsia="宋体" w:cs="宋体"/>
          <w:szCs w:val="24"/>
          <w:highlight w:val="none"/>
          <w:lang w:val="en-US" w:eastAsia="zh-CN"/>
        </w:rPr>
        <w:t>09</w:t>
      </w:r>
      <w:r>
        <w:rPr>
          <w:rFonts w:hint="eastAsia" w:ascii="宋体" w:hAnsi="宋体" w:eastAsia="宋体" w:cs="宋体"/>
          <w:szCs w:val="24"/>
          <w:highlight w:val="none"/>
        </w:rPr>
        <w:t>时</w:t>
      </w:r>
      <w:r>
        <w:rPr>
          <w:rFonts w:hint="eastAsia" w:ascii="宋体" w:hAnsi="宋体" w:eastAsia="宋体" w:cs="宋体"/>
          <w:szCs w:val="24"/>
          <w:highlight w:val="none"/>
          <w:lang w:val="en-US" w:eastAsia="zh-CN"/>
        </w:rPr>
        <w:t>0</w:t>
      </w:r>
      <w:r>
        <w:rPr>
          <w:rFonts w:hint="eastAsia" w:ascii="宋体" w:hAnsi="宋体" w:eastAsia="宋体" w:cs="宋体"/>
          <w:szCs w:val="24"/>
          <w:highlight w:val="none"/>
        </w:rPr>
        <w:t>0分00秒（北京时间）</w:t>
      </w:r>
    </w:p>
    <w:p w14:paraId="164252F1">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地点：</w:t>
      </w:r>
      <w:r>
        <w:rPr>
          <w:rFonts w:hint="eastAsia" w:asciiTheme="majorEastAsia" w:hAnsiTheme="majorEastAsia" w:eastAsiaTheme="majorEastAsia" w:cstheme="majorEastAsia"/>
          <w:sz w:val="24"/>
          <w:szCs w:val="24"/>
          <w:highlight w:val="none"/>
          <w:shd w:val="clear" w:color="auto" w:fill="FFFFFF"/>
        </w:rPr>
        <w:t>全国公共资源交易平台（陕西省.宝鸡市）宝鸡市公共资源交易中心</w:t>
      </w:r>
    </w:p>
    <w:p w14:paraId="5A8DC0DC">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五、开启</w:t>
      </w:r>
    </w:p>
    <w:p w14:paraId="098CEFCC">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时间：</w:t>
      </w:r>
      <w:r>
        <w:rPr>
          <w:rFonts w:hint="eastAsia" w:ascii="宋体" w:hAnsi="宋体" w:eastAsia="宋体" w:cs="宋体"/>
          <w:szCs w:val="24"/>
          <w:highlight w:val="none"/>
          <w:lang w:eastAsia="zh-CN"/>
        </w:rPr>
        <w:t>2026年04月15日</w:t>
      </w:r>
      <w:r>
        <w:rPr>
          <w:rFonts w:hint="eastAsia" w:ascii="宋体" w:hAnsi="宋体" w:eastAsia="宋体" w:cs="宋体"/>
          <w:szCs w:val="24"/>
          <w:highlight w:val="none"/>
          <w:lang w:val="en-US" w:eastAsia="zh-CN"/>
        </w:rPr>
        <w:t>09</w:t>
      </w:r>
      <w:r>
        <w:rPr>
          <w:rFonts w:hint="eastAsia" w:ascii="宋体" w:hAnsi="宋体" w:eastAsia="宋体" w:cs="宋体"/>
          <w:szCs w:val="24"/>
          <w:highlight w:val="none"/>
        </w:rPr>
        <w:t>时</w:t>
      </w:r>
      <w:r>
        <w:rPr>
          <w:rFonts w:hint="eastAsia" w:ascii="宋体" w:hAnsi="宋体" w:eastAsia="宋体" w:cs="宋体"/>
          <w:szCs w:val="24"/>
          <w:highlight w:val="none"/>
          <w:lang w:val="en-US" w:eastAsia="zh-CN"/>
        </w:rPr>
        <w:t>0</w:t>
      </w:r>
      <w:r>
        <w:rPr>
          <w:rFonts w:hint="eastAsia" w:ascii="宋体" w:hAnsi="宋体" w:eastAsia="宋体" w:cs="宋体"/>
          <w:szCs w:val="24"/>
          <w:highlight w:val="none"/>
        </w:rPr>
        <w:t>0分00秒（北京时间）</w:t>
      </w:r>
    </w:p>
    <w:p w14:paraId="72715C7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地点：</w:t>
      </w:r>
      <w:r>
        <w:rPr>
          <w:rFonts w:hint="eastAsia" w:asciiTheme="majorEastAsia" w:hAnsiTheme="majorEastAsia" w:eastAsiaTheme="majorEastAsia" w:cstheme="majorEastAsia"/>
          <w:sz w:val="24"/>
          <w:szCs w:val="24"/>
          <w:highlight w:val="none"/>
        </w:rPr>
        <w:t>全国公共资源交易平台（陕西省.宝鸡市）不见面开标大厅系统</w:t>
      </w:r>
    </w:p>
    <w:p w14:paraId="1601E9E4">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六、公告期限</w:t>
      </w:r>
    </w:p>
    <w:p w14:paraId="5DB8CF28">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自本公告发布之日起</w:t>
      </w:r>
      <w:r>
        <w:rPr>
          <w:rFonts w:hint="eastAsia" w:ascii="宋体" w:hAnsi="宋体" w:eastAsia="宋体" w:cs="宋体"/>
          <w:szCs w:val="24"/>
          <w:highlight w:val="none"/>
          <w:lang w:val="en-US" w:eastAsia="zh-CN"/>
        </w:rPr>
        <w:t>3</w:t>
      </w:r>
      <w:r>
        <w:rPr>
          <w:rFonts w:hint="eastAsia" w:ascii="宋体" w:hAnsi="宋体" w:eastAsia="宋体" w:cs="宋体"/>
          <w:szCs w:val="24"/>
          <w:highlight w:val="none"/>
        </w:rPr>
        <w:t>个工作日。</w:t>
      </w:r>
    </w:p>
    <w:p w14:paraId="6342729A">
      <w:pPr>
        <w:spacing w:line="500" w:lineRule="exact"/>
        <w:rPr>
          <w:rFonts w:hint="eastAsia" w:ascii="宋体" w:hAnsi="宋体" w:eastAsia="宋体" w:cs="宋体"/>
          <w:szCs w:val="24"/>
          <w:highlight w:val="none"/>
        </w:rPr>
      </w:pPr>
      <w:r>
        <w:rPr>
          <w:rFonts w:hint="eastAsia" w:ascii="宋体" w:hAnsi="宋体" w:eastAsia="宋体" w:cs="宋体"/>
          <w:szCs w:val="24"/>
          <w:highlight w:val="none"/>
        </w:rPr>
        <w:t>七、其他补充事宜</w:t>
      </w:r>
    </w:p>
    <w:p w14:paraId="6408003A">
      <w:pPr>
        <w:pStyle w:val="32"/>
        <w:widowControl/>
        <w:wordWrap w:val="0"/>
        <w:spacing w:line="500" w:lineRule="exact"/>
        <w:ind w:firstLine="480"/>
        <w:jc w:val="both"/>
        <w:textAlignment w:val="baseline"/>
        <w:rPr>
          <w:rFonts w:hint="eastAsia" w:ascii="宋体" w:hAnsi="宋体" w:eastAsia="宋体" w:cs="宋体"/>
          <w:highlight w:val="none"/>
          <w:shd w:val="clear" w:color="auto" w:fill="FFFFFF"/>
          <w:lang w:eastAsia="zh-CN"/>
        </w:rPr>
      </w:pPr>
      <w:r>
        <w:rPr>
          <w:rFonts w:hint="eastAsia" w:ascii="宋体" w:hAnsi="宋体" w:eastAsia="宋体" w:cs="宋体"/>
          <w:highlight w:val="none"/>
          <w:shd w:val="clear" w:color="auto" w:fill="FFFFFF"/>
        </w:rPr>
        <w:t>1、本次采购公告在《陕西省政府采购网》、《陕西省公共资源交易中心（陕西省▪宝鸡市）》同时发布</w:t>
      </w:r>
      <w:r>
        <w:rPr>
          <w:rFonts w:hint="eastAsia" w:ascii="宋体" w:hAnsi="宋体" w:eastAsia="宋体" w:cs="宋体"/>
          <w:highlight w:val="none"/>
          <w:shd w:val="clear" w:color="auto" w:fill="FFFFFF"/>
          <w:lang w:eastAsia="zh-CN"/>
        </w:rPr>
        <w:t>；</w:t>
      </w:r>
    </w:p>
    <w:p w14:paraId="114C8375">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2、请供应商按照陕西省财政厅关于政府采购供应商注册登记有关事项的通知中的要求，通过陕西省政府采购网（http://www.ccgp-shaanxi.gov.cn/）注册登记加入陕西省政府采购供应商库及办理供应商入库申请并及时办理CA数字证书（陕西CA锁）</w:t>
      </w:r>
      <w:r>
        <w:rPr>
          <w:rFonts w:hint="eastAsia" w:ascii="宋体" w:hAnsi="宋体" w:eastAsia="宋体" w:cs="宋体"/>
          <w:shd w:val="clear" w:color="auto" w:fill="FFFFFF"/>
          <w:lang w:eastAsia="zh-CN"/>
        </w:rPr>
        <w:t>；</w:t>
      </w:r>
    </w:p>
    <w:p w14:paraId="218BE69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3、各供应商使用CA证书登录全国公共资源交易平台（陕西省宝鸡市）宝鸡市公共资源交易中心（http://ggzy.baoji.gov.cn/）交易平台〖首页〉电子交易平台〉企业端〗后，在〖招标公告/出让公告〗模块中选择有意向的项目点击“我要</w:t>
      </w:r>
      <w:r>
        <w:rPr>
          <w:rFonts w:hint="eastAsia" w:ascii="宋体" w:hAnsi="宋体" w:eastAsia="宋体" w:cs="宋体"/>
          <w:shd w:val="clear" w:color="auto" w:fill="FFFFFF"/>
          <w:lang w:val="en-US" w:eastAsia="zh-CN"/>
        </w:rPr>
        <w:t>投标</w:t>
      </w:r>
      <w:r>
        <w:rPr>
          <w:rFonts w:hint="eastAsia" w:ascii="宋体" w:hAnsi="宋体" w:eastAsia="宋体" w:cs="宋体"/>
          <w:shd w:val="clear" w:color="auto" w:fill="FFFFFF"/>
        </w:rPr>
        <w:t>”</w:t>
      </w:r>
      <w:r>
        <w:rPr>
          <w:rFonts w:hint="eastAsia" w:ascii="宋体" w:hAnsi="宋体" w:eastAsia="宋体" w:cs="宋体"/>
          <w:shd w:val="clear" w:color="auto" w:fill="FFFFFF"/>
          <w:lang w:eastAsia="zh-CN"/>
        </w:rPr>
        <w:t>；</w:t>
      </w:r>
    </w:p>
    <w:p w14:paraId="662EC17C">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4、</w:t>
      </w:r>
      <w:r>
        <w:rPr>
          <w:rFonts w:hint="eastAsia" w:ascii="宋体" w:hAnsi="宋体" w:eastAsia="宋体" w:cs="宋体"/>
          <w:shd w:val="clear" w:color="auto" w:fill="FFFFFF"/>
          <w:lang w:val="en-US" w:eastAsia="zh-CN"/>
        </w:rPr>
        <w:t>获取</w:t>
      </w:r>
      <w:r>
        <w:rPr>
          <w:rFonts w:hint="eastAsia" w:ascii="宋体" w:hAnsi="宋体" w:eastAsia="宋体" w:cs="宋体"/>
          <w:shd w:val="clear" w:color="auto" w:fill="FFFFFF"/>
        </w:rPr>
        <w:t>成功后可从〖我的项目〉项目流程〉交易文件下载〗中下载电子文件（*.SXSZF格式）</w:t>
      </w:r>
      <w:r>
        <w:rPr>
          <w:rFonts w:hint="eastAsia" w:ascii="宋体" w:hAnsi="宋体" w:eastAsia="宋体" w:cs="宋体"/>
          <w:shd w:val="clear" w:color="auto" w:fill="FFFFFF"/>
          <w:lang w:eastAsia="zh-CN"/>
        </w:rPr>
        <w:t>；</w:t>
      </w:r>
    </w:p>
    <w:p w14:paraId="4E6FD4A1">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5、供应商在网上填写的单位信息（单位名称、营业执照相关信息）应与</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文件要求及后期上传的电子磋商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文件中相关信息一致，否则造成资格审查不通过的后果供应商自负</w:t>
      </w:r>
      <w:r>
        <w:rPr>
          <w:rFonts w:hint="eastAsia" w:ascii="宋体" w:hAnsi="宋体" w:eastAsia="宋体" w:cs="宋体"/>
          <w:shd w:val="clear" w:color="auto" w:fill="FFFFFF"/>
          <w:lang w:eastAsia="zh-CN"/>
        </w:rPr>
        <w:t>；</w:t>
      </w:r>
    </w:p>
    <w:p w14:paraId="5920A0C4">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6、本项目采用电子化不见面开标方式，各供应商可登录全国公共资源交易平台（陕西省·宝鸡市）宝鸡市公共资源交易中心（http://ggzy.baoji.gov.cn/）下载《政府采购电子标书制作工具》、《政府采购磋商单位操作手册》和《宝鸡市不见面大厅供应商操作手册》,按照流程制作电子标书并在磋商截止时间前上传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w:t>
      </w:r>
      <w:r>
        <w:rPr>
          <w:rFonts w:hint="eastAsia" w:ascii="宋体" w:hAnsi="宋体" w:eastAsia="宋体" w:cs="宋体"/>
          <w:shd w:val="clear" w:color="auto" w:fill="FFFFFF"/>
          <w:lang w:eastAsia="zh-CN"/>
        </w:rPr>
        <w:t>；</w:t>
      </w:r>
    </w:p>
    <w:p w14:paraId="1D9859FE">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7、为了保证远程不见面开标顺利进行，供应商需使用电脑提前一小时登录网络开标大厅</w:t>
      </w:r>
      <w:r>
        <w:rPr>
          <w:rFonts w:hint="eastAsia" w:ascii="宋体" w:hAnsi="宋体" w:eastAsia="宋体" w:cs="宋体"/>
          <w:shd w:val="clear" w:color="auto" w:fill="FFFFFF"/>
          <w:lang w:eastAsia="zh-CN"/>
        </w:rPr>
        <w:t>，</w:t>
      </w:r>
      <w:r>
        <w:rPr>
          <w:rFonts w:hint="eastAsia" w:ascii="宋体" w:hAnsi="宋体" w:eastAsia="宋体" w:cs="宋体"/>
          <w:shd w:val="clear" w:color="auto" w:fill="FFFFFF"/>
        </w:rPr>
        <w:t>因供应商自身</w:t>
      </w:r>
      <w:r>
        <w:rPr>
          <w:rFonts w:hint="eastAsia" w:ascii="宋体" w:hAnsi="宋体" w:eastAsia="宋体" w:cs="宋体"/>
          <w:shd w:val="clear" w:color="auto" w:fill="FFFFFF"/>
          <w:lang w:val="en-US" w:eastAsia="zh-CN"/>
        </w:rPr>
        <w:t>电脑设备</w:t>
      </w:r>
      <w:r>
        <w:rPr>
          <w:rFonts w:hint="eastAsia" w:ascii="宋体" w:hAnsi="宋体" w:eastAsia="宋体" w:cs="宋体"/>
          <w:shd w:val="clear" w:color="auto" w:fill="FFFFFF"/>
        </w:rPr>
        <w:t>故障或自身原因导致无法完成磋商的，由供应商自行承担后果（建议使用IE11或者360极速浏览器兼容模式，磋商单位电脑需配备耳麦）</w:t>
      </w:r>
      <w:r>
        <w:rPr>
          <w:rFonts w:hint="eastAsia" w:ascii="宋体" w:hAnsi="宋体" w:eastAsia="宋体" w:cs="宋体"/>
          <w:shd w:val="clear" w:color="auto" w:fill="FFFFFF"/>
          <w:lang w:eastAsia="zh-CN"/>
        </w:rPr>
        <w:t>；</w:t>
      </w:r>
    </w:p>
    <w:p w14:paraId="5E9061C7">
      <w:pPr>
        <w:pStyle w:val="32"/>
        <w:widowControl/>
        <w:wordWrap w:val="0"/>
        <w:spacing w:line="500" w:lineRule="exact"/>
        <w:ind w:firstLine="480"/>
        <w:jc w:val="both"/>
        <w:textAlignment w:val="baseline"/>
        <w:rPr>
          <w:rFonts w:hint="eastAsia" w:ascii="宋体" w:hAnsi="宋体" w:eastAsia="宋体" w:cs="宋体"/>
          <w:shd w:val="clear" w:color="auto" w:fill="FFFFFF"/>
          <w:lang w:eastAsia="zh-CN"/>
        </w:rPr>
      </w:pPr>
      <w:r>
        <w:rPr>
          <w:rFonts w:hint="eastAsia" w:ascii="宋体" w:hAnsi="宋体" w:eastAsia="宋体" w:cs="宋体"/>
          <w:shd w:val="clear" w:color="auto" w:fill="FFFFFF"/>
        </w:rPr>
        <w:t>8、</w:t>
      </w:r>
      <w:r>
        <w:rPr>
          <w:rFonts w:hint="eastAsia" w:ascii="宋体" w:hAnsi="宋体" w:eastAsia="宋体" w:cs="宋体"/>
          <w:shd w:val="clear" w:color="auto" w:fill="FFFFFF"/>
          <w:lang w:val="en-US" w:eastAsia="zh-CN"/>
        </w:rPr>
        <w:t>供应商</w:t>
      </w:r>
      <w:r>
        <w:rPr>
          <w:rFonts w:hint="eastAsia" w:ascii="宋体" w:hAnsi="宋体" w:eastAsia="宋体" w:cs="宋体"/>
          <w:shd w:val="clear" w:color="auto" w:fill="FFFFFF"/>
        </w:rPr>
        <w:t>未完成网上磋商或未在规定时间内在平台上下载电子</w:t>
      </w:r>
      <w:r>
        <w:rPr>
          <w:rFonts w:hint="eastAsia" w:ascii="宋体" w:hAnsi="宋体" w:eastAsia="宋体" w:cs="宋体"/>
          <w:shd w:val="clear" w:color="auto" w:fill="FFFFFF"/>
          <w:lang w:val="en-US" w:eastAsia="zh-CN"/>
        </w:rPr>
        <w:t>竞争性磋商</w:t>
      </w:r>
      <w:r>
        <w:rPr>
          <w:rFonts w:hint="eastAsia" w:ascii="宋体" w:hAnsi="宋体" w:eastAsia="宋体" w:cs="宋体"/>
          <w:shd w:val="clear" w:color="auto" w:fill="FFFFFF"/>
        </w:rPr>
        <w:t>文件的，导致无法完成后续流程的责任自负</w:t>
      </w:r>
      <w:r>
        <w:rPr>
          <w:rFonts w:hint="eastAsia" w:ascii="宋体" w:hAnsi="宋体" w:eastAsia="宋体" w:cs="宋体"/>
          <w:shd w:val="clear" w:color="auto" w:fill="FFFFFF"/>
          <w:lang w:eastAsia="zh-CN"/>
        </w:rPr>
        <w:t>；</w:t>
      </w:r>
    </w:p>
    <w:p w14:paraId="7B29D89C">
      <w:pPr>
        <w:pStyle w:val="32"/>
        <w:widowControl/>
        <w:wordWrap w:val="0"/>
        <w:spacing w:line="500" w:lineRule="exact"/>
        <w:ind w:firstLine="480"/>
        <w:jc w:val="both"/>
        <w:textAlignment w:val="baseline"/>
        <w:rPr>
          <w:rFonts w:hint="eastAsia" w:ascii="宋体" w:hAnsi="宋体" w:eastAsia="宋体" w:cs="宋体"/>
          <w:shd w:val="clear" w:color="auto" w:fill="FFFFFF"/>
        </w:rPr>
      </w:pPr>
      <w:r>
        <w:rPr>
          <w:rFonts w:hint="eastAsia" w:ascii="宋体" w:hAnsi="宋体" w:eastAsia="宋体" w:cs="宋体"/>
          <w:shd w:val="clear" w:color="auto" w:fill="FFFFFF"/>
        </w:rPr>
        <w:t>9、电子磋商</w:t>
      </w:r>
      <w:r>
        <w:rPr>
          <w:rFonts w:hint="eastAsia" w:ascii="宋体" w:hAnsi="宋体" w:eastAsia="宋体" w:cs="宋体"/>
          <w:shd w:val="clear" w:color="auto" w:fill="FFFFFF"/>
          <w:lang w:val="en-US" w:eastAsia="zh-CN"/>
        </w:rPr>
        <w:t>响应</w:t>
      </w:r>
      <w:r>
        <w:rPr>
          <w:rFonts w:hint="eastAsia" w:ascii="宋体" w:hAnsi="宋体" w:eastAsia="宋体" w:cs="宋体"/>
          <w:shd w:val="clear" w:color="auto" w:fill="FFFFFF"/>
        </w:rPr>
        <w:t>文件制作软件技术支持热线：咨询电话:400-636-9888、029-88661267、029-88661266。</w:t>
      </w:r>
    </w:p>
    <w:p w14:paraId="5D9FE4B3">
      <w:pPr>
        <w:spacing w:line="500" w:lineRule="exact"/>
        <w:rPr>
          <w:rFonts w:hint="eastAsia" w:ascii="宋体" w:hAnsi="宋体" w:eastAsia="宋体" w:cs="宋体"/>
          <w:szCs w:val="24"/>
        </w:rPr>
      </w:pPr>
      <w:r>
        <w:rPr>
          <w:rFonts w:hint="eastAsia" w:ascii="宋体" w:hAnsi="宋体" w:eastAsia="宋体" w:cs="宋体"/>
          <w:szCs w:val="24"/>
        </w:rPr>
        <w:t>八、凡对本次采购提出询问，请按以下方式联系。</w:t>
      </w:r>
    </w:p>
    <w:p w14:paraId="40A13A9A">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eastAsia="zh-CN"/>
        </w:rPr>
        <w:t>、</w:t>
      </w:r>
      <w:r>
        <w:rPr>
          <w:rFonts w:hint="eastAsia" w:ascii="宋体" w:hAnsi="宋体" w:eastAsia="宋体" w:cs="宋体"/>
          <w:szCs w:val="24"/>
        </w:rPr>
        <w:t>采购人信息</w:t>
      </w:r>
    </w:p>
    <w:p w14:paraId="42AE7626">
      <w:pPr>
        <w:spacing w:line="500" w:lineRule="exact"/>
        <w:ind w:firstLine="480" w:firstLineChars="200"/>
        <w:rPr>
          <w:rFonts w:hint="eastAsia" w:ascii="宋体" w:hAnsi="宋体" w:eastAsia="宋体" w:cs="宋体"/>
          <w:szCs w:val="24"/>
          <w:lang w:eastAsia="zh-CN"/>
        </w:rPr>
      </w:pPr>
      <w:r>
        <w:rPr>
          <w:rFonts w:hint="eastAsia" w:ascii="宋体" w:hAnsi="宋体" w:eastAsia="宋体" w:cs="宋体"/>
          <w:szCs w:val="24"/>
        </w:rPr>
        <w:t>名称：</w:t>
      </w:r>
      <w:r>
        <w:rPr>
          <w:rFonts w:hint="eastAsia" w:ascii="宋体" w:hAnsi="宋体" w:eastAsia="宋体" w:cs="宋体"/>
          <w:szCs w:val="24"/>
          <w:lang w:eastAsia="zh-CN"/>
        </w:rPr>
        <w:t>千阳县河务工作站</w:t>
      </w:r>
    </w:p>
    <w:p w14:paraId="79F9042A">
      <w:pPr>
        <w:spacing w:line="500" w:lineRule="exact"/>
        <w:ind w:firstLine="480" w:firstLineChars="200"/>
        <w:rPr>
          <w:rFonts w:hint="eastAsia" w:ascii="宋体" w:hAnsi="宋体" w:eastAsia="宋体" w:cs="宋体"/>
          <w:szCs w:val="24"/>
          <w:highlight w:val="none"/>
          <w:lang w:val="en-US" w:eastAsia="zh-CN"/>
        </w:rPr>
      </w:pPr>
      <w:r>
        <w:rPr>
          <w:rFonts w:hint="eastAsia" w:ascii="宋体" w:hAnsi="宋体" w:eastAsia="宋体" w:cs="宋体"/>
          <w:szCs w:val="24"/>
          <w:highlight w:val="none"/>
          <w:lang w:eastAsia="zh-CN"/>
        </w:rPr>
        <w:t>地址：</w:t>
      </w:r>
      <w:r>
        <w:rPr>
          <w:rFonts w:hint="eastAsia" w:ascii="宋体" w:hAnsi="宋体" w:eastAsia="宋体" w:cs="宋体"/>
          <w:szCs w:val="24"/>
          <w:highlight w:val="none"/>
          <w:lang w:val="en-US" w:eastAsia="zh-CN"/>
        </w:rPr>
        <w:t>宝鸡市千阳县南关路83号</w:t>
      </w:r>
    </w:p>
    <w:p w14:paraId="00EE076E">
      <w:pPr>
        <w:spacing w:line="500" w:lineRule="exact"/>
        <w:ind w:firstLine="480" w:firstLineChars="200"/>
        <w:rPr>
          <w:rFonts w:hint="default" w:ascii="宋体" w:hAnsi="宋体" w:eastAsia="宋体" w:cs="宋体"/>
          <w:szCs w:val="24"/>
          <w:highlight w:val="none"/>
          <w:lang w:val="en-US" w:eastAsia="zh-CN"/>
        </w:rPr>
      </w:pPr>
      <w:r>
        <w:rPr>
          <w:rFonts w:hint="eastAsia" w:ascii="宋体" w:hAnsi="宋体" w:eastAsia="宋体" w:cs="宋体"/>
          <w:szCs w:val="24"/>
          <w:highlight w:val="none"/>
          <w:lang w:val="en-US" w:eastAsia="zh-CN"/>
        </w:rPr>
        <w:t>联系方式：0917-4241556</w:t>
      </w:r>
    </w:p>
    <w:p w14:paraId="6BD8F071">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2、采购代理机构信息</w:t>
      </w:r>
    </w:p>
    <w:p w14:paraId="1DAA25FF">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名称：</w:t>
      </w:r>
      <w:r>
        <w:rPr>
          <w:rFonts w:hint="eastAsia" w:ascii="宋体" w:hAnsi="宋体" w:eastAsia="宋体" w:cs="宋体"/>
          <w:szCs w:val="24"/>
          <w:highlight w:val="none"/>
          <w:lang w:eastAsia="zh-CN"/>
        </w:rPr>
        <w:t>华地众信工程项目管理有限公司</w:t>
      </w:r>
    </w:p>
    <w:p w14:paraId="4BCE1936">
      <w:pPr>
        <w:spacing w:line="500" w:lineRule="exact"/>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地址：</w:t>
      </w:r>
      <w:r>
        <w:rPr>
          <w:rFonts w:hint="eastAsia" w:ascii="宋体" w:hAnsi="宋体"/>
          <w:sz w:val="24"/>
          <w:highlight w:val="none"/>
          <w:lang w:eastAsia="zh-CN"/>
        </w:rPr>
        <w:t>陕西省宝鸡市高新开发区马营镇高新锦园4号楼一单元1604室</w:t>
      </w:r>
    </w:p>
    <w:p w14:paraId="16F4AB62">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联系方式：</w:t>
      </w:r>
      <w:r>
        <w:rPr>
          <w:rFonts w:hint="eastAsia" w:ascii="宋体" w:hAnsi="宋体"/>
          <w:sz w:val="24"/>
          <w:highlight w:val="none"/>
          <w:lang w:eastAsia="zh-CN"/>
        </w:rPr>
        <w:t>18091731152</w:t>
      </w:r>
    </w:p>
    <w:p w14:paraId="1D3EA253">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3</w:t>
      </w:r>
      <w:r>
        <w:rPr>
          <w:rFonts w:hint="eastAsia" w:ascii="宋体" w:hAnsi="宋体" w:eastAsia="宋体" w:cs="宋体"/>
          <w:szCs w:val="24"/>
          <w:highlight w:val="none"/>
          <w:lang w:eastAsia="zh-CN"/>
        </w:rPr>
        <w:t>、</w:t>
      </w:r>
      <w:r>
        <w:rPr>
          <w:rFonts w:hint="eastAsia" w:ascii="宋体" w:hAnsi="宋体" w:eastAsia="宋体" w:cs="宋体"/>
          <w:szCs w:val="24"/>
          <w:highlight w:val="none"/>
        </w:rPr>
        <w:t>项目联系方式</w:t>
      </w:r>
    </w:p>
    <w:p w14:paraId="78CCE286">
      <w:pPr>
        <w:spacing w:line="50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Cs w:val="24"/>
          <w:highlight w:val="none"/>
        </w:rPr>
        <w:t>项目联系人：</w:t>
      </w:r>
      <w:r>
        <w:rPr>
          <w:rFonts w:hint="eastAsia" w:ascii="宋体" w:hAnsi="宋体" w:eastAsia="宋体" w:cs="宋体"/>
          <w:sz w:val="24"/>
          <w:highlight w:val="none"/>
          <w:lang w:eastAsia="zh-CN"/>
        </w:rPr>
        <w:t>陈佩瑶</w:t>
      </w:r>
    </w:p>
    <w:p w14:paraId="3F1BD28F">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电话：</w:t>
      </w:r>
      <w:r>
        <w:rPr>
          <w:rFonts w:hint="eastAsia" w:ascii="宋体" w:hAnsi="宋体"/>
          <w:sz w:val="24"/>
          <w:highlight w:val="none"/>
          <w:lang w:eastAsia="zh-CN"/>
        </w:rPr>
        <w:t>18091731152</w:t>
      </w:r>
    </w:p>
    <w:bookmarkEnd w:id="4"/>
    <w:p w14:paraId="692CDF78">
      <w:pPr>
        <w:spacing w:line="500" w:lineRule="exact"/>
        <w:ind w:firstLine="5520" w:firstLineChars="2300"/>
        <w:rPr>
          <w:rFonts w:hint="eastAsia" w:ascii="宋体" w:hAnsi="宋体" w:eastAsia="宋体" w:cs="宋体"/>
          <w:szCs w:val="24"/>
          <w:highlight w:val="none"/>
          <w:lang w:eastAsia="zh-CN"/>
        </w:rPr>
      </w:pPr>
      <w:r>
        <w:rPr>
          <w:rFonts w:hint="eastAsia" w:ascii="宋体" w:hAnsi="宋体" w:eastAsia="宋体" w:cs="宋体"/>
          <w:szCs w:val="24"/>
          <w:highlight w:val="none"/>
          <w:lang w:eastAsia="zh-CN"/>
        </w:rPr>
        <w:t>华地众信工程项目管理有限公司</w:t>
      </w:r>
    </w:p>
    <w:p w14:paraId="717E7AB8">
      <w:pPr>
        <w:spacing w:line="360" w:lineRule="auto"/>
        <w:ind w:firstLine="6480" w:firstLineChars="2700"/>
        <w:rPr>
          <w:rFonts w:hint="eastAsia" w:ascii="宋体" w:hAnsi="宋体" w:eastAsia="宋体" w:cs="宋体"/>
          <w:szCs w:val="24"/>
          <w:highlight w:val="none"/>
        </w:rPr>
      </w:pPr>
      <w:r>
        <w:rPr>
          <w:rFonts w:hint="eastAsia" w:ascii="宋体" w:hAnsi="宋体" w:eastAsia="宋体" w:cs="宋体"/>
          <w:szCs w:val="24"/>
          <w:highlight w:val="none"/>
          <w:lang w:eastAsia="zh-CN"/>
        </w:rPr>
        <w:t>2026年</w:t>
      </w:r>
      <w:r>
        <w:rPr>
          <w:rFonts w:hint="eastAsia" w:ascii="宋体" w:hAnsi="宋体" w:eastAsia="宋体" w:cs="宋体"/>
          <w:szCs w:val="24"/>
          <w:highlight w:val="none"/>
          <w:lang w:val="en-US" w:eastAsia="zh-CN"/>
        </w:rPr>
        <w:t>04</w:t>
      </w:r>
      <w:r>
        <w:rPr>
          <w:rFonts w:hint="eastAsia" w:ascii="宋体" w:hAnsi="宋体" w:eastAsia="宋体" w:cs="宋体"/>
          <w:szCs w:val="24"/>
          <w:highlight w:val="none"/>
        </w:rPr>
        <w:t>月</w:t>
      </w:r>
      <w:r>
        <w:rPr>
          <w:rFonts w:hint="eastAsia" w:ascii="宋体" w:hAnsi="宋体" w:eastAsia="宋体" w:cs="宋体"/>
          <w:szCs w:val="24"/>
          <w:highlight w:val="none"/>
          <w:lang w:val="en-US" w:eastAsia="zh-CN"/>
        </w:rPr>
        <w:t>02</w:t>
      </w:r>
      <w:r>
        <w:rPr>
          <w:rFonts w:hint="eastAsia" w:ascii="宋体" w:hAnsi="宋体" w:eastAsia="宋体" w:cs="宋体"/>
          <w:szCs w:val="24"/>
          <w:highlight w:val="none"/>
        </w:rPr>
        <w:t>日</w:t>
      </w:r>
    </w:p>
    <w:bookmarkEnd w:id="2"/>
    <w:p w14:paraId="3096F6C7">
      <w:pPr>
        <w:rPr>
          <w:rFonts w:hint="eastAsia" w:ascii="宋体" w:hAnsi="宋体" w:eastAsia="宋体" w:cs="宋体"/>
          <w:b/>
          <w:bCs/>
          <w:color w:val="000000" w:themeColor="text1"/>
          <w:kern w:val="0"/>
          <w:sz w:val="36"/>
          <w:szCs w:val="36"/>
          <w14:textFill>
            <w14:solidFill>
              <w14:schemeClr w14:val="tx1"/>
            </w14:solidFill>
          </w14:textFill>
        </w:rPr>
      </w:pPr>
      <w:bookmarkStart w:id="6" w:name="_Toc4911"/>
      <w:bookmarkStart w:id="7" w:name="_Toc28093"/>
      <w:bookmarkStart w:id="8" w:name="_Toc458617730"/>
      <w:bookmarkStart w:id="9" w:name="_Toc31306"/>
      <w:bookmarkStart w:id="10" w:name="_Toc458617453"/>
      <w:r>
        <w:rPr>
          <w:rFonts w:hint="eastAsia" w:ascii="宋体" w:hAnsi="宋体" w:eastAsia="宋体" w:cs="宋体"/>
          <w:b/>
          <w:bCs/>
          <w:color w:val="000000" w:themeColor="text1"/>
          <w:kern w:val="0"/>
          <w:sz w:val="36"/>
          <w:szCs w:val="36"/>
          <w14:textFill>
            <w14:solidFill>
              <w14:schemeClr w14:val="tx1"/>
            </w14:solidFill>
          </w14:textFill>
        </w:rPr>
        <w:br w:type="page"/>
      </w:r>
    </w:p>
    <w:p w14:paraId="57184F89">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bookmarkStart w:id="11" w:name="_Toc6202"/>
      <w:r>
        <w:rPr>
          <w:rFonts w:hint="eastAsia" w:ascii="宋体" w:hAnsi="宋体" w:eastAsia="宋体" w:cs="宋体"/>
          <w:b/>
          <w:bCs/>
          <w:color w:val="000000" w:themeColor="text1"/>
          <w:kern w:val="0"/>
          <w:sz w:val="36"/>
          <w:szCs w:val="36"/>
          <w14:textFill>
            <w14:solidFill>
              <w14:schemeClr w14:val="tx1"/>
            </w14:solidFill>
          </w14:textFill>
        </w:rPr>
        <w:t>第二章 供应商须知</w:t>
      </w:r>
      <w:bookmarkEnd w:id="6"/>
      <w:bookmarkEnd w:id="7"/>
      <w:bookmarkEnd w:id="8"/>
      <w:bookmarkEnd w:id="9"/>
      <w:bookmarkEnd w:id="10"/>
      <w:bookmarkEnd w:id="11"/>
      <w:bookmarkStart w:id="12" w:name="_Toc458617454"/>
      <w:bookmarkStart w:id="13" w:name="_Toc458617731"/>
      <w:bookmarkStart w:id="14" w:name="_Toc8707"/>
    </w:p>
    <w:p w14:paraId="3EAEAC7A">
      <w:pPr>
        <w:spacing w:line="360" w:lineRule="auto"/>
        <w:jc w:val="center"/>
        <w:rPr>
          <w:rFonts w:hint="eastAsia" w:ascii="宋体" w:hAnsi="宋体" w:eastAsia="宋体" w:cs="宋体"/>
          <w:color w:val="000000" w:themeColor="text1"/>
          <w:sz w:val="15"/>
          <w:szCs w:val="15"/>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一、供应商须知前附表</w:t>
      </w:r>
      <w:bookmarkEnd w:id="12"/>
      <w:bookmarkEnd w:id="13"/>
      <w:bookmarkEnd w:id="14"/>
    </w:p>
    <w:tbl>
      <w:tblPr>
        <w:tblStyle w:val="37"/>
        <w:tblW w:w="933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87"/>
        <w:gridCol w:w="6541"/>
      </w:tblGrid>
      <w:tr w14:paraId="185A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09" w:type="dxa"/>
            <w:vAlign w:val="center"/>
          </w:tcPr>
          <w:p w14:paraId="2CF2B5E9">
            <w:pPr>
              <w:spacing w:line="500" w:lineRule="exact"/>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序号</w:t>
            </w:r>
          </w:p>
        </w:tc>
        <w:tc>
          <w:tcPr>
            <w:tcW w:w="2087" w:type="dxa"/>
            <w:vAlign w:val="center"/>
          </w:tcPr>
          <w:p w14:paraId="025571AE">
            <w:pPr>
              <w:spacing w:line="500" w:lineRule="exact"/>
              <w:jc w:val="center"/>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条款名称</w:t>
            </w:r>
          </w:p>
        </w:tc>
        <w:tc>
          <w:tcPr>
            <w:tcW w:w="6541" w:type="dxa"/>
            <w:vAlign w:val="center"/>
          </w:tcPr>
          <w:p w14:paraId="79117ECF">
            <w:pPr>
              <w:spacing w:line="500" w:lineRule="exact"/>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说明和要求</w:t>
            </w:r>
          </w:p>
        </w:tc>
      </w:tr>
      <w:tr w14:paraId="43DC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709" w:type="dxa"/>
            <w:vAlign w:val="center"/>
          </w:tcPr>
          <w:p w14:paraId="64D588CB">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w:t>
            </w:r>
          </w:p>
        </w:tc>
        <w:tc>
          <w:tcPr>
            <w:tcW w:w="2087" w:type="dxa"/>
            <w:vAlign w:val="center"/>
          </w:tcPr>
          <w:p w14:paraId="17E2D547">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采购人</w:t>
            </w:r>
            <w:r>
              <w:rPr>
                <w:rFonts w:hint="eastAsia" w:ascii="宋体" w:hAnsi="宋体" w:eastAsia="宋体" w:cs="宋体"/>
                <w:color w:val="000000" w:themeColor="text1"/>
                <w:szCs w:val="24"/>
                <w:lang w:val="en-US" w:eastAsia="zh-CN"/>
                <w14:textFill>
                  <w14:solidFill>
                    <w14:schemeClr w14:val="tx1"/>
                  </w14:solidFill>
                </w14:textFill>
              </w:rPr>
              <w:t>及</w:t>
            </w:r>
          </w:p>
          <w:p w14:paraId="620354E7">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项目实施单位</w:t>
            </w:r>
          </w:p>
        </w:tc>
        <w:tc>
          <w:tcPr>
            <w:tcW w:w="6541" w:type="dxa"/>
            <w:vAlign w:val="center"/>
          </w:tcPr>
          <w:p w14:paraId="2E0D824F">
            <w:pPr>
              <w:spacing w:line="500" w:lineRule="exac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采购人</w:t>
            </w:r>
            <w:r>
              <w:rPr>
                <w:rFonts w:hint="eastAsia" w:ascii="宋体" w:hAnsi="宋体" w:eastAsia="宋体" w:cs="宋体"/>
                <w:color w:val="000000" w:themeColor="text1"/>
                <w:szCs w:val="24"/>
                <w14:textFill>
                  <w14:solidFill>
                    <w14:schemeClr w14:val="tx1"/>
                  </w14:solidFill>
                </w14:textFill>
              </w:rPr>
              <w:t>名称：</w:t>
            </w:r>
            <w:r>
              <w:rPr>
                <w:rFonts w:hint="eastAsia" w:ascii="宋体" w:hAnsi="宋体" w:eastAsia="宋体" w:cs="宋体"/>
                <w:color w:val="000000" w:themeColor="text1"/>
                <w:szCs w:val="24"/>
                <w:lang w:eastAsia="zh-CN"/>
                <w14:textFill>
                  <w14:solidFill>
                    <w14:schemeClr w14:val="tx1"/>
                  </w14:solidFill>
                </w14:textFill>
              </w:rPr>
              <w:t>千阳县河务工作站</w:t>
            </w:r>
          </w:p>
          <w:p w14:paraId="0FBBB938">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地   </w:t>
            </w:r>
            <w:r>
              <w:rPr>
                <w:rFonts w:hint="eastAsia" w:ascii="宋体" w:hAnsi="宋体" w:eastAsia="宋体" w:cs="宋体"/>
                <w:color w:val="000000" w:themeColor="text1"/>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址：</w:t>
            </w:r>
            <w:r>
              <w:rPr>
                <w:rFonts w:hint="eastAsia" w:ascii="宋体" w:hAnsi="宋体" w:eastAsia="宋体" w:cs="宋体"/>
                <w:color w:val="000000" w:themeColor="text1"/>
                <w:szCs w:val="24"/>
                <w:highlight w:val="none"/>
                <w:lang w:val="en-US" w:eastAsia="zh-CN"/>
                <w14:textFill>
                  <w14:solidFill>
                    <w14:schemeClr w14:val="tx1"/>
                  </w14:solidFill>
                </w14:textFill>
              </w:rPr>
              <w:t>宝鸡市千阳县南关路83号</w:t>
            </w:r>
          </w:p>
          <w:p w14:paraId="4C7464DD">
            <w:pPr>
              <w:spacing w:line="500" w:lineRule="exact"/>
              <w:rPr>
                <w:rFonts w:hint="default"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联 系 人：谢先生</w:t>
            </w:r>
          </w:p>
          <w:p w14:paraId="559DB3BE">
            <w:pPr>
              <w:spacing w:line="500" w:lineRule="exact"/>
              <w:rPr>
                <w:rFonts w:hint="default" w:ascii="宋体" w:hAnsi="宋体" w:eastAsia="宋体" w:cs="宋体"/>
                <w:lang w:val="en-US"/>
              </w:rPr>
            </w:pPr>
            <w:r>
              <w:rPr>
                <w:rFonts w:hint="eastAsia" w:ascii="宋体" w:hAnsi="宋体" w:eastAsia="宋体" w:cs="宋体"/>
                <w:color w:val="000000" w:themeColor="text1"/>
                <w:szCs w:val="24"/>
                <w:highlight w:val="none"/>
                <w:lang w:val="en-US" w:eastAsia="zh-CN"/>
                <w14:textFill>
                  <w14:solidFill>
                    <w14:schemeClr w14:val="tx1"/>
                  </w14:solidFill>
                </w14:textFill>
              </w:rPr>
              <w:t>联系方式：0917-4241556</w:t>
            </w:r>
          </w:p>
        </w:tc>
      </w:tr>
      <w:tr w14:paraId="7A87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9" w:type="dxa"/>
            <w:vAlign w:val="center"/>
          </w:tcPr>
          <w:p w14:paraId="2DCF514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p>
        </w:tc>
        <w:tc>
          <w:tcPr>
            <w:tcW w:w="2087" w:type="dxa"/>
            <w:vAlign w:val="center"/>
          </w:tcPr>
          <w:p w14:paraId="3D8B39B1">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采购代理机构</w:t>
            </w:r>
          </w:p>
        </w:tc>
        <w:tc>
          <w:tcPr>
            <w:tcW w:w="6541" w:type="dxa"/>
            <w:vAlign w:val="center"/>
          </w:tcPr>
          <w:p w14:paraId="444AEF1C">
            <w:pPr>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名  称：</w:t>
            </w:r>
            <w:r>
              <w:rPr>
                <w:rFonts w:hint="eastAsia" w:ascii="宋体" w:hAnsi="宋体" w:eastAsia="宋体" w:cs="宋体"/>
                <w:color w:val="000000" w:themeColor="text1"/>
                <w:szCs w:val="24"/>
                <w:highlight w:val="none"/>
                <w:lang w:eastAsia="zh-CN"/>
                <w14:textFill>
                  <w14:solidFill>
                    <w14:schemeClr w14:val="tx1"/>
                  </w14:solidFill>
                </w14:textFill>
              </w:rPr>
              <w:t>华地众信工程项目管理有限公司</w:t>
            </w:r>
          </w:p>
          <w:p w14:paraId="5C3C84CE">
            <w:pPr>
              <w:spacing w:line="500" w:lineRule="exact"/>
              <w:rPr>
                <w:rFonts w:hint="eastAsia" w:ascii="宋体" w:hAnsi="宋体"/>
                <w:sz w:val="24"/>
                <w:highlight w:val="none"/>
                <w:lang w:eastAsia="zh-CN"/>
              </w:rPr>
            </w:pPr>
            <w:r>
              <w:rPr>
                <w:rFonts w:hint="eastAsia" w:ascii="宋体" w:hAnsi="宋体" w:eastAsia="宋体" w:cs="宋体"/>
                <w:color w:val="000000" w:themeColor="text1"/>
                <w:szCs w:val="24"/>
                <w:highlight w:val="none"/>
                <w14:textFill>
                  <w14:solidFill>
                    <w14:schemeClr w14:val="tx1"/>
                  </w14:solidFill>
                </w14:textFill>
              </w:rPr>
              <w:t>地  址：</w:t>
            </w:r>
            <w:r>
              <w:rPr>
                <w:rFonts w:hint="eastAsia" w:ascii="宋体" w:hAnsi="宋体"/>
                <w:sz w:val="24"/>
                <w:highlight w:val="none"/>
                <w:lang w:eastAsia="zh-CN"/>
              </w:rPr>
              <w:t>陕西省宝鸡市高新开发区马营镇高新锦园4号楼一单元1604室</w:t>
            </w:r>
          </w:p>
          <w:p w14:paraId="7BD01D9F">
            <w:pPr>
              <w:spacing w:line="500" w:lineRule="exact"/>
              <w:rPr>
                <w:rFonts w:hint="eastAsia" w:ascii="宋体" w:hAnsi="宋体" w:eastAsia="宋体" w:cs="宋体"/>
                <w:b/>
                <w:color w:val="000000" w:themeColor="text1"/>
                <w:szCs w:val="24"/>
                <w:highlight w:val="none"/>
                <w:u w:val="wavyHeavy" w:color="FF0000"/>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联系人：</w:t>
            </w:r>
            <w:r>
              <w:rPr>
                <w:rFonts w:hint="eastAsia" w:ascii="宋体" w:hAnsi="宋体" w:eastAsia="宋体" w:cs="宋体"/>
                <w:sz w:val="24"/>
                <w:highlight w:val="none"/>
                <w:lang w:val="en-US" w:eastAsia="zh-CN"/>
              </w:rPr>
              <w:t>陈佩瑶</w:t>
            </w:r>
          </w:p>
          <w:p w14:paraId="3E3A78FC">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联系方式：</w:t>
            </w:r>
            <w:r>
              <w:rPr>
                <w:rFonts w:hint="eastAsia" w:ascii="宋体" w:hAnsi="宋体"/>
                <w:sz w:val="24"/>
                <w:highlight w:val="none"/>
                <w:lang w:eastAsia="zh-CN"/>
              </w:rPr>
              <w:t>18091731152</w:t>
            </w:r>
          </w:p>
        </w:tc>
      </w:tr>
      <w:tr w14:paraId="7822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09" w:type="dxa"/>
            <w:vAlign w:val="center"/>
          </w:tcPr>
          <w:p w14:paraId="0F18DF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w:t>
            </w:r>
          </w:p>
        </w:tc>
        <w:tc>
          <w:tcPr>
            <w:tcW w:w="2087" w:type="dxa"/>
            <w:vAlign w:val="center"/>
          </w:tcPr>
          <w:p w14:paraId="4D5C635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监督管理机构</w:t>
            </w:r>
          </w:p>
        </w:tc>
        <w:tc>
          <w:tcPr>
            <w:tcW w:w="6541" w:type="dxa"/>
            <w:vAlign w:val="center"/>
          </w:tcPr>
          <w:p w14:paraId="3932F6DA">
            <w:pPr>
              <w:spacing w:line="500" w:lineRule="exact"/>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bCs/>
                <w:color w:val="000000" w:themeColor="text1"/>
                <w:szCs w:val="24"/>
                <w:u w:color="FF0000"/>
                <w:lang w:val="en-US" w:eastAsia="zh-CN"/>
                <w14:textFill>
                  <w14:solidFill>
                    <w14:schemeClr w14:val="tx1"/>
                  </w14:solidFill>
                </w14:textFill>
              </w:rPr>
              <w:t>千阳县</w:t>
            </w:r>
            <w:r>
              <w:rPr>
                <w:rFonts w:hint="eastAsia" w:ascii="宋体" w:hAnsi="宋体" w:eastAsia="宋体" w:cs="宋体"/>
                <w:bCs/>
                <w:color w:val="000000" w:themeColor="text1"/>
                <w:szCs w:val="24"/>
                <w:u w:color="FF0000"/>
                <w14:textFill>
                  <w14:solidFill>
                    <w14:schemeClr w14:val="tx1"/>
                  </w14:solidFill>
                </w14:textFill>
              </w:rPr>
              <w:t>财政局</w:t>
            </w:r>
            <w:r>
              <w:rPr>
                <w:rFonts w:hint="eastAsia" w:ascii="宋体" w:hAnsi="宋体" w:eastAsia="宋体" w:cs="宋体"/>
                <w:bCs/>
                <w:color w:val="000000" w:themeColor="text1"/>
                <w:szCs w:val="24"/>
                <w:u w:color="FF0000"/>
                <w:lang w:eastAsia="zh-CN"/>
                <w14:textFill>
                  <w14:solidFill>
                    <w14:schemeClr w14:val="tx1"/>
                  </w14:solidFill>
                </w14:textFill>
              </w:rPr>
              <w:t>、</w:t>
            </w:r>
            <w:r>
              <w:rPr>
                <w:rFonts w:hint="eastAsia" w:ascii="宋体" w:hAnsi="宋体" w:eastAsia="宋体" w:cs="宋体"/>
                <w:bCs/>
                <w:color w:val="000000" w:themeColor="text1"/>
                <w:szCs w:val="24"/>
                <w:u w:color="FF0000"/>
                <w:lang w:val="en-US" w:eastAsia="zh-CN"/>
                <w14:textFill>
                  <w14:solidFill>
                    <w14:schemeClr w14:val="tx1"/>
                  </w14:solidFill>
                </w14:textFill>
              </w:rPr>
              <w:t>千阳县水利局</w:t>
            </w:r>
          </w:p>
        </w:tc>
      </w:tr>
      <w:tr w14:paraId="01C7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09" w:type="dxa"/>
            <w:vAlign w:val="center"/>
          </w:tcPr>
          <w:p w14:paraId="75B999A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p>
        </w:tc>
        <w:tc>
          <w:tcPr>
            <w:tcW w:w="2087" w:type="dxa"/>
            <w:vAlign w:val="center"/>
          </w:tcPr>
          <w:p w14:paraId="62EB61AD">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项目名称</w:t>
            </w:r>
          </w:p>
        </w:tc>
        <w:tc>
          <w:tcPr>
            <w:tcW w:w="6541" w:type="dxa"/>
            <w:vAlign w:val="center"/>
          </w:tcPr>
          <w:p w14:paraId="562C66B9">
            <w:pPr>
              <w:spacing w:line="500" w:lineRule="exact"/>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lang w:eastAsia="zh-CN"/>
                <w14:textFill>
                  <w14:solidFill>
                    <w14:schemeClr w14:val="tx1"/>
                  </w14:solidFill>
                </w14:textFill>
              </w:rPr>
              <w:t>千河千阳县柿沟村段水毁修复工程</w:t>
            </w:r>
          </w:p>
        </w:tc>
      </w:tr>
      <w:tr w14:paraId="0686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709" w:type="dxa"/>
            <w:vAlign w:val="center"/>
          </w:tcPr>
          <w:p w14:paraId="31CB9FB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w:t>
            </w:r>
          </w:p>
        </w:tc>
        <w:tc>
          <w:tcPr>
            <w:tcW w:w="2087" w:type="dxa"/>
            <w:vAlign w:val="center"/>
          </w:tcPr>
          <w:p w14:paraId="243FDB29">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项目编号</w:t>
            </w:r>
          </w:p>
        </w:tc>
        <w:tc>
          <w:tcPr>
            <w:tcW w:w="6541" w:type="dxa"/>
            <w:vAlign w:val="center"/>
          </w:tcPr>
          <w:p w14:paraId="26BE26CF">
            <w:pPr>
              <w:widowControl/>
              <w:spacing w:line="500" w:lineRule="exact"/>
              <w:rPr>
                <w:rFonts w:hint="eastAsia" w:ascii="宋体" w:hAnsi="宋体" w:eastAsia="宋体" w:cs="宋体"/>
                <w:color w:val="000000" w:themeColor="text1"/>
                <w:szCs w:val="24"/>
                <w:highlight w:val="none"/>
                <w:lang w:eastAsia="zh-CN"/>
                <w14:textFill>
                  <w14:solidFill>
                    <w14:schemeClr w14:val="tx1"/>
                  </w14:solidFill>
                </w14:textFill>
              </w:rPr>
            </w:pPr>
            <w:r>
              <w:rPr>
                <w:rFonts w:hint="eastAsia" w:ascii="宋体" w:hAnsi="宋体" w:eastAsia="宋体" w:cs="宋体"/>
                <w:color w:val="000000" w:themeColor="text1"/>
                <w:szCs w:val="24"/>
                <w:highlight w:val="none"/>
                <w:lang w:eastAsia="zh-CN"/>
                <w14:textFill>
                  <w14:solidFill>
                    <w14:schemeClr w14:val="tx1"/>
                  </w14:solidFill>
                </w14:textFill>
              </w:rPr>
              <w:t>HDZX2026（006）CG</w:t>
            </w:r>
          </w:p>
        </w:tc>
      </w:tr>
      <w:tr w14:paraId="4D9E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09" w:type="dxa"/>
            <w:vAlign w:val="center"/>
          </w:tcPr>
          <w:p w14:paraId="09A4BE2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w:t>
            </w:r>
          </w:p>
        </w:tc>
        <w:tc>
          <w:tcPr>
            <w:tcW w:w="2087" w:type="dxa"/>
            <w:vAlign w:val="center"/>
          </w:tcPr>
          <w:p w14:paraId="240A307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资金性质</w:t>
            </w:r>
          </w:p>
        </w:tc>
        <w:tc>
          <w:tcPr>
            <w:tcW w:w="6541" w:type="dxa"/>
            <w:vAlign w:val="center"/>
          </w:tcPr>
          <w:p w14:paraId="0BF934D2">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rPr>
              <w:t>财政资金</w:t>
            </w:r>
          </w:p>
        </w:tc>
      </w:tr>
      <w:tr w14:paraId="42181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709" w:type="dxa"/>
            <w:vAlign w:val="center"/>
          </w:tcPr>
          <w:p w14:paraId="1CAC50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w:t>
            </w:r>
          </w:p>
        </w:tc>
        <w:tc>
          <w:tcPr>
            <w:tcW w:w="2087" w:type="dxa"/>
            <w:vAlign w:val="center"/>
          </w:tcPr>
          <w:p w14:paraId="282A78A2">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最高限价</w:t>
            </w:r>
          </w:p>
        </w:tc>
        <w:tc>
          <w:tcPr>
            <w:tcW w:w="6541" w:type="dxa"/>
            <w:vAlign w:val="center"/>
          </w:tcPr>
          <w:p w14:paraId="7A42480F">
            <w:pPr>
              <w:spacing w:line="500" w:lineRule="exact"/>
              <w:jc w:val="lef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597421.44</w:t>
            </w:r>
            <w:r>
              <w:rPr>
                <w:rFonts w:hint="eastAsia" w:ascii="宋体" w:hAnsi="宋体" w:eastAsia="宋体" w:cs="宋体"/>
                <w:color w:val="000000" w:themeColor="text1"/>
                <w:szCs w:val="24"/>
                <w:highlight w:val="none"/>
                <w:lang w:eastAsia="zh-CN"/>
                <w14:textFill>
                  <w14:solidFill>
                    <w14:schemeClr w14:val="tx1"/>
                  </w14:solidFill>
                </w14:textFill>
              </w:rPr>
              <w:t>元，</w:t>
            </w:r>
            <w:r>
              <w:rPr>
                <w:rFonts w:hint="eastAsia" w:ascii="宋体" w:hAnsi="宋体" w:eastAsia="宋体" w:cs="宋体"/>
                <w:color w:val="000000" w:themeColor="text1"/>
                <w:szCs w:val="24"/>
                <w14:textFill>
                  <w14:solidFill>
                    <w14:schemeClr w14:val="tx1"/>
                  </w14:solidFill>
                </w14:textFill>
              </w:rPr>
              <w:t>超出项目最高限价为无效报价，按废标处理</w:t>
            </w:r>
          </w:p>
        </w:tc>
      </w:tr>
      <w:tr w14:paraId="2DF5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09" w:type="dxa"/>
            <w:vAlign w:val="center"/>
          </w:tcPr>
          <w:p w14:paraId="65E6194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w:t>
            </w:r>
          </w:p>
        </w:tc>
        <w:tc>
          <w:tcPr>
            <w:tcW w:w="2087" w:type="dxa"/>
            <w:vAlign w:val="center"/>
          </w:tcPr>
          <w:p w14:paraId="409ADCAB">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项目用途</w:t>
            </w:r>
          </w:p>
        </w:tc>
        <w:tc>
          <w:tcPr>
            <w:tcW w:w="6541" w:type="dxa"/>
            <w:vAlign w:val="center"/>
          </w:tcPr>
          <w:p w14:paraId="55399CA4">
            <w:pPr>
              <w:spacing w:line="500" w:lineRule="exact"/>
              <w:jc w:val="left"/>
              <w:rPr>
                <w:rFonts w:hint="eastAsia" w:ascii="宋体" w:hAnsi="宋体" w:eastAsia="宋体" w:cs="宋体"/>
                <w:color w:val="000000" w:themeColor="text1"/>
                <w:szCs w:val="24"/>
                <w:lang w:val="en-US"/>
                <w14:textFill>
                  <w14:solidFill>
                    <w14:schemeClr w14:val="tx1"/>
                  </w14:solidFill>
                </w14:textFill>
              </w:rPr>
            </w:pPr>
            <w:r>
              <w:rPr>
                <w:rFonts w:hint="eastAsia" w:ascii="宋体" w:hAnsi="宋体" w:eastAsia="宋体" w:cs="宋体"/>
                <w:szCs w:val="24"/>
                <w:lang w:val="en-US" w:eastAsia="zh-CN"/>
              </w:rPr>
              <w:t>防洪治理工程</w:t>
            </w:r>
          </w:p>
        </w:tc>
      </w:tr>
      <w:tr w14:paraId="15A1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09" w:type="dxa"/>
            <w:vAlign w:val="center"/>
          </w:tcPr>
          <w:p w14:paraId="637ABD1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w:t>
            </w:r>
          </w:p>
        </w:tc>
        <w:tc>
          <w:tcPr>
            <w:tcW w:w="2087" w:type="dxa"/>
            <w:vAlign w:val="center"/>
          </w:tcPr>
          <w:p w14:paraId="5BCAF7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采购内容和要求</w:t>
            </w:r>
          </w:p>
        </w:tc>
        <w:tc>
          <w:tcPr>
            <w:tcW w:w="6541" w:type="dxa"/>
            <w:vAlign w:val="center"/>
          </w:tcPr>
          <w:p w14:paraId="0BDE6963">
            <w:pPr>
              <w:pStyle w:val="56"/>
              <w:spacing w:line="500" w:lineRule="exact"/>
              <w:ind w:firstLine="0"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修复水毁护岸91m，下游护岸基础加固95m。修复洪水造成水毁的护岸土石方、格宾石笼护坡、基础等。（详见施工图纸及工程量清单）</w:t>
            </w:r>
          </w:p>
        </w:tc>
      </w:tr>
      <w:tr w14:paraId="34ECC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709" w:type="dxa"/>
            <w:vAlign w:val="center"/>
          </w:tcPr>
          <w:p w14:paraId="6F71397D">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w:t>
            </w:r>
          </w:p>
        </w:tc>
        <w:tc>
          <w:tcPr>
            <w:tcW w:w="2087" w:type="dxa"/>
            <w:vAlign w:val="center"/>
          </w:tcPr>
          <w:p w14:paraId="071F47C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w:t>
            </w:r>
          </w:p>
        </w:tc>
        <w:tc>
          <w:tcPr>
            <w:tcW w:w="6541" w:type="dxa"/>
            <w:vAlign w:val="center"/>
          </w:tcPr>
          <w:p w14:paraId="70F31084">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auto"/>
                <w:szCs w:val="24"/>
              </w:rPr>
              <w:t>符合本次竞争性磋商所规定的资格条件，从</w:t>
            </w:r>
            <w:r>
              <w:rPr>
                <w:rFonts w:hint="eastAsia" w:ascii="宋体" w:hAnsi="宋体" w:eastAsia="宋体" w:cs="宋体"/>
                <w:color w:val="auto"/>
                <w:szCs w:val="24"/>
                <w:lang w:val="en-US" w:eastAsia="zh-CN"/>
              </w:rPr>
              <w:t>全国公共资源交易平台获取</w:t>
            </w:r>
            <w:r>
              <w:rPr>
                <w:rFonts w:hint="eastAsia" w:ascii="宋体" w:hAnsi="宋体" w:eastAsia="宋体" w:cs="宋体"/>
                <w:color w:val="auto"/>
                <w:szCs w:val="24"/>
              </w:rPr>
              <w:t>竞争性磋商文件，并自愿参加磋商活动的供应商。</w:t>
            </w:r>
          </w:p>
        </w:tc>
      </w:tr>
      <w:tr w14:paraId="4D9E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0" w:hRule="atLeast"/>
        </w:trPr>
        <w:tc>
          <w:tcPr>
            <w:tcW w:w="709" w:type="dxa"/>
            <w:vAlign w:val="center"/>
          </w:tcPr>
          <w:p w14:paraId="7E0EFF89">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w:t>
            </w:r>
          </w:p>
        </w:tc>
        <w:tc>
          <w:tcPr>
            <w:tcW w:w="2087" w:type="dxa"/>
            <w:vAlign w:val="center"/>
          </w:tcPr>
          <w:p w14:paraId="184A310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供应商资格要求</w:t>
            </w:r>
          </w:p>
        </w:tc>
        <w:tc>
          <w:tcPr>
            <w:tcW w:w="6541" w:type="dxa"/>
            <w:vAlign w:val="center"/>
          </w:tcPr>
          <w:p w14:paraId="309DC9EB">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资格条件：</w:t>
            </w:r>
          </w:p>
          <w:p w14:paraId="5B784D88">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618C552C">
            <w:pPr>
              <w:spacing w:line="500" w:lineRule="exac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67F6EF73">
            <w:pPr>
              <w:spacing w:line="500" w:lineRule="exact"/>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238E1E24">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供应商须提供2024年度的财务审计报告（成立时间至提交磋商响应文件截止时间不足一年的可提供成立后任意时段的资产负债表）</w:t>
            </w:r>
            <w:r>
              <w:rPr>
                <w:rFonts w:hint="eastAsia" w:ascii="宋体" w:hAnsi="宋体" w:eastAsia="宋体" w:cs="宋体"/>
                <w:szCs w:val="24"/>
              </w:rPr>
              <w:t>，或银行出具的资信证明。其他组织和自然人提供银行出具的资信证明；</w:t>
            </w:r>
          </w:p>
          <w:p w14:paraId="4A9BB244">
            <w:pPr>
              <w:spacing w:line="500" w:lineRule="exact"/>
              <w:rPr>
                <w:rFonts w:hint="eastAsia" w:ascii="宋体" w:hAnsi="宋体" w:eastAsia="宋体" w:cs="宋体"/>
                <w:szCs w:val="24"/>
                <w:highlight w:val="none"/>
              </w:rPr>
            </w:pPr>
            <w:r>
              <w:rPr>
                <w:rFonts w:hint="eastAsia" w:ascii="宋体" w:hAnsi="宋体" w:eastAsia="宋体" w:cs="宋体"/>
                <w:szCs w:val="24"/>
                <w:lang w:eastAsia="zh-CN"/>
              </w:rPr>
              <w:t>（</w:t>
            </w: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的社会保障资金缴存单据或社保机构开具的社会保险参保缴费情况证明，依法不需要缴纳社会保障资金的单位应提供相关证明材料；</w:t>
            </w:r>
          </w:p>
          <w:p w14:paraId="4F4605F4">
            <w:pPr>
              <w:spacing w:line="500" w:lineRule="exact"/>
              <w:rPr>
                <w:rFonts w:hint="eastAsia" w:ascii="宋体" w:hAnsi="宋体" w:eastAsia="宋体" w:cs="宋体"/>
                <w:szCs w:val="24"/>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的纳税证明或完税证明，依法免税的单位</w:t>
            </w:r>
            <w:r>
              <w:rPr>
                <w:rFonts w:hint="eastAsia" w:ascii="宋体" w:hAnsi="宋体" w:eastAsia="宋体" w:cs="宋体"/>
                <w:szCs w:val="24"/>
              </w:rPr>
              <w:t>应提供相关证明材料；</w:t>
            </w:r>
          </w:p>
          <w:p w14:paraId="7DB50AAD">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www.creditchina.gov.cn)重大税收违法失信主体；未被列入“中国执行信息公开网”(https://zxgk.court.gov.cn/zhzxgk/)失信被执行人；未被列入“中国政府采购网”(www.ccgp.gov.cn)“政府采购严重违法失信行为信息记录”；</w:t>
            </w:r>
          </w:p>
          <w:p w14:paraId="5D0870A2">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6F39A29F">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6573A674">
            <w:pPr>
              <w:pStyle w:val="32"/>
              <w:widowControl/>
              <w:wordWrap w:val="0"/>
              <w:spacing w:line="500" w:lineRule="exact"/>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eastAsia="zh-CN"/>
              </w:rPr>
              <w:t>（</w:t>
            </w: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rPr>
              <w:t>供应商应授权合法的人员参加磋商全过程，其中法定代表人直接参加磋商的，须出具法定代表人资格证明书，法定代表人授权代表参加磋商的，须出具法定代表人资格证明书及法定代表人授权委托书；</w:t>
            </w:r>
          </w:p>
          <w:p w14:paraId="14A0251A">
            <w:pPr>
              <w:spacing w:line="500" w:lineRule="exact"/>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11247EE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lang w:eastAsia="zh-CN"/>
              </w:rPr>
              <w:t>（</w:t>
            </w: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tc>
      </w:tr>
      <w:tr w14:paraId="583B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9" w:type="dxa"/>
            <w:vAlign w:val="center"/>
          </w:tcPr>
          <w:p w14:paraId="09AB27F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w:t>
            </w:r>
          </w:p>
        </w:tc>
        <w:tc>
          <w:tcPr>
            <w:tcW w:w="2087" w:type="dxa"/>
            <w:vAlign w:val="center"/>
          </w:tcPr>
          <w:p w14:paraId="0F5596AB">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工期</w:t>
            </w:r>
            <w:r>
              <w:rPr>
                <w:rFonts w:hint="eastAsia" w:ascii="宋体" w:hAnsi="宋体" w:eastAsia="宋体" w:cs="宋体"/>
                <w:color w:val="000000" w:themeColor="text1"/>
                <w:szCs w:val="24"/>
                <w:highlight w:val="none"/>
                <w:lang w:eastAsia="zh-CN"/>
                <w14:textFill>
                  <w14:solidFill>
                    <w14:schemeClr w14:val="tx1"/>
                  </w14:solidFill>
                </w14:textFill>
              </w:rPr>
              <w:t>、</w:t>
            </w:r>
            <w:r>
              <w:rPr>
                <w:rFonts w:hint="eastAsia" w:ascii="宋体" w:hAnsi="宋体" w:eastAsia="宋体" w:cs="宋体"/>
                <w:color w:val="000000" w:themeColor="text1"/>
                <w:szCs w:val="24"/>
                <w:highlight w:val="none"/>
                <w:lang w:val="en-US" w:eastAsia="zh-CN"/>
                <w14:textFill>
                  <w14:solidFill>
                    <w14:schemeClr w14:val="tx1"/>
                  </w14:solidFill>
                </w14:textFill>
              </w:rPr>
              <w:t>质量及地点</w:t>
            </w:r>
          </w:p>
        </w:tc>
        <w:tc>
          <w:tcPr>
            <w:tcW w:w="6541" w:type="dxa"/>
            <w:vAlign w:val="center"/>
          </w:tcPr>
          <w:p w14:paraId="24368F79">
            <w:pPr>
              <w:spacing w:line="500" w:lineRule="exact"/>
              <w:rPr>
                <w:rFonts w:hint="eastAsia" w:ascii="宋体" w:hAnsi="宋体" w:eastAsia="宋体" w:cs="宋体"/>
                <w:szCs w:val="24"/>
                <w:highlight w:val="none"/>
              </w:rPr>
            </w:pPr>
            <w:r>
              <w:rPr>
                <w:rFonts w:hint="eastAsia" w:ascii="宋体" w:hAnsi="宋体" w:eastAsia="宋体" w:cs="宋体"/>
                <w:color w:val="000000" w:themeColor="text1"/>
                <w:szCs w:val="24"/>
                <w:highlight w:val="none"/>
                <w14:textFill>
                  <w14:solidFill>
                    <w14:schemeClr w14:val="tx1"/>
                  </w14:solidFill>
                </w14:textFill>
              </w:rPr>
              <w:t>工期：</w:t>
            </w:r>
            <w:r>
              <w:rPr>
                <w:rFonts w:hint="eastAsia" w:ascii="宋体" w:hAnsi="宋体" w:eastAsia="宋体" w:cs="宋体"/>
                <w:szCs w:val="24"/>
                <w:highlight w:val="none"/>
                <w:lang w:val="en-US" w:eastAsia="zh-CN"/>
              </w:rPr>
              <w:t>90日历天</w:t>
            </w:r>
          </w:p>
          <w:p w14:paraId="292ADDDB">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rPr>
              <w:t>质量：合格</w:t>
            </w:r>
          </w:p>
          <w:p w14:paraId="2622933F">
            <w:pPr>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szCs w:val="24"/>
                <w:highlight w:val="none"/>
                <w:lang w:val="en-US" w:eastAsia="zh-CN"/>
              </w:rPr>
              <w:t>地  点：位于千河右岸，工程地点位于千阳县水沟镇柿沟村段。</w:t>
            </w:r>
          </w:p>
        </w:tc>
      </w:tr>
      <w:tr w14:paraId="0045A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2633B0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w:t>
            </w:r>
          </w:p>
        </w:tc>
        <w:tc>
          <w:tcPr>
            <w:tcW w:w="2087" w:type="dxa"/>
            <w:vAlign w:val="center"/>
          </w:tcPr>
          <w:p w14:paraId="6236C1C8">
            <w:pPr>
              <w:spacing w:line="500" w:lineRule="exact"/>
              <w:jc w:val="center"/>
              <w:rPr>
                <w:rFonts w:hint="eastAsia" w:ascii="宋体" w:hAnsi="宋体" w:eastAsia="宋体" w:cs="宋体"/>
                <w:color w:val="000000" w:themeColor="text1"/>
                <w:szCs w:val="24"/>
                <w:u w:val="wavyHeavy" w:color="5B9BD5" w:themeColor="accen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竞争性磋商文件获取</w:t>
            </w:r>
          </w:p>
        </w:tc>
        <w:tc>
          <w:tcPr>
            <w:tcW w:w="6541" w:type="dxa"/>
            <w:vAlign w:val="center"/>
          </w:tcPr>
          <w:p w14:paraId="465AADC6">
            <w:pPr>
              <w:pStyle w:val="13"/>
              <w:spacing w:line="500" w:lineRule="exact"/>
              <w:rPr>
                <w:rFonts w:hint="eastAsia" w:ascii="宋体" w:hAnsi="宋体" w:eastAsia="宋体" w:cs="宋体"/>
                <w:szCs w:val="24"/>
              </w:rPr>
            </w:pPr>
            <w:r>
              <w:rPr>
                <w:rFonts w:hint="eastAsia" w:ascii="宋体" w:hAnsi="宋体" w:eastAsia="宋体" w:cs="宋体"/>
                <w:szCs w:val="24"/>
              </w:rPr>
              <w:t>获取时间：</w:t>
            </w:r>
            <w:r>
              <w:rPr>
                <w:rFonts w:hint="eastAsia" w:ascii="宋体" w:hAnsi="宋体" w:eastAsia="宋体" w:cs="宋体"/>
                <w:szCs w:val="24"/>
                <w:highlight w:val="none"/>
                <w:lang w:eastAsia="zh-CN"/>
              </w:rPr>
              <w:t>2026年04月03日至2026年04月10日</w:t>
            </w:r>
            <w:r>
              <w:rPr>
                <w:rFonts w:hint="eastAsia" w:ascii="宋体" w:hAnsi="宋体" w:eastAsia="宋体" w:cs="宋体"/>
                <w:szCs w:val="24"/>
                <w:highlight w:val="none"/>
              </w:rPr>
              <w:t>（</w:t>
            </w:r>
            <w:r>
              <w:rPr>
                <w:rFonts w:hint="eastAsia" w:ascii="宋体" w:hAnsi="宋体" w:eastAsia="宋体" w:cs="宋体"/>
                <w:szCs w:val="24"/>
              </w:rPr>
              <w:t>北京时间,法定节假日除外）</w:t>
            </w:r>
          </w:p>
          <w:p w14:paraId="58F68F03">
            <w:pPr>
              <w:pStyle w:val="13"/>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获取方式：</w:t>
            </w:r>
            <w:r>
              <w:rPr>
                <w:rFonts w:hint="eastAsia" w:ascii="宋体" w:hAnsi="宋体" w:eastAsia="宋体" w:cs="宋体"/>
                <w:color w:val="auto"/>
                <w:szCs w:val="24"/>
              </w:rPr>
              <w:t>供应商可登录全国公共资源交易平台-陕西省公共资源交易平台（陕西省·宝鸡市）下载电子竞争性磋商文件，逾期未办理的，视为自动放弃。</w:t>
            </w:r>
          </w:p>
        </w:tc>
      </w:tr>
      <w:tr w14:paraId="2EF6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09" w:type="dxa"/>
            <w:vAlign w:val="center"/>
          </w:tcPr>
          <w:p w14:paraId="6E98A63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14</w:t>
            </w:r>
          </w:p>
        </w:tc>
        <w:tc>
          <w:tcPr>
            <w:tcW w:w="2087" w:type="dxa"/>
            <w:vAlign w:val="center"/>
          </w:tcPr>
          <w:p w14:paraId="471D3215">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联合体投标</w:t>
            </w:r>
          </w:p>
        </w:tc>
        <w:tc>
          <w:tcPr>
            <w:tcW w:w="6541" w:type="dxa"/>
            <w:vAlign w:val="center"/>
          </w:tcPr>
          <w:p w14:paraId="02046712">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不接受</w:t>
            </w:r>
          </w:p>
        </w:tc>
      </w:tr>
      <w:tr w14:paraId="6B746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709" w:type="dxa"/>
            <w:vAlign w:val="center"/>
          </w:tcPr>
          <w:p w14:paraId="3D25CD23">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15</w:t>
            </w:r>
          </w:p>
        </w:tc>
        <w:tc>
          <w:tcPr>
            <w:tcW w:w="2087" w:type="dxa"/>
            <w:vAlign w:val="center"/>
          </w:tcPr>
          <w:p w14:paraId="4BCC88F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现场勘查</w:t>
            </w:r>
          </w:p>
        </w:tc>
        <w:tc>
          <w:tcPr>
            <w:tcW w:w="6541" w:type="dxa"/>
            <w:vAlign w:val="center"/>
          </w:tcPr>
          <w:p w14:paraId="7946D597">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不组织。</w:t>
            </w:r>
          </w:p>
        </w:tc>
      </w:tr>
      <w:tr w14:paraId="1593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89B07B3">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16</w:t>
            </w:r>
          </w:p>
        </w:tc>
        <w:tc>
          <w:tcPr>
            <w:tcW w:w="2087" w:type="dxa"/>
            <w:vAlign w:val="center"/>
          </w:tcPr>
          <w:p w14:paraId="4E2CAE1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供应商对竞争性磋商文件提出质疑的时间</w:t>
            </w:r>
          </w:p>
        </w:tc>
        <w:tc>
          <w:tcPr>
            <w:tcW w:w="6541" w:type="dxa"/>
            <w:vAlign w:val="center"/>
          </w:tcPr>
          <w:p w14:paraId="0E9DBCC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供应商认为竞争性磋商文件使自己的权益受到损害的，在收到竞争性磋商文件之日起七个工作日内以书面形式向采购代理机构提出质疑，逾期提出的无效，因此带来的一切不利后果由供应商自负。</w:t>
            </w:r>
          </w:p>
        </w:tc>
      </w:tr>
      <w:tr w14:paraId="1599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98E4B02">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17</w:t>
            </w:r>
          </w:p>
        </w:tc>
        <w:tc>
          <w:tcPr>
            <w:tcW w:w="2087" w:type="dxa"/>
            <w:vAlign w:val="center"/>
          </w:tcPr>
          <w:p w14:paraId="02FC50B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构成竞争性磋商文件的其他文件</w:t>
            </w:r>
          </w:p>
        </w:tc>
        <w:tc>
          <w:tcPr>
            <w:tcW w:w="6541" w:type="dxa"/>
            <w:vAlign w:val="center"/>
          </w:tcPr>
          <w:p w14:paraId="00C76CC6">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竞争性磋商文件的澄清、修改书及有关补充通知为竞争性磋商文件的有效组成部分。</w:t>
            </w:r>
          </w:p>
        </w:tc>
      </w:tr>
      <w:tr w14:paraId="71CD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709" w:type="dxa"/>
            <w:vAlign w:val="center"/>
          </w:tcPr>
          <w:p w14:paraId="5B1671E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18</w:t>
            </w:r>
          </w:p>
        </w:tc>
        <w:tc>
          <w:tcPr>
            <w:tcW w:w="2087" w:type="dxa"/>
            <w:vAlign w:val="center"/>
          </w:tcPr>
          <w:p w14:paraId="100D16B8">
            <w:pPr>
              <w:pStyle w:val="57"/>
              <w:spacing w:line="50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响应文件提交截止时间、开标时间和地点</w:t>
            </w:r>
          </w:p>
        </w:tc>
        <w:tc>
          <w:tcPr>
            <w:tcW w:w="6541" w:type="dxa"/>
            <w:vAlign w:val="center"/>
          </w:tcPr>
          <w:p w14:paraId="1FFE46E6">
            <w:pPr>
              <w:pStyle w:val="57"/>
              <w:spacing w:line="500" w:lineRule="exact"/>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1、响应文件提交截止时</w:t>
            </w:r>
            <w:r>
              <w:rPr>
                <w:rFonts w:hint="eastAsia" w:ascii="宋体" w:hAnsi="宋体" w:eastAsia="宋体" w:cs="宋体"/>
                <w:sz w:val="24"/>
                <w:szCs w:val="24"/>
                <w:highlight w:val="none"/>
              </w:rPr>
              <w:t>间：</w:t>
            </w:r>
            <w:r>
              <w:rPr>
                <w:rFonts w:hint="eastAsia" w:ascii="宋体" w:hAnsi="宋体" w:eastAsia="宋体" w:cs="宋体"/>
                <w:sz w:val="24"/>
                <w:szCs w:val="24"/>
                <w:highlight w:val="none"/>
                <w:lang w:eastAsia="zh-CN"/>
              </w:rPr>
              <w:t>2026年04月15日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0前</w:t>
            </w:r>
          </w:p>
          <w:p w14:paraId="06BD9DE5">
            <w:pPr>
              <w:pStyle w:val="57"/>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2、开标时间：</w:t>
            </w:r>
            <w:r>
              <w:rPr>
                <w:rFonts w:hint="eastAsia" w:ascii="宋体" w:hAnsi="宋体" w:eastAsia="宋体" w:cs="宋体"/>
                <w:sz w:val="24"/>
                <w:szCs w:val="24"/>
                <w:highlight w:val="none"/>
                <w:lang w:eastAsia="zh-CN"/>
              </w:rPr>
              <w:t>2026年04月15日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0整</w:t>
            </w:r>
          </w:p>
          <w:p w14:paraId="23C09044">
            <w:pPr>
              <w:pStyle w:val="57"/>
              <w:spacing w:line="5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3、开标地点：</w:t>
            </w:r>
            <w:r>
              <w:rPr>
                <w:rFonts w:hint="eastAsia" w:ascii="宋体" w:hAnsi="宋体" w:eastAsia="宋体" w:cs="宋体"/>
                <w:sz w:val="24"/>
                <w:szCs w:val="24"/>
                <w:highlight w:val="none"/>
              </w:rPr>
              <w:t>全国公共资源交易平台（陕西省.宝鸡市）不见面开标大厅系统</w:t>
            </w:r>
          </w:p>
        </w:tc>
      </w:tr>
      <w:tr w14:paraId="1D59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709" w:type="dxa"/>
            <w:vAlign w:val="center"/>
          </w:tcPr>
          <w:p w14:paraId="44BF901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19</w:t>
            </w:r>
          </w:p>
        </w:tc>
        <w:tc>
          <w:tcPr>
            <w:tcW w:w="2087" w:type="dxa"/>
            <w:vAlign w:val="center"/>
          </w:tcPr>
          <w:p w14:paraId="7047858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投标有效期</w:t>
            </w:r>
          </w:p>
        </w:tc>
        <w:tc>
          <w:tcPr>
            <w:tcW w:w="6541" w:type="dxa"/>
            <w:vAlign w:val="center"/>
          </w:tcPr>
          <w:p w14:paraId="3E47FB50">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自提交响应文件的截止之日起90日历天</w:t>
            </w:r>
          </w:p>
        </w:tc>
      </w:tr>
      <w:tr w14:paraId="45C1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85EE50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20</w:t>
            </w:r>
          </w:p>
        </w:tc>
        <w:tc>
          <w:tcPr>
            <w:tcW w:w="2087" w:type="dxa"/>
            <w:vAlign w:val="center"/>
          </w:tcPr>
          <w:p w14:paraId="2D6244C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磋商保证金</w:t>
            </w:r>
          </w:p>
        </w:tc>
        <w:tc>
          <w:tcPr>
            <w:tcW w:w="6541" w:type="dxa"/>
            <w:vAlign w:val="center"/>
          </w:tcPr>
          <w:p w14:paraId="2B95D2D2">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磋商保证金的形式：转账支票、电汇、银行汇票、保函</w:t>
            </w:r>
            <w:r>
              <w:rPr>
                <w:rFonts w:hint="eastAsia" w:ascii="宋体" w:hAnsi="宋体" w:eastAsia="宋体" w:cs="宋体"/>
                <w:color w:val="000000" w:themeColor="text1"/>
                <w:szCs w:val="24"/>
                <w:lang w:eastAsia="zh-CN"/>
                <w14:textFill>
                  <w14:solidFill>
                    <w14:schemeClr w14:val="tx1"/>
                  </w14:solidFill>
                </w14:textFill>
              </w:rPr>
              <w:t>、交易保证金信用承诺书</w:t>
            </w:r>
            <w:r>
              <w:rPr>
                <w:rFonts w:hint="eastAsia" w:ascii="宋体" w:hAnsi="宋体" w:eastAsia="宋体" w:cs="宋体"/>
                <w:color w:val="000000" w:themeColor="text1"/>
                <w:szCs w:val="24"/>
                <w14:textFill>
                  <w14:solidFill>
                    <w14:schemeClr w14:val="tx1"/>
                  </w14:solidFill>
                </w14:textFill>
              </w:rPr>
              <w:t>的任何一种。</w:t>
            </w:r>
          </w:p>
          <w:p w14:paraId="3221F7E9">
            <w:pPr>
              <w:spacing w:line="500" w:lineRule="exact"/>
              <w:rPr>
                <w:rFonts w:ascii="宋体" w:hAnsi="宋体" w:eastAsia="宋体" w:cs="宋体"/>
                <w:highlight w:val="green"/>
              </w:rPr>
            </w:pPr>
            <w:r>
              <w:rPr>
                <w:rFonts w:hint="eastAsia" w:ascii="宋体" w:hAnsi="宋体" w:eastAsia="宋体" w:cs="宋体"/>
                <w:highlight w:val="none"/>
                <w:lang w:val="en-US" w:eastAsia="zh-CN"/>
              </w:rPr>
              <w:t>1、</w:t>
            </w:r>
            <w:r>
              <w:rPr>
                <w:rFonts w:hint="eastAsia" w:ascii="宋体" w:hAnsi="宋体" w:eastAsia="宋体" w:cs="宋体"/>
                <w:highlight w:val="none"/>
              </w:rPr>
              <w:t>磋商保证金金额：</w:t>
            </w:r>
            <w:r>
              <w:rPr>
                <w:rFonts w:hint="eastAsia" w:ascii="宋体" w:hAnsi="宋体" w:eastAsia="宋体" w:cs="宋体"/>
                <w:highlight w:val="none"/>
                <w:lang w:val="en-US" w:eastAsia="zh-CN"/>
              </w:rPr>
              <w:t>5000.00</w:t>
            </w:r>
            <w:r>
              <w:rPr>
                <w:rFonts w:hint="eastAsia" w:ascii="宋体" w:hAnsi="宋体" w:eastAsia="宋体" w:cs="宋体"/>
                <w:highlight w:val="none"/>
              </w:rPr>
              <w:t>元（</w:t>
            </w:r>
            <w:r>
              <w:rPr>
                <w:rFonts w:hint="eastAsia" w:ascii="宋体" w:hAnsi="宋体" w:eastAsia="宋体" w:cs="宋体"/>
                <w:highlight w:val="none"/>
                <w:lang w:val="en-US" w:eastAsia="zh-CN"/>
              </w:rPr>
              <w:t>伍仟元整</w:t>
            </w:r>
            <w:r>
              <w:rPr>
                <w:rFonts w:hint="eastAsia" w:ascii="宋体" w:hAnsi="宋体" w:eastAsia="宋体" w:cs="宋体"/>
                <w:highlight w:val="none"/>
              </w:rPr>
              <w:t>）</w:t>
            </w:r>
          </w:p>
          <w:p w14:paraId="7707158C">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2、供应商须按规定时间（响应文件递交截止时间）和方式提交磋商保证金。</w:t>
            </w:r>
          </w:p>
          <w:p w14:paraId="7E5482DA">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除采购人或采购代理机构方面原因外，以转账支付竞争性磋商保证金未能如期到账（基本账户转出），视为未递交竞争性磋商保证金。（不接受以个人名义交纳的保证金，交纳保证金的供应商名称须与参与磋商的供应商名称一致，否则不予退还。）</w:t>
            </w:r>
          </w:p>
          <w:p w14:paraId="59E5A104">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4、采用银行保函递交时间:所投项目开标前2-3个工作日递交至采购代理机构。</w:t>
            </w:r>
          </w:p>
          <w:p w14:paraId="57C39872">
            <w:pPr>
              <w:tabs>
                <w:tab w:val="left" w:pos="7013"/>
              </w:tabs>
              <w:spacing w:line="500" w:lineRule="exact"/>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5、采用保险公司保单(或担保公司保单)递交时间:所投项目开标前1-2个工作日递交至采购代理机构。</w:t>
            </w:r>
          </w:p>
          <w:p w14:paraId="62D70F20">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6、采用交易保证金信用承诺书递交时间:所投项目开标前1-2个工作日递交至采购代理机构。</w:t>
            </w:r>
          </w:p>
        </w:tc>
      </w:tr>
      <w:tr w14:paraId="426CD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709" w:type="dxa"/>
            <w:vAlign w:val="center"/>
          </w:tcPr>
          <w:p w14:paraId="704AE7CA">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p>
        </w:tc>
        <w:tc>
          <w:tcPr>
            <w:tcW w:w="2087" w:type="dxa"/>
            <w:vAlign w:val="center"/>
          </w:tcPr>
          <w:p w14:paraId="0ECBE797">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汇款账户</w:t>
            </w:r>
          </w:p>
        </w:tc>
        <w:tc>
          <w:tcPr>
            <w:tcW w:w="6541" w:type="dxa"/>
            <w:vAlign w:val="center"/>
          </w:tcPr>
          <w:p w14:paraId="09C7E0E6">
            <w:pPr>
              <w:pStyle w:val="10"/>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户    名：宝鸡市公共资源交易中心保证金专户</w:t>
            </w:r>
          </w:p>
          <w:p w14:paraId="2419C14F">
            <w:pPr>
              <w:pStyle w:val="10"/>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开 户 行：长安银行股份有限公司宝鸡分行营业部</w:t>
            </w:r>
          </w:p>
          <w:p w14:paraId="29EB9041">
            <w:pPr>
              <w:pStyle w:val="10"/>
              <w:spacing w:line="500" w:lineRule="exact"/>
              <w:ind w:firstLine="0"/>
              <w:rPr>
                <w:rFonts w:hint="eastAsia" w:ascii="宋体" w:hAnsi="宋体" w:eastAsia="宋体" w:cs="宋体"/>
                <w:snapToGrid w:val="0"/>
                <w:color w:val="000000" w:themeColor="text1"/>
                <w:sz w:val="24"/>
                <w:szCs w:val="24"/>
                <w:highlight w:val="yellow"/>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帐    号</w:t>
            </w:r>
            <w:r>
              <w:rPr>
                <w:rFonts w:hint="eastAsia" w:ascii="宋体" w:hAnsi="宋体" w:eastAsia="宋体" w:cs="宋体"/>
                <w:snapToGrid w:val="0"/>
                <w:color w:val="000000" w:themeColor="text1"/>
                <w:sz w:val="24"/>
                <w:szCs w:val="24"/>
                <w:highlight w:val="none"/>
                <w14:textFill>
                  <w14:solidFill>
                    <w14:schemeClr w14:val="tx1"/>
                  </w14:solidFill>
                </w14:textFill>
              </w:rPr>
              <w:t>：80602000142101980617354</w:t>
            </w:r>
          </w:p>
          <w:p w14:paraId="1F43035F">
            <w:pPr>
              <w:pStyle w:val="10"/>
              <w:spacing w:line="500" w:lineRule="exact"/>
              <w:ind w:firstLine="0"/>
              <w:rPr>
                <w:rFonts w:hint="eastAsia" w:ascii="宋体" w:hAnsi="宋体" w:eastAsia="宋体" w:cs="宋体"/>
                <w:snapToGrid w:val="0"/>
                <w:color w:val="000000" w:themeColor="text1"/>
                <w:sz w:val="24"/>
                <w:szCs w:val="24"/>
                <w14:textFill>
                  <w14:solidFill>
                    <w14:schemeClr w14:val="tx1"/>
                  </w14:solidFill>
                </w14:textFill>
              </w:rPr>
            </w:pPr>
            <w:r>
              <w:rPr>
                <w:rFonts w:hint="eastAsia" w:ascii="宋体" w:hAnsi="宋体" w:eastAsia="宋体" w:cs="宋体"/>
                <w:snapToGrid w:val="0"/>
                <w:color w:val="000000" w:themeColor="text1"/>
                <w:sz w:val="24"/>
                <w:szCs w:val="24"/>
                <w14:textFill>
                  <w14:solidFill>
                    <w14:schemeClr w14:val="tx1"/>
                  </w14:solidFill>
                </w14:textFill>
              </w:rPr>
              <w:t>备    注：</w:t>
            </w:r>
            <w:r>
              <w:rPr>
                <w:rFonts w:hint="eastAsia" w:ascii="宋体" w:hAnsi="宋体" w:cs="宋体"/>
                <w:snapToGrid w:val="0"/>
                <w:color w:val="auto"/>
                <w:sz w:val="24"/>
                <w:szCs w:val="24"/>
                <w:highlight w:val="none"/>
                <w:u w:val="single"/>
                <w:lang w:val="en-US" w:eastAsia="zh-CN"/>
              </w:rPr>
              <w:t>该项目子账户后5位数字</w:t>
            </w:r>
          </w:p>
          <w:p w14:paraId="10B36AD4">
            <w:pPr>
              <w:pStyle w:val="10"/>
              <w:spacing w:line="500" w:lineRule="exact"/>
              <w:ind w:firstLine="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napToGrid w:val="0"/>
                <w:color w:val="000000" w:themeColor="text1"/>
                <w:sz w:val="24"/>
                <w:szCs w:val="24"/>
                <w14:textFill>
                  <w14:solidFill>
                    <w14:schemeClr w14:val="tx1"/>
                  </w14:solidFill>
                </w14:textFill>
              </w:rPr>
              <w:t>注: 参与磋商的供应商未交纳、或者未</w:t>
            </w:r>
            <w:r>
              <w:rPr>
                <w:rFonts w:hint="eastAsia" w:ascii="宋体" w:hAnsi="宋体" w:eastAsia="宋体" w:cs="宋体"/>
                <w:b/>
                <w:bCs/>
                <w:color w:val="000000" w:themeColor="text1"/>
                <w:sz w:val="24"/>
                <w:szCs w:val="24"/>
                <w14:textFill>
                  <w14:solidFill>
                    <w14:schemeClr w14:val="tx1"/>
                  </w14:solidFill>
                </w14:textFill>
              </w:rPr>
              <w:t>足</w:t>
            </w:r>
            <w:r>
              <w:rPr>
                <w:rFonts w:hint="eastAsia" w:ascii="宋体" w:hAnsi="宋体" w:eastAsia="宋体" w:cs="宋体"/>
                <w:b/>
                <w:color w:val="000000" w:themeColor="text1"/>
                <w:sz w:val="24"/>
                <w:szCs w:val="24"/>
                <w14:textFill>
                  <w14:solidFill>
                    <w14:schemeClr w14:val="tx1"/>
                  </w14:solidFill>
                </w14:textFill>
              </w:rPr>
              <w:t>额交纳、或者未按规定时限交纳保证金的，将被视为自动放弃参与投标的权利。</w:t>
            </w:r>
          </w:p>
        </w:tc>
      </w:tr>
      <w:tr w14:paraId="07DF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709" w:type="dxa"/>
            <w:vAlign w:val="center"/>
          </w:tcPr>
          <w:p w14:paraId="40ED6746">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w:t>
            </w:r>
          </w:p>
        </w:tc>
        <w:tc>
          <w:tcPr>
            <w:tcW w:w="2087" w:type="dxa"/>
            <w:vAlign w:val="center"/>
          </w:tcPr>
          <w:p w14:paraId="55AD140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备选投标方案</w:t>
            </w:r>
          </w:p>
          <w:p w14:paraId="29EED7C4">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和报价</w:t>
            </w:r>
          </w:p>
        </w:tc>
        <w:tc>
          <w:tcPr>
            <w:tcW w:w="6541" w:type="dxa"/>
            <w:vAlign w:val="center"/>
          </w:tcPr>
          <w:p w14:paraId="5C963BED">
            <w:pPr>
              <w:tabs>
                <w:tab w:val="left" w:pos="7013"/>
              </w:tabs>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不接受备选投标方案和多个报价。</w:t>
            </w:r>
          </w:p>
        </w:tc>
      </w:tr>
      <w:tr w14:paraId="135EB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709" w:type="dxa"/>
            <w:vAlign w:val="center"/>
          </w:tcPr>
          <w:p w14:paraId="27036BF7">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w:t>
            </w:r>
          </w:p>
        </w:tc>
        <w:tc>
          <w:tcPr>
            <w:tcW w:w="2087" w:type="dxa"/>
            <w:vAlign w:val="center"/>
          </w:tcPr>
          <w:p w14:paraId="36762CBF">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盖章签字</w:t>
            </w:r>
          </w:p>
        </w:tc>
        <w:tc>
          <w:tcPr>
            <w:tcW w:w="6541" w:type="dxa"/>
            <w:vAlign w:val="center"/>
          </w:tcPr>
          <w:p w14:paraId="6415C08F">
            <w:pPr>
              <w:tabs>
                <w:tab w:val="left" w:pos="7013"/>
              </w:tabs>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供应商必须按照竞争性磋商文件的要求</w:t>
            </w:r>
            <w:bookmarkStart w:id="15" w:name="OLE_LINK5"/>
            <w:r>
              <w:rPr>
                <w:rFonts w:hint="eastAsia" w:ascii="宋体" w:hAnsi="宋体" w:eastAsia="宋体" w:cs="宋体"/>
                <w:color w:val="000000" w:themeColor="text1"/>
                <w:szCs w:val="24"/>
                <w:highlight w:val="none"/>
                <w14:textFill>
                  <w14:solidFill>
                    <w14:schemeClr w14:val="tx1"/>
                  </w14:solidFill>
                </w14:textFill>
              </w:rPr>
              <w:t>由法定代表人或被授权人签字（或盖章），并加盖供应商公章。</w:t>
            </w:r>
            <w:bookmarkEnd w:id="15"/>
            <w:r>
              <w:rPr>
                <w:rFonts w:hint="eastAsia" w:ascii="宋体" w:hAnsi="宋体" w:cs="宋体"/>
                <w:sz w:val="24"/>
                <w:szCs w:val="24"/>
                <w:highlight w:val="none"/>
              </w:rPr>
              <w:t>已标价的工程量清单应逐页加盖造价编制人员执业印章（造价编制人员可为：1、水利造价工程师执业印章；2、陕西水利造价编制或编审专用章；3、水利专业的一级或二级造价工程师执业印章（三种印章可选其一）</w:t>
            </w:r>
          </w:p>
        </w:tc>
      </w:tr>
      <w:tr w14:paraId="50363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709" w:type="dxa"/>
            <w:vAlign w:val="center"/>
          </w:tcPr>
          <w:p w14:paraId="1F7DDEEC">
            <w:pPr>
              <w:spacing w:line="500" w:lineRule="exact"/>
              <w:jc w:val="center"/>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lang w:val="en-US" w:eastAsia="zh-CN"/>
                <w14:textFill>
                  <w14:solidFill>
                    <w14:schemeClr w14:val="tx1"/>
                  </w14:solidFill>
                </w14:textFill>
              </w:rPr>
              <w:t>24</w:t>
            </w:r>
          </w:p>
        </w:tc>
        <w:tc>
          <w:tcPr>
            <w:tcW w:w="2087" w:type="dxa"/>
            <w:vAlign w:val="center"/>
          </w:tcPr>
          <w:p w14:paraId="3F4F090D">
            <w:pPr>
              <w:spacing w:line="500" w:lineRule="exact"/>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磋商响应文件</w:t>
            </w:r>
          </w:p>
          <w:p w14:paraId="5BDC1828">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auto"/>
                <w:szCs w:val="24"/>
                <w:lang w:val="en-US" w:eastAsia="zh-CN"/>
              </w:rPr>
              <w:t>份数</w:t>
            </w:r>
          </w:p>
        </w:tc>
        <w:tc>
          <w:tcPr>
            <w:tcW w:w="6541" w:type="dxa"/>
            <w:vAlign w:val="center"/>
          </w:tcPr>
          <w:p w14:paraId="62BA266F">
            <w:pPr>
              <w:pStyle w:val="13"/>
              <w:spacing w:line="500" w:lineRule="exact"/>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en-US" w:eastAsia="zh-CN"/>
              </w:rPr>
              <w:t>1、*.SXSZF格式电子版1份，在规定时间内上传至宝鸡市公共资源交易中心平台；</w:t>
            </w:r>
          </w:p>
          <w:p w14:paraId="5D6696FC">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auto"/>
                <w:szCs w:val="24"/>
                <w:highlight w:val="none"/>
                <w:lang w:val="en-US" w:eastAsia="zh-CN"/>
              </w:rPr>
              <w:t>2、成交供应商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）。提交的纸质响应文件与网上上传的电子响应文件内容</w:t>
            </w:r>
            <w:r>
              <w:rPr>
                <w:rFonts w:hint="eastAsia" w:ascii="宋体" w:hAnsi="宋体" w:eastAsia="宋体" w:cs="宋体"/>
                <w:color w:val="auto"/>
                <w:szCs w:val="24"/>
                <w:highlight w:val="none"/>
                <w:lang w:val="en-US" w:eastAsia="zh-CN"/>
              </w:rPr>
              <w:t>应</w:t>
            </w:r>
            <w:r>
              <w:rPr>
                <w:rFonts w:hint="eastAsia" w:ascii="宋体" w:hAnsi="宋体" w:eastAsia="宋体" w:cs="宋体"/>
                <w:color w:val="auto"/>
                <w:szCs w:val="24"/>
                <w:highlight w:val="none"/>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highlight w:val="none"/>
                <w:lang w:val="en-US" w:eastAsia="zh-CN"/>
              </w:rPr>
              <w:t>双面</w:t>
            </w:r>
            <w:r>
              <w:rPr>
                <w:rFonts w:hint="eastAsia" w:ascii="宋体" w:hAnsi="宋体" w:eastAsia="宋体" w:cs="宋体"/>
                <w:b/>
                <w:bCs/>
                <w:color w:val="auto"/>
                <w:szCs w:val="24"/>
                <w:highlight w:val="none"/>
              </w:rPr>
              <w:t>印刷</w:t>
            </w:r>
            <w:r>
              <w:rPr>
                <w:rFonts w:hint="eastAsia" w:ascii="宋体" w:hAnsi="宋体" w:eastAsia="宋体" w:cs="宋体"/>
                <w:b/>
                <w:bCs/>
                <w:color w:val="auto"/>
                <w:szCs w:val="24"/>
                <w:highlight w:val="none"/>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highlight w:val="none"/>
              </w:rPr>
              <w:t>，分别各自胶装成册，</w:t>
            </w:r>
            <w:r>
              <w:rPr>
                <w:rFonts w:hint="eastAsia" w:ascii="宋体" w:hAnsi="宋体" w:eastAsia="宋体" w:cs="宋体"/>
                <w:b/>
                <w:bCs/>
                <w:color w:val="auto"/>
                <w:szCs w:val="24"/>
                <w:highlight w:val="none"/>
              </w:rPr>
              <w:t>并编制目录</w:t>
            </w:r>
            <w:r>
              <w:rPr>
                <w:rFonts w:hint="eastAsia" w:ascii="宋体" w:hAnsi="宋体" w:eastAsia="宋体" w:cs="宋体"/>
                <w:b/>
                <w:bCs/>
                <w:color w:val="auto"/>
                <w:szCs w:val="24"/>
                <w:highlight w:val="none"/>
                <w:lang w:val="en-US" w:eastAsia="zh-CN"/>
              </w:rPr>
              <w:t>及连续</w:t>
            </w:r>
            <w:r>
              <w:rPr>
                <w:rFonts w:hint="eastAsia" w:ascii="宋体" w:hAnsi="宋体" w:eastAsia="宋体" w:cs="宋体"/>
                <w:b/>
                <w:bCs/>
                <w:color w:val="auto"/>
                <w:szCs w:val="24"/>
                <w:highlight w:val="none"/>
              </w:rPr>
              <w:t>页码。</w:t>
            </w:r>
          </w:p>
        </w:tc>
      </w:tr>
      <w:tr w14:paraId="618A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09" w:type="dxa"/>
            <w:vAlign w:val="center"/>
          </w:tcPr>
          <w:p w14:paraId="1E50832F">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5</w:t>
            </w:r>
          </w:p>
        </w:tc>
        <w:tc>
          <w:tcPr>
            <w:tcW w:w="2087" w:type="dxa"/>
            <w:vAlign w:val="center"/>
          </w:tcPr>
          <w:p w14:paraId="5443DC4E">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评标办法及标准</w:t>
            </w:r>
          </w:p>
        </w:tc>
        <w:tc>
          <w:tcPr>
            <w:tcW w:w="6541" w:type="dxa"/>
            <w:vAlign w:val="center"/>
          </w:tcPr>
          <w:p w14:paraId="290DD3DC">
            <w:pPr>
              <w:pStyle w:val="57"/>
              <w:spacing w:line="5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详见竞争性磋商文件</w:t>
            </w:r>
          </w:p>
        </w:tc>
      </w:tr>
      <w:tr w14:paraId="0BB2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709" w:type="dxa"/>
            <w:vAlign w:val="center"/>
          </w:tcPr>
          <w:p w14:paraId="3B3D7D17">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6</w:t>
            </w:r>
          </w:p>
        </w:tc>
        <w:tc>
          <w:tcPr>
            <w:tcW w:w="2087" w:type="dxa"/>
            <w:vAlign w:val="center"/>
          </w:tcPr>
          <w:p w14:paraId="77DF2671">
            <w:pPr>
              <w:spacing w:line="500" w:lineRule="exact"/>
              <w:jc w:val="cente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其它事项</w:t>
            </w:r>
          </w:p>
        </w:tc>
        <w:tc>
          <w:tcPr>
            <w:tcW w:w="6541" w:type="dxa"/>
            <w:vAlign w:val="center"/>
          </w:tcPr>
          <w:p w14:paraId="5325DA9B">
            <w:pPr>
              <w:spacing w:line="500" w:lineRule="exact"/>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成交供应商与采购人在成交通知书发出</w:t>
            </w:r>
            <w:r>
              <w:rPr>
                <w:rFonts w:hint="eastAsia" w:ascii="宋体" w:hAnsi="宋体" w:eastAsia="宋体" w:cs="宋体"/>
                <w:color w:val="000000" w:themeColor="text1"/>
                <w:szCs w:val="24"/>
                <w:lang w:val="en-US" w:eastAsia="zh-CN"/>
                <w14:textFill>
                  <w14:solidFill>
                    <w14:schemeClr w14:val="tx1"/>
                  </w14:solidFill>
                </w14:textFill>
              </w:rPr>
              <w:t>25</w:t>
            </w:r>
            <w:r>
              <w:rPr>
                <w:rFonts w:hint="eastAsia" w:ascii="宋体" w:hAnsi="宋体" w:eastAsia="宋体" w:cs="宋体"/>
                <w:color w:val="000000" w:themeColor="text1"/>
                <w:szCs w:val="24"/>
                <w14:textFill>
                  <w14:solidFill>
                    <w14:schemeClr w14:val="tx1"/>
                  </w14:solidFill>
                </w14:textFill>
              </w:rPr>
              <w:t>天内签订合同，不及时签订视为自动放弃。非经采购人同意，本项目不允许成交后另行转包或者分包。成交</w:t>
            </w:r>
            <w:r>
              <w:rPr>
                <w:rFonts w:hint="eastAsia" w:ascii="宋体" w:hAnsi="宋体" w:eastAsia="宋体" w:cs="宋体"/>
                <w:color w:val="000000" w:themeColor="text1"/>
                <w:kern w:val="0"/>
                <w:szCs w:val="24"/>
                <w14:textFill>
                  <w14:solidFill>
                    <w14:schemeClr w14:val="tx1"/>
                  </w14:solidFill>
                </w14:textFill>
              </w:rPr>
              <w:t>人无正当理由不得放弃</w:t>
            </w:r>
            <w:r>
              <w:rPr>
                <w:rFonts w:hint="eastAsia" w:ascii="宋体" w:hAnsi="宋体" w:eastAsia="宋体" w:cs="宋体"/>
                <w:color w:val="000000" w:themeColor="text1"/>
                <w:szCs w:val="24"/>
                <w14:textFill>
                  <w14:solidFill>
                    <w14:schemeClr w14:val="tx1"/>
                  </w14:solidFill>
                </w14:textFill>
              </w:rPr>
              <w:t>成交</w:t>
            </w:r>
            <w:r>
              <w:rPr>
                <w:rFonts w:hint="eastAsia" w:ascii="宋体" w:hAnsi="宋体" w:eastAsia="宋体" w:cs="宋体"/>
                <w:color w:val="000000" w:themeColor="text1"/>
                <w:kern w:val="0"/>
                <w:szCs w:val="24"/>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因自身原因拒绝签订政府采购合同的或者未按合同约定进行履约的，成交人不得参加对该项目重新开展的采购活动。</w:t>
            </w:r>
          </w:p>
        </w:tc>
      </w:tr>
      <w:tr w14:paraId="2BA4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709" w:type="dxa"/>
            <w:vAlign w:val="center"/>
          </w:tcPr>
          <w:p w14:paraId="2B922849">
            <w:pPr>
              <w:spacing w:line="500" w:lineRule="exact"/>
              <w:jc w:val="center"/>
              <w:rPr>
                <w:rFonts w:hint="eastAsia" w:ascii="宋体" w:hAnsi="宋体" w:eastAsia="宋体" w:cs="宋体"/>
                <w:color w:val="000000" w:themeColor="text1"/>
                <w:szCs w:val="24"/>
                <w:lang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szCs w:val="24"/>
                <w:lang w:val="en-US" w:eastAsia="zh-CN"/>
                <w14:textFill>
                  <w14:solidFill>
                    <w14:schemeClr w14:val="tx1"/>
                  </w14:solidFill>
                </w14:textFill>
              </w:rPr>
              <w:t>7</w:t>
            </w:r>
          </w:p>
        </w:tc>
        <w:tc>
          <w:tcPr>
            <w:tcW w:w="2087" w:type="dxa"/>
            <w:vAlign w:val="center"/>
          </w:tcPr>
          <w:p w14:paraId="6AC32DDA">
            <w:pPr>
              <w:spacing w:line="500" w:lineRule="exact"/>
              <w:jc w:val="center"/>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招标代理服务费</w:t>
            </w:r>
          </w:p>
        </w:tc>
        <w:tc>
          <w:tcPr>
            <w:tcW w:w="6541" w:type="dxa"/>
            <w:vAlign w:val="center"/>
          </w:tcPr>
          <w:p w14:paraId="182FFE4E">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1、招标代理服务费由成交单位向采购代理机构支付。</w:t>
            </w:r>
          </w:p>
          <w:p w14:paraId="11CA2273">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招标代理服务费依据《国家计委关于印发招标代理服务收费管理暂行办法的通知》（计价格【2002】1980号）和国家发改委办公厅颁发的《关于招标代理服务收费有关问题的通知》（发改办价格【2003】857号）文件规定标准收取。</w:t>
            </w:r>
          </w:p>
          <w:p w14:paraId="69EA58D3">
            <w:pPr>
              <w:pStyle w:val="13"/>
              <w:spacing w:line="500" w:lineRule="exact"/>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3、此费用各供应商应充分考虑在磋商报价内，采购人不在为此支付任何费用，且必须保证本次项目的服务质量。</w:t>
            </w:r>
          </w:p>
        </w:tc>
      </w:tr>
      <w:tr w14:paraId="04FF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09" w:type="dxa"/>
            <w:vAlign w:val="center"/>
          </w:tcPr>
          <w:p w14:paraId="3E0696E5">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bookmarkStart w:id="16" w:name="_Toc4919"/>
            <w:r>
              <w:rPr>
                <w:rFonts w:hint="eastAsia" w:ascii="宋体" w:hAnsi="宋体" w:eastAsia="宋体" w:cs="宋体"/>
                <w:color w:val="000000" w:themeColor="text1"/>
                <w:szCs w:val="24"/>
                <w:lang w:val="en-US" w:eastAsia="zh-CN"/>
                <w14:textFill>
                  <w14:solidFill>
                    <w14:schemeClr w14:val="tx1"/>
                  </w14:solidFill>
                </w14:textFill>
              </w:rPr>
              <w:t>28</w:t>
            </w:r>
          </w:p>
        </w:tc>
        <w:tc>
          <w:tcPr>
            <w:tcW w:w="2087" w:type="dxa"/>
            <w:vAlign w:val="center"/>
          </w:tcPr>
          <w:p w14:paraId="03EA23E9">
            <w:pPr>
              <w:spacing w:line="500" w:lineRule="exact"/>
              <w:jc w:val="center"/>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磋商小组组成</w:t>
            </w:r>
          </w:p>
        </w:tc>
        <w:tc>
          <w:tcPr>
            <w:tcW w:w="6541" w:type="dxa"/>
            <w:vAlign w:val="center"/>
          </w:tcPr>
          <w:p w14:paraId="6FF8C83A">
            <w:pPr>
              <w:pStyle w:val="79"/>
              <w:spacing w:before="109"/>
              <w:ind w:right="-29"/>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磋商小组共3人，从专家库随机抽取</w:t>
            </w:r>
            <w:r>
              <w:rPr>
                <w:rFonts w:hint="eastAsia"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w:t>
            </w:r>
          </w:p>
        </w:tc>
      </w:tr>
      <w:tr w14:paraId="540B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709" w:type="dxa"/>
            <w:vAlign w:val="center"/>
          </w:tcPr>
          <w:p w14:paraId="54608C8A">
            <w:pPr>
              <w:spacing w:line="500" w:lineRule="exact"/>
              <w:jc w:val="center"/>
              <w:rPr>
                <w:rFonts w:hint="default"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auto"/>
                <w:szCs w:val="24"/>
                <w:lang w:val="en-US" w:eastAsia="zh-CN"/>
              </w:rPr>
              <w:t>29</w:t>
            </w:r>
          </w:p>
        </w:tc>
        <w:tc>
          <w:tcPr>
            <w:tcW w:w="2087" w:type="dxa"/>
            <w:vAlign w:val="center"/>
          </w:tcPr>
          <w:p w14:paraId="6CED00B3">
            <w:pPr>
              <w:spacing w:line="500" w:lineRule="exact"/>
              <w:jc w:val="center"/>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auto"/>
                <w:szCs w:val="24"/>
                <w:highlight w:val="none"/>
                <w:lang w:val="en-US" w:eastAsia="zh-CN"/>
              </w:rPr>
              <w:t>所属行业</w:t>
            </w:r>
          </w:p>
        </w:tc>
        <w:tc>
          <w:tcPr>
            <w:tcW w:w="6541" w:type="dxa"/>
            <w:vAlign w:val="center"/>
          </w:tcPr>
          <w:p w14:paraId="30668693">
            <w:pPr>
              <w:pStyle w:val="13"/>
              <w:spacing w:line="500" w:lineRule="exac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建筑业</w:t>
            </w:r>
          </w:p>
        </w:tc>
      </w:tr>
    </w:tbl>
    <w:p w14:paraId="64CE3C41">
      <w:pPr>
        <w:spacing w:line="360" w:lineRule="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二、项目说明</w:t>
      </w:r>
      <w:bookmarkEnd w:id="16"/>
    </w:p>
    <w:p w14:paraId="646683C4">
      <w:pPr>
        <w:spacing w:line="360" w:lineRule="auto"/>
        <w:ind w:firstLine="57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1、本项目说明详见供应商须知前附表。</w:t>
      </w:r>
      <w:bookmarkStart w:id="17" w:name="_Toc458617732"/>
      <w:bookmarkStart w:id="18" w:name="_Toc458617455"/>
    </w:p>
    <w:p w14:paraId="5D56A727">
      <w:pPr>
        <w:spacing w:line="360" w:lineRule="auto"/>
        <w:ind w:firstLine="57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2、本项目按照《中华人民共和国政府采购法》等有关法律、行政法规和部门规章，通过竞争性磋商方式择优选定中标人。</w:t>
      </w:r>
    </w:p>
    <w:bookmarkEnd w:id="17"/>
    <w:bookmarkEnd w:id="18"/>
    <w:p w14:paraId="119055ED">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19" w:name="_Toc458617456"/>
      <w:bookmarkStart w:id="20" w:name="_Toc15666"/>
      <w:bookmarkStart w:id="21" w:name="_Toc458617733"/>
      <w:r>
        <w:rPr>
          <w:rFonts w:hint="eastAsia" w:ascii="宋体" w:hAnsi="宋体" w:eastAsia="宋体" w:cs="宋体"/>
          <w:color w:val="000000" w:themeColor="text1"/>
          <w:kern w:val="0"/>
          <w:sz w:val="28"/>
          <w:szCs w:val="28"/>
          <w14:textFill>
            <w14:solidFill>
              <w14:schemeClr w14:val="tx1"/>
            </w14:solidFill>
          </w14:textFill>
        </w:rPr>
        <w:t>三、</w:t>
      </w:r>
      <w:bookmarkEnd w:id="19"/>
      <w:bookmarkEnd w:id="20"/>
      <w:bookmarkEnd w:id="21"/>
      <w:r>
        <w:rPr>
          <w:rFonts w:hint="eastAsia" w:ascii="宋体" w:hAnsi="宋体" w:eastAsia="宋体" w:cs="宋体"/>
          <w:color w:val="000000" w:themeColor="text1"/>
          <w:kern w:val="0"/>
          <w:sz w:val="28"/>
          <w:szCs w:val="28"/>
          <w14:textFill>
            <w14:solidFill>
              <w14:schemeClr w14:val="tx1"/>
            </w14:solidFill>
          </w14:textFill>
        </w:rPr>
        <w:t xml:space="preserve"> 竞争性磋商文件</w:t>
      </w:r>
    </w:p>
    <w:p w14:paraId="2DC6E30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1、竞争性磋商文件获取：供应商须经过正常渠道获取竞争性磋商文件，否则将作为无效投标处理。</w:t>
      </w:r>
    </w:p>
    <w:p w14:paraId="4FB9B29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2、竞争性磋商文件的组成：包括目录中所列的前</w:t>
      </w:r>
      <w:r>
        <w:rPr>
          <w:rFonts w:hint="eastAsia" w:ascii="宋体" w:hAnsi="宋体" w:eastAsia="宋体" w:cs="宋体"/>
          <w:color w:val="000000" w:themeColor="text1"/>
          <w:szCs w:val="24"/>
          <w:lang w:val="en-US" w:eastAsia="zh-CN"/>
          <w14:textFill>
            <w14:solidFill>
              <w14:schemeClr w14:val="tx1"/>
            </w14:solidFill>
          </w14:textFill>
        </w:rPr>
        <w:t>六</w:t>
      </w:r>
      <w:r>
        <w:rPr>
          <w:rFonts w:hint="eastAsia" w:ascii="宋体" w:hAnsi="宋体" w:eastAsia="宋体" w:cs="宋体"/>
          <w:color w:val="000000" w:themeColor="text1"/>
          <w:szCs w:val="24"/>
          <w14:textFill>
            <w14:solidFill>
              <w14:schemeClr w14:val="tx1"/>
            </w14:solidFill>
          </w14:textFill>
        </w:rPr>
        <w:t>章。</w:t>
      </w:r>
    </w:p>
    <w:p w14:paraId="4E22B8C0">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000000" w:themeColor="text1"/>
          <w:szCs w:val="24"/>
          <w14:textFill>
            <w14:solidFill>
              <w14:schemeClr w14:val="tx1"/>
            </w14:solidFill>
          </w14:textFill>
        </w:rPr>
        <w:t>2-1、电子竞争性磋商文件获取方式：1）</w:t>
      </w:r>
      <w:r>
        <w:rPr>
          <w:rFonts w:hint="eastAsia" w:ascii="宋体" w:hAnsi="宋体" w:eastAsia="宋体" w:cs="宋体"/>
          <w:color w:val="000000" w:themeColor="text1"/>
          <w:szCs w:val="24"/>
          <w:lang w:eastAsia="zh-CN"/>
          <w14:textFill>
            <w14:solidFill>
              <w14:schemeClr w14:val="tx1"/>
            </w14:solidFill>
          </w14:textFill>
        </w:rPr>
        <w:t>获取竞争性磋商文件</w:t>
      </w:r>
      <w:r>
        <w:rPr>
          <w:rFonts w:hint="eastAsia" w:ascii="宋体" w:hAnsi="宋体" w:eastAsia="宋体" w:cs="宋体"/>
          <w:color w:val="000000" w:themeColor="text1"/>
          <w:szCs w:val="24"/>
          <w14:textFill>
            <w14:solidFill>
              <w14:schemeClr w14:val="tx1"/>
            </w14:solidFill>
          </w14:textFill>
        </w:rPr>
        <w:t>登记：供应商使用捆绑CA证书登录全国公共资源交易平台（陕西省·宝鸡市）（</w:t>
      </w:r>
      <w:r>
        <w:rPr>
          <w:rFonts w:hint="eastAsia" w:ascii="宋体" w:hAnsi="宋体" w:eastAsia="宋体" w:cs="宋体"/>
          <w:color w:val="000000" w:themeColor="text1"/>
          <w:szCs w:val="24"/>
          <w:lang w:eastAsia="zh-CN"/>
          <w14:textFill>
            <w14:solidFill>
              <w14:schemeClr w14:val="tx1"/>
            </w14:solidFill>
          </w14:textFill>
        </w:rPr>
        <w:t>http://ggzy.baoji.gov.cn/</w:t>
      </w:r>
      <w:r>
        <w:rPr>
          <w:rFonts w:hint="eastAsia" w:ascii="宋体" w:hAnsi="宋体" w:eastAsia="宋体" w:cs="宋体"/>
          <w:color w:val="000000" w:themeColor="text1"/>
          <w:szCs w:val="24"/>
          <w14:textFill>
            <w14:solidFill>
              <w14:schemeClr w14:val="tx1"/>
            </w14:solidFill>
          </w14:textFill>
        </w:rPr>
        <w:t>/），选择电子交易平台中的陕西政府采购交易系统进行登录，登录后选择“交易乙方”身份进入供应商界面进行</w:t>
      </w:r>
      <w:r>
        <w:rPr>
          <w:rFonts w:hint="eastAsia" w:ascii="宋体" w:hAnsi="宋体" w:eastAsia="宋体" w:cs="宋体"/>
          <w:color w:val="000000" w:themeColor="text1"/>
          <w:szCs w:val="24"/>
          <w:lang w:eastAsia="zh-CN"/>
          <w14:textFill>
            <w14:solidFill>
              <w14:schemeClr w14:val="tx1"/>
            </w14:solidFill>
          </w14:textFill>
        </w:rPr>
        <w:t>获取竞争性磋商文件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auto"/>
          <w:szCs w:val="24"/>
          <w:highlight w:val="none"/>
        </w:rPr>
        <w:t>2）竞争性磋商文件下载：</w:t>
      </w:r>
      <w:r>
        <w:rPr>
          <w:rFonts w:hint="eastAsia" w:ascii="宋体" w:hAnsi="宋体" w:eastAsia="宋体" w:cs="宋体"/>
          <w:szCs w:val="24"/>
          <w:highlight w:val="none"/>
        </w:rPr>
        <w:t>网上</w:t>
      </w:r>
      <w:r>
        <w:rPr>
          <w:rFonts w:hint="eastAsia" w:ascii="宋体" w:hAnsi="宋体" w:eastAsia="宋体" w:cs="宋体"/>
          <w:szCs w:val="24"/>
          <w:highlight w:val="none"/>
          <w:lang w:eastAsia="zh-CN"/>
        </w:rPr>
        <w:t>登记</w:t>
      </w:r>
      <w:r>
        <w:rPr>
          <w:rFonts w:hint="eastAsia" w:ascii="宋体" w:hAnsi="宋体" w:eastAsia="宋体" w:cs="宋体"/>
          <w:szCs w:val="24"/>
          <w:highlight w:val="none"/>
        </w:rPr>
        <w:t>成功后，</w:t>
      </w:r>
      <w:r>
        <w:rPr>
          <w:rFonts w:hint="eastAsia" w:ascii="宋体" w:hAnsi="宋体" w:eastAsia="宋体" w:cs="宋体"/>
          <w:color w:val="auto"/>
          <w:szCs w:val="24"/>
          <w:highlight w:val="none"/>
        </w:rPr>
        <w:t>供应商在获取时间段内</w:t>
      </w:r>
      <w:r>
        <w:rPr>
          <w:rFonts w:hint="eastAsia" w:ascii="宋体" w:hAnsi="宋体" w:eastAsia="宋体" w:cs="宋体"/>
          <w:color w:val="auto"/>
          <w:szCs w:val="24"/>
          <w:highlight w:val="none"/>
          <w:lang w:eastAsia="zh-CN"/>
        </w:rPr>
        <w:t>2026年04月03日至2026年04月10日</w:t>
      </w:r>
      <w:r>
        <w:rPr>
          <w:rFonts w:hint="eastAsia" w:ascii="宋体" w:hAnsi="宋体" w:eastAsia="宋体" w:cs="宋体"/>
          <w:color w:val="auto"/>
          <w:szCs w:val="24"/>
          <w:highlight w:val="none"/>
        </w:rPr>
        <w:t>，每日上午09:00:00-12:00:00，下午14:00:00-17:00:00（北京时间,法定节假日除外）可</w:t>
      </w:r>
      <w:r>
        <w:rPr>
          <w:rFonts w:hint="eastAsia" w:ascii="宋体" w:hAnsi="宋体" w:eastAsia="宋体" w:cs="宋体"/>
          <w:color w:val="auto"/>
          <w:szCs w:val="24"/>
        </w:rPr>
        <w:t>登录全国公共资源交易平台-陕西省公共资源交易平台（陕西省·宝鸡市）下载电子竞争性磋商文件，逾期未办理的，视为自动放弃。</w:t>
      </w:r>
    </w:p>
    <w:p w14:paraId="1814C84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2-2、电子竞争性磋商文件需要使用专用软件打开、浏览。</w:t>
      </w:r>
    </w:p>
    <w:p w14:paraId="50CB64F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3、供应商应认真审阅和充分理解竞争性磋商文件所有的事项、格式、条款和规范要求等，在响应文件中对竞争性磋商文件的各方面都做出实质性的响应，按照竞争性磋商文件的要求提交全部资料。</w:t>
      </w:r>
    </w:p>
    <w:p w14:paraId="28CD66F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4、竞争性磋商文件的澄清或修改：</w:t>
      </w:r>
    </w:p>
    <w:p w14:paraId="62F740C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22" w:name="_Toc458617457"/>
      <w:bookmarkStart w:id="23" w:name="_Toc458617734"/>
      <w:r>
        <w:rPr>
          <w:rFonts w:hint="eastAsia" w:ascii="宋体" w:hAnsi="宋体" w:eastAsia="宋体" w:cs="宋体"/>
          <w:color w:val="000000" w:themeColor="text1"/>
          <w:szCs w:val="24"/>
          <w14:textFill>
            <w14:solidFill>
              <w14:schemeClr w14:val="tx1"/>
            </w14:solidFill>
          </w14:textFill>
        </w:rPr>
        <w:t>4-1、提交首次响应文件截止之日前，采购代理机构对已发出的竞争性磋商文件进行必要的澄清或者修改，澄清或者修改的内容作为竞争性磋商文件的组成部分。澄清或者修改的内容可能影响响应文件编制的，采购代理机构应当在提交首次响应文件截止时间至少5日前，以书面形式通知所有获取竞争性磋商文件的供应商；不足5日的，应当顺延提交首次响应文件截止时间。</w:t>
      </w:r>
    </w:p>
    <w:p w14:paraId="3695DCC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竞争性磋商文件的澄清或修改内容均以书面形式明确的内容为准。当竞争性磋商文件的澄清、修改、补充等在同一内容的表述上不一致时，以最后发出的书面文件为准。所有补充文件将作为竞争性磋商文件的组成部分，对所有供应商具有约束力。</w:t>
      </w:r>
    </w:p>
    <w:p w14:paraId="3FFE7B5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5、供应商若对竞争性磋商文件有任何疑问，可以以书面形式向采购代理机构提出询问。</w:t>
      </w:r>
    </w:p>
    <w:p w14:paraId="3B34C75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6、供应商认为竞争性磋商文件使自己的权益受到损害的，在收到竞争性磋商文件之日</w:t>
      </w:r>
      <w:r>
        <w:rPr>
          <w:rFonts w:hint="eastAsia" w:ascii="宋体" w:hAnsi="宋体" w:eastAsia="宋体" w:cs="宋体"/>
          <w:color w:val="000000" w:themeColor="text1"/>
          <w:kern w:val="0"/>
          <w:szCs w:val="24"/>
          <w14:textFill>
            <w14:solidFill>
              <w14:schemeClr w14:val="tx1"/>
            </w14:solidFill>
          </w14:textFill>
        </w:rPr>
        <w:t>起七个工作日内</w:t>
      </w:r>
      <w:r>
        <w:rPr>
          <w:rFonts w:hint="eastAsia" w:ascii="宋体" w:hAnsi="宋体" w:eastAsia="宋体" w:cs="宋体"/>
          <w:color w:val="000000" w:themeColor="text1"/>
          <w:szCs w:val="24"/>
          <w14:textFill>
            <w14:solidFill>
              <w14:schemeClr w14:val="tx1"/>
            </w14:solidFill>
          </w14:textFill>
        </w:rPr>
        <w:t>以书面形式向采购代理机构提出质疑，逾期提出的无效，</w:t>
      </w:r>
      <w:bookmarkStart w:id="24" w:name="OLE_LINK6"/>
      <w:r>
        <w:rPr>
          <w:rFonts w:hint="eastAsia" w:ascii="宋体" w:hAnsi="宋体" w:eastAsia="宋体" w:cs="宋体"/>
          <w:color w:val="000000" w:themeColor="text1"/>
          <w:szCs w:val="24"/>
          <w14:textFill>
            <w14:solidFill>
              <w14:schemeClr w14:val="tx1"/>
            </w14:solidFill>
          </w14:textFill>
        </w:rPr>
        <w:t>因此带来的一切不利后果由供应商自负。</w:t>
      </w:r>
      <w:bookmarkEnd w:id="24"/>
    </w:p>
    <w:p w14:paraId="2DAD811B">
      <w:pPr>
        <w:kinsoku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7、在投标截止时间前，根据采购工作进展实际情况，采购人可酌情延长提交响应文件的截止时间，若延长将另行以书面形式通知各供应商并在原信息发布媒体上发布变更公告。</w:t>
      </w:r>
      <w:bookmarkStart w:id="25" w:name="OLE_LINK7"/>
      <w:r>
        <w:rPr>
          <w:rFonts w:hint="eastAsia" w:ascii="宋体" w:hAnsi="宋体" w:eastAsia="宋体" w:cs="宋体"/>
          <w:color w:val="000000" w:themeColor="text1"/>
          <w:szCs w:val="24"/>
          <w14:textFill>
            <w14:solidFill>
              <w14:schemeClr w14:val="tx1"/>
            </w14:solidFill>
          </w14:textFill>
        </w:rPr>
        <w:t>采购代理机构和供应商的权利和义务将受到新的截止期的约束。</w:t>
      </w:r>
    </w:p>
    <w:bookmarkEnd w:id="25"/>
    <w:p w14:paraId="7A025EE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8、供应商必须从【全国公共资源交易平台（陕西省·宝鸡市）】（http://ggzy.baoji.gov.cn/）处获取竞争性磋商文件，供应商自行转让或复制竞争性磋商文件视为无效。</w:t>
      </w:r>
    </w:p>
    <w:p w14:paraId="492EF1D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9、竞争性磋商文件的解释权归采购代理机构，如发现竞争性磋商文件内容与现行法律法规不相符的情况，以现行法律法规为准。</w:t>
      </w:r>
    </w:p>
    <w:p w14:paraId="62510B1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10、现场勘查：见须知前附表。</w:t>
      </w:r>
    </w:p>
    <w:p w14:paraId="568D9274">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26" w:name="_Toc25197"/>
      <w:r>
        <w:rPr>
          <w:rFonts w:hint="eastAsia" w:ascii="宋体" w:hAnsi="宋体" w:eastAsia="宋体" w:cs="宋体"/>
          <w:color w:val="000000" w:themeColor="text1"/>
          <w:kern w:val="0"/>
          <w:sz w:val="28"/>
          <w:szCs w:val="28"/>
          <w14:textFill>
            <w14:solidFill>
              <w14:schemeClr w14:val="tx1"/>
            </w14:solidFill>
          </w14:textFill>
        </w:rPr>
        <w:t>四、</w:t>
      </w:r>
      <w:bookmarkEnd w:id="22"/>
      <w:bookmarkEnd w:id="23"/>
      <w:bookmarkEnd w:id="26"/>
      <w:r>
        <w:rPr>
          <w:rFonts w:hint="eastAsia" w:ascii="宋体" w:hAnsi="宋体" w:eastAsia="宋体" w:cs="宋体"/>
          <w:color w:val="000000" w:themeColor="text1"/>
          <w:kern w:val="0"/>
          <w:sz w:val="28"/>
          <w:szCs w:val="28"/>
          <w14:textFill>
            <w14:solidFill>
              <w14:schemeClr w14:val="tx1"/>
            </w14:solidFill>
          </w14:textFill>
        </w:rPr>
        <w:t>响应文件</w:t>
      </w:r>
    </w:p>
    <w:p w14:paraId="2491FF23">
      <w:pPr>
        <w:spacing w:line="500" w:lineRule="exact"/>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1、供应商资格条件：</w:t>
      </w:r>
    </w:p>
    <w:p w14:paraId="73B58253">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1C579BE5">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23C7B64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558CCB53">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供应商须提供2024年度的财务审计报告（成立时间至提交磋商响应文件截止时间不足一年的可提供成立后任意时段的资产负债表）</w:t>
      </w:r>
      <w:r>
        <w:rPr>
          <w:rFonts w:hint="eastAsia" w:ascii="宋体" w:hAnsi="宋体" w:eastAsia="宋体" w:cs="宋体"/>
          <w:szCs w:val="24"/>
        </w:rPr>
        <w:t>，或银行出具的资信证明。其他组织和自然人提供银行出具的资信证明；</w:t>
      </w:r>
    </w:p>
    <w:p w14:paraId="49B8DB60">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lang w:eastAsia="zh-CN"/>
        </w:rPr>
        <w:t>（</w:t>
      </w: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的社会保障资金缴存单据或社保机构开具的社会保险参保缴费情况证明，依法不需要缴纳社会保障资金的单位应提供相关证明材料；</w:t>
      </w:r>
    </w:p>
    <w:p w14:paraId="116C701A">
      <w:pPr>
        <w:spacing w:line="500" w:lineRule="exact"/>
        <w:ind w:firstLine="480" w:firstLineChars="200"/>
        <w:rPr>
          <w:rFonts w:hint="eastAsia" w:ascii="宋体" w:hAnsi="宋体" w:eastAsia="宋体" w:cs="宋体"/>
          <w:szCs w:val="24"/>
        </w:rPr>
      </w:pPr>
      <w:r>
        <w:rPr>
          <w:rFonts w:hint="eastAsia" w:ascii="宋体" w:hAnsi="宋体" w:eastAsia="宋体" w:cs="宋体"/>
          <w:szCs w:val="24"/>
          <w:highlight w:val="none"/>
          <w:lang w:eastAsia="zh-CN"/>
        </w:rPr>
        <w:t>（</w:t>
      </w: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rPr>
        <w:t>已</w:t>
      </w:r>
      <w:r>
        <w:rPr>
          <w:rFonts w:hint="eastAsia" w:ascii="宋体" w:hAnsi="宋体" w:eastAsia="宋体" w:cs="宋体"/>
          <w:szCs w:val="24"/>
          <w:lang w:val="en-US" w:eastAsia="zh-CN"/>
        </w:rPr>
        <w:t>缴纳</w:t>
      </w:r>
      <w:r>
        <w:rPr>
          <w:rFonts w:hint="eastAsia" w:ascii="宋体" w:hAnsi="宋体" w:eastAsia="宋体" w:cs="宋体"/>
          <w:szCs w:val="24"/>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rPr>
        <w:t>的纳税证明或完税证明，依法免税的单位应提供相关证明材料；</w:t>
      </w:r>
    </w:p>
    <w:p w14:paraId="6594A670">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www.creditchina.gov.cn)重大税收违法失信主体；未被列入“中国执行信息公开网”(https://zxgk.court.gov.cn/zhzxgk/)失信被执行人；未被列入“中国政府采购网”(www.ccgp.gov.cn)“政府采购严重违法失信行为信息记录”；</w:t>
      </w:r>
    </w:p>
    <w:p w14:paraId="7CD79377">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2E0FA606">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7CB4FA22">
      <w:pPr>
        <w:pStyle w:val="32"/>
        <w:widowControl/>
        <w:wordWrap w:val="0"/>
        <w:spacing w:line="500" w:lineRule="exact"/>
        <w:ind w:firstLine="480" w:firstLineChars="200"/>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eastAsia="zh-CN"/>
        </w:rPr>
        <w:t>（</w:t>
      </w: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rPr>
        <w:t>供应商应授权合法的人员参加磋商全过程，其中法定代表人直接参加磋商的，须出具法定代表人资格证明书，法定代表人授权代表参加磋商的，须出具法定代表人资格证明书及法定代表人授权委托书；</w:t>
      </w:r>
    </w:p>
    <w:p w14:paraId="3FFC0A66">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eastAsia="zh-CN"/>
        </w:rPr>
        <w:t>（</w:t>
      </w: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7E60FF6E">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szCs w:val="24"/>
          <w:lang w:eastAsia="zh-CN"/>
        </w:rPr>
        <w:t>（</w:t>
      </w: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r>
        <w:rPr>
          <w:rFonts w:hint="eastAsia" w:ascii="宋体" w:hAnsi="宋体" w:eastAsia="宋体" w:cs="宋体"/>
          <w:szCs w:val="24"/>
        </w:rPr>
        <w:t>；</w:t>
      </w:r>
    </w:p>
    <w:p w14:paraId="4B1F900E">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2、合格供应商</w:t>
      </w:r>
    </w:p>
    <w:p w14:paraId="16E96737">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符合《中华人民共和国政府采购法》</w:t>
      </w:r>
      <w:bookmarkStart w:id="27" w:name="OLE_LINK8"/>
      <w:r>
        <w:rPr>
          <w:rFonts w:hint="eastAsia" w:ascii="宋体" w:hAnsi="宋体" w:eastAsia="宋体" w:cs="宋体"/>
          <w:color w:val="000000" w:themeColor="text1"/>
          <w:szCs w:val="24"/>
          <w14:textFill>
            <w14:solidFill>
              <w14:schemeClr w14:val="tx1"/>
            </w14:solidFill>
          </w14:textFill>
        </w:rPr>
        <w:t>及其实施条例等有关法律法规的规定</w:t>
      </w:r>
      <w:bookmarkEnd w:id="27"/>
      <w:r>
        <w:rPr>
          <w:rFonts w:hint="eastAsia" w:ascii="宋体" w:hAnsi="宋体" w:eastAsia="宋体" w:cs="宋体"/>
          <w:color w:val="000000" w:themeColor="text1"/>
          <w:szCs w:val="24"/>
          <w14:textFill>
            <w14:solidFill>
              <w14:schemeClr w14:val="tx1"/>
            </w14:solidFill>
          </w14:textFill>
        </w:rPr>
        <w:t>并满足本项目资格条件。不符合上述规定的供应商，投标无效。</w:t>
      </w:r>
    </w:p>
    <w:p w14:paraId="6FEA28DC">
      <w:pPr>
        <w:spacing w:line="360" w:lineRule="auto"/>
        <w:ind w:firstLine="470" w:firstLineChars="196"/>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3、响应文件的组成 </w:t>
      </w:r>
    </w:p>
    <w:p w14:paraId="26CE2038">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（1）封面</w:t>
      </w:r>
    </w:p>
    <w:p w14:paraId="48AFE6BA">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（2）资格证明文件</w:t>
      </w:r>
    </w:p>
    <w:p w14:paraId="71C8663B">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（3）符合性证明文件</w:t>
      </w:r>
    </w:p>
    <w:p w14:paraId="128EAEC9">
      <w:pPr>
        <w:spacing w:line="360" w:lineRule="auto"/>
        <w:ind w:firstLine="480" w:firstLineChars="200"/>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（4）响应方案</w:t>
      </w:r>
    </w:p>
    <w:p w14:paraId="60A4B44C">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附件一：《</w:t>
      </w:r>
      <w:r>
        <w:rPr>
          <w:rFonts w:asciiTheme="minorEastAsia" w:hAnsiTheme="minorEastAsia" w:cstheme="minorEastAsia"/>
          <w:bCs/>
          <w:color w:val="000000" w:themeColor="text1"/>
          <w:szCs w:val="24"/>
          <w14:textFill>
            <w14:solidFill>
              <w14:schemeClr w14:val="tx1"/>
            </w14:solidFill>
          </w14:textFill>
        </w:rPr>
        <w:t>中小企业声明函</w:t>
      </w:r>
      <w:r>
        <w:rPr>
          <w:rFonts w:hint="eastAsia" w:asciiTheme="minorEastAsia" w:hAnsiTheme="minorEastAsia" w:cstheme="minorEastAsia"/>
          <w:bCs/>
          <w:color w:val="000000" w:themeColor="text1"/>
          <w:szCs w:val="24"/>
          <w14:textFill>
            <w14:solidFill>
              <w14:schemeClr w14:val="tx1"/>
            </w14:solidFill>
          </w14:textFill>
        </w:rPr>
        <w:t>》</w:t>
      </w:r>
    </w:p>
    <w:p w14:paraId="6963C439">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附件二：《残疾人福利性单位声明函》</w:t>
      </w:r>
    </w:p>
    <w:p w14:paraId="64D4EBAD">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附件三：《监狱企业证明材料》</w:t>
      </w:r>
    </w:p>
    <w:p w14:paraId="2AC13785">
      <w:pPr>
        <w:spacing w:line="360" w:lineRule="auto"/>
        <w:ind w:firstLine="950" w:firstLineChars="396"/>
        <w:rPr>
          <w:rFonts w:asciiTheme="minorEastAsia" w:hAnsiTheme="minorEastAsia" w:cstheme="minorEastAsia"/>
          <w:bCs/>
          <w:color w:val="000000" w:themeColor="text1"/>
          <w:szCs w:val="24"/>
          <w14:textFill>
            <w14:solidFill>
              <w14:schemeClr w14:val="tx1"/>
            </w14:solidFill>
          </w14:textFill>
        </w:rPr>
      </w:pPr>
      <w:r>
        <w:rPr>
          <w:rFonts w:hint="eastAsia" w:asciiTheme="minorEastAsia" w:hAnsiTheme="minorEastAsia" w:cstheme="minorEastAsia"/>
          <w:bCs/>
          <w:color w:val="000000" w:themeColor="text1"/>
          <w:szCs w:val="24"/>
          <w14:textFill>
            <w14:solidFill>
              <w14:schemeClr w14:val="tx1"/>
            </w14:solidFill>
          </w14:textFill>
        </w:rPr>
        <w:t>附件四：《“节能产品”“环境标志产品”说明》</w:t>
      </w:r>
    </w:p>
    <w:p w14:paraId="3A834A94">
      <w:pPr>
        <w:spacing w:line="360" w:lineRule="auto"/>
        <w:ind w:firstLine="470" w:firstLineChars="196"/>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4、</w:t>
      </w:r>
      <w:r>
        <w:rPr>
          <w:rFonts w:hint="eastAsia" w:ascii="宋体" w:hAnsi="宋体" w:eastAsia="宋体" w:cs="宋体"/>
          <w:color w:val="000000" w:themeColor="text1"/>
          <w:szCs w:val="24"/>
          <w14:textFill>
            <w14:solidFill>
              <w14:schemeClr w14:val="tx1"/>
            </w14:solidFill>
          </w14:textFill>
        </w:rPr>
        <w:t>响应文件编写说明</w:t>
      </w:r>
    </w:p>
    <w:p w14:paraId="1552315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4-1、电子响应文件</w:t>
      </w:r>
    </w:p>
    <w:p w14:paraId="7ED712F1">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编制电子响应文件时应用专用软件，软件下载地址及操作手册详见全国公共资源交易平台（陕西省·宝鸡市）网站〖首页·〉服务指南·〉下载专区〗中的《政府采购项目响应文件制作软件及操作手册》。并使用 CA（数字认证证书）对电子响应文件进行签署、加密、递交及开标时解密等相关操作。</w:t>
      </w:r>
    </w:p>
    <w:p w14:paraId="720999D5">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（2）电子响应文件中需要法定代表人签字或盖章的地方，请使用“法人CA”进行签章；需要加盖供应商公章的地方，请使用“企业 CA”进行盖章。加密和解密应当使用同一CA，否则将会导致解密失败。</w:t>
      </w:r>
    </w:p>
    <w:p w14:paraId="0F2250E4">
      <w:pPr>
        <w:spacing w:line="360" w:lineRule="auto"/>
        <w:ind w:firstLine="240" w:firstLineChars="1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（3）电子响应文件同样需要使用上述专用软件进行编制。若电子响应文件签章后，导出的 PDF 文件里看不到签章，请尝试使用查看响应文件工具打开未加密的电子响应文件重新导出。在编制过程中，如有其他技术性问题，请翻阅操作手册，或致电宝鸡市公共资源交易中心，信息科人员：0917-3263756。</w:t>
      </w:r>
    </w:p>
    <w:p w14:paraId="236DE1E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4-2、纸质响应文件</w:t>
      </w:r>
    </w:p>
    <w:p w14:paraId="3AAF0A28">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开标时投标供应商无需提交纸质响应文件，项目成交后由</w:t>
      </w:r>
      <w:r>
        <w:rPr>
          <w:rFonts w:hint="eastAsia" w:ascii="宋体" w:hAnsi="宋体" w:eastAsia="宋体" w:cs="宋体"/>
          <w:color w:val="auto"/>
          <w:szCs w:val="24"/>
          <w:highlight w:val="none"/>
          <w:lang w:val="en-US" w:eastAsia="zh-CN"/>
        </w:rPr>
        <w:t>成交供应商</w:t>
      </w:r>
      <w:r>
        <w:rPr>
          <w:rFonts w:hint="eastAsia" w:ascii="宋体" w:hAnsi="宋体" w:eastAsia="宋体" w:cs="宋体"/>
          <w:color w:val="auto"/>
          <w:szCs w:val="24"/>
          <w:highlight w:val="none"/>
        </w:rPr>
        <w:t>在领取成交通知书时向采购代理机构</w:t>
      </w:r>
      <w:r>
        <w:rPr>
          <w:rFonts w:hint="eastAsia" w:ascii="宋体" w:hAnsi="宋体" w:eastAsia="宋体" w:cs="宋体"/>
          <w:color w:val="auto"/>
          <w:szCs w:val="24"/>
          <w:highlight w:val="none"/>
          <w:lang w:val="en-US" w:eastAsia="zh-CN"/>
        </w:rPr>
        <w:t>提供纸质</w:t>
      </w:r>
      <w:r>
        <w:rPr>
          <w:rFonts w:hint="eastAsia" w:ascii="宋体" w:hAnsi="宋体" w:eastAsia="宋体" w:cs="宋体"/>
          <w:color w:val="auto"/>
          <w:szCs w:val="24"/>
          <w:highlight w:val="none"/>
        </w:rPr>
        <w:t>响应文件正本一份，副本二份，电子文件U盘一份（</w:t>
      </w:r>
      <w:r>
        <w:rPr>
          <w:rFonts w:hint="eastAsia" w:ascii="宋体" w:hAnsi="宋体" w:eastAsia="宋体" w:cs="宋体"/>
          <w:color w:val="auto"/>
          <w:szCs w:val="24"/>
          <w:highlight w:val="none"/>
          <w:lang w:val="en-US" w:eastAsia="zh-CN"/>
        </w:rPr>
        <w:t>内含签章版文件PDF格式及word版</w:t>
      </w:r>
      <w:r>
        <w:rPr>
          <w:rFonts w:hint="eastAsia" w:ascii="宋体" w:hAnsi="宋体" w:eastAsia="宋体" w:cs="宋体"/>
          <w:color w:val="auto"/>
          <w:szCs w:val="24"/>
          <w:highlight w:val="none"/>
        </w:rPr>
        <w:t>）。</w:t>
      </w:r>
      <w:r>
        <w:rPr>
          <w:rFonts w:hint="eastAsia" w:ascii="宋体" w:hAnsi="宋体" w:eastAsia="宋体" w:cs="宋体"/>
          <w:color w:val="auto"/>
          <w:szCs w:val="24"/>
        </w:rPr>
        <w:t>提交的纸质响应文件与网上上传的电子响应文件内容</w:t>
      </w:r>
      <w:r>
        <w:rPr>
          <w:rFonts w:hint="eastAsia" w:ascii="宋体" w:hAnsi="宋体" w:eastAsia="宋体" w:cs="宋体"/>
          <w:color w:val="auto"/>
          <w:szCs w:val="24"/>
          <w:lang w:val="en-US" w:eastAsia="zh-CN"/>
        </w:rPr>
        <w:t>应</w:t>
      </w:r>
      <w:r>
        <w:rPr>
          <w:rFonts w:hint="eastAsia" w:ascii="宋体" w:hAnsi="宋体" w:eastAsia="宋体" w:cs="宋体"/>
          <w:color w:val="auto"/>
          <w:szCs w:val="24"/>
        </w:rPr>
        <w:t>一致，若不一致导致的一切后果由供应商自负。正本和副本的封面上应清楚的标记“正本”或“副本”的字样。响应文件的正本与副本均应采用A4纸</w:t>
      </w:r>
      <w:r>
        <w:rPr>
          <w:rFonts w:hint="eastAsia" w:ascii="宋体" w:hAnsi="宋体" w:eastAsia="宋体" w:cs="宋体"/>
          <w:b/>
          <w:bCs/>
          <w:color w:val="auto"/>
          <w:szCs w:val="24"/>
          <w:lang w:val="en-US" w:eastAsia="zh-CN"/>
        </w:rPr>
        <w:t>双面</w:t>
      </w:r>
      <w:r>
        <w:rPr>
          <w:rFonts w:hint="eastAsia" w:ascii="宋体" w:hAnsi="宋体" w:eastAsia="宋体" w:cs="宋体"/>
          <w:b/>
          <w:bCs/>
          <w:color w:val="auto"/>
          <w:szCs w:val="24"/>
        </w:rPr>
        <w:t>印刷</w:t>
      </w:r>
      <w:r>
        <w:rPr>
          <w:rFonts w:hint="eastAsia" w:ascii="宋体" w:hAnsi="宋体" w:eastAsia="宋体" w:cs="宋体"/>
          <w:b/>
          <w:bCs/>
          <w:color w:val="auto"/>
          <w:szCs w:val="24"/>
          <w:lang w:eastAsia="zh-CN"/>
        </w:rPr>
        <w:t>，</w:t>
      </w:r>
      <w:r>
        <w:rPr>
          <w:rFonts w:hint="eastAsia" w:ascii="宋体" w:hAnsi="宋体" w:eastAsia="宋体" w:cs="宋体"/>
          <w:b/>
          <w:bCs/>
          <w:color w:val="auto"/>
          <w:szCs w:val="24"/>
          <w:highlight w:val="none"/>
          <w:lang w:val="en-US" w:eastAsia="zh-CN"/>
        </w:rPr>
        <w:t>逐页加盖鲜章</w:t>
      </w:r>
      <w:r>
        <w:rPr>
          <w:rFonts w:hint="eastAsia" w:ascii="宋体" w:hAnsi="宋体" w:eastAsia="宋体" w:cs="宋体"/>
          <w:color w:val="auto"/>
          <w:szCs w:val="24"/>
        </w:rPr>
        <w:t>，分别各自胶装成册，</w:t>
      </w:r>
      <w:r>
        <w:rPr>
          <w:rFonts w:hint="eastAsia" w:ascii="宋体" w:hAnsi="宋体" w:eastAsia="宋体" w:cs="宋体"/>
          <w:b/>
          <w:bCs/>
          <w:color w:val="auto"/>
          <w:szCs w:val="24"/>
        </w:rPr>
        <w:t>并编制目录</w:t>
      </w:r>
      <w:r>
        <w:rPr>
          <w:rFonts w:hint="eastAsia" w:ascii="宋体" w:hAnsi="宋体" w:eastAsia="宋体" w:cs="宋体"/>
          <w:b/>
          <w:bCs/>
          <w:color w:val="auto"/>
          <w:szCs w:val="24"/>
          <w:lang w:val="en-US" w:eastAsia="zh-CN"/>
        </w:rPr>
        <w:t>及连续</w:t>
      </w:r>
      <w:r>
        <w:rPr>
          <w:rFonts w:hint="eastAsia" w:ascii="宋体" w:hAnsi="宋体" w:eastAsia="宋体" w:cs="宋体"/>
          <w:b/>
          <w:bCs/>
          <w:color w:val="auto"/>
          <w:szCs w:val="24"/>
        </w:rPr>
        <w:t>页码。</w:t>
      </w:r>
      <w:r>
        <w:rPr>
          <w:rFonts w:hint="eastAsia" w:ascii="宋体" w:hAnsi="宋体" w:eastAsia="宋体" w:cs="宋体"/>
          <w:color w:val="000000" w:themeColor="text1"/>
          <w:szCs w:val="24"/>
          <w14:textFill>
            <w14:solidFill>
              <w14:schemeClr w14:val="tx1"/>
            </w14:solidFill>
          </w14:textFill>
        </w:rPr>
        <w:t>不得采用活页装订。</w:t>
      </w:r>
    </w:p>
    <w:p w14:paraId="0C3765F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4-3、响应文件的语言及计量单位</w:t>
      </w:r>
    </w:p>
    <w:p w14:paraId="7A84ACD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1、招标活动的所有文件、资料、函电文字均使用简体中文，确需提交用其他语言形成的资料，必须翻译成简体中文。对不同文字文本响应文件的解释发生异议时，以简体中文文本为准。</w:t>
      </w:r>
    </w:p>
    <w:p w14:paraId="38FD973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2、响应文件的计量单位应使用中华人民共和国法定计量单位，但竞争性磋商文件另有规定的除外。</w:t>
      </w:r>
    </w:p>
    <w:p w14:paraId="48E4FE1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4-4、响应文件的有效期</w:t>
      </w:r>
    </w:p>
    <w:p w14:paraId="6B647DE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1.投标有效期（含授权有效期）自提交响应文件截止之日起90日历天。供应商投标有效期短于竞争性磋商文件规定的投标有效期，按无效投标处理。成交供应商的投标有效期自动延长至合同执行完毕。</w:t>
      </w:r>
    </w:p>
    <w:p w14:paraId="55CBCBD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2.在投标有效期内，供应商不得要求撤销或修改其响应文件。</w:t>
      </w:r>
    </w:p>
    <w:p w14:paraId="3674631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特殊情况下，在原投标有效期期满之前，采购人可要求供应商延长投标有效期。供应商拒绝延长的，其投标失效，但供应商有权收回其磋商保证金。供应商同意延长的，应相应延长其磋商保证金的有效期，但不得修改响应文件的实质性内容。</w:t>
      </w:r>
    </w:p>
    <w:p w14:paraId="391E660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4-5、响应文件的提交</w:t>
      </w:r>
    </w:p>
    <w:p w14:paraId="2852A02D">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电子响应文件可于响应文件提交截止时间前任意时段登录全国公共资源交易平台（陕西省·宝鸡市）网站“电子交易平台&gt;企业端”进行提交，逾期系统将拒绝接收。提交时，供应商应登录全国公共资源交易中心平台（陕西省·宝鸡市），选择“首页&gt;电子交易平台&gt;企业端&gt;我的项目”，点击“项目流程”，在打开的“项目管理”对话框中选择“上传响应文件”，上传加密的电子响应文件。上传成功后，电子化平台将予以记录。</w:t>
      </w:r>
    </w:p>
    <w:p w14:paraId="2B39C34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4-6、响应文件的撤回、补充和修改</w:t>
      </w:r>
    </w:p>
    <w:p w14:paraId="56D98D0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供应商在递交响应文件后，且在提交响应文件截止时间前，可以对所提交的响应文件进行撤回、补充或修改。对电子响应文件进行补充、修改的，应先从电子交易平台上撤回旧版，再重新提交新版。</w:t>
      </w:r>
    </w:p>
    <w:p w14:paraId="03BCCA4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4-7、关于响应文件的雷同性分析</w:t>
      </w:r>
    </w:p>
    <w:p w14:paraId="14F167F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根据陕西省公共资源交易中心《关于在政府采购交易系统中开通标书雷同性分析功能的通知》，在符合性审查环节，将由评标委员会（磋商小组/谈判小组/询价小组）在评标系统中对供应商的电子响应文件进行雷同性分析。雷同性分析由两项指标组成，分别是“文件制作机器码”和“文件创建标识码”。其中，前者通过验证电子响应文件制作设备的特征信息（如MAC 地址、硬盘序列号、CPU 编号、主板号等），判断电子响应文件是否出自同一台设备。若“文件制作机器码”一致，则表明不同投标供应商的电子响应文件出自同一台制作设备，根据《陕西省财政厅关于政府采购有关政策的复函》（陕财办采函〔2019〕18 号），该情形可以视为投标供应商串通投标，其投标无效。若“文件创建标识码”一致，则表示不同投标供应商使用响应文件制作软件时，使用同一源工程文件，该情形建议由评标委员会（磋商小组/谈判小组/询价小组）结合项目情况综合判定。”</w:t>
      </w:r>
    </w:p>
    <w:p w14:paraId="290820EC">
      <w:pPr>
        <w:pStyle w:val="13"/>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4-8、磋商报价</w:t>
      </w:r>
    </w:p>
    <w:p w14:paraId="43792D3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1）本次招标项目最高限</w:t>
      </w:r>
      <w:r>
        <w:rPr>
          <w:rFonts w:hint="eastAsia" w:ascii="宋体" w:hAnsi="宋体" w:eastAsia="宋体" w:cs="宋体"/>
          <w:color w:val="000000" w:themeColor="text1"/>
          <w:szCs w:val="24"/>
          <w:highlight w:val="none"/>
          <w14:textFill>
            <w14:solidFill>
              <w14:schemeClr w14:val="tx1"/>
            </w14:solidFill>
          </w14:textFill>
        </w:rPr>
        <w:t>价为：</w:t>
      </w:r>
      <w:r>
        <w:rPr>
          <w:rFonts w:hint="eastAsia" w:ascii="宋体" w:hAnsi="宋体" w:eastAsia="宋体" w:cs="宋体"/>
          <w:color w:val="000000" w:themeColor="text1"/>
          <w:szCs w:val="24"/>
          <w:highlight w:val="none"/>
          <w:lang w:val="en-US" w:eastAsia="zh-CN"/>
          <w14:textFill>
            <w14:solidFill>
              <w14:schemeClr w14:val="tx1"/>
            </w14:solidFill>
          </w14:textFill>
        </w:rPr>
        <w:t>597421.44</w:t>
      </w:r>
      <w:r>
        <w:rPr>
          <w:rFonts w:hint="eastAsia" w:ascii="宋体" w:hAnsi="宋体" w:eastAsia="宋体" w:cs="宋体"/>
          <w:color w:val="000000" w:themeColor="text1"/>
          <w:szCs w:val="24"/>
          <w:highlight w:val="none"/>
          <w14:textFill>
            <w14:solidFill>
              <w14:schemeClr w14:val="tx1"/>
            </w14:solidFill>
          </w14:textFill>
        </w:rPr>
        <w:t>元，超出</w:t>
      </w:r>
      <w:r>
        <w:rPr>
          <w:rFonts w:hint="eastAsia" w:ascii="宋体" w:hAnsi="宋体" w:eastAsia="宋体" w:cs="宋体"/>
          <w:color w:val="000000" w:themeColor="text1"/>
          <w:szCs w:val="24"/>
          <w14:textFill>
            <w14:solidFill>
              <w14:schemeClr w14:val="tx1"/>
            </w14:solidFill>
          </w14:textFill>
        </w:rPr>
        <w:t>项目最高限价为无效报价，按废标处理。</w:t>
      </w:r>
    </w:p>
    <w:p w14:paraId="7D9CE8A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磋商报价中均采用人民币表示，磋商报价为供应商在响应文件中提出的各项费用的总和。除非采购人对竞争性磋商文件予以修改，供应商应按采购人提供的工程量清单填报单价和合价，每一项目只允许有一个报价。任何有选择的报价将不予接受。供应商未填单价或合价的工程项目，将视为该项费用已包括在其他有价款的单价或合价内，采购人将不予支付其价款。</w:t>
      </w:r>
    </w:p>
    <w:p w14:paraId="292014E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3）</w:t>
      </w:r>
      <w:r>
        <w:rPr>
          <w:rFonts w:hint="eastAsia" w:ascii="宋体" w:hAnsi="宋体" w:eastAsia="宋体" w:cs="宋体"/>
          <w:color w:val="000000" w:themeColor="text1"/>
          <w:szCs w:val="24"/>
          <w:highlight w:val="none"/>
          <w14:textFill>
            <w14:solidFill>
              <w14:schemeClr w14:val="tx1"/>
            </w14:solidFill>
          </w14:textFill>
        </w:rPr>
        <w:t>供应商必须全面考虑各影响报价因素，认真计算可能发生的各相关费用（包含完成本项目的人力成本、设备成本、管理费、利润、税金等费用）并计入磋商报价内，在项目实施过程中甲方不再另付任何费用。</w:t>
      </w:r>
    </w:p>
    <w:p w14:paraId="0D710A00">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4）本项目设暂列金人民币¥:30000.00元(叁万元整)，用于设计变更或签证等。</w:t>
      </w:r>
    </w:p>
    <w:p w14:paraId="49ECEE8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5）</w:t>
      </w:r>
      <w:r>
        <w:rPr>
          <w:rFonts w:hint="eastAsia" w:ascii="宋体" w:hAnsi="宋体" w:eastAsia="宋体" w:cs="宋体"/>
          <w:color w:val="000000" w:themeColor="text1"/>
          <w:szCs w:val="24"/>
          <w:highlight w:val="none"/>
          <w14:textFill>
            <w14:solidFill>
              <w14:schemeClr w14:val="tx1"/>
            </w14:solidFill>
          </w14:textFill>
        </w:rPr>
        <w:t>供应商报价时可能涉及的因素：</w:t>
      </w:r>
    </w:p>
    <w:p w14:paraId="0214F47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①</w:t>
      </w:r>
      <w:r>
        <w:rPr>
          <w:rFonts w:hint="eastAsia" w:ascii="宋体" w:hAnsi="宋体" w:eastAsia="宋体" w:cs="宋体"/>
          <w:color w:val="000000" w:themeColor="text1"/>
          <w:szCs w:val="24"/>
          <w:highlight w:val="none"/>
          <w14:textFill>
            <w14:solidFill>
              <w14:schemeClr w14:val="tx1"/>
            </w14:solidFill>
          </w14:textFill>
        </w:rPr>
        <w:t>供应商应事先考虑好人工、场地等费用可能的波动变化。</w:t>
      </w:r>
    </w:p>
    <w:p w14:paraId="38FFFAC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②</w:t>
      </w:r>
      <w:r>
        <w:rPr>
          <w:rFonts w:hint="eastAsia" w:ascii="宋体" w:hAnsi="宋体" w:eastAsia="宋体" w:cs="宋体"/>
          <w:color w:val="000000" w:themeColor="text1"/>
          <w:szCs w:val="24"/>
          <w:highlight w:val="none"/>
          <w14:textFill>
            <w14:solidFill>
              <w14:schemeClr w14:val="tx1"/>
            </w14:solidFill>
          </w14:textFill>
        </w:rPr>
        <w:t>供应商须自行踏勘现场以充分了解项目实施的内容及可能产生的费用。</w:t>
      </w:r>
    </w:p>
    <w:p w14:paraId="348783D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③</w:t>
      </w:r>
      <w:r>
        <w:rPr>
          <w:rFonts w:hint="eastAsia" w:ascii="宋体" w:hAnsi="宋体" w:eastAsia="宋体" w:cs="宋体"/>
          <w:color w:val="000000" w:themeColor="text1"/>
          <w:szCs w:val="24"/>
          <w:highlight w:val="none"/>
          <w14:textFill>
            <w14:solidFill>
              <w14:schemeClr w14:val="tx1"/>
            </w14:solidFill>
          </w14:textFill>
        </w:rPr>
        <w:t>如未成交，无任何补偿费用。</w:t>
      </w:r>
    </w:p>
    <w:p w14:paraId="7EA15EE8">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④</w:t>
      </w:r>
      <w:r>
        <w:rPr>
          <w:rFonts w:hint="eastAsia" w:ascii="宋体" w:hAnsi="宋体" w:eastAsia="宋体" w:cs="宋体"/>
          <w:color w:val="000000" w:themeColor="text1"/>
          <w:szCs w:val="24"/>
          <w:highlight w:val="none"/>
          <w14:textFill>
            <w14:solidFill>
              <w14:schemeClr w14:val="tx1"/>
            </w14:solidFill>
          </w14:textFill>
        </w:rPr>
        <w:t>供应商应负责办理为执行本磋商文件规定义务而投入的工伤事故的保险、机具设备和运输工具的财产保险、人身意外伤害险等，保险费由供应商自行支付，并已包含在磋商报价中，采购人将不再另行支付。</w:t>
      </w:r>
    </w:p>
    <w:p w14:paraId="54054046">
      <w:pPr>
        <w:numPr>
          <w:ilvl w:val="0"/>
          <w:numId w:val="0"/>
        </w:numPr>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6）</w:t>
      </w:r>
      <w:r>
        <w:rPr>
          <w:rFonts w:hint="eastAsia" w:ascii="宋体" w:hAnsi="宋体" w:eastAsia="宋体" w:cs="宋体"/>
          <w:color w:val="000000" w:themeColor="text1"/>
          <w:szCs w:val="24"/>
          <w:highlight w:val="none"/>
          <w14:textFill>
            <w14:solidFill>
              <w14:schemeClr w14:val="tx1"/>
            </w14:solidFill>
          </w14:textFill>
        </w:rPr>
        <w:t>所依据的预算均应具有相应岗位证书的专业人员编制，</w:t>
      </w:r>
      <w:r>
        <w:rPr>
          <w:rFonts w:hint="eastAsia" w:ascii="宋体" w:hAnsi="宋体" w:cs="宋体"/>
          <w:sz w:val="24"/>
          <w:szCs w:val="24"/>
          <w:highlight w:val="none"/>
        </w:rPr>
        <w:t>已标价的工程量清单应逐页加盖造价编制人员执业印章（造价编制人员可为：1、水利造价工程师执业印章；2、陕西水利造价编制或编审专用章；3、水利专业的一级或二级造价工程师执业印章（三种印章可选其一）</w:t>
      </w:r>
      <w:r>
        <w:rPr>
          <w:rFonts w:hint="eastAsia" w:ascii="宋体" w:hAnsi="宋体" w:eastAsia="宋体" w:cs="宋体"/>
          <w:color w:val="000000" w:themeColor="text1"/>
          <w:szCs w:val="24"/>
          <w:highlight w:val="none"/>
          <w14:textFill>
            <w14:solidFill>
              <w14:schemeClr w14:val="tx1"/>
            </w14:solidFill>
          </w14:textFill>
        </w:rPr>
        <w:t>。</w:t>
      </w:r>
    </w:p>
    <w:p w14:paraId="1689F689">
      <w:pPr>
        <w:numPr>
          <w:ilvl w:val="0"/>
          <w:numId w:val="0"/>
        </w:numPr>
        <w:spacing w:line="360" w:lineRule="auto"/>
        <w:ind w:firstLine="480" w:firstLineChars="200"/>
        <w:rPr>
          <w:rFonts w:hint="eastAsia" w:ascii="宋体" w:hAnsi="宋体" w:eastAsia="宋体" w:cs="宋体"/>
          <w:color w:val="000000" w:themeColor="text1"/>
          <w:szCs w:val="24"/>
          <w:highlight w:val="red"/>
          <w14:textFill>
            <w14:solidFill>
              <w14:schemeClr w14:val="tx1"/>
            </w14:solidFill>
          </w14:textFill>
        </w:rPr>
      </w:pPr>
      <w:r>
        <w:rPr>
          <w:rFonts w:hint="eastAsia" w:ascii="宋体" w:hAnsi="宋体" w:eastAsia="宋体" w:cs="宋体"/>
          <w:color w:val="000000" w:themeColor="text1"/>
          <w:szCs w:val="24"/>
          <w:highlight w:val="none"/>
          <w:lang w:val="en-US" w:eastAsia="zh-CN"/>
          <w14:textFill>
            <w14:solidFill>
              <w14:schemeClr w14:val="tx1"/>
            </w14:solidFill>
          </w14:textFill>
        </w:rPr>
        <w:t>7）</w:t>
      </w:r>
      <w:r>
        <w:rPr>
          <w:rFonts w:hint="eastAsia" w:ascii="宋体" w:hAnsi="宋体" w:eastAsia="宋体" w:cs="宋体"/>
          <w:color w:val="000000" w:themeColor="text1"/>
          <w:szCs w:val="24"/>
          <w:highlight w:val="none"/>
          <w14:textFill>
            <w14:solidFill>
              <w14:schemeClr w14:val="tx1"/>
            </w14:solidFill>
          </w14:textFill>
        </w:rPr>
        <w:t>磋商小组认为供应商的报价明显低于其他通过符合性审查供应商的报价，有可能影响质量或者不能诚信履约的，应当要求其在评标现场合理的时间内提供书面说明，必要时提交相关证明材料；供应商不能证明其报价合理性的，磋商小组应当将其作为无效投标处理。</w:t>
      </w:r>
    </w:p>
    <w:p w14:paraId="1E403095">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8)</w:t>
      </w:r>
      <w:r>
        <w:rPr>
          <w:rFonts w:hint="eastAsia" w:ascii="宋体" w:hAnsi="宋体" w:eastAsia="宋体" w:cs="宋体"/>
          <w:b/>
          <w:bCs/>
          <w:color w:val="000000" w:themeColor="text1"/>
          <w:szCs w:val="24"/>
          <w14:textFill>
            <w14:solidFill>
              <w14:schemeClr w14:val="tx1"/>
            </w14:solidFill>
          </w14:textFill>
        </w:rPr>
        <w:t>结算调整幅度：本项目采用竞争性磋商方式采购，需进行二次报价，结算时分项单价将按最终报价与首次报价的差距同比例调整，单价浮动后质量等级不得变更。</w:t>
      </w:r>
    </w:p>
    <w:p w14:paraId="7450A1D0">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=本项目实施过程中的所有费用</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最终报价</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lang w:val="en-US" w:eastAsia="zh-CN"/>
          <w14:textFill>
            <w14:solidFill>
              <w14:schemeClr w14:val="tx1"/>
            </w14:solidFill>
          </w14:textFill>
        </w:rPr>
        <w:t>二次</w:t>
      </w:r>
      <w:r>
        <w:rPr>
          <w:rFonts w:hint="eastAsia" w:ascii="宋体" w:hAnsi="宋体" w:eastAsia="宋体" w:cs="宋体"/>
          <w:b/>
          <w:bCs/>
          <w:color w:val="000000" w:themeColor="text1"/>
          <w:szCs w:val="24"/>
          <w:lang w:eastAsia="zh-CN"/>
          <w14:textFill>
            <w14:solidFill>
              <w14:schemeClr w14:val="tx1"/>
            </w14:solidFill>
          </w14:textFill>
        </w:rPr>
        <w:t>）</w:t>
      </w:r>
      <w:r>
        <w:rPr>
          <w:rFonts w:hint="eastAsia" w:ascii="宋体" w:hAnsi="宋体" w:eastAsia="宋体" w:cs="宋体"/>
          <w:b/>
          <w:bCs/>
          <w:color w:val="000000" w:themeColor="text1"/>
          <w:szCs w:val="24"/>
          <w14:textFill>
            <w14:solidFill>
              <w14:schemeClr w14:val="tx1"/>
            </w14:solidFill>
          </w14:textFill>
        </w:rPr>
        <w:t>不得高于首次报价，否则按废标处理</w:t>
      </w:r>
      <w:r>
        <w:rPr>
          <w:rFonts w:hint="eastAsia" w:ascii="宋体" w:hAnsi="宋体" w:eastAsia="宋体" w:cs="宋体"/>
          <w:b/>
          <w:bCs/>
          <w:color w:val="000000" w:themeColor="text1"/>
          <w:szCs w:val="24"/>
          <w:lang w:eastAsia="zh-CN"/>
          <w14:textFill>
            <w14:solidFill>
              <w14:schemeClr w14:val="tx1"/>
            </w14:solidFill>
          </w14:textFill>
        </w:rPr>
        <w:t>。</w:t>
      </w:r>
    </w:p>
    <w:p w14:paraId="76B0C2DB">
      <w:pPr>
        <w:spacing w:line="360" w:lineRule="auto"/>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本次竞争性磋商非一次性报价。</w:t>
      </w:r>
    </w:p>
    <w:p w14:paraId="461079C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4.磋商报价货币应为人民币。</w:t>
      </w:r>
    </w:p>
    <w:p w14:paraId="39ECE38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4-9、供应商提交响应文件时，出现下列情况之一的，其响应文件将被拒绝接收：</w:t>
      </w:r>
    </w:p>
    <w:p w14:paraId="448B7DD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1、误投的；</w:t>
      </w:r>
    </w:p>
    <w:p w14:paraId="5C031A5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2、逾期提交电子响应文件的。</w:t>
      </w:r>
    </w:p>
    <w:p w14:paraId="18FD5012">
      <w:pPr>
        <w:spacing w:line="360" w:lineRule="auto"/>
        <w:rPr>
          <w:rFonts w:hint="eastAsia" w:ascii="宋体" w:hAnsi="宋体" w:eastAsia="宋体" w:cs="宋体"/>
          <w:color w:val="000000" w:themeColor="text1"/>
          <w:szCs w:val="24"/>
          <w14:textFill>
            <w14:solidFill>
              <w14:schemeClr w14:val="tx1"/>
            </w14:solidFill>
          </w14:textFill>
        </w:rPr>
      </w:pPr>
      <w:bookmarkStart w:id="28" w:name="_Toc30052"/>
      <w:bookmarkStart w:id="29" w:name="_Toc458617458"/>
      <w:bookmarkStart w:id="30" w:name="_Toc458617735"/>
      <w:r>
        <w:rPr>
          <w:rFonts w:hint="eastAsia" w:ascii="宋体" w:hAnsi="宋体" w:eastAsia="宋体" w:cs="宋体"/>
          <w:color w:val="000000" w:themeColor="text1"/>
          <w:szCs w:val="24"/>
          <w14:textFill>
            <w14:solidFill>
              <w14:schemeClr w14:val="tx1"/>
            </w14:solidFill>
          </w14:textFill>
        </w:rPr>
        <w:t>五、</w:t>
      </w:r>
      <w:bookmarkEnd w:id="28"/>
      <w:bookmarkEnd w:id="29"/>
      <w:bookmarkEnd w:id="30"/>
      <w:r>
        <w:rPr>
          <w:rFonts w:hint="eastAsia" w:ascii="宋体" w:hAnsi="宋体" w:eastAsia="宋体" w:cs="宋体"/>
          <w:color w:val="000000" w:themeColor="text1"/>
          <w:szCs w:val="24"/>
          <w14:textFill>
            <w14:solidFill>
              <w14:schemeClr w14:val="tx1"/>
            </w14:solidFill>
          </w14:textFill>
        </w:rPr>
        <w:t>磋商保证金</w:t>
      </w:r>
    </w:p>
    <w:p w14:paraId="01BB2580">
      <w:pPr>
        <w:tabs>
          <w:tab w:val="left" w:pos="7013"/>
        </w:tabs>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1、保证金缴纳方式：见供应商须知前附表。</w:t>
      </w:r>
      <w:r>
        <w:rPr>
          <w:rFonts w:hint="eastAsia" w:ascii="宋体" w:hAnsi="宋体" w:eastAsia="宋体" w:cs="宋体"/>
          <w:color w:val="000000" w:themeColor="text1"/>
          <w:szCs w:val="24"/>
          <w14:textFill>
            <w14:solidFill>
              <w14:schemeClr w14:val="tx1"/>
            </w14:solidFill>
          </w14:textFill>
        </w:rPr>
        <w:tab/>
      </w:r>
    </w:p>
    <w:p w14:paraId="3CFE120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2、保证金缴纳递交截止时间：见供应商须知前附表。</w:t>
      </w:r>
    </w:p>
    <w:p w14:paraId="04B143F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3、退还磋商保证金：</w:t>
      </w:r>
    </w:p>
    <w:p w14:paraId="7E0FB4CD">
      <w:pPr>
        <w:spacing w:line="360" w:lineRule="auto"/>
        <w:ind w:firstLine="482" w:firstLineChars="200"/>
        <w:rPr>
          <w:rFonts w:hint="eastAsia" w:ascii="宋体" w:hAnsi="宋体" w:eastAsia="宋体" w:cs="宋体"/>
          <w:b/>
          <w:bCs/>
          <w:color w:val="000000" w:themeColor="text1"/>
          <w:szCs w:val="24"/>
          <w:u w:val="singl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3-1、</w:t>
      </w:r>
      <w:r>
        <w:rPr>
          <w:rFonts w:hint="eastAsia" w:ascii="宋体" w:hAnsi="宋体" w:eastAsia="宋体" w:cs="宋体"/>
          <w:b/>
          <w:bCs/>
          <w:color w:val="000000" w:themeColor="text1"/>
          <w:szCs w:val="24"/>
          <w:u w:val="single"/>
          <w14:textFill>
            <w14:solidFill>
              <w14:schemeClr w14:val="tx1"/>
            </w14:solidFill>
          </w14:textFill>
        </w:rPr>
        <w:t>在投标截止时间前撤回已提交响应文件的供应商的磋商保证金，将在采购代理机构收到供应商书面撤回通知之日起5个工作日内退还（无息）。</w:t>
      </w:r>
    </w:p>
    <w:p w14:paraId="3C150149">
      <w:pPr>
        <w:spacing w:line="360" w:lineRule="auto"/>
        <w:ind w:firstLine="482" w:firstLineChars="200"/>
        <w:rPr>
          <w:rFonts w:hint="eastAsia" w:ascii="宋体" w:hAnsi="宋体" w:eastAsia="宋体" w:cs="宋体"/>
          <w:b/>
          <w:color w:val="000000" w:themeColor="text1"/>
          <w:szCs w:val="24"/>
          <w:u w:val="single"/>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3-2、</w:t>
      </w:r>
      <w:r>
        <w:rPr>
          <w:rFonts w:hint="eastAsia" w:ascii="宋体" w:hAnsi="宋体" w:eastAsia="宋体" w:cs="宋体"/>
          <w:b/>
          <w:color w:val="000000" w:themeColor="text1"/>
          <w:spacing w:val="-14"/>
          <w:szCs w:val="24"/>
          <w:u w:val="single"/>
          <w14:textFill>
            <w14:solidFill>
              <w14:schemeClr w14:val="tx1"/>
            </w14:solidFill>
          </w14:textFill>
        </w:rPr>
        <w:t>所</w:t>
      </w:r>
      <w:r>
        <w:rPr>
          <w:rFonts w:hint="eastAsia" w:ascii="宋体" w:hAnsi="宋体" w:eastAsia="宋体" w:cs="宋体"/>
          <w:b/>
          <w:color w:val="000000" w:themeColor="text1"/>
          <w:szCs w:val="24"/>
          <w:u w:val="single"/>
          <w14:textFill>
            <w14:solidFill>
              <w14:schemeClr w14:val="tx1"/>
            </w14:solidFill>
          </w14:textFill>
        </w:rPr>
        <w:t>有未中标</w:t>
      </w:r>
      <w:r>
        <w:rPr>
          <w:rFonts w:hint="eastAsia" w:ascii="宋体" w:hAnsi="宋体" w:eastAsia="宋体" w:cs="宋体"/>
          <w:b/>
          <w:bCs/>
          <w:color w:val="000000" w:themeColor="text1"/>
          <w:szCs w:val="24"/>
          <w:u w:val="single"/>
          <w14:textFill>
            <w14:solidFill>
              <w14:schemeClr w14:val="tx1"/>
            </w14:solidFill>
          </w14:textFill>
        </w:rPr>
        <w:t>供应商</w:t>
      </w:r>
      <w:r>
        <w:rPr>
          <w:rFonts w:hint="eastAsia" w:ascii="宋体" w:hAnsi="宋体" w:eastAsia="宋体" w:cs="宋体"/>
          <w:b/>
          <w:color w:val="000000" w:themeColor="text1"/>
          <w:szCs w:val="24"/>
          <w:u w:val="single"/>
          <w14:textFill>
            <w14:solidFill>
              <w14:schemeClr w14:val="tx1"/>
            </w14:solidFill>
          </w14:textFill>
        </w:rPr>
        <w:t>的磋商保证金，将在</w:t>
      </w:r>
      <w:r>
        <w:rPr>
          <w:rFonts w:hint="eastAsia" w:ascii="宋体" w:hAnsi="宋体" w:eastAsia="宋体" w:cs="宋体"/>
          <w:b/>
          <w:color w:val="000000" w:themeColor="text1"/>
          <w:szCs w:val="24"/>
          <w:u w:val="single"/>
          <w:lang w:val="en-US" w:eastAsia="zh-CN"/>
          <w14:textFill>
            <w14:solidFill>
              <w14:schemeClr w14:val="tx1"/>
            </w14:solidFill>
          </w14:textFill>
        </w:rPr>
        <w:t>成交</w:t>
      </w:r>
      <w:r>
        <w:rPr>
          <w:rFonts w:hint="eastAsia" w:ascii="宋体" w:hAnsi="宋体" w:eastAsia="宋体" w:cs="宋体"/>
          <w:b/>
          <w:color w:val="000000" w:themeColor="text1"/>
          <w:szCs w:val="24"/>
          <w:u w:val="single"/>
          <w14:textFill>
            <w14:solidFill>
              <w14:schemeClr w14:val="tx1"/>
            </w14:solidFill>
          </w14:textFill>
        </w:rPr>
        <w:t>通知书发出后5个工作日内退还（无息）。</w:t>
      </w:r>
    </w:p>
    <w:p w14:paraId="5CB76AB8">
      <w:pPr>
        <w:spacing w:line="360" w:lineRule="auto"/>
        <w:ind w:firstLine="482" w:firstLineChars="200"/>
        <w:rPr>
          <w:rFonts w:hint="eastAsia" w:ascii="宋体" w:hAnsi="宋体" w:eastAsia="宋体" w:cs="宋体"/>
          <w:b/>
          <w:bCs/>
          <w:color w:val="000000" w:themeColor="text1"/>
          <w:szCs w:val="24"/>
          <w:u w:val="singl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3-3、</w:t>
      </w:r>
      <w:r>
        <w:rPr>
          <w:rFonts w:hint="eastAsia" w:ascii="宋体" w:hAnsi="宋体" w:eastAsia="宋体" w:cs="宋体"/>
          <w:b/>
          <w:bCs/>
          <w:color w:val="000000" w:themeColor="text1"/>
          <w:szCs w:val="24"/>
          <w:u w:val="single"/>
          <w:lang w:val="en-US" w:eastAsia="zh-CN"/>
          <w14:textFill>
            <w14:solidFill>
              <w14:schemeClr w14:val="tx1"/>
            </w14:solidFill>
          </w14:textFill>
        </w:rPr>
        <w:t>成交</w:t>
      </w:r>
      <w:r>
        <w:rPr>
          <w:rFonts w:hint="eastAsia" w:ascii="宋体" w:hAnsi="宋体" w:eastAsia="宋体" w:cs="宋体"/>
          <w:b/>
          <w:bCs/>
          <w:color w:val="000000" w:themeColor="text1"/>
          <w:szCs w:val="24"/>
          <w:u w:val="single"/>
          <w14:textFill>
            <w14:solidFill>
              <w14:schemeClr w14:val="tx1"/>
            </w14:solidFill>
          </w14:textFill>
        </w:rPr>
        <w:t>供应商的磋商保证金，将在合同签订后</w:t>
      </w:r>
      <w:r>
        <w:rPr>
          <w:rFonts w:hint="eastAsia" w:ascii="宋体" w:hAnsi="宋体" w:eastAsia="宋体" w:cs="宋体"/>
          <w:b/>
          <w:color w:val="000000" w:themeColor="text1"/>
          <w:szCs w:val="24"/>
          <w:u w:val="single"/>
          <w14:textFill>
            <w14:solidFill>
              <w14:schemeClr w14:val="tx1"/>
            </w14:solidFill>
          </w14:textFill>
        </w:rPr>
        <w:t>5个工作日内</w:t>
      </w:r>
      <w:r>
        <w:rPr>
          <w:rFonts w:hint="eastAsia" w:ascii="宋体" w:hAnsi="宋体" w:eastAsia="宋体" w:cs="宋体"/>
          <w:b/>
          <w:bCs/>
          <w:color w:val="000000" w:themeColor="text1"/>
          <w:szCs w:val="24"/>
          <w:u w:val="single"/>
          <w14:textFill>
            <w14:solidFill>
              <w14:schemeClr w14:val="tx1"/>
            </w14:solidFill>
          </w14:textFill>
        </w:rPr>
        <w:t>执合同予以退还（无息）。</w:t>
      </w:r>
    </w:p>
    <w:p w14:paraId="2F849691">
      <w:pPr>
        <w:tabs>
          <w:tab w:val="left" w:pos="2700"/>
        </w:tabs>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4、发生下列情况之一时，磋商保证金将不予退还：</w:t>
      </w:r>
    </w:p>
    <w:p w14:paraId="7661FED1">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w:t>
      </w:r>
      <w:r>
        <w:rPr>
          <w:rFonts w:hint="eastAsia" w:ascii="宋体" w:hAnsi="宋体" w:eastAsia="宋体" w:cs="宋体"/>
          <w:color w:val="000000" w:themeColor="text1"/>
          <w:szCs w:val="24"/>
          <w:u w:val="single"/>
          <w14:textFill>
            <w14:solidFill>
              <w14:schemeClr w14:val="tx1"/>
            </w14:solidFill>
          </w14:textFill>
        </w:rPr>
        <w:t>供应商提供虚假资质谋取中标的；</w:t>
      </w:r>
    </w:p>
    <w:p w14:paraId="3E463D84">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w:t>
      </w:r>
      <w:r>
        <w:rPr>
          <w:rFonts w:hint="eastAsia" w:ascii="宋体" w:hAnsi="宋体" w:eastAsia="宋体" w:cs="宋体"/>
          <w:color w:val="000000" w:themeColor="text1"/>
          <w:szCs w:val="24"/>
          <w:u w:val="single"/>
          <w14:textFill>
            <w14:solidFill>
              <w14:schemeClr w14:val="tx1"/>
            </w14:solidFill>
          </w14:textFill>
        </w:rPr>
        <w:t>有围标、串标现象，经查证属实的；</w:t>
      </w:r>
    </w:p>
    <w:p w14:paraId="7086B49D">
      <w:pPr>
        <w:spacing w:line="360" w:lineRule="auto"/>
        <w:ind w:left="574" w:leftChars="239"/>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w:t>
      </w:r>
      <w:r>
        <w:rPr>
          <w:rFonts w:hint="eastAsia" w:ascii="宋体" w:hAnsi="宋体" w:eastAsia="宋体" w:cs="宋体"/>
          <w:color w:val="000000" w:themeColor="text1"/>
          <w:szCs w:val="24"/>
          <w:u w:val="single"/>
          <w14:textFill>
            <w14:solidFill>
              <w14:schemeClr w14:val="tx1"/>
            </w14:solidFill>
          </w14:textFill>
        </w:rPr>
        <w:t>供应商在竞争性磋商文件规定的投标有效期内撤回投标的；</w:t>
      </w:r>
    </w:p>
    <w:p w14:paraId="17100B90">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w:t>
      </w:r>
      <w:r>
        <w:rPr>
          <w:rFonts w:hint="eastAsia" w:ascii="宋体" w:hAnsi="宋体" w:eastAsia="宋体" w:cs="宋体"/>
          <w:color w:val="000000" w:themeColor="text1"/>
          <w:szCs w:val="24"/>
          <w:u w:val="single"/>
          <w14:textFill>
            <w14:solidFill>
              <w14:schemeClr w14:val="tx1"/>
            </w14:solidFill>
          </w14:textFill>
        </w:rPr>
        <w:t>供应商自行放弃成交资格的；</w:t>
      </w:r>
    </w:p>
    <w:p w14:paraId="5B28E118">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w:t>
      </w:r>
      <w:r>
        <w:rPr>
          <w:rFonts w:hint="eastAsia" w:ascii="宋体" w:hAnsi="宋体" w:eastAsia="宋体" w:cs="宋体"/>
          <w:color w:val="000000" w:themeColor="text1"/>
          <w:szCs w:val="24"/>
          <w:u w:val="single"/>
          <w14:textFill>
            <w14:solidFill>
              <w14:schemeClr w14:val="tx1"/>
            </w14:solidFill>
          </w14:textFill>
        </w:rPr>
        <w:t>成交人不在规定的时效内领取《成交通知书》的；</w:t>
      </w:r>
    </w:p>
    <w:p w14:paraId="71B5284C">
      <w:pPr>
        <w:spacing w:line="360" w:lineRule="auto"/>
        <w:ind w:left="1294" w:leftChars="239" w:hanging="720" w:hangingChars="300"/>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en-US" w:eastAsia="zh-CN"/>
          <w14:textFill>
            <w14:solidFill>
              <w14:schemeClr w14:val="tx1"/>
            </w14:solidFill>
          </w14:textFill>
        </w:rPr>
        <w:t>6</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u w:val="single"/>
          <w14:textFill>
            <w14:solidFill>
              <w14:schemeClr w14:val="tx1"/>
            </w14:solidFill>
          </w14:textFill>
        </w:rPr>
        <w:t>成交人因自身原因未能在规定期限内与采购人签订合同的；</w:t>
      </w:r>
    </w:p>
    <w:p w14:paraId="75A7A370">
      <w:pPr>
        <w:spacing w:line="360" w:lineRule="auto"/>
        <w:ind w:left="1294" w:leftChars="239" w:hanging="720" w:hangingChars="3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w:t>
      </w:r>
      <w:r>
        <w:rPr>
          <w:rFonts w:hint="eastAsia" w:ascii="宋体" w:hAnsi="宋体" w:eastAsia="宋体" w:cs="宋体"/>
          <w:color w:val="000000" w:themeColor="text1"/>
          <w:szCs w:val="24"/>
          <w:u w:val="single"/>
          <w14:textFill>
            <w14:solidFill>
              <w14:schemeClr w14:val="tx1"/>
            </w14:solidFill>
          </w14:textFill>
        </w:rPr>
        <w:t>供应商交纳磋商保证金后，无故不参加投标活动的。</w:t>
      </w:r>
    </w:p>
    <w:p w14:paraId="61E344AA">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31" w:name="_Toc12278"/>
      <w:bookmarkStart w:id="32" w:name="_Toc458617459"/>
      <w:bookmarkStart w:id="33" w:name="_Toc458617736"/>
      <w:r>
        <w:rPr>
          <w:rFonts w:hint="eastAsia" w:ascii="宋体" w:hAnsi="宋体" w:eastAsia="宋体" w:cs="宋体"/>
          <w:color w:val="000000" w:themeColor="text1"/>
          <w:kern w:val="0"/>
          <w:sz w:val="28"/>
          <w:szCs w:val="28"/>
          <w14:textFill>
            <w14:solidFill>
              <w14:schemeClr w14:val="tx1"/>
            </w14:solidFill>
          </w14:textFill>
        </w:rPr>
        <w:t>六、投标</w:t>
      </w:r>
      <w:bookmarkEnd w:id="31"/>
      <w:bookmarkEnd w:id="32"/>
      <w:bookmarkEnd w:id="33"/>
    </w:p>
    <w:p w14:paraId="23545C9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4" w:name="_Toc29578"/>
      <w:bookmarkStart w:id="35" w:name="_Toc458617460"/>
      <w:bookmarkStart w:id="36" w:name="_Toc458617737"/>
      <w:r>
        <w:rPr>
          <w:rFonts w:hint="eastAsia" w:ascii="宋体" w:hAnsi="宋体" w:eastAsia="宋体" w:cs="宋体"/>
          <w:bCs/>
          <w:color w:val="auto"/>
          <w:sz w:val="24"/>
          <w:szCs w:val="24"/>
          <w:highlight w:val="none"/>
        </w:rPr>
        <w:t>供应商应在供应商须知前附表规定的投标截止时间前，通过互联网使用CA 数字证书登录全国公共资源交易平台（陕西省宝鸡市）宝鸡市公共资源交易中心（</w:t>
      </w:r>
      <w:r>
        <w:rPr>
          <w:rFonts w:hint="eastAsia" w:ascii="宋体" w:hAnsi="宋体" w:eastAsia="宋体" w:cs="宋体"/>
          <w:color w:val="auto"/>
          <w:shd w:val="clear" w:color="auto" w:fill="FFFFFF"/>
        </w:rPr>
        <w:t>http://ggzy.baoji.gov.cn/</w:t>
      </w:r>
      <w:r>
        <w:rPr>
          <w:rFonts w:hint="eastAsia" w:ascii="宋体" w:hAnsi="宋体" w:eastAsia="宋体" w:cs="宋体"/>
          <w:bCs/>
          <w:color w:val="auto"/>
          <w:sz w:val="24"/>
          <w:szCs w:val="24"/>
          <w:highlight w:val="none"/>
        </w:rPr>
        <w:t>）“电子交易平台”，将加密的响应文件上传，递交时间即为电子签收凭证时间。供应商应充分考虑上传文件时的不可预见因素，未在投标截止时间前完成上传的，视为逾期送达，采购人（“电子交易平台”）将拒绝接收。</w:t>
      </w:r>
      <w:r>
        <w:rPr>
          <w:rFonts w:hint="eastAsia" w:ascii="宋体" w:hAnsi="宋体" w:eastAsia="宋体" w:cs="宋体"/>
          <w:color w:val="000000" w:themeColor="text1"/>
          <w:szCs w:val="24"/>
          <w14:textFill>
            <w14:solidFill>
              <w14:schemeClr w14:val="tx1"/>
            </w14:solidFill>
          </w14:textFill>
        </w:rPr>
        <w:t xml:space="preserve"> </w:t>
      </w:r>
    </w:p>
    <w:p w14:paraId="16FF2719">
      <w:pPr>
        <w:spacing w:line="360" w:lineRule="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七、开标、评标和定标</w:t>
      </w:r>
      <w:bookmarkEnd w:id="34"/>
      <w:bookmarkEnd w:id="35"/>
      <w:bookmarkEnd w:id="36"/>
    </w:p>
    <w:p w14:paraId="08EA8C6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1、开标： </w:t>
      </w:r>
    </w:p>
    <w:p w14:paraId="2EA0E51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1.1开标时间和地点</w:t>
      </w:r>
    </w:p>
    <w:p w14:paraId="6FC63B1D">
      <w:pPr>
        <w:spacing w:line="360" w:lineRule="auto"/>
        <w:ind w:firstLine="480" w:firstLineChars="200"/>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采购代理机构按竞争性磋商文件规定的</w:t>
      </w:r>
      <w:r>
        <w:rPr>
          <w:rFonts w:hint="eastAsia" w:ascii="宋体" w:hAnsi="宋体" w:eastAsia="宋体" w:cs="宋体"/>
          <w:color w:val="auto"/>
          <w:szCs w:val="24"/>
          <w:highlight w:val="none"/>
          <w:lang w:val="en-US" w:eastAsia="zh-CN"/>
        </w:rPr>
        <w:t>时间登录不见面开标大厅</w:t>
      </w:r>
      <w:r>
        <w:rPr>
          <w:rFonts w:hint="eastAsia" w:ascii="宋体" w:hAnsi="宋体" w:eastAsia="宋体" w:cs="宋体"/>
          <w:spacing w:val="-2"/>
          <w:highlight w:val="none"/>
          <w:lang w:val="en-US" w:eastAsia="zh-CN"/>
        </w:rPr>
        <w:t>，</w:t>
      </w:r>
      <w:r>
        <w:rPr>
          <w:rFonts w:hint="eastAsia" w:ascii="宋体" w:hAnsi="宋体" w:eastAsia="宋体" w:cs="宋体"/>
          <w:color w:val="auto"/>
          <w:szCs w:val="24"/>
          <w:highlight w:val="none"/>
        </w:rPr>
        <w:t>因供应商自身</w:t>
      </w:r>
      <w:r>
        <w:rPr>
          <w:rFonts w:hint="eastAsia" w:ascii="宋体" w:hAnsi="宋体" w:eastAsia="宋体" w:cs="宋体"/>
          <w:color w:val="auto"/>
          <w:szCs w:val="24"/>
          <w:highlight w:val="none"/>
          <w:lang w:val="en-US" w:eastAsia="zh-CN"/>
        </w:rPr>
        <w:t>设备</w:t>
      </w:r>
      <w:r>
        <w:rPr>
          <w:rFonts w:hint="eastAsia" w:ascii="宋体" w:hAnsi="宋体" w:eastAsia="宋体" w:cs="宋体"/>
          <w:color w:val="auto"/>
          <w:szCs w:val="24"/>
          <w:highlight w:val="none"/>
        </w:rPr>
        <w:t>故障或自身原因导致无法完成投标的，由供应商自行承担后果</w:t>
      </w:r>
      <w:r>
        <w:rPr>
          <w:rFonts w:hint="eastAsia" w:ascii="宋体" w:hAnsi="宋体" w:eastAsia="宋体" w:cs="宋体"/>
          <w:color w:val="auto"/>
          <w:szCs w:val="24"/>
          <w:highlight w:val="none"/>
          <w:lang w:eastAsia="zh-CN"/>
        </w:rPr>
        <w:t>，</w:t>
      </w:r>
      <w:r>
        <w:rPr>
          <w:rFonts w:hint="eastAsia" w:ascii="宋体" w:hAnsi="宋体" w:eastAsia="宋体" w:cs="宋体"/>
          <w:color w:val="auto"/>
          <w:szCs w:val="24"/>
          <w:highlight w:val="none"/>
          <w:lang w:val="en-US" w:eastAsia="zh-CN"/>
        </w:rPr>
        <w:t>磋商整个过程接受监督部门的监督。</w:t>
      </w:r>
    </w:p>
    <w:p w14:paraId="22C80C2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1.2开标程序</w:t>
      </w:r>
    </w:p>
    <w:p w14:paraId="614474A0">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1）采购代理机构在规定的时间和地点组织线上磋商，投标单位须委派代表线上参会； </w:t>
      </w:r>
    </w:p>
    <w:p w14:paraId="49B0C81D">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2）开标时，供应商须提前进入不见面开标大厅、等待开标并签到、公布开标纪律、查看投标人名单、标书解密、批量导入、等待二次报价（</w:t>
      </w:r>
      <w:r>
        <w:rPr>
          <w:rFonts w:hint="eastAsia" w:ascii="宋体" w:hAnsi="宋体" w:eastAsia="宋体" w:cs="宋体"/>
          <w:b/>
          <w:bCs/>
          <w:color w:val="auto"/>
          <w:szCs w:val="24"/>
          <w:highlight w:val="none"/>
          <w:lang w:val="en-US" w:eastAsia="zh-CN"/>
        </w:rPr>
        <w:t>各供应商签到内容应含供应商联系人及联系电话，确保在磋商环节采购代理机构工作人员能及时有效的联系沟通，确保各供应商能及时进行响应和在规定时间内进行最终报价。等待时不可退出系统，如退出系统后果自行承担。</w:t>
      </w:r>
      <w:r>
        <w:rPr>
          <w:rFonts w:hint="eastAsia" w:ascii="宋体" w:hAnsi="宋体" w:eastAsia="宋体" w:cs="宋体"/>
          <w:color w:val="auto"/>
          <w:szCs w:val="24"/>
          <w:highlight w:val="none"/>
          <w:lang w:val="en-US" w:eastAsia="zh-CN"/>
        </w:rPr>
        <w:t>）；</w:t>
      </w:r>
    </w:p>
    <w:p w14:paraId="7BA30C07">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3）文字异议：投标人开标开始之后到开标结束之前，可以通过文字向主持人提问； </w:t>
      </w:r>
    </w:p>
    <w:p w14:paraId="39700D34">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4）不见面询标：投标人在收到评委的质询处理后进入询标； </w:t>
      </w:r>
    </w:p>
    <w:p w14:paraId="73534F87">
      <w:pPr>
        <w:spacing w:line="360" w:lineRule="auto"/>
        <w:ind w:firstLine="480" w:firstLineChars="200"/>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5）多轮报价：投标人在收到评委发起的多轮报价后进入报价页面进行二次报价； </w:t>
      </w:r>
    </w:p>
    <w:p w14:paraId="78E9EB62">
      <w:pPr>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lang w:val="en-US" w:eastAsia="zh-CN"/>
        </w:rPr>
        <w:t xml:space="preserve">6）输入报价后签章提交； </w:t>
      </w:r>
    </w:p>
    <w:p w14:paraId="4D221307">
      <w:pPr>
        <w:spacing w:line="360" w:lineRule="auto"/>
        <w:ind w:firstLine="480" w:firstLineChars="200"/>
        <w:rPr>
          <w:rFonts w:hint="eastAsia" w:ascii="宋体" w:hAnsi="宋体" w:eastAsia="宋体" w:cs="宋体"/>
          <w:color w:val="auto"/>
          <w:szCs w:val="24"/>
          <w:lang w:val="en-US" w:eastAsia="zh-CN"/>
        </w:rPr>
      </w:pPr>
      <w:r>
        <w:rPr>
          <w:rFonts w:hint="eastAsia" w:ascii="宋体" w:hAnsi="宋体" w:eastAsia="宋体" w:cs="宋体"/>
          <w:color w:val="auto"/>
          <w:szCs w:val="24"/>
          <w:highlight w:val="none"/>
        </w:rPr>
        <w:t>（</w:t>
      </w:r>
      <w:r>
        <w:rPr>
          <w:rFonts w:hint="eastAsia" w:ascii="宋体" w:hAnsi="宋体" w:eastAsia="宋体" w:cs="宋体"/>
          <w:color w:val="auto"/>
          <w:szCs w:val="24"/>
          <w:lang w:val="en-US" w:eastAsia="zh-CN"/>
        </w:rPr>
        <w:t>7）采购代理机构做好开标记录。</w:t>
      </w:r>
    </w:p>
    <w:p w14:paraId="7BB7BD5B">
      <w:pPr>
        <w:spacing w:line="360" w:lineRule="auto"/>
        <w:ind w:firstLine="723" w:firstLineChars="300"/>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注:投标供应商在整个磋商过程中因退出不见面开标系统或未及时接受在线磋商通知或因自身原因导致无法正常进行磋商的，导致的不利后果由供应商自行承担。</w:t>
      </w:r>
    </w:p>
    <w:p w14:paraId="1669A975">
      <w:pPr>
        <w:spacing w:line="360" w:lineRule="auto"/>
        <w:ind w:firstLine="482" w:firstLineChars="200"/>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磋商小组完成在线磋商后发起最后报价，投标供应商可通过“不见面开标大厅”直接跳转到二次报价页面进行报价并签章后提交。最后报价一旦提交后，供应商不得以任何理由撤回，供应商未按磋商小组要求在规定时间内提交最后报价的，视为其退出磋商。</w:t>
      </w:r>
    </w:p>
    <w:p w14:paraId="0189D68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1.3、在开标环节出现下列情况之一的，其电子响应文件视为无效文件：</w:t>
      </w:r>
    </w:p>
    <w:p w14:paraId="2B53D18E">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highlight w:val="none"/>
        </w:rPr>
        <w:t>（1）供应商拒绝对电子响应文件进行解</w:t>
      </w:r>
      <w:r>
        <w:rPr>
          <w:rFonts w:hint="eastAsia" w:ascii="宋体" w:hAnsi="宋体" w:eastAsia="宋体" w:cs="宋体"/>
          <w:color w:val="auto"/>
          <w:szCs w:val="24"/>
        </w:rPr>
        <w:t>密的；</w:t>
      </w:r>
    </w:p>
    <w:p w14:paraId="32396AAE">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（2）因供应商自身原因（如未带 CA 锁、或所带 CA 锁与制作电子响应文件使用的 CA 锁不一致、或沿用旧版竞争性磋商文件编制响应文件等情形），导致在规定时间内无法解密响应文件的；</w:t>
      </w:r>
    </w:p>
    <w:p w14:paraId="1FA966B8">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（3）上传的电子响应文件无法打开的；</w:t>
      </w:r>
    </w:p>
    <w:p w14:paraId="33A51CB9">
      <w:pPr>
        <w:spacing w:line="360" w:lineRule="auto"/>
        <w:ind w:firstLine="480" w:firstLineChars="200"/>
        <w:rPr>
          <w:rFonts w:hint="eastAsia" w:ascii="宋体" w:hAnsi="宋体" w:eastAsia="宋体" w:cs="宋体"/>
          <w:color w:val="auto"/>
          <w:szCs w:val="24"/>
        </w:rPr>
      </w:pPr>
      <w:r>
        <w:rPr>
          <w:rFonts w:hint="eastAsia" w:ascii="宋体" w:hAnsi="宋体" w:eastAsia="宋体" w:cs="宋体"/>
          <w:color w:val="auto"/>
          <w:szCs w:val="24"/>
        </w:rPr>
        <w:t>（4）政府采购法律法规规定的其他无效情形。</w:t>
      </w:r>
    </w:p>
    <w:p w14:paraId="66C9D62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1.4当出现以下情况时，应对未开标的中止电子开标，并在恢复正常后及时安排时间开标： </w:t>
      </w:r>
    </w:p>
    <w:p w14:paraId="3195167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（1）系统服务器发生故障，无法访问或无法使用系统； </w:t>
      </w:r>
    </w:p>
    <w:p w14:paraId="6E3B030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（2）系统的软件或数据库出现错误，不能进行正常操作； </w:t>
      </w:r>
    </w:p>
    <w:p w14:paraId="2D19640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（3）系统发现有安全漏洞，有潜在的泄密危险； </w:t>
      </w:r>
    </w:p>
    <w:p w14:paraId="65BD28C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（4）出现断电事故且短时间内无法恢复供电； </w:t>
      </w:r>
    </w:p>
    <w:p w14:paraId="25BDD63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（5）其他无法保证招投标过程正常进行的情形。</w:t>
      </w:r>
    </w:p>
    <w:p w14:paraId="506D0336">
      <w:pPr>
        <w:spacing w:line="360" w:lineRule="auto"/>
        <w:ind w:firstLine="480" w:firstLineChars="200"/>
        <w:rPr>
          <w:rFonts w:hint="eastAsia" w:ascii="宋体" w:hAnsi="宋体" w:eastAsia="宋体" w:cs="宋体"/>
        </w:rPr>
      </w:pPr>
      <w:r>
        <w:rPr>
          <w:rFonts w:hint="eastAsia" w:ascii="宋体" w:hAnsi="宋体" w:eastAsia="宋体" w:cs="宋体"/>
          <w:color w:val="000000" w:themeColor="text1"/>
          <w:szCs w:val="24"/>
          <w14:textFill>
            <w14:solidFill>
              <w14:schemeClr w14:val="tx1"/>
            </w14:solidFill>
          </w14:textFill>
        </w:rPr>
        <w:t>1.5终止电子开标时，必须对原有资料及信息作出妥善保密处理。</w:t>
      </w:r>
    </w:p>
    <w:p w14:paraId="7BA0FF71">
      <w:pPr>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2、评标</w:t>
      </w:r>
    </w:p>
    <w:p w14:paraId="033DBA9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w:t>
      </w:r>
      <w:r>
        <w:rPr>
          <w:rFonts w:hint="eastAsia" w:ascii="宋体" w:hAnsi="宋体" w:eastAsia="宋体" w:cs="宋体"/>
          <w:bCs/>
          <w:color w:val="000000" w:themeColor="text1"/>
          <w:szCs w:val="24"/>
          <w14:textFill>
            <w14:solidFill>
              <w14:schemeClr w14:val="tx1"/>
            </w14:solidFill>
          </w14:textFill>
        </w:rPr>
        <w:t>磋商小组</w:t>
      </w:r>
    </w:p>
    <w:p w14:paraId="25D8C6DC">
      <w:pPr>
        <w:spacing w:line="360" w:lineRule="auto"/>
        <w:ind w:firstLine="480" w:firstLineChars="200"/>
        <w:rPr>
          <w:rFonts w:hint="eastAsia" w:ascii="宋体" w:hAnsi="宋体" w:eastAsia="宋体" w:cs="宋体"/>
          <w:color w:val="000000" w:themeColor="text1"/>
          <w:szCs w:val="24"/>
          <w:lang w:val="en-US" w:eastAsia="zh-CN"/>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（1）采购代理机构根据《中华人民共和国政府采购法》及其实施条例、《政府采购竞争性磋商采购方式管理暂行办法》（财库〔2014〕214号）等规定，依法组建</w:t>
      </w:r>
      <w:r>
        <w:rPr>
          <w:rFonts w:hint="eastAsia" w:ascii="宋体" w:hAnsi="宋体" w:eastAsia="宋体" w:cs="宋体"/>
          <w:color w:val="000000" w:themeColor="text1"/>
          <w:szCs w:val="24"/>
          <w:lang w:val="en-US" w:eastAsia="zh-CN"/>
          <w14:textFill>
            <w14:solidFill>
              <w14:schemeClr w14:val="tx1"/>
            </w14:solidFill>
          </w14:textFill>
        </w:rPr>
        <w:t>磋商小组 。</w:t>
      </w:r>
    </w:p>
    <w:p w14:paraId="5EF7996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（2）采购人派代表进入评标室时，须向采购代理机构出具授权函。</w:t>
      </w:r>
    </w:p>
    <w:p w14:paraId="0E42E21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（3）磋商小组成员应推荐一名评审专家担任评审组长，并由评审组长牵头组织该项目评审工作，采购人代表不得担任评审组长。</w:t>
      </w:r>
    </w:p>
    <w:p w14:paraId="6666080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（4）磋商小组成员不得参加开标活动。</w:t>
      </w:r>
    </w:p>
    <w:p w14:paraId="5A9CB0B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（5）磋商小组成员应当遵守并履行下列职责义务：</w:t>
      </w:r>
    </w:p>
    <w:p w14:paraId="1BD0755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a、遵纪守法，客观、公正、认真负责地履行职责，根据竞争性磋商文件规定的评标程序、评标方法和评标标准审查响应文件；</w:t>
      </w:r>
    </w:p>
    <w:p w14:paraId="5846330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b、符合性审查、评价响应文件是否符合竞争性磋商文件的商务、技术等实质性要求；</w:t>
      </w:r>
    </w:p>
    <w:p w14:paraId="519D061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c、要求供应商对响应文件有关事项作出澄清或者说明；</w:t>
      </w:r>
    </w:p>
    <w:p w14:paraId="25C77CF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d、对响应文件进行比较和评价；</w:t>
      </w:r>
    </w:p>
    <w:p w14:paraId="6739DAF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e、确定成交候选人名单，以及根据采购人委托直接确定成交人；</w:t>
      </w:r>
    </w:p>
    <w:p w14:paraId="366C4EB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f、向采购人、采购代理机构或者有关部门报告评标中发现的违法行为； </w:t>
      </w:r>
    </w:p>
    <w:p w14:paraId="0856C161">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g、对评标过程及各供应商的商业机密予以保密；</w:t>
      </w:r>
    </w:p>
    <w:p w14:paraId="3D16D14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h、配合采购人、采购代理机构答复各供应商提出的质疑；</w:t>
      </w:r>
    </w:p>
    <w:p w14:paraId="1A87A8A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i、配合各部门的投诉处理和监督检查工作。</w:t>
      </w:r>
    </w:p>
    <w:p w14:paraId="0960F7C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2-2、在政府采购活动中，采购人员及相关人员（包括磋商小组）与供应商有下列利害关系之一的，应当回避：</w:t>
      </w:r>
    </w:p>
    <w:p w14:paraId="31E98E8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（1）参加采购活动前3年内与供应商存在劳动关系；</w:t>
      </w:r>
    </w:p>
    <w:p w14:paraId="7D1A0DFA">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（2）参加采购活动前3年内担任供应商的董事、监事；</w:t>
      </w:r>
    </w:p>
    <w:p w14:paraId="01AF99E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（3）参加采购活动前3年内是供应商的控股股东或者实际控制人；</w:t>
      </w:r>
    </w:p>
    <w:p w14:paraId="42BB9E4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（4）与供应商的法定代表人或者负责人有夫妻、直系血亲、三代以内旁系血亲或者近姻亲关系；</w:t>
      </w:r>
    </w:p>
    <w:p w14:paraId="17589D2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（5）与供应商有其他可能影响政府采购活动公平、公正进行的关系。</w:t>
      </w:r>
    </w:p>
    <w:p w14:paraId="2DD7BD82">
      <w:pPr>
        <w:spacing w:line="360" w:lineRule="auto"/>
        <w:ind w:firstLine="480" w:firstLineChars="200"/>
        <w:rPr>
          <w:rFonts w:hint="eastAsia" w:ascii="宋体" w:hAnsi="宋体" w:eastAsia="宋体" w:cs="宋体"/>
          <w:bCs/>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2-3、评标原则：</w:t>
      </w:r>
      <w:r>
        <w:rPr>
          <w:rFonts w:hint="eastAsia" w:ascii="宋体" w:hAnsi="宋体" w:eastAsia="宋体" w:cs="宋体"/>
          <w:color w:val="000000" w:themeColor="text1"/>
          <w:szCs w:val="24"/>
          <w14:textFill>
            <w14:solidFill>
              <w14:schemeClr w14:val="tx1"/>
            </w14:solidFill>
          </w14:textFill>
        </w:rPr>
        <w:t>坚持公平、公正、科学、择优原则，禁止不正当竞争。</w:t>
      </w:r>
    </w:p>
    <w:p w14:paraId="510F9E6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Cs/>
          <w:color w:val="000000" w:themeColor="text1"/>
          <w:szCs w:val="24"/>
          <w14:textFill>
            <w14:solidFill>
              <w14:schemeClr w14:val="tx1"/>
            </w14:solidFill>
          </w14:textFill>
        </w:rPr>
        <w:t>2-4、评标办法</w:t>
      </w:r>
      <w:r>
        <w:rPr>
          <w:rFonts w:hint="eastAsia" w:ascii="宋体" w:hAnsi="宋体" w:eastAsia="宋体" w:cs="宋体"/>
          <w:color w:val="000000" w:themeColor="text1"/>
          <w:szCs w:val="24"/>
          <w14:textFill>
            <w14:solidFill>
              <w14:schemeClr w14:val="tx1"/>
            </w14:solidFill>
          </w14:textFill>
        </w:rPr>
        <w:t>：本次招标采用综合评分法（详见本节评分标准）。</w:t>
      </w:r>
    </w:p>
    <w:p w14:paraId="10D7B312">
      <w:pPr>
        <w:spacing w:line="360" w:lineRule="auto"/>
        <w:ind w:firstLine="482"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2-5、评标工作程序：</w:t>
      </w:r>
      <w:r>
        <w:rPr>
          <w:rFonts w:hint="eastAsia" w:ascii="宋体" w:hAnsi="宋体" w:eastAsia="宋体" w:cs="宋体"/>
          <w:color w:val="000000" w:themeColor="text1"/>
          <w:kern w:val="0"/>
          <w14:textFill>
            <w14:solidFill>
              <w14:schemeClr w14:val="tx1"/>
            </w14:solidFill>
          </w14:textFill>
        </w:rPr>
        <w:t>资格审查、</w:t>
      </w:r>
      <w:r>
        <w:rPr>
          <w:rFonts w:hint="eastAsia" w:ascii="宋体" w:hAnsi="宋体" w:eastAsia="宋体" w:cs="宋体"/>
          <w:color w:val="000000" w:themeColor="text1"/>
          <w:szCs w:val="24"/>
          <w14:textFill>
            <w14:solidFill>
              <w14:schemeClr w14:val="tx1"/>
            </w14:solidFill>
          </w14:textFill>
        </w:rPr>
        <w:t>符合性审查、最后报价、澄清、评价（详评）、推荐中标候选人的工作程序进行评标。</w:t>
      </w:r>
    </w:p>
    <w:p w14:paraId="439CCB20">
      <w:pPr>
        <w:spacing w:line="500" w:lineRule="exact"/>
        <w:ind w:firstLine="482" w:firstLineChars="200"/>
        <w:rPr>
          <w:rFonts w:hint="eastAsia" w:ascii="宋体" w:hAnsi="宋体" w:eastAsia="宋体" w:cs="宋体"/>
          <w:color w:val="auto"/>
          <w:spacing w:val="-2"/>
          <w:sz w:val="24"/>
          <w:szCs w:val="24"/>
          <w:highlight w:val="none"/>
          <w:lang w:val="en-US" w:eastAsia="zh-CN"/>
        </w:rPr>
      </w:pPr>
      <w:r>
        <w:rPr>
          <w:rFonts w:hint="eastAsia" w:ascii="宋体" w:hAnsi="宋体" w:eastAsia="宋体" w:cs="宋体"/>
          <w:b/>
          <w:bCs/>
          <w:color w:val="auto"/>
        </w:rPr>
        <w:t>2-5-1、</w:t>
      </w:r>
      <w:r>
        <w:rPr>
          <w:rFonts w:hint="eastAsia" w:ascii="宋体" w:hAnsi="宋体" w:eastAsia="宋体" w:cs="宋体"/>
          <w:b/>
          <w:bCs/>
          <w:color w:val="auto"/>
          <w:sz w:val="24"/>
          <w:szCs w:val="24"/>
        </w:rPr>
        <w:t>资格审查</w:t>
      </w:r>
      <w:r>
        <w:rPr>
          <w:rFonts w:hint="eastAsia" w:ascii="宋体" w:hAnsi="宋体" w:eastAsia="宋体" w:cs="宋体"/>
          <w:color w:val="auto"/>
          <w:sz w:val="24"/>
          <w:szCs w:val="24"/>
        </w:rPr>
        <w:t>：</w:t>
      </w:r>
      <w:r>
        <w:rPr>
          <w:rFonts w:hint="eastAsia" w:ascii="宋体" w:hAnsi="宋体" w:eastAsia="宋体" w:cs="宋体"/>
          <w:color w:val="auto"/>
          <w:spacing w:val="-2"/>
          <w:sz w:val="24"/>
          <w:szCs w:val="24"/>
          <w:highlight w:val="none"/>
        </w:rPr>
        <w:t>依据法律法规和竞争性磋商文件的规定，由</w:t>
      </w:r>
      <w:r>
        <w:rPr>
          <w:rFonts w:hint="eastAsia" w:ascii="宋体" w:hAnsi="宋体" w:eastAsia="宋体" w:cs="宋体"/>
          <w:color w:val="auto"/>
          <w:spacing w:val="-2"/>
          <w:sz w:val="24"/>
          <w:szCs w:val="24"/>
          <w:highlight w:val="none"/>
          <w:lang w:val="en-US" w:eastAsia="zh-CN"/>
        </w:rPr>
        <w:t>磋商小组</w:t>
      </w:r>
      <w:r>
        <w:rPr>
          <w:rFonts w:hint="eastAsia" w:ascii="宋体" w:hAnsi="宋体" w:eastAsia="宋体" w:cs="宋体"/>
          <w:color w:val="auto"/>
          <w:spacing w:val="-2"/>
          <w:sz w:val="24"/>
          <w:szCs w:val="24"/>
          <w:highlight w:val="none"/>
        </w:rPr>
        <w:t>对供应商的资格证明文件进行审查，</w:t>
      </w:r>
      <w:r>
        <w:rPr>
          <w:rFonts w:hint="eastAsia" w:ascii="宋体" w:hAnsi="宋体" w:eastAsia="宋体" w:cs="宋体"/>
          <w:color w:val="auto"/>
          <w:lang w:val="en-US" w:eastAsia="zh-CN"/>
        </w:rPr>
        <w:t>若供应商的</w:t>
      </w:r>
      <w:r>
        <w:rPr>
          <w:rFonts w:hint="eastAsia" w:ascii="宋体" w:hAnsi="宋体" w:eastAsia="宋体" w:cs="宋体"/>
          <w:color w:val="auto"/>
          <w:spacing w:val="-2"/>
          <w:sz w:val="24"/>
          <w:szCs w:val="24"/>
          <w:highlight w:val="none"/>
        </w:rPr>
        <w:t>资格证明文件</w:t>
      </w:r>
      <w:r>
        <w:rPr>
          <w:rFonts w:hint="eastAsia" w:ascii="宋体" w:hAnsi="宋体" w:eastAsia="宋体" w:cs="宋体"/>
          <w:color w:val="auto"/>
          <w:lang w:val="en-US" w:eastAsia="zh-CN"/>
        </w:rPr>
        <w:t>审查不合格</w:t>
      </w:r>
      <w:r>
        <w:rPr>
          <w:rFonts w:hint="eastAsia" w:ascii="宋体" w:hAnsi="宋体" w:eastAsia="宋体" w:cs="宋体"/>
          <w:color w:val="auto"/>
          <w:spacing w:val="-2"/>
          <w:sz w:val="24"/>
          <w:szCs w:val="24"/>
          <w:highlight w:val="none"/>
        </w:rPr>
        <w:t>，不再进行下一步评审</w:t>
      </w:r>
      <w:r>
        <w:rPr>
          <w:rFonts w:hint="eastAsia" w:ascii="宋体" w:hAnsi="宋体"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lang w:val="en-US" w:eastAsia="zh-CN"/>
        </w:rPr>
        <w:t>资格审查标准如下：</w:t>
      </w:r>
    </w:p>
    <w:p w14:paraId="24614512">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1</w:t>
      </w:r>
      <w:r>
        <w:rPr>
          <w:rFonts w:hint="eastAsia" w:ascii="宋体" w:hAnsi="宋体" w:eastAsia="宋体" w:cs="宋体"/>
          <w:szCs w:val="24"/>
          <w:lang w:eastAsia="zh-CN"/>
        </w:rPr>
        <w:t>）</w:t>
      </w:r>
      <w:r>
        <w:rPr>
          <w:rFonts w:hint="eastAsia" w:ascii="宋体" w:hAnsi="宋体" w:eastAsia="宋体" w:cs="宋体"/>
          <w:szCs w:val="24"/>
        </w:rPr>
        <w:t>营业执照等主体资格证明文件：供应商应为具有独立承担民事责任能力的企业法人、事业法人、其他组织或自然人。企业法人应提供合法有效的营业执照；事业法人应提供合法有效的事业单位法人证书；其他组织应提供合法有效的证明文件；自然人参与的提供其身份证明</w:t>
      </w:r>
      <w:r>
        <w:rPr>
          <w:rFonts w:hint="eastAsia" w:ascii="宋体" w:hAnsi="宋体" w:eastAsia="宋体" w:cs="宋体"/>
          <w:szCs w:val="24"/>
          <w:lang w:val="en-US" w:eastAsia="zh-CN"/>
        </w:rPr>
        <w:t>；</w:t>
      </w:r>
    </w:p>
    <w:p w14:paraId="343B503B">
      <w:pPr>
        <w:spacing w:line="500" w:lineRule="exact"/>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rPr>
        <w:t>企业资质：</w:t>
      </w:r>
      <w:r>
        <w:rPr>
          <w:rFonts w:hint="eastAsia" w:ascii="宋体" w:hAnsi="宋体" w:eastAsia="宋体" w:cs="宋体"/>
          <w:sz w:val="24"/>
          <w:szCs w:val="24"/>
        </w:rPr>
        <w:t>供应商须</w:t>
      </w:r>
      <w:r>
        <w:rPr>
          <w:rFonts w:hint="eastAsia" w:ascii="宋体" w:hAnsi="宋体" w:eastAsia="宋体" w:cs="宋体"/>
          <w:sz w:val="24"/>
          <w:szCs w:val="24"/>
          <w:highlight w:val="none"/>
        </w:rPr>
        <w:t>具有水利水电工程施工总承包</w:t>
      </w:r>
      <w:r>
        <w:rPr>
          <w:rFonts w:hint="eastAsia" w:ascii="宋体" w:hAnsi="宋体" w:eastAsia="宋体" w:cs="宋体"/>
          <w:sz w:val="24"/>
          <w:szCs w:val="24"/>
          <w:highlight w:val="none"/>
          <w:lang w:val="en-US" w:eastAsia="zh-CN"/>
        </w:rPr>
        <w:t>三级（含三级）</w:t>
      </w:r>
      <w:r>
        <w:rPr>
          <w:rFonts w:hint="eastAsia" w:ascii="宋体" w:hAnsi="宋体" w:eastAsia="宋体" w:cs="宋体"/>
          <w:sz w:val="24"/>
          <w:szCs w:val="24"/>
          <w:highlight w:val="none"/>
        </w:rPr>
        <w:t>以上企业资质，具有有效的建设行政主管部门颁发的安全生产许可证</w:t>
      </w:r>
      <w:r>
        <w:rPr>
          <w:rFonts w:hint="eastAsia" w:ascii="宋体" w:hAnsi="宋体" w:eastAsia="宋体" w:cs="宋体"/>
          <w:highlight w:val="none"/>
        </w:rPr>
        <w:t>；</w:t>
      </w:r>
    </w:p>
    <w:p w14:paraId="173A12C4">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w:t>
      </w:r>
      <w:r>
        <w:rPr>
          <w:rFonts w:hint="eastAsia" w:ascii="宋体" w:hAnsi="宋体" w:eastAsia="宋体" w:cs="宋体"/>
          <w:highlight w:val="none"/>
        </w:rPr>
        <w:t>项目负责人：拟派建造师</w:t>
      </w:r>
      <w:r>
        <w:rPr>
          <w:rFonts w:hint="eastAsia" w:ascii="宋体" w:hAnsi="宋体" w:eastAsia="宋体" w:cs="宋体"/>
          <w:sz w:val="24"/>
          <w:szCs w:val="24"/>
          <w:highlight w:val="none"/>
        </w:rPr>
        <w:t>须为本单位注册人员，具备水利水电工程专业二级及以上注册建造师资格，具有水行政主管部门颁发的安全生产考核合格证，且</w:t>
      </w:r>
      <w:r>
        <w:rPr>
          <w:rFonts w:hint="eastAsia" w:ascii="宋体" w:hAnsi="宋体" w:eastAsia="宋体" w:cs="宋体"/>
          <w:sz w:val="24"/>
          <w:szCs w:val="24"/>
        </w:rPr>
        <w:t>无在建项目（提供无在建项目承诺书）</w:t>
      </w:r>
      <w:r>
        <w:rPr>
          <w:rFonts w:hint="eastAsia" w:ascii="宋体" w:hAnsi="宋体" w:eastAsia="宋体" w:cs="宋体"/>
          <w:highlight w:val="none"/>
        </w:rPr>
        <w:t>；</w:t>
      </w:r>
    </w:p>
    <w:p w14:paraId="02206D86">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4</w:t>
      </w:r>
      <w:r>
        <w:rPr>
          <w:rFonts w:hint="eastAsia" w:ascii="宋体" w:hAnsi="宋体" w:eastAsia="宋体" w:cs="宋体"/>
          <w:szCs w:val="24"/>
          <w:lang w:eastAsia="zh-CN"/>
        </w:rPr>
        <w:t>）</w:t>
      </w:r>
      <w:r>
        <w:rPr>
          <w:rFonts w:hint="eastAsia" w:ascii="宋体" w:hAnsi="宋体" w:eastAsia="宋体" w:cs="宋体"/>
          <w:szCs w:val="24"/>
        </w:rPr>
        <w:t>财务状况报告：</w:t>
      </w:r>
      <w:r>
        <w:rPr>
          <w:rFonts w:hint="eastAsia" w:ascii="宋体" w:hAnsi="宋体" w:eastAsia="宋体" w:cs="宋体"/>
          <w:szCs w:val="24"/>
          <w:lang w:eastAsia="zh-CN"/>
        </w:rPr>
        <w:t>供应商须提供2024年度的财务审计报告（成立时间至提交磋商响应文件截止时间不足一年的可提供成立后任意时段的资产负债表）</w:t>
      </w:r>
      <w:r>
        <w:rPr>
          <w:rFonts w:hint="eastAsia" w:ascii="宋体" w:hAnsi="宋体" w:eastAsia="宋体" w:cs="宋体"/>
          <w:szCs w:val="24"/>
        </w:rPr>
        <w:t>，或银行出具的资信证明。其他组织和自然人提供银行出具的资信证明；</w:t>
      </w:r>
    </w:p>
    <w:p w14:paraId="154A83EA">
      <w:pPr>
        <w:spacing w:line="500" w:lineRule="exact"/>
        <w:ind w:firstLine="480" w:firstLineChars="200"/>
        <w:rPr>
          <w:rFonts w:hint="eastAsia" w:ascii="宋体" w:hAnsi="宋体" w:eastAsia="宋体" w:cs="宋体"/>
          <w:szCs w:val="24"/>
          <w:highlight w:val="none"/>
        </w:rPr>
      </w:pPr>
      <w:r>
        <w:rPr>
          <w:rFonts w:hint="eastAsia" w:ascii="宋体" w:hAnsi="宋体" w:eastAsia="宋体" w:cs="宋体"/>
          <w:szCs w:val="24"/>
          <w:lang w:val="en-US" w:eastAsia="zh-CN"/>
        </w:rPr>
        <w:t>5</w:t>
      </w:r>
      <w:r>
        <w:rPr>
          <w:rFonts w:hint="eastAsia" w:ascii="宋体" w:hAnsi="宋体" w:eastAsia="宋体" w:cs="宋体"/>
          <w:szCs w:val="24"/>
          <w:lang w:eastAsia="zh-CN"/>
        </w:rPr>
        <w:t>）</w:t>
      </w:r>
      <w:r>
        <w:rPr>
          <w:rFonts w:hint="eastAsia" w:ascii="宋体" w:hAnsi="宋体" w:eastAsia="宋体" w:cs="宋体"/>
          <w:szCs w:val="24"/>
        </w:rPr>
        <w:t>社保缴纳证明</w:t>
      </w:r>
      <w:r>
        <w:rPr>
          <w:rFonts w:hint="eastAsia" w:ascii="宋体" w:hAnsi="宋体" w:eastAsia="宋体" w:cs="宋体"/>
          <w:szCs w:val="24"/>
          <w:highlight w:val="none"/>
        </w:rPr>
        <w:t>：</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highlight w:val="none"/>
          <w:lang w:val="en-US" w:eastAsia="zh-CN"/>
        </w:rPr>
        <w:t>缴纳</w:t>
      </w:r>
      <w:r>
        <w:rPr>
          <w:rFonts w:hint="eastAsia" w:ascii="宋体" w:hAnsi="宋体" w:eastAsia="宋体" w:cs="宋体"/>
          <w:szCs w:val="24"/>
          <w:highlight w:val="none"/>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highlight w:val="none"/>
        </w:rPr>
        <w:t>的社会保障资金缴存单据或社保机构开具的社会保险参保缴费情况证明，依法不需要缴纳社会保障资金的单位应提供相关证明材料；</w:t>
      </w:r>
    </w:p>
    <w:p w14:paraId="3D5B30EE">
      <w:pPr>
        <w:spacing w:line="500" w:lineRule="exact"/>
        <w:ind w:firstLine="480" w:firstLineChars="200"/>
        <w:rPr>
          <w:rFonts w:hint="eastAsia" w:ascii="宋体" w:hAnsi="宋体" w:eastAsia="宋体" w:cs="宋体"/>
          <w:szCs w:val="24"/>
        </w:rPr>
      </w:pPr>
      <w:r>
        <w:rPr>
          <w:rFonts w:hint="eastAsia" w:ascii="宋体" w:hAnsi="宋体" w:eastAsia="宋体" w:cs="宋体"/>
          <w:szCs w:val="24"/>
          <w:highlight w:val="none"/>
          <w:lang w:val="en-US" w:eastAsia="zh-CN"/>
        </w:rPr>
        <w:t>6</w:t>
      </w:r>
      <w:r>
        <w:rPr>
          <w:rFonts w:hint="eastAsia" w:ascii="宋体" w:hAnsi="宋体" w:eastAsia="宋体" w:cs="宋体"/>
          <w:szCs w:val="24"/>
          <w:highlight w:val="none"/>
          <w:lang w:eastAsia="zh-CN"/>
        </w:rPr>
        <w:t>）</w:t>
      </w:r>
      <w:r>
        <w:rPr>
          <w:rFonts w:hint="eastAsia" w:ascii="宋体" w:hAnsi="宋体" w:eastAsia="宋体" w:cs="宋体"/>
          <w:szCs w:val="24"/>
          <w:highlight w:val="none"/>
        </w:rPr>
        <w:t>税收缴纳证明：</w:t>
      </w:r>
      <w:r>
        <w:rPr>
          <w:rFonts w:hint="eastAsia" w:ascii="宋体" w:hAnsi="宋体" w:eastAsia="宋体" w:cs="宋体"/>
          <w:szCs w:val="24"/>
          <w:highlight w:val="none"/>
          <w:lang w:eastAsia="zh-CN"/>
        </w:rPr>
        <w:t>提供2025年04月至今</w:t>
      </w:r>
      <w:r>
        <w:rPr>
          <w:rFonts w:hint="eastAsia" w:ascii="宋体" w:hAnsi="宋体" w:eastAsia="宋体" w:cs="宋体"/>
          <w:szCs w:val="24"/>
          <w:highlight w:val="none"/>
        </w:rPr>
        <w:t>已</w:t>
      </w:r>
      <w:r>
        <w:rPr>
          <w:rFonts w:hint="eastAsia" w:ascii="宋体" w:hAnsi="宋体" w:eastAsia="宋体" w:cs="宋体"/>
          <w:szCs w:val="24"/>
          <w:lang w:val="en-US" w:eastAsia="zh-CN"/>
        </w:rPr>
        <w:t>缴纳</w:t>
      </w:r>
      <w:r>
        <w:rPr>
          <w:rFonts w:hint="eastAsia" w:ascii="宋体" w:hAnsi="宋体" w:eastAsia="宋体" w:cs="宋体"/>
          <w:szCs w:val="24"/>
        </w:rPr>
        <w:t>的</w:t>
      </w:r>
      <w:r>
        <w:rPr>
          <w:rFonts w:hint="eastAsia" w:ascii="宋体" w:hAnsi="宋体" w:eastAsia="宋体" w:cs="宋体"/>
          <w:color w:val="auto"/>
          <w:highlight w:val="none"/>
          <w:shd w:val="clear" w:color="auto" w:fill="FFFFFF"/>
          <w:lang w:val="en-US" w:eastAsia="zh-CN"/>
        </w:rPr>
        <w:t>任意6个月</w:t>
      </w:r>
      <w:r>
        <w:rPr>
          <w:rFonts w:hint="eastAsia" w:ascii="宋体" w:hAnsi="宋体" w:eastAsia="宋体" w:cs="宋体"/>
          <w:szCs w:val="24"/>
        </w:rPr>
        <w:t>的纳税证明或完税证明，依法免税的单位应提供相关证明材料；</w:t>
      </w:r>
    </w:p>
    <w:p w14:paraId="70A17FDB">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7</w:t>
      </w:r>
      <w:r>
        <w:rPr>
          <w:rFonts w:hint="eastAsia" w:ascii="宋体" w:hAnsi="宋体" w:eastAsia="宋体" w:cs="宋体"/>
          <w:szCs w:val="24"/>
          <w:lang w:eastAsia="zh-CN"/>
        </w:rPr>
        <w:t>）</w:t>
      </w:r>
      <w:r>
        <w:rPr>
          <w:rFonts w:hint="eastAsia" w:ascii="宋体" w:hAnsi="宋体" w:eastAsia="宋体" w:cs="宋体"/>
          <w:szCs w:val="24"/>
        </w:rPr>
        <w:t>信用记录：</w:t>
      </w:r>
      <w:r>
        <w:rPr>
          <w:rFonts w:hint="eastAsia" w:ascii="宋体" w:hAnsi="宋体" w:eastAsia="宋体" w:cs="宋体"/>
          <w:szCs w:val="24"/>
          <w:lang w:val="en-US" w:eastAsia="zh-CN"/>
        </w:rPr>
        <w:t>供应商未被列入“信用中国”网站(www.creditchina.gov.cn)重大税收违法失信主体；未被列入“中国执行信息公开网”(https://zxgk.court.gov.cn/zhzxgk/)失信被执行人；未被列入“中国政府采购网”(www.ccgp.gov.cn)“政府采购严重违法失信行为信息记录”；</w:t>
      </w:r>
    </w:p>
    <w:p w14:paraId="46F91C99">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8</w:t>
      </w:r>
      <w:r>
        <w:rPr>
          <w:rFonts w:hint="eastAsia" w:ascii="宋体" w:hAnsi="宋体" w:eastAsia="宋体" w:cs="宋体"/>
          <w:szCs w:val="24"/>
          <w:lang w:eastAsia="zh-CN"/>
        </w:rPr>
        <w:t>）</w:t>
      </w:r>
      <w:r>
        <w:rPr>
          <w:rFonts w:hint="eastAsia" w:ascii="宋体" w:hAnsi="宋体" w:eastAsia="宋体" w:cs="宋体"/>
          <w:szCs w:val="24"/>
        </w:rPr>
        <w:t>控股管理关系：单位负责人为同一人或者存在直接控股、管理关系的不同供应商，不得参加同一合同项下的政府采购活动</w:t>
      </w:r>
      <w:r>
        <w:rPr>
          <w:rFonts w:hint="eastAsia" w:ascii="宋体" w:hAnsi="宋体" w:eastAsia="宋体" w:cs="宋体"/>
          <w:color w:val="auto"/>
          <w:shd w:val="clear" w:color="auto" w:fill="FFFFFF"/>
        </w:rPr>
        <w:t>（提供书面承诺</w:t>
      </w:r>
      <w:r>
        <w:rPr>
          <w:rFonts w:hint="eastAsia" w:ascii="宋体" w:hAnsi="宋体" w:eastAsia="宋体" w:cs="宋体"/>
          <w:color w:val="auto"/>
          <w:shd w:val="clear" w:color="auto" w:fill="FFFFFF"/>
          <w:lang w:eastAsia="zh-CN"/>
        </w:rPr>
        <w:t>）</w:t>
      </w:r>
      <w:r>
        <w:rPr>
          <w:rFonts w:hint="eastAsia" w:ascii="宋体" w:hAnsi="宋体" w:eastAsia="宋体" w:cs="宋体"/>
          <w:szCs w:val="24"/>
        </w:rPr>
        <w:t>；</w:t>
      </w:r>
    </w:p>
    <w:p w14:paraId="340A807E">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9</w:t>
      </w:r>
      <w:r>
        <w:rPr>
          <w:rFonts w:hint="eastAsia" w:ascii="宋体" w:hAnsi="宋体" w:eastAsia="宋体" w:cs="宋体"/>
          <w:szCs w:val="24"/>
          <w:lang w:eastAsia="zh-CN"/>
        </w:rPr>
        <w:t>）</w:t>
      </w:r>
      <w:r>
        <w:rPr>
          <w:rFonts w:hint="eastAsia" w:ascii="宋体" w:hAnsi="宋体" w:eastAsia="宋体" w:cs="宋体"/>
          <w:szCs w:val="24"/>
        </w:rPr>
        <w:t>书面声明：参加政府采购活动前3年内在经营活动中没有重大违法记录的书面声明；</w:t>
      </w:r>
    </w:p>
    <w:p w14:paraId="6F7470F3">
      <w:pPr>
        <w:pStyle w:val="32"/>
        <w:widowControl/>
        <w:wordWrap w:val="0"/>
        <w:spacing w:line="500" w:lineRule="exact"/>
        <w:ind w:firstLine="480" w:firstLineChars="200"/>
        <w:jc w:val="both"/>
        <w:textAlignment w:val="baseline"/>
        <w:rPr>
          <w:rFonts w:hint="eastAsia" w:ascii="宋体" w:hAnsi="宋体" w:eastAsia="宋体" w:cs="宋体"/>
          <w:color w:val="auto"/>
          <w:shd w:val="clear" w:color="auto" w:fill="FFFFFF"/>
          <w:lang w:val="en-US" w:eastAsia="zh-CN"/>
        </w:rPr>
      </w:pP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rPr>
        <w:t>法定代表人授权委托书：</w:t>
      </w:r>
      <w:r>
        <w:rPr>
          <w:rFonts w:hint="eastAsia" w:asciiTheme="majorEastAsia" w:hAnsiTheme="majorEastAsia" w:eastAsiaTheme="majorEastAsia" w:cstheme="majorEastAsia"/>
          <w:sz w:val="24"/>
          <w:szCs w:val="24"/>
          <w:highlight w:val="none"/>
          <w:shd w:val="clear" w:color="auto" w:fill="FFFFFF"/>
        </w:rPr>
        <w:t>供应商应授权合法的人员参加磋商全过程，其中法定代表人直接参加磋商的，须出具法定代表人资格证明书，法定代表人授权代表参加磋商的，须出具法定代表人资格证明书及法定代表人授权委托书；</w:t>
      </w:r>
    </w:p>
    <w:p w14:paraId="67733EC3">
      <w:pPr>
        <w:spacing w:line="500" w:lineRule="exact"/>
        <w:ind w:firstLine="480" w:firstLineChars="200"/>
        <w:rPr>
          <w:rFonts w:hint="eastAsia" w:ascii="宋体" w:hAnsi="宋体" w:eastAsia="宋体" w:cs="宋体"/>
          <w:szCs w:val="24"/>
        </w:rPr>
      </w:pPr>
      <w:r>
        <w:rPr>
          <w:rFonts w:hint="eastAsia" w:ascii="宋体" w:hAnsi="宋体" w:eastAsia="宋体" w:cs="宋体"/>
          <w:szCs w:val="24"/>
          <w:lang w:val="en-US" w:eastAsia="zh-CN"/>
        </w:rPr>
        <w:t>11</w:t>
      </w:r>
      <w:r>
        <w:rPr>
          <w:rFonts w:hint="eastAsia" w:ascii="宋体" w:hAnsi="宋体" w:eastAsia="宋体" w:cs="宋体"/>
          <w:szCs w:val="24"/>
          <w:lang w:eastAsia="zh-CN"/>
        </w:rPr>
        <w:t>）</w:t>
      </w:r>
      <w:r>
        <w:rPr>
          <w:rFonts w:hint="eastAsia" w:ascii="宋体" w:hAnsi="宋体" w:eastAsia="宋体" w:cs="宋体"/>
          <w:szCs w:val="24"/>
        </w:rPr>
        <w:t>履行合同所必须的证明资料：具有履行合同所必需的设备和专业技术</w:t>
      </w:r>
      <w:r>
        <w:rPr>
          <w:rFonts w:hint="eastAsia" w:ascii="宋体" w:hAnsi="宋体" w:eastAsia="宋体" w:cs="宋体"/>
          <w:szCs w:val="24"/>
          <w:lang w:val="en-US" w:eastAsia="zh-CN"/>
        </w:rPr>
        <w:t>能力</w:t>
      </w:r>
      <w:r>
        <w:rPr>
          <w:rFonts w:hint="eastAsia" w:ascii="宋体" w:hAnsi="宋体" w:eastAsia="宋体" w:cs="宋体"/>
          <w:color w:val="auto"/>
          <w:shd w:val="clear" w:color="auto" w:fill="FFFFFF"/>
          <w:lang w:val="en-US" w:eastAsia="zh-CN"/>
        </w:rPr>
        <w:t>（提供书面承诺）</w:t>
      </w:r>
      <w:r>
        <w:rPr>
          <w:rFonts w:hint="eastAsia" w:ascii="宋体" w:hAnsi="宋体" w:eastAsia="宋体" w:cs="宋体"/>
          <w:szCs w:val="24"/>
        </w:rPr>
        <w:t>；</w:t>
      </w:r>
    </w:p>
    <w:p w14:paraId="198DA0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zCs w:val="24"/>
          <w:lang w:val="en-US" w:eastAsia="zh-CN"/>
        </w:rPr>
        <w:t>12</w:t>
      </w:r>
      <w:r>
        <w:rPr>
          <w:rFonts w:hint="eastAsia" w:ascii="宋体" w:hAnsi="宋体" w:eastAsia="宋体" w:cs="宋体"/>
          <w:szCs w:val="24"/>
          <w:lang w:eastAsia="zh-CN"/>
        </w:rPr>
        <w:t>）</w:t>
      </w:r>
      <w:r>
        <w:rPr>
          <w:rFonts w:hint="eastAsia" w:ascii="宋体" w:hAnsi="宋体" w:eastAsia="宋体" w:cs="宋体"/>
          <w:szCs w:val="24"/>
        </w:rPr>
        <w:t>专门面向中小企业声明函：本项目专门面向中小企业采购</w:t>
      </w:r>
      <w:r>
        <w:rPr>
          <w:rFonts w:hint="eastAsia" w:ascii="宋体" w:hAnsi="宋体" w:eastAsia="宋体" w:cs="宋体"/>
          <w:szCs w:val="24"/>
          <w:lang w:eastAsia="zh-CN"/>
        </w:rPr>
        <w:t>（</w:t>
      </w:r>
      <w:r>
        <w:rPr>
          <w:rFonts w:hint="eastAsia" w:ascii="宋体" w:hAnsi="宋体" w:eastAsia="宋体" w:cs="宋体"/>
          <w:szCs w:val="24"/>
        </w:rPr>
        <w:t>供应商须为中小企业，并提供声明函</w:t>
      </w:r>
      <w:r>
        <w:rPr>
          <w:rFonts w:hint="eastAsia" w:ascii="宋体" w:hAnsi="宋体" w:eastAsia="宋体" w:cs="宋体"/>
          <w:szCs w:val="24"/>
          <w:lang w:eastAsia="zh-CN"/>
        </w:rPr>
        <w:t>，</w:t>
      </w:r>
      <w:r>
        <w:rPr>
          <w:rFonts w:hint="eastAsia" w:ascii="宋体" w:hAnsi="宋体" w:eastAsia="宋体" w:cs="宋体"/>
          <w:sz w:val="24"/>
          <w:szCs w:val="24"/>
          <w:highlight w:val="none"/>
        </w:rPr>
        <w:t>如有虚假，将依法承担相应责任</w:t>
      </w:r>
      <w:r>
        <w:rPr>
          <w:rFonts w:hint="eastAsia" w:ascii="宋体" w:hAnsi="宋体" w:eastAsia="宋体" w:cs="宋体"/>
          <w:color w:val="auto"/>
          <w:highlight w:val="none"/>
          <w:shd w:val="clear" w:color="auto" w:fill="FFFFFF"/>
          <w:lang w:val="en-US" w:eastAsia="zh-CN"/>
        </w:rPr>
        <w:t>）。</w:t>
      </w:r>
    </w:p>
    <w:p w14:paraId="03084668">
      <w:pPr>
        <w:spacing w:line="360" w:lineRule="auto"/>
        <w:rPr>
          <w:rFonts w:hint="eastAsia" w:ascii="宋体" w:hAnsi="宋体" w:eastAsia="宋体" w:cs="宋体"/>
          <w:color w:val="auto"/>
          <w:szCs w:val="24"/>
        </w:rPr>
      </w:pPr>
      <w:r>
        <w:rPr>
          <w:rFonts w:hint="eastAsia" w:ascii="宋体" w:hAnsi="宋体" w:eastAsia="宋体" w:cs="宋体"/>
          <w:b/>
          <w:bCs/>
          <w:color w:val="auto"/>
          <w:szCs w:val="24"/>
        </w:rPr>
        <w:t>2-5-2、符合性审查</w:t>
      </w:r>
    </w:p>
    <w:p w14:paraId="7D659A34">
      <w:pPr>
        <w:overflowPunct w:val="0"/>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eastAsia="zh-CN"/>
        </w:rPr>
        <w:t>由磋商小组对通过资格审查的供应商的磋商响应文件的符合性进行审查，若供应商的符合性审查不合格，不再进行下一步评审，</w:t>
      </w:r>
      <w:r>
        <w:rPr>
          <w:rFonts w:hint="eastAsia" w:ascii="宋体" w:hAnsi="宋体" w:eastAsia="宋体" w:cs="宋体"/>
          <w:color w:val="auto"/>
        </w:rPr>
        <w:t>符合性审查</w:t>
      </w:r>
      <w:r>
        <w:rPr>
          <w:rFonts w:hint="eastAsia" w:ascii="宋体" w:hAnsi="宋体" w:eastAsia="宋体" w:cs="宋体"/>
          <w:color w:val="auto"/>
          <w:lang w:val="en-US" w:eastAsia="zh-CN"/>
        </w:rPr>
        <w:t>标准如下</w:t>
      </w:r>
      <w:r>
        <w:rPr>
          <w:rFonts w:hint="eastAsia" w:ascii="宋体" w:hAnsi="宋体" w:eastAsia="宋体" w:cs="宋体"/>
          <w:color w:val="auto"/>
        </w:rPr>
        <w:t>：</w:t>
      </w:r>
    </w:p>
    <w:tbl>
      <w:tblPr>
        <w:tblStyle w:val="37"/>
        <w:tblW w:w="9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999"/>
        <w:gridCol w:w="2339"/>
        <w:gridCol w:w="5342"/>
      </w:tblGrid>
      <w:tr w14:paraId="50CB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99" w:type="dxa"/>
            <w:vAlign w:val="center"/>
          </w:tcPr>
          <w:p w14:paraId="3D8FD5A0">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序号</w:t>
            </w:r>
          </w:p>
        </w:tc>
        <w:tc>
          <w:tcPr>
            <w:tcW w:w="3338" w:type="dxa"/>
            <w:gridSpan w:val="2"/>
            <w:vAlign w:val="center"/>
          </w:tcPr>
          <w:p w14:paraId="3CB6948A">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审查因素</w:t>
            </w:r>
          </w:p>
        </w:tc>
        <w:tc>
          <w:tcPr>
            <w:tcW w:w="5342" w:type="dxa"/>
            <w:vAlign w:val="center"/>
          </w:tcPr>
          <w:p w14:paraId="0B2E96EF">
            <w:pPr>
              <w:tabs>
                <w:tab w:val="left" w:pos="0"/>
              </w:tabs>
              <w:adjustRightInd w:val="0"/>
              <w:snapToGrid w:val="0"/>
              <w:jc w:val="center"/>
              <w:rPr>
                <w:rFonts w:ascii="宋体" w:hAnsi="宋体" w:eastAsia="宋体" w:cs="宋体"/>
                <w:b/>
                <w:sz w:val="22"/>
              </w:rPr>
            </w:pPr>
            <w:r>
              <w:rPr>
                <w:rFonts w:hint="eastAsia" w:ascii="宋体" w:hAnsi="宋体" w:eastAsia="宋体" w:cs="宋体"/>
                <w:b/>
                <w:sz w:val="22"/>
              </w:rPr>
              <w:t>审查标准</w:t>
            </w:r>
          </w:p>
        </w:tc>
      </w:tr>
      <w:tr w14:paraId="11D5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799" w:type="dxa"/>
            <w:vMerge w:val="restart"/>
            <w:vAlign w:val="center"/>
          </w:tcPr>
          <w:p w14:paraId="159C3F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1</w:t>
            </w:r>
          </w:p>
        </w:tc>
        <w:tc>
          <w:tcPr>
            <w:tcW w:w="999" w:type="dxa"/>
            <w:vMerge w:val="restart"/>
            <w:vAlign w:val="center"/>
          </w:tcPr>
          <w:p w14:paraId="691E6D41">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有效性、完整性审查</w:t>
            </w:r>
          </w:p>
        </w:tc>
        <w:tc>
          <w:tcPr>
            <w:tcW w:w="2339" w:type="dxa"/>
            <w:vAlign w:val="center"/>
          </w:tcPr>
          <w:p w14:paraId="477EAE27">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响应文件的签署、盖章</w:t>
            </w:r>
          </w:p>
        </w:tc>
        <w:tc>
          <w:tcPr>
            <w:tcW w:w="5342" w:type="dxa"/>
            <w:vAlign w:val="center"/>
          </w:tcPr>
          <w:p w14:paraId="0BE8B0E6">
            <w:pPr>
              <w:tabs>
                <w:tab w:val="left" w:pos="0"/>
              </w:tabs>
              <w:adjustRightInd w:val="0"/>
              <w:snapToGrid w:val="0"/>
              <w:rPr>
                <w:rFonts w:ascii="宋体" w:hAnsi="宋体" w:eastAsia="宋体" w:cs="宋体"/>
                <w:sz w:val="22"/>
              </w:rPr>
            </w:pPr>
            <w:r>
              <w:rPr>
                <w:rFonts w:hint="eastAsia" w:ascii="宋体" w:hAnsi="宋体" w:eastAsia="宋体" w:cs="宋体"/>
                <w:sz w:val="22"/>
              </w:rPr>
              <w:t>响应文件上法定代表人或其授权代理人的签字（或盖章）齐全，且单位盖章齐全，符合竞争性磋商文件要求。</w:t>
            </w:r>
          </w:p>
        </w:tc>
      </w:tr>
      <w:tr w14:paraId="41EF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6F2DCB78">
            <w:pPr>
              <w:tabs>
                <w:tab w:val="left" w:pos="0"/>
              </w:tabs>
              <w:adjustRightInd w:val="0"/>
              <w:snapToGrid w:val="0"/>
              <w:spacing w:line="360" w:lineRule="auto"/>
              <w:rPr>
                <w:rFonts w:ascii="宋体" w:hAnsi="宋体" w:eastAsia="宋体" w:cs="宋体"/>
                <w:sz w:val="22"/>
              </w:rPr>
            </w:pPr>
          </w:p>
        </w:tc>
        <w:tc>
          <w:tcPr>
            <w:tcW w:w="999" w:type="dxa"/>
            <w:vMerge w:val="continue"/>
          </w:tcPr>
          <w:p w14:paraId="71795CA9">
            <w:pPr>
              <w:tabs>
                <w:tab w:val="left" w:pos="0"/>
              </w:tabs>
              <w:adjustRightInd w:val="0"/>
              <w:snapToGrid w:val="0"/>
              <w:spacing w:line="360" w:lineRule="auto"/>
              <w:rPr>
                <w:rFonts w:ascii="宋体" w:hAnsi="宋体" w:eastAsia="宋体" w:cs="宋体"/>
                <w:sz w:val="22"/>
              </w:rPr>
            </w:pPr>
          </w:p>
        </w:tc>
        <w:tc>
          <w:tcPr>
            <w:tcW w:w="2339" w:type="dxa"/>
            <w:vAlign w:val="center"/>
          </w:tcPr>
          <w:p w14:paraId="570289FB">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响应文件格式</w:t>
            </w:r>
          </w:p>
        </w:tc>
        <w:tc>
          <w:tcPr>
            <w:tcW w:w="5342" w:type="dxa"/>
            <w:vAlign w:val="center"/>
          </w:tcPr>
          <w:p w14:paraId="3FF5DC3B">
            <w:pPr>
              <w:tabs>
                <w:tab w:val="left" w:pos="0"/>
              </w:tabs>
              <w:adjustRightInd w:val="0"/>
              <w:snapToGrid w:val="0"/>
              <w:rPr>
                <w:rFonts w:ascii="宋体" w:hAnsi="宋体" w:eastAsia="宋体" w:cs="宋体"/>
                <w:sz w:val="22"/>
              </w:rPr>
            </w:pPr>
            <w:r>
              <w:rPr>
                <w:rFonts w:hint="eastAsia" w:ascii="宋体" w:hAnsi="宋体" w:eastAsia="宋体" w:cs="宋体"/>
                <w:sz w:val="22"/>
              </w:rPr>
              <w:t>符合竞争性磋商文件第五章“响应文件格式”要求</w:t>
            </w:r>
          </w:p>
        </w:tc>
      </w:tr>
      <w:tr w14:paraId="74E0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0CEFD3F3">
            <w:pPr>
              <w:tabs>
                <w:tab w:val="left" w:pos="0"/>
              </w:tabs>
              <w:adjustRightInd w:val="0"/>
              <w:snapToGrid w:val="0"/>
              <w:spacing w:line="360" w:lineRule="auto"/>
              <w:rPr>
                <w:rFonts w:ascii="宋体" w:hAnsi="宋体" w:eastAsia="宋体" w:cs="宋体"/>
                <w:sz w:val="22"/>
              </w:rPr>
            </w:pPr>
          </w:p>
        </w:tc>
        <w:tc>
          <w:tcPr>
            <w:tcW w:w="999" w:type="dxa"/>
            <w:vMerge w:val="continue"/>
          </w:tcPr>
          <w:p w14:paraId="4BB4A254">
            <w:pPr>
              <w:tabs>
                <w:tab w:val="left" w:pos="0"/>
              </w:tabs>
              <w:adjustRightInd w:val="0"/>
              <w:snapToGrid w:val="0"/>
              <w:spacing w:line="360" w:lineRule="auto"/>
              <w:rPr>
                <w:rFonts w:ascii="宋体" w:hAnsi="宋体" w:eastAsia="宋体" w:cs="宋体"/>
                <w:sz w:val="22"/>
              </w:rPr>
            </w:pPr>
          </w:p>
        </w:tc>
        <w:tc>
          <w:tcPr>
            <w:tcW w:w="2339" w:type="dxa"/>
            <w:vAlign w:val="center"/>
          </w:tcPr>
          <w:p w14:paraId="22E0D40D">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响应文件递交</w:t>
            </w:r>
          </w:p>
        </w:tc>
        <w:tc>
          <w:tcPr>
            <w:tcW w:w="5342" w:type="dxa"/>
            <w:vAlign w:val="center"/>
          </w:tcPr>
          <w:p w14:paraId="560CAB94">
            <w:pPr>
              <w:tabs>
                <w:tab w:val="left" w:pos="0"/>
              </w:tabs>
              <w:adjustRightInd w:val="0"/>
              <w:snapToGrid w:val="0"/>
              <w:rPr>
                <w:rFonts w:ascii="宋体" w:hAnsi="宋体" w:eastAsia="宋体" w:cs="宋体"/>
                <w:sz w:val="22"/>
              </w:rPr>
            </w:pPr>
            <w:r>
              <w:rPr>
                <w:rFonts w:hint="eastAsia" w:ascii="宋体" w:hAnsi="宋体" w:eastAsia="宋体" w:cs="宋体"/>
                <w:sz w:val="22"/>
              </w:rPr>
              <w:t>符合“供应商须知前附表”规定要求</w:t>
            </w:r>
          </w:p>
        </w:tc>
      </w:tr>
      <w:tr w14:paraId="0FAF0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99" w:type="dxa"/>
            <w:vMerge w:val="continue"/>
          </w:tcPr>
          <w:p w14:paraId="62E8D680">
            <w:pPr>
              <w:tabs>
                <w:tab w:val="left" w:pos="0"/>
              </w:tabs>
              <w:adjustRightInd w:val="0"/>
              <w:snapToGrid w:val="0"/>
              <w:spacing w:line="360" w:lineRule="auto"/>
              <w:rPr>
                <w:rFonts w:ascii="宋体" w:hAnsi="宋体" w:eastAsia="宋体" w:cs="宋体"/>
                <w:sz w:val="22"/>
              </w:rPr>
            </w:pPr>
          </w:p>
        </w:tc>
        <w:tc>
          <w:tcPr>
            <w:tcW w:w="999" w:type="dxa"/>
            <w:vMerge w:val="continue"/>
          </w:tcPr>
          <w:p w14:paraId="58946595">
            <w:pPr>
              <w:tabs>
                <w:tab w:val="left" w:pos="0"/>
              </w:tabs>
              <w:adjustRightInd w:val="0"/>
              <w:snapToGrid w:val="0"/>
              <w:spacing w:line="360" w:lineRule="auto"/>
              <w:rPr>
                <w:rFonts w:ascii="宋体" w:hAnsi="宋体" w:eastAsia="宋体" w:cs="宋体"/>
                <w:sz w:val="22"/>
              </w:rPr>
            </w:pPr>
          </w:p>
        </w:tc>
        <w:tc>
          <w:tcPr>
            <w:tcW w:w="2339" w:type="dxa"/>
            <w:vAlign w:val="center"/>
          </w:tcPr>
          <w:p w14:paraId="12B21A7B">
            <w:pPr>
              <w:tabs>
                <w:tab w:val="left" w:pos="0"/>
              </w:tabs>
              <w:adjustRightInd w:val="0"/>
              <w:snapToGrid w:val="0"/>
              <w:jc w:val="center"/>
              <w:rPr>
                <w:rFonts w:ascii="宋体" w:hAnsi="宋体" w:eastAsia="宋体" w:cs="宋体"/>
                <w:sz w:val="22"/>
              </w:rPr>
            </w:pPr>
            <w:r>
              <w:rPr>
                <w:rFonts w:hint="eastAsia" w:ascii="宋体" w:hAnsi="宋体" w:eastAsia="宋体" w:cs="宋体"/>
                <w:sz w:val="22"/>
              </w:rPr>
              <w:t>报价</w:t>
            </w:r>
          </w:p>
        </w:tc>
        <w:tc>
          <w:tcPr>
            <w:tcW w:w="5342" w:type="dxa"/>
            <w:vAlign w:val="center"/>
          </w:tcPr>
          <w:p w14:paraId="2F42DF94">
            <w:pPr>
              <w:tabs>
                <w:tab w:val="left" w:pos="0"/>
              </w:tabs>
              <w:adjustRightInd w:val="0"/>
              <w:snapToGrid w:val="0"/>
              <w:rPr>
                <w:rFonts w:ascii="宋体" w:hAnsi="宋体" w:eastAsia="宋体" w:cs="宋体"/>
                <w:sz w:val="22"/>
              </w:rPr>
            </w:pPr>
            <w:r>
              <w:rPr>
                <w:rFonts w:hint="eastAsia" w:ascii="宋体" w:hAnsi="宋体" w:eastAsia="宋体" w:cs="宋体"/>
                <w:sz w:val="22"/>
              </w:rPr>
              <w:t>报价未超过最高限价</w:t>
            </w:r>
          </w:p>
        </w:tc>
      </w:tr>
      <w:tr w14:paraId="1E13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9" w:type="dxa"/>
            <w:vMerge w:val="continue"/>
          </w:tcPr>
          <w:p w14:paraId="3FBFDC26">
            <w:pPr>
              <w:tabs>
                <w:tab w:val="left" w:pos="0"/>
              </w:tabs>
              <w:adjustRightInd w:val="0"/>
              <w:snapToGrid w:val="0"/>
              <w:spacing w:line="360" w:lineRule="auto"/>
              <w:rPr>
                <w:rFonts w:ascii="宋体" w:hAnsi="宋体" w:eastAsia="宋体" w:cs="宋体"/>
                <w:sz w:val="22"/>
              </w:rPr>
            </w:pPr>
          </w:p>
        </w:tc>
        <w:tc>
          <w:tcPr>
            <w:tcW w:w="999" w:type="dxa"/>
            <w:vMerge w:val="continue"/>
          </w:tcPr>
          <w:p w14:paraId="4466CFB0">
            <w:pPr>
              <w:tabs>
                <w:tab w:val="left" w:pos="0"/>
              </w:tabs>
              <w:adjustRightInd w:val="0"/>
              <w:snapToGrid w:val="0"/>
              <w:spacing w:line="360" w:lineRule="auto"/>
              <w:rPr>
                <w:rFonts w:ascii="宋体" w:hAnsi="宋体" w:eastAsia="宋体" w:cs="宋体"/>
                <w:sz w:val="22"/>
              </w:rPr>
            </w:pPr>
          </w:p>
        </w:tc>
        <w:tc>
          <w:tcPr>
            <w:tcW w:w="2339" w:type="dxa"/>
            <w:vAlign w:val="center"/>
          </w:tcPr>
          <w:p w14:paraId="5EC8BFD1">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响应文件内容</w:t>
            </w:r>
          </w:p>
        </w:tc>
        <w:tc>
          <w:tcPr>
            <w:tcW w:w="5342" w:type="dxa"/>
            <w:vAlign w:val="center"/>
          </w:tcPr>
          <w:p w14:paraId="66AE4A05">
            <w:pPr>
              <w:tabs>
                <w:tab w:val="left" w:pos="0"/>
              </w:tabs>
              <w:adjustRightInd w:val="0"/>
              <w:snapToGrid w:val="0"/>
              <w:rPr>
                <w:rFonts w:ascii="宋体" w:hAnsi="宋体" w:eastAsia="宋体" w:cs="宋体"/>
                <w:sz w:val="22"/>
              </w:rPr>
            </w:pPr>
            <w:r>
              <w:rPr>
                <w:rFonts w:hint="eastAsia" w:ascii="宋体" w:hAnsi="宋体" w:eastAsia="宋体" w:cs="宋体"/>
                <w:sz w:val="22"/>
              </w:rPr>
              <w:t>响应文件内容齐全完整、无遗漏</w:t>
            </w:r>
          </w:p>
        </w:tc>
      </w:tr>
      <w:tr w14:paraId="7B2F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exact"/>
        </w:trPr>
        <w:tc>
          <w:tcPr>
            <w:tcW w:w="799" w:type="dxa"/>
            <w:vMerge w:val="restart"/>
            <w:vAlign w:val="center"/>
          </w:tcPr>
          <w:p w14:paraId="1A702E7C">
            <w:pPr>
              <w:tabs>
                <w:tab w:val="left" w:pos="0"/>
              </w:tabs>
              <w:adjustRightInd w:val="0"/>
              <w:snapToGrid w:val="0"/>
              <w:spacing w:line="360" w:lineRule="auto"/>
              <w:jc w:val="center"/>
              <w:rPr>
                <w:rFonts w:ascii="宋体" w:hAnsi="宋体" w:eastAsia="宋体" w:cs="宋体"/>
                <w:sz w:val="22"/>
              </w:rPr>
            </w:pPr>
            <w:r>
              <w:rPr>
                <w:rFonts w:hint="eastAsia" w:ascii="宋体" w:hAnsi="宋体" w:eastAsia="宋体" w:cs="宋体"/>
                <w:sz w:val="22"/>
              </w:rPr>
              <w:t>2</w:t>
            </w:r>
          </w:p>
        </w:tc>
        <w:tc>
          <w:tcPr>
            <w:tcW w:w="999" w:type="dxa"/>
            <w:vMerge w:val="restart"/>
            <w:vAlign w:val="center"/>
          </w:tcPr>
          <w:p w14:paraId="1ED7BA4C">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响应文件的响应程度审查</w:t>
            </w:r>
          </w:p>
        </w:tc>
        <w:tc>
          <w:tcPr>
            <w:tcW w:w="2339" w:type="dxa"/>
            <w:vAlign w:val="center"/>
          </w:tcPr>
          <w:p w14:paraId="24F745EC">
            <w:pPr>
              <w:tabs>
                <w:tab w:val="left" w:pos="0"/>
              </w:tabs>
              <w:adjustRightInd w:val="0"/>
              <w:snapToGrid w:val="0"/>
              <w:jc w:val="center"/>
              <w:rPr>
                <w:rFonts w:ascii="宋体" w:hAnsi="宋体" w:eastAsia="宋体" w:cs="宋体"/>
                <w:sz w:val="22"/>
              </w:rPr>
            </w:pPr>
            <w:r>
              <w:rPr>
                <w:rFonts w:hint="eastAsia" w:ascii="宋体" w:hAnsi="宋体" w:eastAsia="宋体" w:cs="宋体"/>
                <w:sz w:val="22"/>
              </w:rPr>
              <w:t>工期</w:t>
            </w:r>
          </w:p>
        </w:tc>
        <w:tc>
          <w:tcPr>
            <w:tcW w:w="5342" w:type="dxa"/>
            <w:vAlign w:val="center"/>
          </w:tcPr>
          <w:p w14:paraId="44FC9150">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满足竞争性磋商文件要求的工期</w:t>
            </w:r>
          </w:p>
        </w:tc>
      </w:tr>
      <w:tr w14:paraId="4E4E3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40BDD1DB">
            <w:pPr>
              <w:tabs>
                <w:tab w:val="left" w:pos="0"/>
              </w:tabs>
              <w:adjustRightInd w:val="0"/>
              <w:snapToGrid w:val="0"/>
              <w:spacing w:line="360" w:lineRule="auto"/>
              <w:rPr>
                <w:rFonts w:ascii="宋体" w:hAnsi="宋体" w:eastAsia="宋体" w:cs="宋体"/>
                <w:sz w:val="22"/>
              </w:rPr>
            </w:pPr>
          </w:p>
        </w:tc>
        <w:tc>
          <w:tcPr>
            <w:tcW w:w="999" w:type="dxa"/>
            <w:vMerge w:val="continue"/>
          </w:tcPr>
          <w:p w14:paraId="5D3A8149">
            <w:pPr>
              <w:tabs>
                <w:tab w:val="left" w:pos="0"/>
              </w:tabs>
              <w:adjustRightInd w:val="0"/>
              <w:snapToGrid w:val="0"/>
              <w:spacing w:line="360" w:lineRule="auto"/>
              <w:rPr>
                <w:rFonts w:ascii="宋体" w:hAnsi="宋体" w:eastAsia="宋体" w:cs="宋体"/>
                <w:sz w:val="22"/>
              </w:rPr>
            </w:pPr>
          </w:p>
        </w:tc>
        <w:tc>
          <w:tcPr>
            <w:tcW w:w="2339" w:type="dxa"/>
            <w:vAlign w:val="center"/>
          </w:tcPr>
          <w:p w14:paraId="3AFA4FA4">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质量</w:t>
            </w:r>
            <w:r>
              <w:rPr>
                <w:rFonts w:hint="eastAsia" w:ascii="宋体" w:hAnsi="宋体" w:eastAsia="宋体" w:cs="宋体"/>
                <w:sz w:val="22"/>
                <w:lang w:val="en-US" w:eastAsia="zh-CN" w:bidi="ar"/>
              </w:rPr>
              <w:t>标准</w:t>
            </w:r>
          </w:p>
        </w:tc>
        <w:tc>
          <w:tcPr>
            <w:tcW w:w="5342" w:type="dxa"/>
            <w:vAlign w:val="center"/>
          </w:tcPr>
          <w:p w14:paraId="1596EF6E">
            <w:pPr>
              <w:tabs>
                <w:tab w:val="left" w:pos="0"/>
              </w:tabs>
              <w:adjustRightInd w:val="0"/>
              <w:snapToGrid w:val="0"/>
              <w:rPr>
                <w:rFonts w:ascii="宋体" w:hAnsi="宋体" w:eastAsia="宋体" w:cs="宋体"/>
                <w:sz w:val="22"/>
              </w:rPr>
            </w:pPr>
            <w:r>
              <w:rPr>
                <w:rFonts w:hint="eastAsia" w:ascii="宋体" w:hAnsi="宋体" w:eastAsia="宋体" w:cs="宋体"/>
                <w:sz w:val="22"/>
              </w:rPr>
              <w:t>满足竞争性磋商文件要求的质量标准</w:t>
            </w:r>
          </w:p>
        </w:tc>
      </w:tr>
      <w:tr w14:paraId="7131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trPr>
        <w:tc>
          <w:tcPr>
            <w:tcW w:w="799" w:type="dxa"/>
            <w:vMerge w:val="continue"/>
          </w:tcPr>
          <w:p w14:paraId="1C93DDDD">
            <w:pPr>
              <w:tabs>
                <w:tab w:val="left" w:pos="0"/>
              </w:tabs>
              <w:adjustRightInd w:val="0"/>
              <w:snapToGrid w:val="0"/>
              <w:spacing w:line="360" w:lineRule="auto"/>
              <w:rPr>
                <w:rFonts w:ascii="宋体" w:hAnsi="宋体" w:eastAsia="宋体" w:cs="宋体"/>
                <w:sz w:val="22"/>
              </w:rPr>
            </w:pPr>
          </w:p>
        </w:tc>
        <w:tc>
          <w:tcPr>
            <w:tcW w:w="999" w:type="dxa"/>
            <w:vMerge w:val="continue"/>
          </w:tcPr>
          <w:p w14:paraId="61D41891">
            <w:pPr>
              <w:tabs>
                <w:tab w:val="left" w:pos="0"/>
              </w:tabs>
              <w:adjustRightInd w:val="0"/>
              <w:snapToGrid w:val="0"/>
              <w:spacing w:line="360" w:lineRule="auto"/>
              <w:rPr>
                <w:rFonts w:ascii="宋体" w:hAnsi="宋体" w:eastAsia="宋体" w:cs="宋体"/>
                <w:sz w:val="22"/>
              </w:rPr>
            </w:pPr>
          </w:p>
        </w:tc>
        <w:tc>
          <w:tcPr>
            <w:tcW w:w="2339" w:type="dxa"/>
            <w:vAlign w:val="center"/>
          </w:tcPr>
          <w:p w14:paraId="01160099">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投标有效期</w:t>
            </w:r>
          </w:p>
        </w:tc>
        <w:tc>
          <w:tcPr>
            <w:tcW w:w="5342" w:type="dxa"/>
            <w:vAlign w:val="center"/>
          </w:tcPr>
          <w:p w14:paraId="47AB58A5">
            <w:pPr>
              <w:tabs>
                <w:tab w:val="left" w:pos="0"/>
              </w:tabs>
              <w:adjustRightInd w:val="0"/>
              <w:snapToGrid w:val="0"/>
              <w:rPr>
                <w:rFonts w:ascii="宋体" w:hAnsi="宋体" w:eastAsia="宋体" w:cs="宋体"/>
                <w:sz w:val="22"/>
              </w:rPr>
            </w:pPr>
            <w:r>
              <w:rPr>
                <w:rFonts w:hint="eastAsia" w:ascii="宋体" w:hAnsi="宋体" w:eastAsia="宋体" w:cs="宋体"/>
                <w:sz w:val="22"/>
                <w:lang w:bidi="ar"/>
              </w:rPr>
              <w:t>满足</w:t>
            </w:r>
            <w:r>
              <w:rPr>
                <w:rFonts w:hint="eastAsia" w:ascii="宋体" w:hAnsi="宋体" w:eastAsia="宋体" w:cs="宋体"/>
                <w:sz w:val="22"/>
              </w:rPr>
              <w:t>竞争性磋商文件</w:t>
            </w:r>
            <w:r>
              <w:rPr>
                <w:rFonts w:hint="eastAsia" w:ascii="宋体" w:hAnsi="宋体" w:eastAsia="宋体" w:cs="宋体"/>
                <w:sz w:val="22"/>
                <w:lang w:bidi="ar"/>
              </w:rPr>
              <w:t>规定的投标有效期</w:t>
            </w:r>
          </w:p>
        </w:tc>
      </w:tr>
      <w:tr w14:paraId="22DE2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799" w:type="dxa"/>
            <w:vMerge w:val="continue"/>
          </w:tcPr>
          <w:p w14:paraId="2786607F">
            <w:pPr>
              <w:tabs>
                <w:tab w:val="left" w:pos="0"/>
              </w:tabs>
              <w:adjustRightInd w:val="0"/>
              <w:snapToGrid w:val="0"/>
              <w:spacing w:line="360" w:lineRule="auto"/>
              <w:rPr>
                <w:rFonts w:ascii="宋体" w:hAnsi="宋体" w:eastAsia="宋体" w:cs="宋体"/>
                <w:sz w:val="22"/>
              </w:rPr>
            </w:pPr>
          </w:p>
        </w:tc>
        <w:tc>
          <w:tcPr>
            <w:tcW w:w="999" w:type="dxa"/>
            <w:vMerge w:val="continue"/>
          </w:tcPr>
          <w:p w14:paraId="6B118660">
            <w:pPr>
              <w:tabs>
                <w:tab w:val="left" w:pos="0"/>
              </w:tabs>
              <w:adjustRightInd w:val="0"/>
              <w:snapToGrid w:val="0"/>
              <w:spacing w:line="360" w:lineRule="auto"/>
              <w:rPr>
                <w:rFonts w:ascii="宋体" w:hAnsi="宋体" w:eastAsia="宋体" w:cs="宋体"/>
                <w:sz w:val="22"/>
              </w:rPr>
            </w:pPr>
          </w:p>
        </w:tc>
        <w:tc>
          <w:tcPr>
            <w:tcW w:w="2339" w:type="dxa"/>
            <w:vAlign w:val="center"/>
          </w:tcPr>
          <w:p w14:paraId="3895F7BC">
            <w:pPr>
              <w:tabs>
                <w:tab w:val="left" w:pos="0"/>
              </w:tabs>
              <w:adjustRightInd w:val="0"/>
              <w:snapToGrid w:val="0"/>
              <w:jc w:val="center"/>
              <w:rPr>
                <w:rFonts w:hint="eastAsia" w:ascii="宋体" w:hAnsi="宋体" w:eastAsia="宋体" w:cs="宋体"/>
                <w:sz w:val="22"/>
                <w:lang w:bidi="ar"/>
              </w:rPr>
            </w:pPr>
            <w:r>
              <w:rPr>
                <w:rFonts w:hint="eastAsia" w:ascii="宋体" w:hAnsi="宋体" w:eastAsia="宋体" w:cs="宋体"/>
                <w:sz w:val="22"/>
                <w:lang w:bidi="ar"/>
              </w:rPr>
              <w:t>磋商保证金</w:t>
            </w:r>
          </w:p>
        </w:tc>
        <w:tc>
          <w:tcPr>
            <w:tcW w:w="5342" w:type="dxa"/>
            <w:vAlign w:val="center"/>
          </w:tcPr>
          <w:p w14:paraId="77382573">
            <w:pPr>
              <w:tabs>
                <w:tab w:val="left" w:pos="0"/>
              </w:tabs>
              <w:adjustRightInd w:val="0"/>
              <w:snapToGrid w:val="0"/>
              <w:rPr>
                <w:rFonts w:ascii="宋体" w:hAnsi="宋体" w:eastAsia="宋体" w:cs="宋体"/>
                <w:sz w:val="22"/>
              </w:rPr>
            </w:pPr>
            <w:r>
              <w:rPr>
                <w:rFonts w:hint="eastAsia" w:ascii="宋体" w:hAnsi="宋体" w:eastAsia="宋体" w:cs="宋体"/>
                <w:sz w:val="22"/>
              </w:rPr>
              <w:t>提交形式及金额符合竞争性磋商文件要求</w:t>
            </w:r>
          </w:p>
        </w:tc>
      </w:tr>
    </w:tbl>
    <w:p w14:paraId="5394D914">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2-5-3、最后报价</w:t>
      </w:r>
    </w:p>
    <w:p w14:paraId="2043FBDC">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1、磋商小组要求实质性响应的供应商在规定时间内提交最后报价，最后报价是供应商响应文件的有效组成部分。</w:t>
      </w:r>
    </w:p>
    <w:p w14:paraId="12B45A74">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2、最后报价在磋商现场线上提交，各供应商在提交最后报价时应加盖供应商红色公章。</w:t>
      </w:r>
    </w:p>
    <w:p w14:paraId="40921F15">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2-5-4、响应文件的澄清：</w:t>
      </w:r>
    </w:p>
    <w:p w14:paraId="783D1F8C">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在评标期间,对于响应文件中含义不明确、同类问题表述不一致或者有明显文字和计算错误的内容，磋商小组应当以书面形式要求供应商作出必要的澄清、说明或者补正。供应商的澄清、说明或者补正应当采用书面形式，并加盖公章，或者由法定代表人或被授权人签字。供应商的澄清、说明或者补正不得超出响应文件的范围或者改变响应文件的实质性内容。</w:t>
      </w:r>
    </w:p>
    <w:p w14:paraId="1FB70F3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（2）书写错误的评审标准：</w:t>
      </w:r>
    </w:p>
    <w:p w14:paraId="7C97F769">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磋商小组在评标过程中，发现响应文件出现下列情况之一者，按以下原则修正：</w:t>
      </w:r>
    </w:p>
    <w:p w14:paraId="4CBE580E">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w:t>
      </w:r>
      <w:r>
        <w:rPr>
          <w:rFonts w:hint="eastAsia" w:ascii="宋体" w:hAnsi="宋体" w:eastAsia="宋体" w:cs="宋体"/>
          <w:color w:val="000000" w:themeColor="text1"/>
          <w:szCs w:val="24"/>
          <w14:textFill>
            <w14:solidFill>
              <w14:schemeClr w14:val="tx1"/>
            </w14:solidFill>
          </w14:textFill>
        </w:rPr>
        <w:t>响应文件有关内容与“第一次磋商报价表”不一致的，以“第一次磋商报价表”为准</w:t>
      </w:r>
      <w:r>
        <w:rPr>
          <w:rFonts w:hint="eastAsia" w:ascii="宋体" w:hAnsi="宋体" w:eastAsia="宋体" w:cs="宋体"/>
          <w:color w:val="000000" w:themeColor="text1"/>
          <w14:textFill>
            <w14:solidFill>
              <w14:schemeClr w14:val="tx1"/>
            </w14:solidFill>
          </w14:textFill>
        </w:rPr>
        <w:t>；</w:t>
      </w:r>
    </w:p>
    <w:p w14:paraId="24A4157F">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w:t>
      </w:r>
      <w:r>
        <w:rPr>
          <w:rFonts w:hint="eastAsia" w:ascii="宋体" w:hAnsi="宋体" w:eastAsia="宋体" w:cs="宋体"/>
          <w:color w:val="000000" w:themeColor="text1"/>
          <w:szCs w:val="24"/>
          <w14:textFill>
            <w14:solidFill>
              <w14:schemeClr w14:val="tx1"/>
            </w14:solidFill>
          </w14:textFill>
        </w:rPr>
        <w:t>大写金额与小写金额不一致的，以大写金额为准</w:t>
      </w:r>
      <w:r>
        <w:rPr>
          <w:rFonts w:hint="eastAsia" w:ascii="宋体" w:hAnsi="宋体" w:eastAsia="宋体" w:cs="宋体"/>
          <w:color w:val="000000" w:themeColor="text1"/>
          <w14:textFill>
            <w14:solidFill>
              <w14:schemeClr w14:val="tx1"/>
            </w14:solidFill>
          </w14:textFill>
        </w:rPr>
        <w:t>；</w:t>
      </w:r>
    </w:p>
    <w:p w14:paraId="1BCFFDB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c、单价金额小数点或者百分比有明显错位的，以“第一次磋商报价表”的总价为准，并修改单价；</w:t>
      </w:r>
    </w:p>
    <w:p w14:paraId="102938DE">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d、总价金额与按</w:t>
      </w:r>
      <w:r>
        <w:rPr>
          <w:rFonts w:hint="eastAsia" w:ascii="宋体" w:hAnsi="宋体" w:eastAsia="宋体" w:cs="宋体"/>
          <w:color w:val="000000" w:themeColor="text1"/>
          <w:szCs w:val="24"/>
          <w14:textFill>
            <w14:solidFill>
              <w14:schemeClr w14:val="tx1"/>
            </w14:solidFill>
          </w14:textFill>
        </w:rPr>
        <w:t>单价汇总金额不一致的，以单价乘以数量的计算结果为准</w:t>
      </w:r>
      <w:r>
        <w:rPr>
          <w:rFonts w:hint="eastAsia" w:ascii="宋体" w:hAnsi="宋体" w:eastAsia="宋体" w:cs="宋体"/>
          <w:color w:val="000000" w:themeColor="text1"/>
          <w14:textFill>
            <w14:solidFill>
              <w14:schemeClr w14:val="tx1"/>
            </w14:solidFill>
          </w14:textFill>
        </w:rPr>
        <w:t>；</w:t>
      </w:r>
    </w:p>
    <w:p w14:paraId="2F118B5A">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e、</w:t>
      </w:r>
      <w:r>
        <w:rPr>
          <w:rFonts w:hint="eastAsia" w:ascii="宋体" w:hAnsi="宋体" w:eastAsia="宋体" w:cs="宋体"/>
          <w:color w:val="000000" w:themeColor="text1"/>
          <w:szCs w:val="24"/>
          <w14:textFill>
            <w14:solidFill>
              <w14:schemeClr w14:val="tx1"/>
            </w14:solidFill>
          </w14:textFill>
        </w:rPr>
        <w:t>响应文件图表与文字不符时，以文字为准</w:t>
      </w:r>
      <w:r>
        <w:rPr>
          <w:rFonts w:hint="eastAsia" w:ascii="宋体" w:hAnsi="宋体" w:eastAsia="宋体" w:cs="宋体"/>
          <w:color w:val="000000" w:themeColor="text1"/>
          <w14:textFill>
            <w14:solidFill>
              <w14:schemeClr w14:val="tx1"/>
            </w14:solidFill>
          </w14:textFill>
        </w:rPr>
        <w:t>；</w:t>
      </w:r>
    </w:p>
    <w:p w14:paraId="6633A424">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f、响应文件正本与副本不符时，以正本为准；</w:t>
      </w:r>
    </w:p>
    <w:p w14:paraId="5BFC4140">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g、对不同文字文本响应文件的解释发生异议的，以中文文本为准；</w:t>
      </w:r>
    </w:p>
    <w:p w14:paraId="1600F010">
      <w:pPr>
        <w:overflowPunct w:val="0"/>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h、</w:t>
      </w:r>
      <w:r>
        <w:rPr>
          <w:rFonts w:hint="eastAsia" w:ascii="宋体" w:hAnsi="宋体" w:eastAsia="宋体" w:cs="宋体"/>
          <w:color w:val="000000" w:themeColor="text1"/>
          <w:szCs w:val="24"/>
          <w14:textFill>
            <w14:solidFill>
              <w14:schemeClr w14:val="tx1"/>
            </w14:solidFill>
          </w14:textFill>
        </w:rPr>
        <w:t>多处内容交叉不符时，以评标委员会评审结果为准。</w:t>
      </w:r>
    </w:p>
    <w:p w14:paraId="7AC7628C">
      <w:pPr>
        <w:spacing w:line="360" w:lineRule="auto"/>
        <w:ind w:firstLine="482" w:firstLineChars="200"/>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注：按上述方法修正的内容（其中，同时出现上述a至d两种以上不一致的，按上述规定的顺序修正），经供应商确认后产生约束力，供应商不确认的，其投标无效。</w:t>
      </w:r>
    </w:p>
    <w:p w14:paraId="45C45BFC">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磋商小组认为供应商的报价明显低于其他通过符合性审查供应商的报价，有可能影响产品/服务质量或者不能诚信履约的，应当要求其在评标现场合理的时间内提供书面说明，必要时提交相关证明材料；供应商不能证明其报价合理性的，磋商小组应当将其作为无效投标处理。</w:t>
      </w:r>
    </w:p>
    <w:p w14:paraId="48B946B7">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2-5-5、评价（详评）：</w:t>
      </w:r>
    </w:p>
    <w:p w14:paraId="4E750277">
      <w:pPr>
        <w:spacing w:line="360" w:lineRule="auto"/>
        <w:ind w:firstLine="465"/>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（1）磋商小组评审只根据响应文件本身的内容，而不寻求其他外部证据。</w:t>
      </w:r>
    </w:p>
    <w:p w14:paraId="0153BD52">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评审</w:t>
      </w:r>
      <w:r>
        <w:rPr>
          <w:rFonts w:hint="eastAsia" w:ascii="宋体" w:hAnsi="宋体" w:eastAsia="宋体" w:cs="宋体"/>
          <w:color w:val="000000" w:themeColor="text1"/>
          <w14:textFill>
            <w14:solidFill>
              <w14:schemeClr w14:val="tx1"/>
            </w14:solidFill>
          </w14:textFill>
        </w:rPr>
        <w:t>采取逐项分步评审方式，每一步评审不符合者，不进入下一步评审，全部评审合格的供应商进行最后的综合评审和打分，按</w:t>
      </w:r>
      <w:r>
        <w:rPr>
          <w:rFonts w:hint="eastAsia" w:ascii="宋体" w:hAnsi="宋体" w:eastAsia="宋体" w:cs="宋体"/>
          <w:color w:val="000000" w:themeColor="text1"/>
          <w:lang w:val="en-US" w:eastAsia="zh-CN"/>
          <w14:textFill>
            <w14:solidFill>
              <w14:schemeClr w14:val="tx1"/>
            </w14:solidFill>
          </w14:textFill>
        </w:rPr>
        <w:t>综合</w:t>
      </w:r>
      <w:r>
        <w:rPr>
          <w:rFonts w:hint="eastAsia" w:ascii="宋体" w:hAnsi="宋体" w:eastAsia="宋体" w:cs="宋体"/>
          <w:color w:val="000000" w:themeColor="text1"/>
          <w14:textFill>
            <w14:solidFill>
              <w14:schemeClr w14:val="tx1"/>
            </w14:solidFill>
          </w14:textFill>
        </w:rPr>
        <w:t>得分由高向低排序，推荐中标候选人。</w:t>
      </w:r>
    </w:p>
    <w:p w14:paraId="4360F945">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（3）其他需说明的情况：</w:t>
      </w:r>
    </w:p>
    <w:p w14:paraId="3ADBC418">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a、对于响应文件中不构成实质性偏差的小的不正规、不一致或不规则，采购人可以接受，但这种接受不能损害或影响任何供应商的相对排序；</w:t>
      </w:r>
    </w:p>
    <w:p w14:paraId="6C7E9E1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b、最低报价不是中标的唯一条件；</w:t>
      </w:r>
    </w:p>
    <w:p w14:paraId="56618E4D">
      <w:pPr>
        <w:overflowPunct w:val="0"/>
        <w:adjustRightInd w:val="0"/>
        <w:snapToGrid w:val="0"/>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c、如果投标实质上没有响应竞争性磋商文件的要求，其投标将被拒绝，供应商不得通过修正或撤消不合要求的偏离或保留从而使其投标成为实质上响应的投标；</w:t>
      </w:r>
    </w:p>
    <w:p w14:paraId="6E15828F">
      <w:pPr>
        <w:overflowPunct w:val="0"/>
        <w:adjustRightInd w:val="0"/>
        <w:snapToGrid w:val="0"/>
        <w:spacing w:line="360" w:lineRule="auto"/>
        <w:ind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d、</w:t>
      </w:r>
      <w:r>
        <w:rPr>
          <w:rFonts w:hint="eastAsia" w:ascii="宋体" w:hAnsi="宋体" w:eastAsia="宋体" w:cs="宋体"/>
          <w:color w:val="000000" w:themeColor="text1"/>
          <w:szCs w:val="24"/>
          <w14:textFill>
            <w14:solidFill>
              <w14:schemeClr w14:val="tx1"/>
            </w14:solidFill>
          </w14:textFill>
        </w:rPr>
        <w:t>无论投标的结果如</w:t>
      </w:r>
      <w:r>
        <w:rPr>
          <w:rFonts w:hint="eastAsia" w:ascii="宋体" w:hAnsi="宋体" w:eastAsia="宋体" w:cs="宋体"/>
          <w:color w:val="000000" w:themeColor="text1"/>
          <w:szCs w:val="24"/>
          <w:highlight w:val="none"/>
          <w14:textFill>
            <w14:solidFill>
              <w14:schemeClr w14:val="tx1"/>
            </w14:solidFill>
          </w14:textFill>
        </w:rPr>
        <w:t>何，投标期间一切费用自理。</w:t>
      </w:r>
    </w:p>
    <w:p w14:paraId="146BA4DB">
      <w:pPr>
        <w:spacing w:line="360" w:lineRule="auto"/>
        <w:ind w:firstLine="482" w:firstLineChars="200"/>
        <w:rPr>
          <w:rFonts w:hint="eastAsia" w:ascii="宋体" w:hAnsi="宋体" w:eastAsia="宋体" w:cs="宋体"/>
          <w:b/>
          <w:color w:val="000000" w:themeColor="text1"/>
          <w:szCs w:val="24"/>
          <w:highlight w:val="none"/>
          <w14:textFill>
            <w14:solidFill>
              <w14:schemeClr w14:val="tx1"/>
            </w14:solidFill>
          </w14:textFill>
        </w:rPr>
      </w:pPr>
      <w:r>
        <w:rPr>
          <w:rFonts w:hint="eastAsia" w:ascii="宋体" w:hAnsi="宋体" w:eastAsia="宋体" w:cs="宋体"/>
          <w:b/>
          <w:color w:val="000000" w:themeColor="text1"/>
          <w:szCs w:val="24"/>
          <w:highlight w:val="none"/>
          <w14:textFill>
            <w14:solidFill>
              <w14:schemeClr w14:val="tx1"/>
            </w14:solidFill>
          </w14:textFill>
        </w:rPr>
        <w:t>2-6、评分标准：</w:t>
      </w:r>
    </w:p>
    <w:tbl>
      <w:tblPr>
        <w:tblStyle w:val="37"/>
        <w:tblpPr w:leftFromText="180" w:rightFromText="180" w:vertAnchor="text" w:horzAnchor="page" w:tblpX="1622" w:tblpY="305"/>
        <w:tblOverlap w:val="never"/>
        <w:tblW w:w="45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827"/>
        <w:gridCol w:w="1915"/>
        <w:gridCol w:w="4506"/>
        <w:gridCol w:w="495"/>
      </w:tblGrid>
      <w:tr w14:paraId="7D98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50" w:type="pct"/>
            <w:tcBorders>
              <w:top w:val="single" w:color="auto" w:sz="4" w:space="0"/>
              <w:left w:val="single" w:color="auto" w:sz="4" w:space="0"/>
              <w:bottom w:val="single" w:color="auto" w:sz="4" w:space="0"/>
              <w:right w:val="single" w:color="auto" w:sz="4" w:space="0"/>
            </w:tcBorders>
            <w:vAlign w:val="center"/>
          </w:tcPr>
          <w:p w14:paraId="0CE9280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价格</w:t>
            </w:r>
          </w:p>
          <w:p w14:paraId="76E552ED">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权值</w:t>
            </w:r>
          </w:p>
        </w:tc>
        <w:tc>
          <w:tcPr>
            <w:tcW w:w="486" w:type="pct"/>
            <w:tcBorders>
              <w:top w:val="single" w:color="auto" w:sz="4" w:space="0"/>
              <w:left w:val="single" w:color="auto" w:sz="4" w:space="0"/>
              <w:bottom w:val="single" w:color="auto" w:sz="4" w:space="0"/>
              <w:right w:val="single" w:color="auto" w:sz="4" w:space="0"/>
            </w:tcBorders>
            <w:vAlign w:val="center"/>
          </w:tcPr>
          <w:p w14:paraId="52B68E3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分值</w:t>
            </w:r>
          </w:p>
        </w:tc>
        <w:tc>
          <w:tcPr>
            <w:tcW w:w="1125" w:type="pct"/>
            <w:tcBorders>
              <w:top w:val="single" w:color="auto" w:sz="4" w:space="0"/>
              <w:left w:val="single" w:color="auto" w:sz="4" w:space="0"/>
              <w:bottom w:val="single" w:color="auto" w:sz="4" w:space="0"/>
              <w:right w:val="single" w:color="auto" w:sz="4" w:space="0"/>
            </w:tcBorders>
            <w:vAlign w:val="center"/>
          </w:tcPr>
          <w:p w14:paraId="15550B1B">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评审明细</w:t>
            </w:r>
          </w:p>
        </w:tc>
        <w:tc>
          <w:tcPr>
            <w:tcW w:w="2648" w:type="pct"/>
            <w:tcBorders>
              <w:top w:val="single" w:color="auto" w:sz="4" w:space="0"/>
              <w:left w:val="single" w:color="auto" w:sz="4" w:space="0"/>
              <w:bottom w:val="single" w:color="auto" w:sz="4" w:space="0"/>
              <w:right w:val="single" w:color="auto" w:sz="4" w:space="0"/>
            </w:tcBorders>
            <w:vAlign w:val="center"/>
          </w:tcPr>
          <w:p w14:paraId="45F5AB84">
            <w:pPr>
              <w:jc w:val="center"/>
              <w:rPr>
                <w:rFonts w:hint="eastAsia" w:ascii="宋体" w:hAnsi="宋体" w:eastAsia="宋体" w:cs="宋体"/>
                <w:b/>
                <w:bCs/>
                <w:color w:val="000000"/>
                <w:sz w:val="21"/>
                <w:szCs w:val="21"/>
                <w:highlight w:val="none"/>
              </w:rPr>
            </w:pPr>
            <w:r>
              <w:rPr>
                <w:rFonts w:hint="eastAsia" w:ascii="宋体" w:hAnsi="宋体" w:eastAsia="宋体" w:cs="宋体"/>
                <w:color w:val="000000"/>
                <w:sz w:val="21"/>
                <w:szCs w:val="21"/>
                <w:highlight w:val="none"/>
              </w:rPr>
              <w:t>评标原则与标准</w:t>
            </w:r>
          </w:p>
        </w:tc>
        <w:tc>
          <w:tcPr>
            <w:tcW w:w="289" w:type="pct"/>
            <w:vMerge w:val="restart"/>
            <w:tcBorders>
              <w:top w:val="single" w:color="auto" w:sz="4" w:space="0"/>
              <w:left w:val="single" w:color="auto" w:sz="4" w:space="0"/>
              <w:bottom w:val="single" w:color="auto" w:sz="4" w:space="0"/>
              <w:right w:val="single" w:color="auto" w:sz="4" w:space="0"/>
            </w:tcBorders>
            <w:vAlign w:val="center"/>
          </w:tcPr>
          <w:p w14:paraId="34C36724">
            <w:pPr>
              <w:rPr>
                <w:rFonts w:hint="eastAsia" w:ascii="宋体" w:hAnsi="宋体" w:eastAsia="宋体" w:cs="宋体"/>
                <w:color w:val="000000"/>
                <w:sz w:val="21"/>
                <w:szCs w:val="21"/>
                <w:highlight w:val="none"/>
              </w:rPr>
            </w:pPr>
          </w:p>
          <w:p w14:paraId="0C777543">
            <w:pPr>
              <w:pStyle w:val="13"/>
              <w:rPr>
                <w:rFonts w:hint="eastAsia" w:ascii="宋体" w:hAnsi="宋体" w:eastAsia="宋体" w:cs="宋体"/>
                <w:color w:val="000000"/>
                <w:sz w:val="21"/>
                <w:szCs w:val="21"/>
                <w:highlight w:val="none"/>
              </w:rPr>
            </w:pPr>
          </w:p>
          <w:p w14:paraId="53AEEE39">
            <w:pPr>
              <w:rPr>
                <w:rFonts w:hint="eastAsia" w:ascii="宋体" w:hAnsi="宋体" w:eastAsia="宋体" w:cs="宋体"/>
                <w:color w:val="000000"/>
                <w:sz w:val="21"/>
                <w:szCs w:val="21"/>
                <w:highlight w:val="none"/>
              </w:rPr>
            </w:pPr>
          </w:p>
          <w:p w14:paraId="7B9EF8BB">
            <w:pPr>
              <w:pStyle w:val="13"/>
              <w:rPr>
                <w:rFonts w:hint="eastAsia" w:ascii="宋体" w:hAnsi="宋体" w:eastAsia="宋体" w:cs="宋体"/>
                <w:color w:val="000000"/>
                <w:sz w:val="21"/>
                <w:szCs w:val="21"/>
                <w:highlight w:val="none"/>
              </w:rPr>
            </w:pPr>
          </w:p>
          <w:p w14:paraId="37B4387B">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w:t>
            </w:r>
          </w:p>
          <w:p w14:paraId="6DB32F5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据</w:t>
            </w:r>
          </w:p>
          <w:p w14:paraId="11A95560">
            <w:pP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磋商响应文</w:t>
            </w:r>
          </w:p>
          <w:p w14:paraId="3D510400">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件</w:t>
            </w:r>
          </w:p>
          <w:p w14:paraId="45715B1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的</w:t>
            </w:r>
          </w:p>
          <w:p w14:paraId="61039C2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w:t>
            </w:r>
          </w:p>
          <w:p w14:paraId="56B93A1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应</w:t>
            </w:r>
          </w:p>
          <w:p w14:paraId="109B1FC1">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程  度</w:t>
            </w:r>
          </w:p>
          <w:p w14:paraId="1B83C30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w:t>
            </w:r>
          </w:p>
          <w:p w14:paraId="49F5292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差</w:t>
            </w:r>
          </w:p>
          <w:p w14:paraId="5DAA3526">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别</w:t>
            </w:r>
          </w:p>
          <w:p w14:paraId="1B39B43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w:t>
            </w:r>
          </w:p>
          <w:p w14:paraId="01E6858A">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w:t>
            </w:r>
          </w:p>
        </w:tc>
      </w:tr>
      <w:tr w14:paraId="66F5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450" w:type="pct"/>
            <w:tcBorders>
              <w:top w:val="single" w:color="auto" w:sz="4" w:space="0"/>
              <w:left w:val="single" w:color="auto" w:sz="4" w:space="0"/>
              <w:bottom w:val="single" w:color="auto" w:sz="4" w:space="0"/>
              <w:right w:val="single" w:color="auto" w:sz="4" w:space="0"/>
            </w:tcBorders>
            <w:vAlign w:val="center"/>
          </w:tcPr>
          <w:p w14:paraId="59F8736C">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w:t>
            </w:r>
          </w:p>
        </w:tc>
        <w:tc>
          <w:tcPr>
            <w:tcW w:w="486" w:type="pct"/>
            <w:tcBorders>
              <w:top w:val="single" w:color="auto" w:sz="4" w:space="0"/>
              <w:left w:val="single" w:color="auto" w:sz="4" w:space="0"/>
              <w:bottom w:val="single" w:color="auto" w:sz="4" w:space="0"/>
              <w:right w:val="single" w:color="auto" w:sz="4" w:space="0"/>
            </w:tcBorders>
            <w:vAlign w:val="center"/>
          </w:tcPr>
          <w:p w14:paraId="3E97842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30分</w:t>
            </w:r>
          </w:p>
        </w:tc>
        <w:tc>
          <w:tcPr>
            <w:tcW w:w="1125" w:type="pct"/>
            <w:tcBorders>
              <w:top w:val="single" w:color="auto" w:sz="4" w:space="0"/>
              <w:left w:val="single" w:color="auto" w:sz="4" w:space="0"/>
              <w:bottom w:val="single" w:color="auto" w:sz="4" w:space="0"/>
              <w:right w:val="single" w:color="auto" w:sz="4" w:space="0"/>
            </w:tcBorders>
            <w:vAlign w:val="center"/>
          </w:tcPr>
          <w:p w14:paraId="05C182C9">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报价</w:t>
            </w:r>
          </w:p>
        </w:tc>
        <w:tc>
          <w:tcPr>
            <w:tcW w:w="2648" w:type="pct"/>
            <w:tcBorders>
              <w:top w:val="single" w:color="auto" w:sz="4" w:space="0"/>
              <w:left w:val="single" w:color="auto" w:sz="4" w:space="0"/>
              <w:bottom w:val="single" w:color="auto" w:sz="4" w:space="0"/>
              <w:right w:val="single" w:color="auto" w:sz="4" w:space="0"/>
            </w:tcBorders>
            <w:vAlign w:val="center"/>
          </w:tcPr>
          <w:p w14:paraId="1B746FC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照《中华人民共和国政府采购法》及《中华人民共和国政府采购法实施条例》的有关规定：价格分采用低价优先法计算，即满足竞争性磋商文件要求且最后报价最低的供应商的价格为磋商基准价，其价格分为满分。其他供应商的价格分统一按照下列公式计算：</w:t>
            </w:r>
          </w:p>
          <w:p w14:paraId="0641F8E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磋商报价得分=（</w:t>
            </w:r>
            <w:r>
              <w:rPr>
                <w:rFonts w:hint="eastAsia" w:ascii="宋体" w:hAnsi="宋体" w:eastAsia="宋体" w:cs="宋体"/>
                <w:color w:val="000000"/>
                <w:sz w:val="21"/>
                <w:szCs w:val="21"/>
                <w:highlight w:val="none"/>
                <w:lang w:val="en-US" w:eastAsia="zh-CN"/>
              </w:rPr>
              <w:t>磋商</w:t>
            </w:r>
            <w:r>
              <w:rPr>
                <w:rFonts w:hint="eastAsia" w:ascii="宋体" w:hAnsi="宋体" w:eastAsia="宋体" w:cs="宋体"/>
                <w:color w:val="000000"/>
                <w:sz w:val="21"/>
                <w:szCs w:val="21"/>
                <w:highlight w:val="none"/>
              </w:rPr>
              <w:t>基准价/最终磋商报价）×价格权值（即30%）×100</w:t>
            </w:r>
          </w:p>
          <w:p w14:paraId="55C07632">
            <w:pPr>
              <w:pStyle w:val="13"/>
              <w:rPr>
                <w:rFonts w:hint="eastAsia" w:ascii="宋体" w:hAnsi="宋体" w:eastAsia="宋体" w:cs="宋体"/>
                <w:highlight w:val="none"/>
              </w:rPr>
            </w:pPr>
            <w:r>
              <w:rPr>
                <w:rFonts w:hint="eastAsia" w:ascii="宋体" w:hAnsi="宋体" w:eastAsia="宋体" w:cs="宋体"/>
                <w:b/>
                <w:bCs/>
                <w:color w:val="000000"/>
                <w:kern w:val="2"/>
                <w:sz w:val="21"/>
                <w:szCs w:val="21"/>
                <w:highlight w:val="none"/>
                <w:lang w:val="en-US" w:eastAsia="zh-CN" w:bidi="ar-SA"/>
              </w:rPr>
              <w:t>本项目专门面向中小企业采购，故不享受价格扣除优惠政策。</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07242C5">
            <w:pPr>
              <w:widowControl/>
              <w:jc w:val="left"/>
              <w:rPr>
                <w:rFonts w:hint="eastAsia" w:ascii="宋体" w:hAnsi="宋体" w:eastAsia="宋体" w:cs="宋体"/>
                <w:color w:val="000000"/>
                <w:sz w:val="21"/>
                <w:szCs w:val="21"/>
                <w:highlight w:val="none"/>
              </w:rPr>
            </w:pPr>
          </w:p>
        </w:tc>
      </w:tr>
      <w:tr w14:paraId="17AF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450" w:type="pct"/>
            <w:tcBorders>
              <w:top w:val="single" w:color="auto" w:sz="4" w:space="0"/>
              <w:left w:val="single" w:color="auto" w:sz="4" w:space="0"/>
              <w:bottom w:val="single" w:color="auto" w:sz="4" w:space="0"/>
              <w:right w:val="single" w:color="auto" w:sz="4" w:space="0"/>
            </w:tcBorders>
            <w:vAlign w:val="center"/>
          </w:tcPr>
          <w:p w14:paraId="4DF6703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7F6FE06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784F629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项目负责人和项目部的配备</w:t>
            </w:r>
          </w:p>
        </w:tc>
        <w:tc>
          <w:tcPr>
            <w:tcW w:w="2648" w:type="pct"/>
            <w:tcBorders>
              <w:top w:val="single" w:color="auto" w:sz="4" w:space="0"/>
              <w:left w:val="single" w:color="auto" w:sz="4" w:space="0"/>
              <w:bottom w:val="single" w:color="auto" w:sz="4" w:space="0"/>
              <w:right w:val="single" w:color="auto" w:sz="4" w:space="0"/>
            </w:tcBorders>
            <w:vAlign w:val="center"/>
          </w:tcPr>
          <w:p w14:paraId="34965F1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依据提供的项目人员组成</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如</w:t>
            </w:r>
            <w:r>
              <w:rPr>
                <w:rFonts w:hint="eastAsia" w:ascii="宋体" w:hAnsi="宋体" w:eastAsia="宋体" w:cs="宋体"/>
                <w:color w:val="000000"/>
                <w:sz w:val="21"/>
                <w:szCs w:val="21"/>
                <w:highlight w:val="none"/>
              </w:rPr>
              <w:t>施工员、质检员、专职安全员、材料员、资料员、造价员及财务管理人员</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的数量、专业配置横向比较，综合赋分。</w:t>
            </w:r>
          </w:p>
          <w:p w14:paraId="308F853B">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项目部人员组成合理、健全,赋</w:t>
            </w:r>
            <w:r>
              <w:rPr>
                <w:rFonts w:hint="eastAsia" w:ascii="宋体" w:hAnsi="宋体" w:eastAsia="宋体" w:cs="宋体"/>
                <w:color w:val="000000"/>
                <w:sz w:val="21"/>
                <w:szCs w:val="21"/>
                <w:highlight w:val="none"/>
                <w:lang w:val="en-US" w:eastAsia="zh-CN"/>
              </w:rPr>
              <w:t>7.1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p w14:paraId="64C98368">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项目部人员组成基本合理、基本健全,赋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分；</w:t>
            </w:r>
          </w:p>
          <w:p w14:paraId="14290601">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项目部人员组成不合理、人员不健全,赋0-</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D84350">
            <w:pPr>
              <w:widowControl/>
              <w:jc w:val="left"/>
              <w:rPr>
                <w:rFonts w:hint="eastAsia" w:ascii="宋体" w:hAnsi="宋体" w:eastAsia="宋体" w:cs="宋体"/>
                <w:color w:val="000000"/>
                <w:sz w:val="21"/>
                <w:szCs w:val="21"/>
                <w:highlight w:val="none"/>
              </w:rPr>
            </w:pPr>
          </w:p>
        </w:tc>
      </w:tr>
      <w:tr w14:paraId="55F1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atLeast"/>
        </w:trPr>
        <w:tc>
          <w:tcPr>
            <w:tcW w:w="450" w:type="pct"/>
            <w:tcBorders>
              <w:top w:val="single" w:color="auto" w:sz="4" w:space="0"/>
              <w:left w:val="single" w:color="auto" w:sz="4" w:space="0"/>
              <w:bottom w:val="single" w:color="auto" w:sz="4" w:space="0"/>
              <w:right w:val="single" w:color="auto" w:sz="4" w:space="0"/>
            </w:tcBorders>
            <w:vAlign w:val="center"/>
          </w:tcPr>
          <w:p w14:paraId="1996186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740C108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6E82015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施工方案、方法和技术措施</w:t>
            </w:r>
          </w:p>
        </w:tc>
        <w:tc>
          <w:tcPr>
            <w:tcW w:w="2648" w:type="pct"/>
            <w:tcBorders>
              <w:top w:val="single" w:color="auto" w:sz="4" w:space="0"/>
              <w:left w:val="single" w:color="auto" w:sz="4" w:space="0"/>
              <w:bottom w:val="single" w:color="auto" w:sz="4" w:space="0"/>
              <w:right w:val="single" w:color="auto" w:sz="4" w:space="0"/>
            </w:tcBorders>
            <w:vAlign w:val="center"/>
          </w:tcPr>
          <w:p w14:paraId="406ABF43">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对本项目特性了解透彻，施工方案、方法和技术措施内容全面，赋</w:t>
            </w:r>
            <w:r>
              <w:rPr>
                <w:rFonts w:hint="eastAsia" w:ascii="宋体" w:hAnsi="宋体" w:eastAsia="宋体" w:cs="宋体"/>
                <w:color w:val="000000"/>
                <w:sz w:val="21"/>
                <w:szCs w:val="21"/>
                <w:highlight w:val="none"/>
                <w:lang w:val="en-US" w:eastAsia="zh-CN"/>
              </w:rPr>
              <w:t>7.1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10</w:t>
            </w:r>
            <w:r>
              <w:rPr>
                <w:rFonts w:hint="eastAsia" w:ascii="宋体" w:hAnsi="宋体" w:eastAsia="宋体" w:cs="宋体"/>
                <w:color w:val="000000"/>
                <w:sz w:val="21"/>
                <w:szCs w:val="21"/>
                <w:highlight w:val="none"/>
              </w:rPr>
              <w:t>；</w:t>
            </w:r>
          </w:p>
          <w:p w14:paraId="1A3750B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施工方案、方法和技术措施内容全面较全面，针对性一般，赋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分；</w:t>
            </w:r>
          </w:p>
          <w:p w14:paraId="68948F1E">
            <w:pPr>
              <w:spacing w:line="320" w:lineRule="exact"/>
              <w:rPr>
                <w:rFonts w:hint="eastAsia" w:ascii="宋体" w:hAnsi="宋体" w:eastAsia="宋体" w:cs="宋体"/>
                <w:highlight w:val="none"/>
                <w:lang w:eastAsia="zh-CN"/>
              </w:rPr>
            </w:pPr>
            <w:r>
              <w:rPr>
                <w:rFonts w:hint="eastAsia" w:ascii="宋体" w:hAnsi="宋体" w:eastAsia="宋体" w:cs="宋体"/>
                <w:color w:val="000000"/>
                <w:sz w:val="21"/>
                <w:szCs w:val="21"/>
                <w:highlight w:val="none"/>
              </w:rPr>
              <w:t>施工方案、方法和技术措施内容不全面，针对性较差，赋</w:t>
            </w:r>
            <w:r>
              <w:rPr>
                <w:rFonts w:hint="eastAsia" w:ascii="宋体" w:hAnsi="宋体" w:eastAsia="宋体" w:cs="宋体"/>
                <w:color w:val="000000"/>
                <w:sz w:val="21"/>
                <w:szCs w:val="21"/>
                <w:highlight w:val="none"/>
                <w:lang w:val="en-US" w:eastAsia="zh-CN"/>
              </w:rPr>
              <w:t>0</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9369D3E">
            <w:pPr>
              <w:widowControl/>
              <w:jc w:val="left"/>
              <w:rPr>
                <w:rFonts w:hint="eastAsia" w:ascii="宋体" w:hAnsi="宋体" w:eastAsia="宋体" w:cs="宋体"/>
                <w:color w:val="000000"/>
                <w:sz w:val="21"/>
                <w:szCs w:val="21"/>
                <w:highlight w:val="none"/>
              </w:rPr>
            </w:pPr>
          </w:p>
        </w:tc>
      </w:tr>
      <w:tr w14:paraId="038C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450" w:type="pct"/>
            <w:tcBorders>
              <w:top w:val="single" w:color="auto" w:sz="4" w:space="0"/>
              <w:left w:val="single" w:color="auto" w:sz="4" w:space="0"/>
              <w:bottom w:val="single" w:color="auto" w:sz="4" w:space="0"/>
              <w:right w:val="single" w:color="auto" w:sz="4" w:space="0"/>
            </w:tcBorders>
            <w:vAlign w:val="center"/>
          </w:tcPr>
          <w:p w14:paraId="4A36EC2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251D7E9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69A5A8AC">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确保工期的技术组织措施</w:t>
            </w:r>
          </w:p>
        </w:tc>
        <w:tc>
          <w:tcPr>
            <w:tcW w:w="2648" w:type="pct"/>
            <w:tcBorders>
              <w:top w:val="single" w:color="auto" w:sz="4" w:space="0"/>
              <w:left w:val="single" w:color="auto" w:sz="4" w:space="0"/>
              <w:bottom w:val="single" w:color="auto" w:sz="4" w:space="0"/>
              <w:right w:val="single" w:color="auto" w:sz="4" w:space="0"/>
            </w:tcBorders>
            <w:vAlign w:val="center"/>
          </w:tcPr>
          <w:p w14:paraId="0846617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确保工期的技术措施内容全面，针对性强，赋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C7DF26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确保工期的技术措施内容较全面，针对性一般，赋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7AC430D4">
            <w:pPr>
              <w:spacing w:line="320" w:lineRule="exact"/>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确保工期的技术措施内容不全面，针对性较差，赋0-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01802B">
            <w:pPr>
              <w:widowControl/>
              <w:jc w:val="left"/>
              <w:rPr>
                <w:rFonts w:hint="eastAsia" w:ascii="宋体" w:hAnsi="宋体" w:eastAsia="宋体" w:cs="宋体"/>
                <w:color w:val="000000"/>
                <w:sz w:val="21"/>
                <w:szCs w:val="21"/>
                <w:highlight w:val="none"/>
              </w:rPr>
            </w:pPr>
          </w:p>
        </w:tc>
      </w:tr>
      <w:tr w14:paraId="2741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50" w:type="pct"/>
            <w:tcBorders>
              <w:top w:val="single" w:color="auto" w:sz="4" w:space="0"/>
              <w:left w:val="single" w:color="auto" w:sz="4" w:space="0"/>
              <w:bottom w:val="single" w:color="auto" w:sz="4" w:space="0"/>
              <w:right w:val="single" w:color="auto" w:sz="4" w:space="0"/>
            </w:tcBorders>
            <w:vAlign w:val="center"/>
          </w:tcPr>
          <w:p w14:paraId="5CC3209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25FD7A9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0C6B4CE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w:t>
            </w:r>
          </w:p>
        </w:tc>
        <w:tc>
          <w:tcPr>
            <w:tcW w:w="2648" w:type="pct"/>
            <w:tcBorders>
              <w:top w:val="single" w:color="auto" w:sz="4" w:space="0"/>
              <w:left w:val="single" w:color="auto" w:sz="4" w:space="0"/>
              <w:bottom w:val="single" w:color="auto" w:sz="4" w:space="0"/>
              <w:right w:val="single" w:color="auto" w:sz="4" w:space="0"/>
            </w:tcBorders>
            <w:vAlign w:val="center"/>
          </w:tcPr>
          <w:p w14:paraId="4379AEA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确保工程质量的技术措施内容全面，针对性强,赋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0B17190">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确保工程质量的技术措施内容较全面，针对性一般，赋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AB94DA1">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确保工程质量的技术措施内容不全面，针对性较差，赋0-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BDD486">
            <w:pPr>
              <w:widowControl/>
              <w:jc w:val="left"/>
              <w:rPr>
                <w:rFonts w:hint="eastAsia" w:ascii="宋体" w:hAnsi="宋体" w:eastAsia="宋体" w:cs="宋体"/>
                <w:color w:val="000000"/>
                <w:sz w:val="21"/>
                <w:szCs w:val="21"/>
                <w:highlight w:val="none"/>
              </w:rPr>
            </w:pPr>
          </w:p>
        </w:tc>
      </w:tr>
      <w:tr w14:paraId="20A6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50" w:type="pct"/>
            <w:tcBorders>
              <w:top w:val="single" w:color="auto" w:sz="4" w:space="0"/>
              <w:left w:val="single" w:color="auto" w:sz="4" w:space="0"/>
              <w:bottom w:val="single" w:color="auto" w:sz="4" w:space="0"/>
              <w:right w:val="single" w:color="auto" w:sz="4" w:space="0"/>
            </w:tcBorders>
            <w:vAlign w:val="center"/>
          </w:tcPr>
          <w:p w14:paraId="35C79F50">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25D47819">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477903E1">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w:t>
            </w:r>
          </w:p>
        </w:tc>
        <w:tc>
          <w:tcPr>
            <w:tcW w:w="2648" w:type="pct"/>
            <w:tcBorders>
              <w:top w:val="single" w:color="auto" w:sz="4" w:space="0"/>
              <w:left w:val="single" w:color="auto" w:sz="4" w:space="0"/>
              <w:bottom w:val="single" w:color="auto" w:sz="4" w:space="0"/>
              <w:right w:val="single" w:color="auto" w:sz="4" w:space="0"/>
            </w:tcBorders>
            <w:vAlign w:val="center"/>
          </w:tcPr>
          <w:p w14:paraId="4074325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确保安全生产的技术组织措施全面，针对性强,赋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729AEC9A">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确保安全生产的技术组织措施较全面，针对性一般，赋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EE102DE">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确保安全生产的技术组织措施不全面，针对性较差，赋0-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5DCC0B4">
            <w:pPr>
              <w:widowControl/>
              <w:jc w:val="left"/>
              <w:rPr>
                <w:rFonts w:hint="eastAsia" w:ascii="宋体" w:hAnsi="宋体" w:eastAsia="宋体" w:cs="宋体"/>
                <w:color w:val="000000"/>
                <w:sz w:val="21"/>
                <w:szCs w:val="21"/>
                <w:highlight w:val="none"/>
              </w:rPr>
            </w:pPr>
          </w:p>
        </w:tc>
      </w:tr>
      <w:tr w14:paraId="04BE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450" w:type="pct"/>
            <w:tcBorders>
              <w:top w:val="single" w:color="auto" w:sz="4" w:space="0"/>
              <w:left w:val="single" w:color="auto" w:sz="4" w:space="0"/>
              <w:bottom w:val="single" w:color="auto" w:sz="4" w:space="0"/>
              <w:right w:val="single" w:color="auto" w:sz="4" w:space="0"/>
            </w:tcBorders>
            <w:vAlign w:val="center"/>
          </w:tcPr>
          <w:p w14:paraId="3784D0D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19921BF2">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07FD07C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确保文明施工的技术组织措施及环境保护措施</w:t>
            </w:r>
          </w:p>
        </w:tc>
        <w:tc>
          <w:tcPr>
            <w:tcW w:w="2648" w:type="pct"/>
            <w:tcBorders>
              <w:top w:val="single" w:color="auto" w:sz="4" w:space="0"/>
              <w:left w:val="single" w:color="auto" w:sz="4" w:space="0"/>
              <w:bottom w:val="single" w:color="auto" w:sz="4" w:space="0"/>
              <w:right w:val="single" w:color="auto" w:sz="4" w:space="0"/>
            </w:tcBorders>
            <w:vAlign w:val="center"/>
          </w:tcPr>
          <w:p w14:paraId="6AC5EE2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文明施工、环境保护目标明确，控制措施及制度完整，针对性强，赋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40802EBE">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文明施工、环境保护目标较明确，控制措施及制度较完整，针对性一般，赋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07E4A36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文明施工、环境保护目标不明确，控制措施及制度较差，针对性较差，赋0-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581CBC">
            <w:pPr>
              <w:widowControl/>
              <w:jc w:val="left"/>
              <w:rPr>
                <w:rFonts w:hint="eastAsia" w:ascii="宋体" w:hAnsi="宋体" w:eastAsia="宋体" w:cs="宋体"/>
                <w:color w:val="000000"/>
                <w:sz w:val="21"/>
                <w:szCs w:val="21"/>
                <w:highlight w:val="none"/>
              </w:rPr>
            </w:pPr>
          </w:p>
        </w:tc>
      </w:tr>
      <w:tr w14:paraId="53A5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450" w:type="pct"/>
            <w:tcBorders>
              <w:top w:val="single" w:color="auto" w:sz="4" w:space="0"/>
              <w:left w:val="single" w:color="auto" w:sz="4" w:space="0"/>
              <w:bottom w:val="single" w:color="auto" w:sz="4" w:space="0"/>
              <w:right w:val="single" w:color="auto" w:sz="4" w:space="0"/>
            </w:tcBorders>
            <w:vAlign w:val="center"/>
          </w:tcPr>
          <w:p w14:paraId="10A75591">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w:t>
            </w:r>
          </w:p>
        </w:tc>
        <w:tc>
          <w:tcPr>
            <w:tcW w:w="486" w:type="pct"/>
            <w:tcBorders>
              <w:top w:val="single" w:color="auto" w:sz="4" w:space="0"/>
              <w:left w:val="single" w:color="auto" w:sz="4" w:space="0"/>
              <w:bottom w:val="single" w:color="auto" w:sz="4" w:space="0"/>
              <w:right w:val="single" w:color="auto" w:sz="4" w:space="0"/>
            </w:tcBorders>
            <w:vAlign w:val="center"/>
          </w:tcPr>
          <w:p w14:paraId="2C7AF8A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tc>
        <w:tc>
          <w:tcPr>
            <w:tcW w:w="1125" w:type="pct"/>
            <w:tcBorders>
              <w:top w:val="single" w:color="auto" w:sz="4" w:space="0"/>
              <w:left w:val="single" w:color="auto" w:sz="4" w:space="0"/>
              <w:bottom w:val="single" w:color="auto" w:sz="4" w:space="0"/>
              <w:right w:val="single" w:color="auto" w:sz="4" w:space="0"/>
            </w:tcBorders>
            <w:vAlign w:val="center"/>
          </w:tcPr>
          <w:p w14:paraId="3DA0649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主要机具、设备和劳动力配备情况</w:t>
            </w:r>
          </w:p>
        </w:tc>
        <w:tc>
          <w:tcPr>
            <w:tcW w:w="2648" w:type="pct"/>
            <w:tcBorders>
              <w:top w:val="single" w:color="auto" w:sz="4" w:space="0"/>
              <w:left w:val="single" w:color="auto" w:sz="4" w:space="0"/>
              <w:bottom w:val="single" w:color="auto" w:sz="4" w:space="0"/>
              <w:right w:val="single" w:color="auto" w:sz="4" w:space="0"/>
            </w:tcBorders>
            <w:vAlign w:val="center"/>
          </w:tcPr>
          <w:p w14:paraId="3DACF6E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主要机具、设备和劳动力配备合理、完善，有详尽的计划与措施，赋</w:t>
            </w:r>
            <w:r>
              <w:rPr>
                <w:rFonts w:hint="eastAsia" w:ascii="宋体" w:hAnsi="宋体" w:eastAsia="宋体" w:cs="宋体"/>
                <w:color w:val="000000"/>
                <w:sz w:val="21"/>
                <w:szCs w:val="21"/>
                <w:highlight w:val="none"/>
                <w:lang w:val="en-US" w:eastAsia="zh-CN"/>
              </w:rPr>
              <w:t>4.1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rPr>
              <w:t>分；</w:t>
            </w:r>
          </w:p>
          <w:p w14:paraId="61316FC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主要机具、设备和劳动力配备较为合理、完善，赋</w:t>
            </w:r>
            <w:r>
              <w:rPr>
                <w:rFonts w:hint="eastAsia" w:ascii="宋体" w:hAnsi="宋体" w:eastAsia="宋体" w:cs="宋体"/>
                <w:color w:val="000000"/>
                <w:sz w:val="21"/>
                <w:szCs w:val="21"/>
                <w:highlight w:val="none"/>
                <w:lang w:val="en-US" w:eastAsia="zh-CN"/>
              </w:rPr>
              <w:t>2.1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分；</w:t>
            </w:r>
          </w:p>
          <w:p w14:paraId="3F2EBFF7">
            <w:pPr>
              <w:spacing w:line="320" w:lineRule="exact"/>
              <w:rPr>
                <w:rFonts w:hint="eastAsia" w:ascii="宋体" w:hAnsi="宋体" w:eastAsia="宋体" w:cs="宋体"/>
                <w:highlight w:val="none"/>
                <w:lang w:eastAsia="zh-CN"/>
              </w:rPr>
            </w:pPr>
            <w:r>
              <w:rPr>
                <w:rFonts w:hint="eastAsia" w:ascii="宋体" w:hAnsi="宋体" w:eastAsia="宋体" w:cs="宋体"/>
                <w:color w:val="000000"/>
                <w:sz w:val="21"/>
                <w:szCs w:val="21"/>
                <w:highlight w:val="none"/>
              </w:rPr>
              <w:t>主要机具、设备和劳动力配备不合理、不完善，赋0-</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49256D">
            <w:pPr>
              <w:widowControl/>
              <w:jc w:val="left"/>
              <w:rPr>
                <w:rFonts w:hint="eastAsia" w:ascii="宋体" w:hAnsi="宋体" w:eastAsia="宋体" w:cs="宋体"/>
                <w:color w:val="000000"/>
                <w:sz w:val="21"/>
                <w:szCs w:val="21"/>
                <w:highlight w:val="none"/>
              </w:rPr>
            </w:pPr>
          </w:p>
        </w:tc>
      </w:tr>
      <w:tr w14:paraId="64E51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0" w:type="pct"/>
            <w:tcBorders>
              <w:top w:val="single" w:color="auto" w:sz="4" w:space="0"/>
              <w:left w:val="single" w:color="auto" w:sz="4" w:space="0"/>
              <w:right w:val="single" w:color="auto" w:sz="4" w:space="0"/>
            </w:tcBorders>
            <w:vAlign w:val="center"/>
          </w:tcPr>
          <w:p w14:paraId="5192AAE5">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86" w:type="pct"/>
            <w:tcBorders>
              <w:top w:val="single" w:color="auto" w:sz="4" w:space="0"/>
              <w:left w:val="single" w:color="auto" w:sz="4" w:space="0"/>
              <w:right w:val="single" w:color="auto" w:sz="4" w:space="0"/>
            </w:tcBorders>
            <w:vAlign w:val="center"/>
          </w:tcPr>
          <w:p w14:paraId="1B96436F">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125" w:type="pct"/>
            <w:tcBorders>
              <w:top w:val="single" w:color="auto" w:sz="4" w:space="0"/>
              <w:left w:val="single" w:color="auto" w:sz="4" w:space="0"/>
              <w:right w:val="single" w:color="auto" w:sz="4" w:space="0"/>
            </w:tcBorders>
            <w:vAlign w:val="center"/>
          </w:tcPr>
          <w:p w14:paraId="464A26E8">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进度计划和工期目标</w:t>
            </w:r>
          </w:p>
        </w:tc>
        <w:tc>
          <w:tcPr>
            <w:tcW w:w="2648" w:type="pct"/>
            <w:tcBorders>
              <w:top w:val="single" w:color="auto" w:sz="4" w:space="0"/>
              <w:left w:val="single" w:color="auto" w:sz="4" w:space="0"/>
              <w:bottom w:val="single" w:color="auto" w:sz="4" w:space="0"/>
              <w:right w:val="single" w:color="auto" w:sz="4" w:space="0"/>
            </w:tcBorders>
            <w:vAlign w:val="center"/>
          </w:tcPr>
          <w:p w14:paraId="76B9E67F">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进度计划和工期目标科学合理,赋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-5分</w:t>
            </w:r>
            <w:r>
              <w:rPr>
                <w:rFonts w:hint="eastAsia" w:ascii="宋体" w:hAnsi="宋体" w:eastAsia="宋体" w:cs="宋体"/>
                <w:color w:val="000000"/>
                <w:sz w:val="21"/>
                <w:szCs w:val="21"/>
                <w:highlight w:val="none"/>
                <w:lang w:eastAsia="zh-CN"/>
              </w:rPr>
              <w:t>；</w:t>
            </w:r>
          </w:p>
          <w:p w14:paraId="05E0FC13">
            <w:pPr>
              <w:spacing w:line="320" w:lineRule="exact"/>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rPr>
              <w:t>进度计划和工期目标科学较合理,赋</w:t>
            </w:r>
            <w:r>
              <w:rPr>
                <w:rFonts w:hint="eastAsia" w:ascii="宋体" w:hAnsi="宋体" w:eastAsia="宋体" w:cs="宋体"/>
                <w:color w:val="000000"/>
                <w:sz w:val="21"/>
                <w:szCs w:val="21"/>
                <w:highlight w:val="none"/>
                <w:lang w:val="en-US" w:eastAsia="zh-CN"/>
              </w:rPr>
              <w:t>1.1</w:t>
            </w:r>
            <w:r>
              <w:rPr>
                <w:rFonts w:hint="eastAsia" w:ascii="宋体" w:hAnsi="宋体" w:eastAsia="宋体" w:cs="宋体"/>
                <w:color w:val="000000"/>
                <w:sz w:val="21"/>
                <w:szCs w:val="21"/>
                <w:highlight w:val="none"/>
              </w:rPr>
              <w:t>-3分</w:t>
            </w:r>
            <w:r>
              <w:rPr>
                <w:rFonts w:hint="eastAsia" w:ascii="宋体" w:hAnsi="宋体" w:eastAsia="宋体" w:cs="宋体"/>
                <w:color w:val="000000"/>
                <w:sz w:val="21"/>
                <w:szCs w:val="21"/>
                <w:highlight w:val="none"/>
                <w:lang w:eastAsia="zh-CN"/>
              </w:rPr>
              <w:t>；</w:t>
            </w:r>
          </w:p>
          <w:p w14:paraId="20AF780F">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进度计划和工期目标科学不合理,赋0-1分</w:t>
            </w:r>
            <w:r>
              <w:rPr>
                <w:rFonts w:hint="eastAsia" w:ascii="宋体" w:hAnsi="宋体" w:eastAsia="宋体" w:cs="宋体"/>
                <w:color w:val="000000"/>
                <w:sz w:val="21"/>
                <w:szCs w:val="21"/>
                <w:highlight w:val="none"/>
                <w:lang w:eastAsia="zh-CN"/>
              </w:rPr>
              <w:t>。</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29516B1">
            <w:pPr>
              <w:widowControl/>
              <w:jc w:val="left"/>
              <w:rPr>
                <w:rFonts w:hint="eastAsia" w:ascii="宋体" w:hAnsi="宋体" w:eastAsia="宋体" w:cs="宋体"/>
                <w:color w:val="000000"/>
                <w:sz w:val="21"/>
                <w:szCs w:val="21"/>
                <w:highlight w:val="none"/>
              </w:rPr>
            </w:pPr>
          </w:p>
        </w:tc>
      </w:tr>
      <w:tr w14:paraId="1B476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450" w:type="pct"/>
            <w:tcBorders>
              <w:top w:val="single" w:color="auto" w:sz="4" w:space="0"/>
              <w:left w:val="single" w:color="auto" w:sz="4" w:space="0"/>
              <w:right w:val="single" w:color="auto" w:sz="4" w:space="0"/>
            </w:tcBorders>
            <w:vAlign w:val="center"/>
          </w:tcPr>
          <w:p w14:paraId="258EB292">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86" w:type="pct"/>
            <w:tcBorders>
              <w:top w:val="single" w:color="auto" w:sz="4" w:space="0"/>
              <w:left w:val="single" w:color="auto" w:sz="4" w:space="0"/>
              <w:right w:val="single" w:color="auto" w:sz="4" w:space="0"/>
            </w:tcBorders>
            <w:vAlign w:val="center"/>
          </w:tcPr>
          <w:p w14:paraId="610245A7">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125" w:type="pct"/>
            <w:tcBorders>
              <w:top w:val="single" w:color="auto" w:sz="4" w:space="0"/>
              <w:left w:val="single" w:color="auto" w:sz="4" w:space="0"/>
              <w:right w:val="single" w:color="auto" w:sz="4" w:space="0"/>
            </w:tcBorders>
            <w:vAlign w:val="center"/>
          </w:tcPr>
          <w:p w14:paraId="657F1E2D">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w:t>
            </w:r>
          </w:p>
        </w:tc>
        <w:tc>
          <w:tcPr>
            <w:tcW w:w="2648" w:type="pct"/>
            <w:tcBorders>
              <w:top w:val="single" w:color="auto" w:sz="4" w:space="0"/>
              <w:left w:val="single" w:color="auto" w:sz="4" w:space="0"/>
              <w:bottom w:val="single" w:color="auto" w:sz="4" w:space="0"/>
              <w:right w:val="single" w:color="auto" w:sz="4" w:space="0"/>
            </w:tcBorders>
            <w:vAlign w:val="center"/>
          </w:tcPr>
          <w:p w14:paraId="6B366F19">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项目风险预测与防范，事故应急预案合理，有针对性，赋</w:t>
            </w:r>
            <w:r>
              <w:rPr>
                <w:rFonts w:hint="eastAsia" w:ascii="宋体" w:hAnsi="宋体" w:eastAsia="宋体" w:cs="宋体"/>
                <w:color w:val="000000"/>
                <w:sz w:val="21"/>
                <w:szCs w:val="21"/>
                <w:highlight w:val="none"/>
                <w:lang w:val="en-US" w:eastAsia="zh-CN"/>
              </w:rPr>
              <w:t>3.1</w:t>
            </w:r>
            <w:r>
              <w:rPr>
                <w:rFonts w:hint="eastAsia" w:ascii="宋体" w:hAnsi="宋体" w:eastAsia="宋体" w:cs="宋体"/>
                <w:color w:val="000000"/>
                <w:sz w:val="21"/>
                <w:szCs w:val="21"/>
                <w:highlight w:val="none"/>
              </w:rPr>
              <w:t>-5分；</w:t>
            </w:r>
          </w:p>
          <w:p w14:paraId="350C33BD">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项目风险预测与防范，事故应急预案基本合理，针对性一般，赋</w:t>
            </w:r>
            <w:r>
              <w:rPr>
                <w:rFonts w:hint="eastAsia" w:ascii="宋体" w:hAnsi="宋体" w:eastAsia="宋体" w:cs="宋体"/>
                <w:color w:val="000000"/>
                <w:sz w:val="21"/>
                <w:szCs w:val="21"/>
                <w:highlight w:val="none"/>
                <w:lang w:val="en-US" w:eastAsia="zh-CN"/>
              </w:rPr>
              <w:t>1.1</w:t>
            </w:r>
            <w:r>
              <w:rPr>
                <w:rFonts w:hint="eastAsia" w:ascii="宋体" w:hAnsi="宋体" w:eastAsia="宋体" w:cs="宋体"/>
                <w:color w:val="000000"/>
                <w:sz w:val="21"/>
                <w:szCs w:val="21"/>
                <w:highlight w:val="none"/>
              </w:rPr>
              <w:t>-3分；</w:t>
            </w:r>
          </w:p>
          <w:p w14:paraId="14405330">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项目风险预测与防范，事故应急预案合理性较差，针对性较差，赋0-1分；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5C93580">
            <w:pPr>
              <w:widowControl/>
              <w:jc w:val="left"/>
              <w:rPr>
                <w:rFonts w:hint="eastAsia" w:ascii="宋体" w:hAnsi="宋体" w:eastAsia="宋体" w:cs="宋体"/>
                <w:color w:val="000000"/>
                <w:sz w:val="21"/>
                <w:szCs w:val="21"/>
                <w:highlight w:val="none"/>
              </w:rPr>
            </w:pPr>
          </w:p>
        </w:tc>
      </w:tr>
      <w:tr w14:paraId="1645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450" w:type="pct"/>
            <w:tcBorders>
              <w:top w:val="single" w:color="auto" w:sz="4" w:space="0"/>
              <w:left w:val="single" w:color="auto" w:sz="4" w:space="0"/>
              <w:bottom w:val="single" w:color="auto" w:sz="4" w:space="0"/>
              <w:right w:val="single" w:color="auto" w:sz="4" w:space="0"/>
            </w:tcBorders>
            <w:vAlign w:val="center"/>
          </w:tcPr>
          <w:p w14:paraId="6C649FBB">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86" w:type="pct"/>
            <w:tcBorders>
              <w:top w:val="single" w:color="auto" w:sz="4" w:space="0"/>
              <w:left w:val="single" w:color="auto" w:sz="4" w:space="0"/>
              <w:bottom w:val="single" w:color="auto" w:sz="4" w:space="0"/>
              <w:right w:val="single" w:color="auto" w:sz="4" w:space="0"/>
            </w:tcBorders>
            <w:vAlign w:val="center"/>
          </w:tcPr>
          <w:p w14:paraId="6FD101F3">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125" w:type="pct"/>
            <w:tcBorders>
              <w:top w:val="single" w:color="auto" w:sz="4" w:space="0"/>
              <w:left w:val="single" w:color="auto" w:sz="4" w:space="0"/>
              <w:bottom w:val="single" w:color="auto" w:sz="4" w:space="0"/>
              <w:right w:val="single" w:color="auto" w:sz="4" w:space="0"/>
            </w:tcBorders>
            <w:vAlign w:val="center"/>
          </w:tcPr>
          <w:p w14:paraId="2B4DFE8F">
            <w:pPr>
              <w:spacing w:line="320" w:lineRule="exact"/>
              <w:jc w:val="center"/>
              <w:rPr>
                <w:rFonts w:hint="default" w:ascii="宋体" w:hAnsi="宋体" w:eastAsia="宋体" w:cs="宋体"/>
                <w:color w:val="000000"/>
                <w:sz w:val="21"/>
                <w:szCs w:val="21"/>
                <w:highlight w:val="none"/>
                <w:lang w:val="en-US" w:eastAsia="zh-CN"/>
              </w:rPr>
            </w:pPr>
            <w:r>
              <w:rPr>
                <w:rFonts w:hint="default" w:ascii="宋体" w:hAnsi="宋体" w:eastAsia="宋体" w:cs="宋体"/>
                <w:color w:val="000000"/>
                <w:sz w:val="21"/>
                <w:szCs w:val="21"/>
                <w:highlight w:val="none"/>
                <w:lang w:val="en-US" w:eastAsia="zh-CN"/>
              </w:rPr>
              <w:t>保修服务</w:t>
            </w:r>
          </w:p>
        </w:tc>
        <w:tc>
          <w:tcPr>
            <w:tcW w:w="2648" w:type="pct"/>
            <w:tcBorders>
              <w:top w:val="single" w:color="auto" w:sz="4" w:space="0"/>
              <w:left w:val="single" w:color="auto" w:sz="4" w:space="0"/>
              <w:bottom w:val="single" w:color="auto" w:sz="4" w:space="0"/>
              <w:right w:val="single" w:color="auto" w:sz="4" w:space="0"/>
            </w:tcBorders>
            <w:vAlign w:val="center"/>
          </w:tcPr>
          <w:p w14:paraId="5164E24A">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工程竣工验收合格后，发生质量问题有补救措施、质保期有承诺、方案切实可行，根据其方案的针对性、科学性、合理性和完善性进行赋分：</w:t>
            </w:r>
          </w:p>
          <w:p w14:paraId="0CF04286">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方案完整，针对性强,赋3.1-</w:t>
            </w:r>
            <w:r>
              <w:rPr>
                <w:rFonts w:hint="eastAsia" w:ascii="宋体" w:hAnsi="宋体" w:eastAsia="宋体" w:cs="宋体"/>
                <w:color w:val="000000"/>
                <w:sz w:val="21"/>
                <w:szCs w:val="21"/>
                <w:highlight w:val="none"/>
                <w:lang w:val="en-US" w:eastAsia="zh-CN"/>
              </w:rPr>
              <w:t>5</w:t>
            </w:r>
            <w:r>
              <w:rPr>
                <w:rFonts w:hint="eastAsia" w:ascii="宋体" w:hAnsi="宋体" w:eastAsia="宋体" w:cs="宋体"/>
                <w:color w:val="000000"/>
                <w:sz w:val="21"/>
                <w:szCs w:val="21"/>
                <w:highlight w:val="none"/>
              </w:rPr>
              <w:t>分；</w:t>
            </w:r>
          </w:p>
          <w:p w14:paraId="4380243D">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方案较完整，针对性较强,赋2.1-3分；</w:t>
            </w:r>
          </w:p>
          <w:p w14:paraId="28EC7C5C">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方案不完整，针对性不强,赋0-2分；</w:t>
            </w:r>
          </w:p>
          <w:p w14:paraId="0396EC57">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缺项不得分。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083F95">
            <w:pPr>
              <w:widowControl/>
              <w:jc w:val="left"/>
              <w:rPr>
                <w:rFonts w:hint="eastAsia" w:ascii="宋体" w:hAnsi="宋体" w:eastAsia="宋体" w:cs="宋体"/>
                <w:color w:val="000000"/>
                <w:sz w:val="21"/>
                <w:szCs w:val="21"/>
                <w:highlight w:val="none"/>
              </w:rPr>
            </w:pPr>
          </w:p>
        </w:tc>
      </w:tr>
      <w:tr w14:paraId="2FBD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450" w:type="pct"/>
            <w:tcBorders>
              <w:top w:val="single" w:color="auto" w:sz="4" w:space="0"/>
              <w:left w:val="single" w:color="auto" w:sz="4" w:space="0"/>
              <w:bottom w:val="single" w:color="auto" w:sz="4" w:space="0"/>
              <w:right w:val="single" w:color="auto" w:sz="4" w:space="0"/>
            </w:tcBorders>
            <w:vAlign w:val="center"/>
          </w:tcPr>
          <w:p w14:paraId="53E59F17">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p>
        </w:tc>
        <w:tc>
          <w:tcPr>
            <w:tcW w:w="486" w:type="pct"/>
            <w:tcBorders>
              <w:top w:val="single" w:color="auto" w:sz="4" w:space="0"/>
              <w:left w:val="single" w:color="auto" w:sz="4" w:space="0"/>
              <w:bottom w:val="single" w:color="auto" w:sz="4" w:space="0"/>
              <w:right w:val="single" w:color="auto" w:sz="4" w:space="0"/>
            </w:tcBorders>
            <w:vAlign w:val="center"/>
          </w:tcPr>
          <w:p w14:paraId="607C4C5E">
            <w:pPr>
              <w:spacing w:line="32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w:t>
            </w:r>
          </w:p>
        </w:tc>
        <w:tc>
          <w:tcPr>
            <w:tcW w:w="1125" w:type="pct"/>
            <w:tcBorders>
              <w:top w:val="single" w:color="auto" w:sz="4" w:space="0"/>
              <w:left w:val="single" w:color="auto" w:sz="4" w:space="0"/>
              <w:bottom w:val="single" w:color="auto" w:sz="4" w:space="0"/>
              <w:right w:val="single" w:color="auto" w:sz="4" w:space="0"/>
            </w:tcBorders>
            <w:vAlign w:val="center"/>
          </w:tcPr>
          <w:p w14:paraId="040EA999">
            <w:pPr>
              <w:spacing w:line="320" w:lineRule="exact"/>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类似业绩</w:t>
            </w:r>
          </w:p>
        </w:tc>
        <w:tc>
          <w:tcPr>
            <w:tcW w:w="2648" w:type="pct"/>
            <w:tcBorders>
              <w:top w:val="single" w:color="auto" w:sz="4" w:space="0"/>
              <w:left w:val="single" w:color="auto" w:sz="4" w:space="0"/>
              <w:bottom w:val="single" w:color="auto" w:sz="4" w:space="0"/>
              <w:right w:val="single" w:color="auto" w:sz="4" w:space="0"/>
            </w:tcBorders>
            <w:vAlign w:val="center"/>
          </w:tcPr>
          <w:p w14:paraId="36E73774">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近三年（202</w:t>
            </w: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lang w:val="en-US" w:eastAsia="zh-CN"/>
              </w:rPr>
              <w:t>04</w:t>
            </w:r>
            <w:r>
              <w:rPr>
                <w:rFonts w:hint="eastAsia" w:ascii="宋体" w:hAnsi="宋体" w:eastAsia="宋体" w:cs="宋体"/>
                <w:color w:val="000000"/>
                <w:sz w:val="21"/>
                <w:szCs w:val="21"/>
                <w:highlight w:val="none"/>
              </w:rPr>
              <w:t>月至今）</w:t>
            </w:r>
            <w:r>
              <w:rPr>
                <w:rFonts w:hint="eastAsia" w:ascii="宋体" w:hAnsi="宋体" w:eastAsia="宋体" w:cs="宋体"/>
                <w:color w:val="000000"/>
                <w:sz w:val="21"/>
                <w:szCs w:val="21"/>
                <w:highlight w:val="none"/>
                <w:lang w:eastAsia="zh-CN"/>
              </w:rPr>
              <w:t>类似业绩</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提供</w:t>
            </w:r>
            <w:r>
              <w:rPr>
                <w:rFonts w:hint="eastAsia" w:ascii="宋体" w:hAnsi="宋体" w:eastAsia="宋体" w:cs="宋体"/>
                <w:color w:val="000000"/>
                <w:sz w:val="21"/>
                <w:szCs w:val="21"/>
                <w:highlight w:val="none"/>
              </w:rPr>
              <w:t>中标通知书、合同</w:t>
            </w:r>
            <w:r>
              <w:rPr>
                <w:rFonts w:hint="eastAsia" w:ascii="宋体" w:hAnsi="宋体" w:eastAsia="宋体" w:cs="宋体"/>
                <w:color w:val="000000"/>
                <w:sz w:val="21"/>
                <w:szCs w:val="21"/>
                <w:highlight w:val="none"/>
                <w:shd w:val="clear"/>
                <w:lang w:eastAsia="zh-CN"/>
              </w:rPr>
              <w:t>）</w:t>
            </w:r>
            <w:r>
              <w:rPr>
                <w:rFonts w:hint="eastAsia" w:ascii="宋体" w:hAnsi="宋体" w:eastAsia="宋体" w:cs="宋体"/>
                <w:color w:val="000000"/>
                <w:sz w:val="21"/>
                <w:szCs w:val="21"/>
                <w:highlight w:val="none"/>
              </w:rPr>
              <w:t>每提供1个得</w:t>
            </w:r>
            <w:r>
              <w:rPr>
                <w:rFonts w:hint="eastAsia" w:ascii="宋体" w:hAnsi="宋体" w:eastAsia="宋体" w:cs="宋体"/>
                <w:color w:val="000000"/>
                <w:sz w:val="21"/>
                <w:szCs w:val="21"/>
                <w:highlight w:val="none"/>
                <w:lang w:val="en-US" w:eastAsia="zh-CN"/>
              </w:rPr>
              <w:t>2.5</w:t>
            </w:r>
            <w:r>
              <w:rPr>
                <w:rFonts w:hint="eastAsia" w:ascii="宋体" w:hAnsi="宋体" w:eastAsia="宋体" w:cs="宋体"/>
                <w:color w:val="000000"/>
                <w:sz w:val="21"/>
                <w:szCs w:val="21"/>
                <w:highlight w:val="none"/>
              </w:rPr>
              <w:t>分，此项合计5分。</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94C67EE">
            <w:pPr>
              <w:widowControl/>
              <w:jc w:val="left"/>
              <w:rPr>
                <w:rFonts w:hint="eastAsia" w:ascii="宋体" w:hAnsi="宋体" w:eastAsia="宋体" w:cs="宋体"/>
                <w:color w:val="000000"/>
                <w:sz w:val="21"/>
                <w:szCs w:val="21"/>
                <w:highlight w:val="none"/>
              </w:rPr>
            </w:pPr>
          </w:p>
        </w:tc>
      </w:tr>
      <w:tr w14:paraId="5F4B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5000" w:type="pct"/>
            <w:gridSpan w:val="5"/>
            <w:tcBorders>
              <w:top w:val="single" w:color="auto" w:sz="4" w:space="0"/>
              <w:left w:val="single" w:color="auto" w:sz="4" w:space="0"/>
              <w:bottom w:val="single" w:color="auto" w:sz="4" w:space="0"/>
              <w:right w:val="single" w:color="auto" w:sz="4" w:space="0"/>
            </w:tcBorders>
          </w:tcPr>
          <w:p w14:paraId="63E4AB2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1、各评委独立打分。</w:t>
            </w:r>
          </w:p>
          <w:p w14:paraId="2B94BC2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2、评委打分超过得分界限或未按本表规定赋分时，该评委的打分作废，不计入汇总分。</w:t>
            </w:r>
          </w:p>
          <w:p w14:paraId="52D4BEF1">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3</w:t>
            </w:r>
            <w:r>
              <w:rPr>
                <w:rFonts w:hint="eastAsia" w:ascii="宋体" w:hAnsi="宋体" w:eastAsia="宋体" w:cs="宋体"/>
                <w:color w:val="000000"/>
                <w:sz w:val="21"/>
                <w:szCs w:val="21"/>
                <w:highlight w:val="none"/>
              </w:rPr>
              <w:t>、各种计算采用插入法，数字均保留两位小数，第三位“四舍五入”。</w:t>
            </w:r>
          </w:p>
          <w:p w14:paraId="1AB0D305">
            <w:pPr>
              <w:spacing w:line="32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4</w:t>
            </w:r>
            <w:r>
              <w:rPr>
                <w:rFonts w:hint="eastAsia" w:ascii="宋体" w:hAnsi="宋体" w:eastAsia="宋体" w:cs="宋体"/>
                <w:color w:val="000000"/>
                <w:sz w:val="21"/>
                <w:szCs w:val="21"/>
                <w:highlight w:val="none"/>
              </w:rPr>
              <w:t>、评标过程中，若出现特殊情况时，由评标委员会决定暂停评标，并提出具体处理意见。</w:t>
            </w:r>
          </w:p>
          <w:p w14:paraId="754C65CC">
            <w:pPr>
              <w:spacing w:line="320" w:lineRule="exact"/>
              <w:rPr>
                <w:rFonts w:hint="eastAsia" w:ascii="宋体" w:hAnsi="宋体" w:eastAsia="宋体" w:cs="宋体"/>
                <w:color w:val="000000"/>
                <w:sz w:val="21"/>
                <w:szCs w:val="21"/>
                <w:highlight w:val="none"/>
              </w:rPr>
            </w:pPr>
            <w:r>
              <w:rPr>
                <w:rFonts w:hint="eastAsia" w:ascii="宋体" w:hAnsi="宋体" w:eastAsia="宋体" w:cs="宋体"/>
                <w:b/>
                <w:bCs/>
                <w:color w:val="000000"/>
                <w:sz w:val="21"/>
                <w:szCs w:val="21"/>
                <w:highlight w:val="none"/>
              </w:rPr>
              <w:t>注：以上评分项需要提供的资料，有就得分，无则不得分，提供虚假资料者按无效标处理。</w:t>
            </w:r>
          </w:p>
        </w:tc>
      </w:tr>
    </w:tbl>
    <w:p w14:paraId="60858BBB">
      <w:pPr>
        <w:rPr>
          <w:rFonts w:hint="eastAsia" w:ascii="宋体" w:hAnsi="宋体" w:eastAsia="宋体" w:cs="宋体"/>
          <w:b/>
          <w:bCs/>
          <w:color w:val="000000" w:themeColor="text1"/>
          <w:szCs w:val="24"/>
          <w14:textFill>
            <w14:solidFill>
              <w14:schemeClr w14:val="tx1"/>
            </w14:solidFill>
          </w14:textFill>
        </w:rPr>
      </w:pPr>
    </w:p>
    <w:p w14:paraId="5DDBE0D9">
      <w:pPr>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 xml:space="preserve">  注：</w:t>
      </w:r>
      <w:r>
        <w:rPr>
          <w:rFonts w:hint="eastAsia" w:ascii="宋体" w:hAnsi="宋体" w:eastAsia="宋体" w:cs="宋体"/>
          <w:b/>
          <w:bCs/>
          <w:color w:val="000000" w:themeColor="text1"/>
          <w:szCs w:val="24"/>
          <w14:textFill>
            <w14:solidFill>
              <w14:schemeClr w14:val="tx1"/>
            </w14:solidFill>
          </w14:textFill>
        </w:rPr>
        <w:t>特殊情况处理</w:t>
      </w:r>
      <w:r>
        <w:rPr>
          <w:rFonts w:hint="eastAsia" w:ascii="宋体" w:hAnsi="宋体" w:eastAsia="宋体" w:cs="宋体"/>
          <w:color w:val="000000" w:themeColor="text1"/>
          <w:szCs w:val="24"/>
          <w14:textFill>
            <w14:solidFill>
              <w14:schemeClr w14:val="tx1"/>
            </w14:solidFill>
          </w14:textFill>
        </w:rPr>
        <w:t>：</w:t>
      </w:r>
    </w:p>
    <w:p w14:paraId="536C4DD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a、当供应商某评分项出现未报、漏报或零报价时，该分项得零分，并不参与投标报价分的计算。</w:t>
      </w:r>
    </w:p>
    <w:p w14:paraId="2915AE8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b、若出现综合得分相同时，投标报价得分高者为第一中标候选人，若投标报价得分相同，技术得分高者为第一中标候选人，若上述两项得分相同，则由全体评标委员会成员无记名投票，得票高者为第一中标候选人。</w:t>
      </w:r>
    </w:p>
    <w:p w14:paraId="7BE682C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c、评标过程中，若出现本评标方法以外的特殊情况时，将暂停评标，待评委商榷后再进行复会。</w:t>
      </w:r>
    </w:p>
    <w:p w14:paraId="56E08F64">
      <w:pPr>
        <w:spacing w:line="360" w:lineRule="auto"/>
        <w:ind w:firstLine="482" w:firstLineChars="200"/>
        <w:rPr>
          <w:rFonts w:hint="eastAsia" w:ascii="宋体" w:hAnsi="宋体" w:eastAsia="宋体" w:cs="宋体"/>
          <w:b/>
          <w:bCs/>
          <w:color w:val="000000" w:themeColor="text1"/>
          <w:szCs w:val="24"/>
          <w:highlight w:val="none"/>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2-7</w:t>
      </w:r>
      <w:r>
        <w:rPr>
          <w:rFonts w:hint="eastAsia" w:ascii="宋体" w:hAnsi="宋体" w:eastAsia="宋体" w:cs="宋体"/>
          <w:b/>
          <w:bCs/>
          <w:color w:val="000000" w:themeColor="text1"/>
          <w:szCs w:val="24"/>
          <w:highlight w:val="none"/>
          <w14:textFill>
            <w14:solidFill>
              <w14:schemeClr w14:val="tx1"/>
            </w14:solidFill>
          </w14:textFill>
        </w:rPr>
        <w:t>、政府采购政策评分标准（本项目为专门面向中小企业采购项目，不享受价格扣除优惠政策）</w:t>
      </w:r>
    </w:p>
    <w:p w14:paraId="15E0ECA3">
      <w:pPr>
        <w:spacing w:line="360" w:lineRule="auto"/>
        <w:ind w:firstLine="480" w:firstLineChars="200"/>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2-7-1小微企业的政策</w:t>
      </w:r>
    </w:p>
    <w:p w14:paraId="535BA4C8">
      <w:pPr>
        <w:spacing w:line="360" w:lineRule="auto"/>
        <w:ind w:firstLine="480" w:firstLineChars="200"/>
        <w:rPr>
          <w:rFonts w:hint="eastAsia" w:ascii="宋体" w:hAnsi="宋体" w:eastAsia="宋体" w:cs="宋体"/>
          <w:b w:val="0"/>
          <w:bCs w:val="0"/>
          <w:color w:val="000000" w:themeColor="text1"/>
          <w:szCs w:val="24"/>
          <w:highlight w:val="none"/>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 xml:space="preserve"> 根据财政部、工信部《政府采购促进中小企业发展管理办法》（财库〔2020〕46 号）、《关于进一步加大政府采购支持中小企业力度的通知》（财库〔2022〕19号）的规定，对于经主管预算单位统筹后未预留份额专门面向中小企业采购的工程类项目，以及预留份额项目中的非预留部分采购包，采购人、采购代理机构应当对符合规定的小微企业报价给予3%的扣除，用扣除后的价格参加评审。</w:t>
      </w:r>
    </w:p>
    <w:p w14:paraId="1B9E9725">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highlight w:val="none"/>
          <w14:textFill>
            <w14:solidFill>
              <w14:schemeClr w14:val="tx1"/>
            </w14:solidFill>
          </w14:textFill>
        </w:rPr>
        <w:t>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的扣除，用扣除后的价格参加评审。组成联合体或者接受分包的小微企业与联合体内其他企业、分包企业之</w:t>
      </w:r>
      <w:r>
        <w:rPr>
          <w:rFonts w:hint="eastAsia" w:ascii="宋体" w:hAnsi="宋体" w:eastAsia="宋体" w:cs="宋体"/>
          <w:b w:val="0"/>
          <w:bCs w:val="0"/>
          <w:color w:val="000000" w:themeColor="text1"/>
          <w:szCs w:val="24"/>
          <w14:textFill>
            <w14:solidFill>
              <w14:schemeClr w14:val="tx1"/>
            </w14:solidFill>
          </w14:textFill>
        </w:rPr>
        <w:t>间存在直接控股、管理关系的，不享受价格扣除优惠政策。</w:t>
      </w:r>
    </w:p>
    <w:p w14:paraId="7F21C70B">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以上均用扣除后的价格参与评审。中小型和微型企业按照《工业和信息化部、国家统计局、国家发展和改革委员会、财政部关于印发&lt;中小企业划型标准规定&gt;的通知》（工信部联合企业【2011】300 号）规定执行。</w:t>
      </w:r>
    </w:p>
    <w:p w14:paraId="7EABF2E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2-7-2监狱企业的政策 </w:t>
      </w:r>
    </w:p>
    <w:p w14:paraId="61CA5D8F">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根据《财政部、司法部关于政府采购支持监狱企业发展有关问题的通知》（财库〔2014〕68 号）规定，在政府采购活动中，监狱企业视同中小型、微型企业，享受预留份额、评审中价格扣除等政府采购促进中小企业发展的政府采购政策。</w:t>
      </w:r>
    </w:p>
    <w:p w14:paraId="462281BB">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2-7-3残疾人福利性单位的政策 </w:t>
      </w:r>
    </w:p>
    <w:p w14:paraId="42055117">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根据财政部、民政部、中国残疾人联合会《三部门联合发布关于促进残疾人就业政府采购政策的通知》（财库[2017]141 号）要求，在政府采购活动中，残疾人福利性单位视同中小型、微型企业，享受预留份额、评审中价格扣除等促进中小企业发展的政府采购政策。</w:t>
      </w:r>
    </w:p>
    <w:p w14:paraId="1BCDCC9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 xml:space="preserve">2-7-4节能产品、环境标志产品的政策 </w:t>
      </w:r>
    </w:p>
    <w:p w14:paraId="3E3B3A10">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Theme="minorEastAsia" w:hAnsiTheme="minorEastAsia" w:cstheme="minorEastAsia"/>
          <w:b w:val="0"/>
          <w:bCs w:val="0"/>
          <w:color w:val="000000" w:themeColor="text1"/>
          <w:szCs w:val="24"/>
          <w14:textFill>
            <w14:solidFill>
              <w14:schemeClr w14:val="tx1"/>
            </w14:solidFill>
          </w14:textFill>
        </w:rPr>
        <w:t>节能产品、环境标志产品按照《财政部 生态环境部关于印发环境标志产品政府采购品目清单的通知（财库〔2019〕18号））、《财政部 发展改革委联合印发&lt;关于印发节能产品政府采购品目清单的通知（财库〔2019〕19号）、《国务院办公厅关于建立政府强制采购节能产品制度的通知》（国办发〔2007〕51号）有关规定执行。</w:t>
      </w:r>
    </w:p>
    <w:p w14:paraId="41440FC0">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2-7-5本项目是否专门面向中小企业项目：是。</w:t>
      </w:r>
    </w:p>
    <w:p w14:paraId="00215E04">
      <w:pPr>
        <w:spacing w:line="360" w:lineRule="auto"/>
        <w:ind w:firstLine="480" w:firstLineChars="200"/>
        <w:rPr>
          <w:rFonts w:hint="eastAsia" w:ascii="宋体" w:hAnsi="宋体" w:eastAsia="宋体" w:cs="宋体"/>
          <w:b w:val="0"/>
          <w:bCs w:val="0"/>
          <w:color w:val="000000" w:themeColor="text1"/>
          <w:szCs w:val="24"/>
          <w14:textFill>
            <w14:solidFill>
              <w14:schemeClr w14:val="tx1"/>
            </w14:solidFill>
          </w14:textFill>
        </w:rPr>
      </w:pPr>
      <w:r>
        <w:rPr>
          <w:rFonts w:hint="eastAsia" w:ascii="宋体" w:hAnsi="宋体" w:eastAsia="宋体" w:cs="宋体"/>
          <w:b w:val="0"/>
          <w:bCs w:val="0"/>
          <w:color w:val="000000" w:themeColor="text1"/>
          <w:szCs w:val="24"/>
          <w14:textFill>
            <w14:solidFill>
              <w14:schemeClr w14:val="tx1"/>
            </w14:solidFill>
          </w14:textFill>
        </w:rPr>
        <w:t>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14:paraId="27A7EC1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3、定标</w:t>
      </w:r>
    </w:p>
    <w:p w14:paraId="28401B1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3-1、定标程序</w:t>
      </w:r>
    </w:p>
    <w:p w14:paraId="7F5C5D1A">
      <w:pPr>
        <w:numPr>
          <w:ilvl w:val="0"/>
          <w:numId w:val="2"/>
        </w:numPr>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磋商小组依据评标办法，经过资格审查、符合性审查、澄清、比较与评价等程序后，在最大限度满足竞争性磋商文件实质性要求前提下进行综合评审，以</w:t>
      </w:r>
      <w:r>
        <w:rPr>
          <w:rFonts w:hint="eastAsia" w:ascii="宋体" w:hAnsi="宋体" w:eastAsia="宋体" w:cs="宋体"/>
          <w:color w:val="000000" w:themeColor="text1"/>
          <w:szCs w:val="24"/>
          <w:lang w:val="en-US" w:eastAsia="zh-CN"/>
          <w14:textFill>
            <w14:solidFill>
              <w14:schemeClr w14:val="tx1"/>
            </w14:solidFill>
          </w14:textFill>
        </w:rPr>
        <w:t>综合得分由</w:t>
      </w:r>
      <w:r>
        <w:rPr>
          <w:rFonts w:hint="eastAsia" w:ascii="宋体" w:hAnsi="宋体" w:eastAsia="宋体" w:cs="宋体"/>
          <w:color w:val="000000" w:themeColor="text1"/>
          <w:szCs w:val="24"/>
          <w14:textFill>
            <w14:solidFill>
              <w14:schemeClr w14:val="tx1"/>
            </w14:solidFill>
          </w14:textFill>
        </w:rPr>
        <w:t>高到低的顺序推荐3名</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lang w:val="en-US" w:eastAsia="zh-CN"/>
          <w14:textFill>
            <w14:solidFill>
              <w14:schemeClr w14:val="tx1"/>
            </w14:solidFill>
          </w14:textFill>
        </w:rPr>
        <w:t>含</w:t>
      </w:r>
      <w:r>
        <w:rPr>
          <w:rFonts w:hint="eastAsia" w:ascii="宋体" w:hAnsi="宋体" w:eastAsia="宋体" w:cs="宋体"/>
          <w:color w:val="000000" w:themeColor="text1"/>
          <w:szCs w:val="24"/>
          <w:lang w:eastAsia="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以上中标候选人，并编写</w:t>
      </w:r>
      <w:bookmarkStart w:id="37" w:name="OLE_LINK4"/>
      <w:r>
        <w:rPr>
          <w:rFonts w:hint="eastAsia" w:ascii="宋体" w:hAnsi="宋体" w:eastAsia="宋体" w:cs="宋体"/>
          <w:color w:val="000000" w:themeColor="text1"/>
          <w:szCs w:val="24"/>
          <w14:textFill>
            <w14:solidFill>
              <w14:schemeClr w14:val="tx1"/>
            </w14:solidFill>
          </w14:textFill>
        </w:rPr>
        <w:t>评标</w:t>
      </w:r>
      <w:bookmarkEnd w:id="37"/>
      <w:r>
        <w:rPr>
          <w:rFonts w:hint="eastAsia" w:ascii="宋体" w:hAnsi="宋体" w:eastAsia="宋体" w:cs="宋体"/>
          <w:color w:val="000000" w:themeColor="text1"/>
          <w:szCs w:val="24"/>
          <w14:textFill>
            <w14:solidFill>
              <w14:schemeClr w14:val="tx1"/>
            </w14:solidFill>
          </w14:textFill>
        </w:rPr>
        <w:t>报告。</w:t>
      </w:r>
    </w:p>
    <w:p w14:paraId="23BB6D6B">
      <w:pPr>
        <w:numPr>
          <w:ilvl w:val="0"/>
          <w:numId w:val="2"/>
        </w:num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38" w:name="OLE_LINK18"/>
      <w:r>
        <w:rPr>
          <w:rFonts w:hint="eastAsia" w:ascii="宋体" w:hAnsi="宋体" w:eastAsia="宋体" w:cs="宋体"/>
          <w:color w:val="000000" w:themeColor="text1"/>
          <w:szCs w:val="24"/>
          <w14:textFill>
            <w14:solidFill>
              <w14:schemeClr w14:val="tx1"/>
            </w14:solidFill>
          </w14:textFill>
        </w:rPr>
        <w:t>磋商小组应当在评标报告上签字，对自己的评审意见承担法律责任。磋商小组</w:t>
      </w:r>
      <w:r>
        <w:rPr>
          <w:rFonts w:hint="eastAsia" w:ascii="宋体" w:hAnsi="宋体" w:eastAsia="宋体" w:cs="宋体"/>
          <w:color w:val="000000" w:themeColor="text1"/>
          <w14:textFill>
            <w14:solidFill>
              <w14:schemeClr w14:val="tx1"/>
            </w14:solidFill>
          </w14:textFill>
        </w:rPr>
        <w:t>成员对需要共同认定的事项存在争议的，应当按照少数服从多数的原则作出结论。持不同意见的磋商小组成员应当在评标报告上签署不同意见及理由，否则视为同意评标报告。</w:t>
      </w:r>
    </w:p>
    <w:bookmarkEnd w:id="38"/>
    <w:p w14:paraId="26A8657D">
      <w:pPr>
        <w:numPr>
          <w:ilvl w:val="0"/>
          <w:numId w:val="2"/>
        </w:num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代理机构应当自评审结束之日起2个工作日内将评标报告送交采购人。采购人在收到评审报告5个工作日内，从评审报告推荐的成交候选人中，按顺序确定成交人。成交候选人并列的，磋商报价得分高者成为中标人，若投标报价得分相同，技术得分高者成为成交人。确定结果后，采购人向采购代理机构出具《定标复函》。采购人逾期未按评标报告推荐的中标候选人顺序确定成交人，又不能说明合法理由的，视同按评标报告推荐的顺序确定排名第一的成交候选人为成交人。</w:t>
      </w:r>
    </w:p>
    <w:p w14:paraId="4A419AB8">
      <w:pPr>
        <w:numPr>
          <w:ilvl w:val="0"/>
          <w:numId w:val="2"/>
        </w:num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采购代理机构接到采购人的《定标复函》后，在2个工作日内，将成交结果在陕西省政府采购网上进行公告。公告发布1个工作日，其他供应商若有异议，按《政府采购法》第52条执行。</w:t>
      </w:r>
    </w:p>
    <w:p w14:paraId="4796EC08">
      <w:pPr>
        <w:spacing w:line="360" w:lineRule="auto"/>
        <w:ind w:firstLine="600" w:firstLineChars="25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3-2、成交人确定后，采购人和采购代理机构对未成交原因不作任何解释，响应文件不予退还（含纸质及电子版文件）。</w:t>
      </w:r>
    </w:p>
    <w:p w14:paraId="093CDA85">
      <w:pPr>
        <w:adjustRightInd w:val="0"/>
        <w:snapToGrid w:val="0"/>
        <w:spacing w:line="360" w:lineRule="auto"/>
        <w:ind w:firstLine="482" w:firstLineChars="200"/>
        <w:rPr>
          <w:rFonts w:hint="eastAsia" w:ascii="宋体" w:hAnsi="宋体" w:eastAsia="宋体" w:cs="宋体"/>
          <w:color w:val="000000" w:themeColor="text1"/>
          <w:szCs w:val="24"/>
          <w14:textFill>
            <w14:solidFill>
              <w14:schemeClr w14:val="tx1"/>
            </w14:solidFill>
          </w14:textFill>
        </w:rPr>
      </w:pPr>
      <w:bookmarkStart w:id="39" w:name="_Toc458617738"/>
      <w:bookmarkStart w:id="40" w:name="_Toc458617461"/>
      <w:r>
        <w:rPr>
          <w:rFonts w:hint="eastAsia" w:ascii="宋体" w:hAnsi="宋体" w:eastAsia="宋体" w:cs="宋体"/>
          <w:b/>
          <w:color w:val="000000" w:themeColor="text1"/>
          <w:szCs w:val="24"/>
          <w14:textFill>
            <w14:solidFill>
              <w14:schemeClr w14:val="tx1"/>
            </w14:solidFill>
          </w14:textFill>
        </w:rPr>
        <w:t>4、投标无效的情形：</w:t>
      </w:r>
    </w:p>
    <w:p w14:paraId="6760D97E">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4-1、未按照竞争性磋商文件的规定提交磋商保证金的；</w:t>
      </w:r>
    </w:p>
    <w:p w14:paraId="22B2A078">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4-2、响应文件未按竞争性磋商文件要求签署、盖章的；</w:t>
      </w:r>
    </w:p>
    <w:p w14:paraId="4A8B4E3A">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4-3、不具备竞争性磋商文件中规定的资格要求的；</w:t>
      </w:r>
    </w:p>
    <w:p w14:paraId="1B14CA68">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4-4、报价超过竞争性磋商文件中规定的最高限价的；</w:t>
      </w:r>
    </w:p>
    <w:p w14:paraId="1BB93CDE">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4-5、响应文件含有采购人不能接受的附加条件的；</w:t>
      </w:r>
    </w:p>
    <w:p w14:paraId="280AF658">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4-6、</w:t>
      </w:r>
      <w:r>
        <w:rPr>
          <w:rFonts w:hint="eastAsia" w:ascii="宋体" w:hAnsi="宋体" w:eastAsia="宋体" w:cs="宋体"/>
          <w:color w:val="000000" w:themeColor="text1"/>
          <w:kern w:val="0"/>
          <w:szCs w:val="24"/>
          <w14:textFill>
            <w14:solidFill>
              <w14:schemeClr w14:val="tx1"/>
            </w14:solidFill>
          </w14:textFill>
        </w:rPr>
        <w:t>提供虚假材料谋取中标的；</w:t>
      </w:r>
    </w:p>
    <w:p w14:paraId="5C71A30E">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4-7、采取不正当手段诋毁、排挤其他供应商的；</w:t>
      </w:r>
    </w:p>
    <w:p w14:paraId="1DBE1970">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0"/>
          <w:szCs w:val="24"/>
          <w14:textFill>
            <w14:solidFill>
              <w14:schemeClr w14:val="tx1"/>
            </w14:solidFill>
          </w14:textFill>
        </w:rPr>
        <w:t>4-8、</w:t>
      </w:r>
      <w:r>
        <w:rPr>
          <w:rFonts w:hint="eastAsia" w:ascii="宋体" w:hAnsi="宋体" w:eastAsia="宋体" w:cs="宋体"/>
          <w:color w:val="000000" w:themeColor="text1"/>
          <w:szCs w:val="24"/>
          <w14:textFill>
            <w14:solidFill>
              <w14:schemeClr w14:val="tx1"/>
            </w14:solidFill>
          </w14:textFill>
        </w:rPr>
        <w:t>法律、法规和竞争性磋商文件规定的其他无效情形。</w:t>
      </w:r>
    </w:p>
    <w:p w14:paraId="613AB4E7">
      <w:pPr>
        <w:spacing w:line="360" w:lineRule="auto"/>
        <w:ind w:firstLine="472" w:firstLineChars="196"/>
        <w:rPr>
          <w:rFonts w:hint="eastAsia" w:ascii="宋体" w:hAnsi="宋体" w:eastAsia="宋体" w:cs="宋体"/>
          <w:b/>
          <w:color w:val="000000" w:themeColor="text1"/>
          <w:szCs w:val="24"/>
          <w14:textFill>
            <w14:solidFill>
              <w14:schemeClr w14:val="tx1"/>
            </w14:solidFill>
          </w14:textFill>
        </w:rPr>
      </w:pPr>
      <w:r>
        <w:rPr>
          <w:rFonts w:hint="eastAsia" w:ascii="宋体" w:hAnsi="宋体" w:eastAsia="宋体" w:cs="宋体"/>
          <w:b/>
          <w:color w:val="000000" w:themeColor="text1"/>
          <w:szCs w:val="24"/>
          <w14:textFill>
            <w14:solidFill>
              <w14:schemeClr w14:val="tx1"/>
            </w14:solidFill>
          </w14:textFill>
        </w:rPr>
        <w:t>5、成交通知</w:t>
      </w:r>
      <w:bookmarkEnd w:id="39"/>
      <w:bookmarkEnd w:id="40"/>
      <w:r>
        <w:rPr>
          <w:rFonts w:hint="eastAsia" w:ascii="宋体" w:hAnsi="宋体" w:eastAsia="宋体" w:cs="宋体"/>
          <w:b/>
          <w:color w:val="000000" w:themeColor="text1"/>
          <w:szCs w:val="24"/>
          <w14:textFill>
            <w14:solidFill>
              <w14:schemeClr w14:val="tx1"/>
            </w14:solidFill>
          </w14:textFill>
        </w:rPr>
        <w:t>书</w:t>
      </w:r>
    </w:p>
    <w:p w14:paraId="0F7FC412">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5-1、成交通知书将在成交结果公告发布的同时由采购代理机构发出。</w:t>
      </w:r>
    </w:p>
    <w:p w14:paraId="792A0D5C">
      <w:pPr>
        <w:adjustRightInd w:val="0"/>
        <w:snapToGrid w:val="0"/>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5-2、成交人应在接到采购代理机构通知之日起</w:t>
      </w:r>
      <w:r>
        <w:rPr>
          <w:rFonts w:hint="eastAsia" w:ascii="宋体" w:hAnsi="宋体" w:eastAsia="宋体" w:cs="宋体"/>
          <w:b w:val="0"/>
          <w:bCs w:val="0"/>
          <w:color w:val="000000" w:themeColor="text1"/>
          <w:szCs w:val="24"/>
          <w14:textFill>
            <w14:solidFill>
              <w14:schemeClr w14:val="tx1"/>
            </w14:solidFill>
          </w14:textFill>
        </w:rPr>
        <w:t>七日内领取成交通知书。未在规定时间内领取成交通知书的，磋商保证金不予退还。</w:t>
      </w:r>
      <w:bookmarkStart w:id="41" w:name="_Toc458617739"/>
      <w:bookmarkStart w:id="42" w:name="_Toc458617462"/>
      <w:bookmarkStart w:id="43" w:name="_Toc458617790"/>
    </w:p>
    <w:p w14:paraId="3B8F6E5E">
      <w:pPr>
        <w:adjustRightInd w:val="0"/>
        <w:snapToGrid w:val="0"/>
        <w:spacing w:line="360" w:lineRule="auto"/>
        <w:ind w:firstLine="480" w:firstLineChars="200"/>
        <w:rPr>
          <w:rFonts w:hint="eastAsia" w:ascii="宋体" w:hAnsi="宋体" w:eastAsia="宋体" w:cs="宋体"/>
          <w:color w:val="000000" w:themeColor="text1"/>
          <w:kern w:val="0"/>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5-3、</w:t>
      </w:r>
      <w:r>
        <w:rPr>
          <w:rFonts w:hint="eastAsia" w:ascii="宋体" w:hAnsi="宋体" w:eastAsia="宋体" w:cs="宋体"/>
          <w:color w:val="000000" w:themeColor="text1"/>
          <w:kern w:val="0"/>
          <w:szCs w:val="24"/>
          <w14:textFill>
            <w14:solidFill>
              <w14:schemeClr w14:val="tx1"/>
            </w14:solidFill>
          </w14:textFill>
        </w:rPr>
        <w:t>成交通知书发出后，采购人不得违法改变成交结果，成交人无正当理由不得放弃成交。</w:t>
      </w:r>
    </w:p>
    <w:p w14:paraId="7E2F3CF9">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4" w:name="_Toc21188"/>
      <w:r>
        <w:rPr>
          <w:rFonts w:hint="eastAsia" w:ascii="宋体" w:hAnsi="宋体" w:eastAsia="宋体" w:cs="宋体"/>
          <w:color w:val="000000" w:themeColor="text1"/>
          <w:kern w:val="0"/>
          <w:sz w:val="28"/>
          <w:szCs w:val="28"/>
          <w14:textFill>
            <w14:solidFill>
              <w14:schemeClr w14:val="tx1"/>
            </w14:solidFill>
          </w14:textFill>
        </w:rPr>
        <w:t>八、合同</w:t>
      </w:r>
      <w:bookmarkEnd w:id="41"/>
      <w:bookmarkEnd w:id="42"/>
      <w:bookmarkEnd w:id="43"/>
      <w:bookmarkEnd w:id="44"/>
    </w:p>
    <w:p w14:paraId="0923C34F">
      <w:pPr>
        <w:spacing w:line="360" w:lineRule="auto"/>
        <w:ind w:firstLine="480" w:firstLineChars="200"/>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1、成交人在收到成交通知书后25日内，应</w:t>
      </w:r>
      <w:r>
        <w:rPr>
          <w:rFonts w:hint="eastAsia" w:ascii="宋体" w:hAnsi="宋体" w:eastAsia="宋体" w:cs="宋体"/>
          <w:color w:val="000000" w:themeColor="text1"/>
          <w:szCs w:val="24"/>
          <w:lang w:val="en-US" w:eastAsia="zh-CN"/>
          <w14:textFill>
            <w14:solidFill>
              <w14:schemeClr w14:val="tx1"/>
            </w14:solidFill>
          </w14:textFill>
        </w:rPr>
        <w:t>按竞争性磋商文件的要求</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与采购人签订合同。</w:t>
      </w:r>
    </w:p>
    <w:p w14:paraId="543797C4">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2、成交人因自身原因不按规定与采购人签订合同或者拒绝与采购人签订合同的，则采购人将废除授标，磋商保证</w:t>
      </w:r>
      <w:r>
        <w:rPr>
          <w:rFonts w:hint="eastAsia" w:ascii="宋体" w:hAnsi="宋体" w:eastAsia="宋体" w:cs="宋体"/>
          <w:color w:val="000000" w:themeColor="text1"/>
          <w:szCs w:val="24"/>
          <w14:textFill>
            <w14:solidFill>
              <w14:schemeClr w14:val="tx1"/>
            </w14:solidFill>
          </w14:textFill>
        </w:rPr>
        <w:t>金不予退还。给采购人造成损失超过磋商保证金额的，还应当对超过部分予以赔偿，并依法承担相应法律责任。</w:t>
      </w:r>
      <w:r>
        <w:rPr>
          <w:rFonts w:hint="eastAsia" w:ascii="宋体" w:hAnsi="宋体" w:eastAsia="宋体" w:cs="宋体"/>
          <w:color w:val="000000" w:themeColor="text1"/>
          <w14:textFill>
            <w14:solidFill>
              <w14:schemeClr w14:val="tx1"/>
            </w14:solidFill>
          </w14:textFill>
        </w:rPr>
        <w:t>同时，采购人可以按照评审报告推荐的中标候选人名单排序，确定下一候选人为中标人，</w:t>
      </w:r>
      <w:r>
        <w:rPr>
          <w:rFonts w:hint="eastAsia" w:ascii="宋体" w:hAnsi="宋体" w:eastAsia="宋体" w:cs="宋体"/>
          <w:color w:val="000000" w:themeColor="text1"/>
          <w:szCs w:val="24"/>
          <w14:textFill>
            <w14:solidFill>
              <w14:schemeClr w14:val="tx1"/>
            </w14:solidFill>
          </w14:textFill>
        </w:rPr>
        <w:t>以此类推，</w:t>
      </w:r>
      <w:r>
        <w:rPr>
          <w:rFonts w:hint="eastAsia" w:ascii="宋体" w:hAnsi="宋体" w:eastAsia="宋体" w:cs="宋体"/>
          <w:color w:val="000000" w:themeColor="text1"/>
          <w14:textFill>
            <w14:solidFill>
              <w14:schemeClr w14:val="tx1"/>
            </w14:solidFill>
          </w14:textFill>
        </w:rPr>
        <w:t>也可以重新开展政府采购活动。</w:t>
      </w:r>
      <w:r>
        <w:rPr>
          <w:rFonts w:hint="eastAsia" w:ascii="宋体" w:hAnsi="宋体" w:eastAsia="宋体" w:cs="宋体"/>
          <w:color w:val="000000" w:themeColor="text1"/>
          <w:szCs w:val="24"/>
          <w14:textFill>
            <w14:solidFill>
              <w14:schemeClr w14:val="tx1"/>
            </w14:solidFill>
          </w14:textFill>
        </w:rPr>
        <w:t>因自身原因拒绝签订政府采购合同的或者未按合同约定进行履约的，中标人不得参加对该项目重新开展的招标活动。</w:t>
      </w:r>
    </w:p>
    <w:p w14:paraId="6035E6B9">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通知书将是合同的重要组成部分。竞争性磋商文件、中标人的响应文件及评议过程中有关的澄清文件均作为合同附件。</w:t>
      </w:r>
    </w:p>
    <w:p w14:paraId="077620CF">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后，</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应按照合同约定履行义务，完成</w:t>
      </w:r>
      <w:r>
        <w:rPr>
          <w:rFonts w:hint="eastAsia" w:ascii="宋体" w:hAnsi="宋体" w:eastAsia="宋体" w:cs="宋体"/>
          <w:color w:val="000000" w:themeColor="text1"/>
          <w:szCs w:val="24"/>
          <w:lang w:val="en-US" w:eastAsia="zh-CN"/>
          <w14:textFill>
            <w14:solidFill>
              <w14:schemeClr w14:val="tx1"/>
            </w14:solidFill>
          </w14:textFill>
        </w:rPr>
        <w:t>采购</w:t>
      </w:r>
      <w:r>
        <w:rPr>
          <w:rFonts w:hint="eastAsia" w:ascii="宋体" w:hAnsi="宋体" w:eastAsia="宋体" w:cs="宋体"/>
          <w:color w:val="000000" w:themeColor="text1"/>
          <w:szCs w:val="24"/>
          <w14:textFill>
            <w14:solidFill>
              <w14:schemeClr w14:val="tx1"/>
            </w14:solidFill>
          </w14:textFill>
        </w:rPr>
        <w:t>项目的采购要求，经采购人同意，</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可以依法采取分包方式履行合同。分包部分为</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14:textFill>
            <w14:solidFill>
              <w14:schemeClr w14:val="tx1"/>
            </w14:solidFill>
          </w14:textFill>
        </w:rPr>
        <w:t>项目的部分非主体、非关键性工作。接受分包的供应商应当具备相应的资格条件，并不得再次分包。分包履行的，</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就采购项目和分包项目向采购人负责，分包供应商就分包项目承担责任。中小企业根据《政府采购促进中小企业发展管理办法》（财库〔2020〕46号）规定的政策获取政府采购合同后，小型、微型企业不得分包或转包给大型、中型企业，中型企业不得分包或转包给大型企业。</w:t>
      </w:r>
    </w:p>
    <w:p w14:paraId="06A37E6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5、所签订的合同不得对竞争性磋商文件确定的事项和中标人响应文件作实质性修改。</w:t>
      </w:r>
    </w:p>
    <w:p w14:paraId="7BAA745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6、采购人需追加与合同标的相同的货物、工程或服务的，在不改变合同其他条款的前提下，可以与</w:t>
      </w:r>
      <w:r>
        <w:rPr>
          <w:rFonts w:hint="eastAsia" w:ascii="宋体" w:hAnsi="宋体" w:eastAsia="宋体" w:cs="宋体"/>
          <w:color w:val="000000" w:themeColor="text1"/>
          <w:kern w:val="0"/>
          <w:szCs w:val="24"/>
          <w14:textFill>
            <w14:solidFill>
              <w14:schemeClr w14:val="tx1"/>
            </w14:solidFill>
          </w14:textFill>
        </w:rPr>
        <w:t>成交</w:t>
      </w:r>
      <w:r>
        <w:rPr>
          <w:rFonts w:hint="eastAsia" w:ascii="宋体" w:hAnsi="宋体" w:eastAsia="宋体" w:cs="宋体"/>
          <w:color w:val="000000" w:themeColor="text1"/>
          <w:szCs w:val="24"/>
          <w:lang w:val="en-US" w:eastAsia="zh-CN"/>
          <w14:textFill>
            <w14:solidFill>
              <w14:schemeClr w14:val="tx1"/>
            </w14:solidFill>
          </w14:textFill>
        </w:rPr>
        <w:t>供应商</w:t>
      </w:r>
      <w:r>
        <w:rPr>
          <w:rFonts w:hint="eastAsia" w:ascii="宋体" w:hAnsi="宋体" w:eastAsia="宋体" w:cs="宋体"/>
          <w:color w:val="000000" w:themeColor="text1"/>
          <w:szCs w:val="24"/>
          <w14:textFill>
            <w14:solidFill>
              <w14:schemeClr w14:val="tx1"/>
            </w14:solidFill>
          </w14:textFill>
        </w:rPr>
        <w:t>协商签订补充合同，但所有补充合同的采购金额不得超过原合同采购金额的百分之十。</w:t>
      </w:r>
      <w:bookmarkStart w:id="45" w:name="_Toc458617740"/>
      <w:bookmarkStart w:id="46" w:name="_Toc458617463"/>
    </w:p>
    <w:p w14:paraId="5483ACD0">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7" w:name="_Toc3780"/>
      <w:r>
        <w:rPr>
          <w:rFonts w:hint="eastAsia" w:ascii="宋体" w:hAnsi="宋体" w:eastAsia="宋体" w:cs="宋体"/>
          <w:color w:val="000000" w:themeColor="text1"/>
          <w:kern w:val="0"/>
          <w:sz w:val="28"/>
          <w:szCs w:val="28"/>
          <w14:textFill>
            <w14:solidFill>
              <w14:schemeClr w14:val="tx1"/>
            </w14:solidFill>
          </w14:textFill>
        </w:rPr>
        <w:t>九、合同的履约验收</w:t>
      </w:r>
      <w:bookmarkEnd w:id="47"/>
    </w:p>
    <w:p w14:paraId="482353F6">
      <w:pP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采购人应按照政府采购合同约定的技术、服务、安全标准组织对供应商每一项技术、服务、安全标准的履约情况进行验收，并出具验收书。</w:t>
      </w:r>
    </w:p>
    <w:bookmarkEnd w:id="45"/>
    <w:bookmarkEnd w:id="46"/>
    <w:p w14:paraId="59E62041">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48" w:name="_Toc30842"/>
      <w:bookmarkStart w:id="49" w:name="_Toc20000"/>
      <w:bookmarkStart w:id="50" w:name="_Toc458617742"/>
      <w:bookmarkStart w:id="51" w:name="_Toc458617465"/>
      <w:r>
        <w:rPr>
          <w:rFonts w:hint="eastAsia" w:ascii="宋体" w:hAnsi="宋体" w:eastAsia="宋体" w:cs="宋体"/>
          <w:color w:val="000000" w:themeColor="text1"/>
          <w:kern w:val="0"/>
          <w:sz w:val="28"/>
          <w:szCs w:val="28"/>
          <w14:textFill>
            <w14:solidFill>
              <w14:schemeClr w14:val="tx1"/>
            </w14:solidFill>
          </w14:textFill>
        </w:rPr>
        <w:t>十、重新组织采购活动</w:t>
      </w:r>
      <w:bookmarkEnd w:id="48"/>
      <w:bookmarkEnd w:id="49"/>
    </w:p>
    <w:p w14:paraId="6D150F0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如果发生下列情况之一，采购人和采购代理机构将按《政府采购法》、《政府采购货物和服务招标投标管理办法》（财政部第87号）等有关规定重新组织采购活动：</w:t>
      </w:r>
    </w:p>
    <w:p w14:paraId="4D24D77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（1）因重大变故，采购任务取消的；</w:t>
      </w:r>
    </w:p>
    <w:p w14:paraId="10110DC5">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（2）竞争性磋商文件存在不合理条款或者招标程序不符合规定的；</w:t>
      </w:r>
    </w:p>
    <w:p w14:paraId="09B0812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（3）出现影响采购公正的违法、违规行为的；</w:t>
      </w:r>
    </w:p>
    <w:p w14:paraId="2F9813CC">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（4）投标截止后供应商不足3家或者通过资格审查或符合性审查的供应商不足3家的；</w:t>
      </w:r>
    </w:p>
    <w:p w14:paraId="2C6B7F5B">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（5）所有供应商的报价均超出最高限价，采购人不能支付的。</w:t>
      </w:r>
    </w:p>
    <w:p w14:paraId="1CFC1D56">
      <w:pPr>
        <w:spacing w:line="360" w:lineRule="auto"/>
        <w:rPr>
          <w:rFonts w:hint="eastAsia" w:ascii="宋体" w:hAnsi="宋体" w:eastAsia="宋体" w:cs="宋体"/>
          <w:color w:val="000000" w:themeColor="text1"/>
          <w:kern w:val="0"/>
          <w:sz w:val="28"/>
          <w:szCs w:val="28"/>
          <w14:textFill>
            <w14:solidFill>
              <w14:schemeClr w14:val="tx1"/>
            </w14:solidFill>
          </w14:textFill>
        </w:rPr>
      </w:pPr>
      <w:bookmarkStart w:id="52" w:name="_Toc28121"/>
      <w:r>
        <w:rPr>
          <w:rFonts w:hint="eastAsia" w:ascii="宋体" w:hAnsi="宋体" w:eastAsia="宋体" w:cs="宋体"/>
          <w:color w:val="000000" w:themeColor="text1"/>
          <w:kern w:val="0"/>
          <w:sz w:val="28"/>
          <w:szCs w:val="28"/>
          <w14:textFill>
            <w14:solidFill>
              <w14:schemeClr w14:val="tx1"/>
            </w14:solidFill>
          </w14:textFill>
        </w:rPr>
        <w:t>十一、</w:t>
      </w:r>
      <w:bookmarkEnd w:id="50"/>
      <w:bookmarkEnd w:id="51"/>
      <w:bookmarkStart w:id="53" w:name="_Toc458617743"/>
      <w:bookmarkStart w:id="54" w:name="_Toc458617466"/>
      <w:r>
        <w:rPr>
          <w:rFonts w:hint="eastAsia" w:ascii="宋体" w:hAnsi="宋体" w:eastAsia="宋体" w:cs="宋体"/>
          <w:color w:val="000000" w:themeColor="text1"/>
          <w:kern w:val="0"/>
          <w:sz w:val="28"/>
          <w:szCs w:val="28"/>
          <w14:textFill>
            <w14:solidFill>
              <w14:schemeClr w14:val="tx1"/>
            </w14:solidFill>
          </w14:textFill>
        </w:rPr>
        <w:t>询问、与投诉</w:t>
      </w:r>
      <w:bookmarkEnd w:id="52"/>
    </w:p>
    <w:p w14:paraId="4E9EF23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bookmarkStart w:id="55" w:name="_Toc26443"/>
      <w:r>
        <w:rPr>
          <w:rFonts w:hint="eastAsia" w:ascii="宋体" w:hAnsi="宋体" w:eastAsia="宋体" w:cs="宋体"/>
          <w:color w:val="000000" w:themeColor="text1"/>
          <w:szCs w:val="24"/>
          <w14:textFill>
            <w14:solidFill>
              <w14:schemeClr w14:val="tx1"/>
            </w14:solidFill>
          </w14:textFill>
        </w:rPr>
        <w:t>1.询问</w:t>
      </w:r>
    </w:p>
    <w:p w14:paraId="72F6CE79">
      <w:pPr>
        <w:spacing w:line="36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供应商对政府采购活动事项有疑问的，可以向采购代理机构或采购人提出询问。采购代理机构或采购人将在3个工作日内对供应商依法提出的询问作出答复。</w:t>
      </w:r>
    </w:p>
    <w:p w14:paraId="2EA14C0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供应商提出的询问超出采购人对采购代理机构委托授权范围的，采购代理机构将告知供应商向采购人提出。</w:t>
      </w:r>
    </w:p>
    <w:p w14:paraId="172EEF86">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2.质疑和投诉</w:t>
      </w:r>
    </w:p>
    <w:p w14:paraId="1DC07D6D">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供应商认为竞争性磋商文件、招标过程使自身的合法权益受到损害，可以在知道或者应当知道其自身权益收到损害之日起</w:t>
      </w:r>
      <w:r>
        <w:rPr>
          <w:rFonts w:hint="eastAsia" w:ascii="宋体" w:hAnsi="宋体" w:eastAsia="宋体" w:cs="宋体"/>
          <w:color w:val="000000" w:themeColor="text1"/>
          <w:szCs w:val="24"/>
          <w:lang w:val="en-US" w:eastAsia="zh-CN"/>
          <w14:textFill>
            <w14:solidFill>
              <w14:schemeClr w14:val="tx1"/>
            </w14:solidFill>
          </w14:textFill>
        </w:rPr>
        <w:t>7</w:t>
      </w:r>
      <w:r>
        <w:rPr>
          <w:rFonts w:hint="eastAsia" w:ascii="宋体" w:hAnsi="宋体" w:eastAsia="宋体" w:cs="宋体"/>
          <w:color w:val="000000" w:themeColor="text1"/>
          <w:szCs w:val="24"/>
          <w14:textFill>
            <w14:solidFill>
              <w14:schemeClr w14:val="tx1"/>
            </w14:solidFill>
          </w14:textFill>
        </w:rPr>
        <w:t>个工作日，以书面形式（纸质版加盖公章）向采购代理机构或采购人提出质疑。供应商认为中标结果使自身的合法权益受到损害，可以在开标后7日内前，以书面形式（纸质版加盖公章）向采购代理机构或采购人提出质疑。</w:t>
      </w:r>
    </w:p>
    <w:p w14:paraId="1E7856F3">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2.1、质疑书应当包括以下主要内容：被质疑项目名称、项目编号、标段、招标公告/中标公告发布时间、质疑事项、证据材料、法律依据（具体条款）、质疑人有效联系方式等。</w:t>
      </w:r>
    </w:p>
    <w:p w14:paraId="0E245312">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2.2、质疑书应当由法定代表人签字并加盖公章，公章不得以合同章或其他印章代替。质疑人可以委托代理人办理质疑事项，代理人办理质疑事项时，除提交质疑书外，还应当提交质疑人的授权委托书及代理人的有效身份证明，授权委托书应当载明委托代理的具体权限和事项。</w:t>
      </w:r>
    </w:p>
    <w:p w14:paraId="7614ACA7">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2.3.有下列情形之一的，属于无效质疑，采购代理机构和采购人不予受理：</w:t>
      </w:r>
    </w:p>
    <w:p w14:paraId="45017CE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（1）质疑人不是参与本次政府采购项目的供应商/供应商或潜在供应商/供应商；</w:t>
      </w:r>
    </w:p>
    <w:p w14:paraId="3CAF99BE">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（2）质疑人与质疑事项不存在利害关系的；</w:t>
      </w:r>
    </w:p>
    <w:p w14:paraId="2933DFB0">
      <w:pPr>
        <w:spacing w:line="360" w:lineRule="auto"/>
        <w:ind w:firstLine="480" w:firstLineChars="200"/>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（3）未在法定期限内提出质疑的；</w:t>
      </w:r>
    </w:p>
    <w:p w14:paraId="771456C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（4）质疑未以书面形式提出，或质疑书主要内容构成不完整的；</w:t>
      </w:r>
    </w:p>
    <w:p w14:paraId="791532E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（5）质疑书没有合法有效的签字、盖章或授权的；</w:t>
      </w:r>
    </w:p>
    <w:p w14:paraId="5AF6C2A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（6）以非法手段取得证据、材料的；</w:t>
      </w:r>
    </w:p>
    <w:p w14:paraId="370E68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（7）质疑答复后，同一质疑人就同一事项再次提出质疑的；</w:t>
      </w:r>
    </w:p>
    <w:p w14:paraId="1D8B44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（8）不符合法律、法规、规章和监管机构规定的其他条件的。</w:t>
      </w:r>
    </w:p>
    <w:p w14:paraId="23C25B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2.4、采购代理机构或采购人将在收到书面质疑后7个工作日内做出答复，并以书面形式通知质疑人和其他有关供应商。</w:t>
      </w:r>
    </w:p>
    <w:p w14:paraId="398EBE4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2.5、质疑人对采购代理机构或采购人的答复不满意，以及采购代理机构或采购人未在规定时间内做出答复的，可以在答复期满后15个工作日内按照《政府采购质疑和投诉办法》（财政部94号令）相关规定向政府采购监管机构提出投诉。供应商投诉的事项不得超出已质疑事项的范围。</w:t>
      </w:r>
    </w:p>
    <w:p w14:paraId="7FDE8E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2.6、对捏造事实、提供虚假材料进行质疑、投诉的行为予以严肃处理：</w:t>
      </w:r>
    </w:p>
    <w:p w14:paraId="1A7D456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33309D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2.7、对捏造事实诬告陷害他人、诽谤他人的法律适用：</w:t>
      </w:r>
    </w:p>
    <w:p w14:paraId="31AE54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42C27A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51448B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十二、拒绝商业贿赂</w:t>
      </w:r>
      <w:bookmarkEnd w:id="53"/>
      <w:bookmarkEnd w:id="54"/>
      <w:bookmarkEnd w:id="55"/>
    </w:p>
    <w:p w14:paraId="3201F3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1、遵照陕西省财政厅的规定，采购人、采购代理机构、供应商和评审专家在招投标活动中，都要签订相应的《拒绝政府采购领域商业贿赂承诺书》，并对违反承诺的行为承担全部责任。</w:t>
      </w:r>
    </w:p>
    <w:p w14:paraId="74DDF3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Cs w:val="24"/>
          <w14:textFill>
            <w14:solidFill>
              <w14:schemeClr w14:val="tx1"/>
            </w14:solidFill>
          </w14:textFill>
        </w:rPr>
      </w:pPr>
      <w:r>
        <w:rPr>
          <w:rFonts w:hint="eastAsia" w:ascii="宋体" w:hAnsi="宋体" w:eastAsia="宋体" w:cs="宋体"/>
          <w:color w:val="000000" w:themeColor="text1"/>
          <w:szCs w:val="24"/>
          <w14:textFill>
            <w14:solidFill>
              <w14:schemeClr w14:val="tx1"/>
            </w14:solidFill>
          </w14:textFill>
        </w:rPr>
        <w:t>2、供应商必须填写《拒绝政府采购领域商业贿赂承诺书》并附在响应文件中，同时应保证响应文件正、副本中一致。</w:t>
      </w:r>
    </w:p>
    <w:p w14:paraId="6307A837">
      <w:pPr>
        <w:rPr>
          <w:rFonts w:hint="eastAsia" w:ascii="宋体" w:hAnsi="宋体" w:eastAsia="宋体" w:cs="宋体"/>
          <w:color w:val="000000" w:themeColor="text1"/>
          <w:szCs w:val="24"/>
          <w14:textFill>
            <w14:solidFill>
              <w14:schemeClr w14:val="tx1"/>
            </w14:solidFill>
          </w14:textFill>
        </w:rPr>
      </w:pPr>
    </w:p>
    <w:p w14:paraId="6D3271D8">
      <w:pPr>
        <w:pStyle w:val="13"/>
        <w:rPr>
          <w:rFonts w:hint="eastAsia" w:ascii="宋体" w:hAnsi="宋体" w:eastAsia="宋体" w:cs="宋体"/>
        </w:rPr>
      </w:pPr>
    </w:p>
    <w:p w14:paraId="2303BF6A">
      <w:pPr>
        <w:pStyle w:val="13"/>
        <w:rPr>
          <w:rFonts w:hint="eastAsia" w:ascii="宋体" w:hAnsi="宋体" w:eastAsia="宋体" w:cs="宋体"/>
        </w:rPr>
      </w:pPr>
    </w:p>
    <w:p w14:paraId="29DC6A4C">
      <w:pPr>
        <w:pStyle w:val="13"/>
        <w:rPr>
          <w:rFonts w:hint="eastAsia" w:ascii="宋体" w:hAnsi="宋体" w:eastAsia="宋体" w:cs="宋体"/>
        </w:rPr>
      </w:pPr>
    </w:p>
    <w:p w14:paraId="02F4820B">
      <w:pPr>
        <w:pStyle w:val="13"/>
        <w:rPr>
          <w:rFonts w:hint="eastAsia" w:ascii="宋体" w:hAnsi="宋体" w:eastAsia="宋体" w:cs="宋体"/>
        </w:rPr>
      </w:pPr>
    </w:p>
    <w:p w14:paraId="2D14D197">
      <w:pPr>
        <w:pStyle w:val="13"/>
        <w:rPr>
          <w:rFonts w:hint="eastAsia" w:ascii="宋体" w:hAnsi="宋体" w:eastAsia="宋体" w:cs="宋体"/>
        </w:rPr>
      </w:pPr>
    </w:p>
    <w:p w14:paraId="64308A93">
      <w:pPr>
        <w:pStyle w:val="13"/>
        <w:rPr>
          <w:rFonts w:hint="eastAsia" w:ascii="宋体" w:hAnsi="宋体" w:eastAsia="宋体" w:cs="宋体"/>
        </w:rPr>
      </w:pPr>
    </w:p>
    <w:p w14:paraId="0620EFFB">
      <w:pPr>
        <w:pStyle w:val="13"/>
        <w:rPr>
          <w:rFonts w:hint="eastAsia" w:ascii="宋体" w:hAnsi="宋体" w:eastAsia="宋体" w:cs="宋体"/>
        </w:rPr>
      </w:pPr>
    </w:p>
    <w:p w14:paraId="5CE37FB2">
      <w:pPr>
        <w:pStyle w:val="13"/>
        <w:rPr>
          <w:rFonts w:hint="eastAsia" w:ascii="宋体" w:hAnsi="宋体" w:eastAsia="宋体" w:cs="宋体"/>
        </w:rPr>
      </w:pPr>
    </w:p>
    <w:p w14:paraId="266C81CB">
      <w:pPr>
        <w:pStyle w:val="13"/>
        <w:rPr>
          <w:rFonts w:hint="eastAsia" w:ascii="宋体" w:hAnsi="宋体" w:eastAsia="宋体" w:cs="宋体"/>
        </w:rPr>
      </w:pPr>
    </w:p>
    <w:p w14:paraId="20AC55DD">
      <w:pPr>
        <w:pStyle w:val="14"/>
        <w:rPr>
          <w:rFonts w:hint="eastAsia" w:ascii="宋体" w:hAnsi="宋体" w:eastAsia="宋体" w:cs="宋体"/>
        </w:rPr>
      </w:pPr>
    </w:p>
    <w:p w14:paraId="4C01D570">
      <w:pPr>
        <w:pStyle w:val="14"/>
        <w:rPr>
          <w:rFonts w:hint="eastAsia" w:ascii="宋体" w:hAnsi="宋体" w:eastAsia="宋体" w:cs="宋体"/>
        </w:rPr>
      </w:pPr>
    </w:p>
    <w:p w14:paraId="470CDD09">
      <w:pPr>
        <w:pStyle w:val="14"/>
        <w:rPr>
          <w:rFonts w:hint="eastAsia" w:ascii="宋体" w:hAnsi="宋体" w:eastAsia="宋体" w:cs="宋体"/>
        </w:rPr>
      </w:pPr>
    </w:p>
    <w:p w14:paraId="7A80B177">
      <w:pPr>
        <w:pStyle w:val="14"/>
        <w:rPr>
          <w:rFonts w:hint="eastAsia" w:ascii="宋体" w:hAnsi="宋体" w:eastAsia="宋体" w:cs="宋体"/>
        </w:rPr>
      </w:pPr>
    </w:p>
    <w:p w14:paraId="37F39D50">
      <w:pPr>
        <w:pStyle w:val="14"/>
        <w:rPr>
          <w:rFonts w:hint="eastAsia" w:ascii="宋体" w:hAnsi="宋体" w:eastAsia="宋体" w:cs="宋体"/>
        </w:rPr>
      </w:pPr>
    </w:p>
    <w:p w14:paraId="6057F3B9">
      <w:pPr>
        <w:pStyle w:val="14"/>
        <w:rPr>
          <w:rFonts w:hint="eastAsia" w:ascii="宋体" w:hAnsi="宋体" w:eastAsia="宋体" w:cs="宋体"/>
        </w:rPr>
      </w:pPr>
    </w:p>
    <w:p w14:paraId="6DB3499E">
      <w:pPr>
        <w:pStyle w:val="14"/>
        <w:rPr>
          <w:rFonts w:hint="eastAsia" w:ascii="宋体" w:hAnsi="宋体" w:eastAsia="宋体" w:cs="宋体"/>
        </w:rPr>
      </w:pPr>
    </w:p>
    <w:p w14:paraId="717FB821">
      <w:pPr>
        <w:numPr>
          <w:ilvl w:val="0"/>
          <w:numId w:val="3"/>
        </w:numPr>
        <w:tabs>
          <w:tab w:val="left" w:pos="1245"/>
        </w:tabs>
        <w:spacing w:line="360" w:lineRule="auto"/>
        <w:jc w:val="center"/>
        <w:outlineLvl w:val="0"/>
        <w:rPr>
          <w:rFonts w:hint="eastAsia" w:ascii="宋体" w:hAnsi="宋体" w:eastAsia="宋体" w:cs="宋体"/>
          <w:highlight w:val="none"/>
        </w:rPr>
      </w:pPr>
      <w:bookmarkStart w:id="56" w:name="_Toc8751"/>
      <w:bookmarkStart w:id="57" w:name="_Toc382"/>
      <w:bookmarkStart w:id="58" w:name="_Toc13213"/>
      <w:bookmarkStart w:id="59" w:name="_Toc24534"/>
      <w:r>
        <w:rPr>
          <w:rFonts w:hint="eastAsia" w:ascii="宋体" w:hAnsi="宋体" w:eastAsia="宋体" w:cs="宋体"/>
          <w:b/>
          <w:bCs/>
          <w:color w:val="000000" w:themeColor="text1"/>
          <w:kern w:val="0"/>
          <w:sz w:val="36"/>
          <w:szCs w:val="36"/>
          <w:highlight w:val="none"/>
          <w14:textFill>
            <w14:solidFill>
              <w14:schemeClr w14:val="tx1"/>
            </w14:solidFill>
          </w14:textFill>
        </w:rPr>
        <w:t>工程量清单</w:t>
      </w:r>
      <w:bookmarkEnd w:id="56"/>
    </w:p>
    <w:bookmarkEnd w:id="57"/>
    <w:bookmarkEnd w:id="58"/>
    <w:bookmarkEnd w:id="59"/>
    <w:p w14:paraId="5FB7F7DA">
      <w:pPr>
        <w:spacing w:line="360" w:lineRule="auto"/>
        <w:jc w:val="center"/>
        <w:rPr>
          <w:rFonts w:hint="eastAsia"/>
          <w:sz w:val="28"/>
          <w:szCs w:val="36"/>
          <w:lang w:val="en-US" w:eastAsia="zh-CN"/>
        </w:rPr>
      </w:pPr>
      <w:r>
        <w:rPr>
          <w:rFonts w:hint="eastAsia"/>
          <w:sz w:val="28"/>
          <w:szCs w:val="36"/>
          <w:lang w:val="en-US" w:eastAsia="zh-CN"/>
        </w:rPr>
        <w:t>千河千阳县柿沟村段水毁修复工程</w:t>
      </w:r>
    </w:p>
    <w:p w14:paraId="2C040AA6">
      <w:pPr>
        <w:spacing w:line="360" w:lineRule="auto"/>
        <w:jc w:val="center"/>
        <w:rPr>
          <w:rFonts w:hint="eastAsia"/>
          <w:sz w:val="28"/>
          <w:szCs w:val="36"/>
          <w:lang w:val="en-US" w:eastAsia="zh-CN"/>
        </w:rPr>
      </w:pPr>
      <w:r>
        <w:rPr>
          <w:rFonts w:hint="eastAsia"/>
          <w:sz w:val="28"/>
          <w:szCs w:val="36"/>
          <w:lang w:val="en-US" w:eastAsia="zh-CN"/>
        </w:rPr>
        <w:t>编制说明</w:t>
      </w:r>
    </w:p>
    <w:p w14:paraId="2C9AFB3E">
      <w:pPr>
        <w:keepNext w:val="0"/>
        <w:keepLines w:val="0"/>
        <w:pageBreakBefore w:val="0"/>
        <w:widowControl w:val="0"/>
        <w:kinsoku/>
        <w:wordWrap/>
        <w:overflowPunct/>
        <w:topLinePunct w:val="0"/>
        <w:autoSpaceDE/>
        <w:autoSpaceDN/>
        <w:bidi w:val="0"/>
        <w:adjustRightInd/>
        <w:snapToGrid/>
        <w:spacing w:before="0" w:after="0"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1.工程量清单说明</w:t>
      </w:r>
    </w:p>
    <w:p w14:paraId="7DD882B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1.1工程量清单应与图纸及《水利工程工程量清单计价规范》等一起阅读和理解。</w:t>
      </w:r>
    </w:p>
    <w:p w14:paraId="27F7403B">
      <w:pPr>
        <w:spacing w:line="360" w:lineRule="auto"/>
        <w:ind w:firstLine="480" w:firstLineChars="200"/>
        <w:outlineLvl w:val="9"/>
        <w:rPr>
          <w:rFonts w:hint="eastAsia" w:ascii="宋体" w:hAnsi="宋体" w:cs="宋体"/>
          <w:sz w:val="24"/>
          <w:szCs w:val="24"/>
          <w:highlight w:val="none"/>
        </w:rPr>
      </w:pPr>
      <w:r>
        <w:rPr>
          <w:rFonts w:hint="eastAsia" w:ascii="宋体" w:hAnsi="宋体" w:eastAsia="宋体" w:cs="宋体"/>
          <w:color w:val="auto"/>
          <w:sz w:val="24"/>
          <w:szCs w:val="24"/>
          <w:highlight w:val="none"/>
        </w:rPr>
        <w:t>1.2工程量清单仅是</w:t>
      </w:r>
      <w:r>
        <w:rPr>
          <w:rFonts w:hint="eastAsia" w:ascii="宋体" w:hAnsi="宋体" w:eastAsia="宋体" w:cs="宋体"/>
          <w:color w:val="auto"/>
          <w:sz w:val="24"/>
          <w:szCs w:val="24"/>
          <w:highlight w:val="none"/>
          <w:lang w:eastAsia="zh-CN"/>
        </w:rPr>
        <w:t>供应商磋商</w:t>
      </w:r>
      <w:r>
        <w:rPr>
          <w:rFonts w:hint="eastAsia" w:ascii="宋体" w:hAnsi="宋体" w:eastAsia="宋体" w:cs="宋体"/>
          <w:color w:val="auto"/>
          <w:sz w:val="24"/>
          <w:szCs w:val="24"/>
          <w:highlight w:val="none"/>
        </w:rPr>
        <w:t>报价的共同基础。</w:t>
      </w:r>
      <w:r>
        <w:rPr>
          <w:rFonts w:hint="eastAsia" w:ascii="宋体" w:hAnsi="宋体" w:cs="宋体"/>
          <w:sz w:val="24"/>
          <w:szCs w:val="24"/>
          <w:highlight w:val="none"/>
        </w:rPr>
        <w:t>除另有约定外，工程量清单中的工程量是根据招标设计图纸按《水利工程工程量清单计价规范》计算规则计算的用于投标报价的估算工程量，不作为最终结算工程量。最终结算工程量是承包人实际完成并符合技术标准和要求(合同技术条款)和《水利工程工程量清单计价规范》计算规则等规定，按施工图纸计算的有效工程量。</w:t>
      </w:r>
    </w:p>
    <w:p w14:paraId="070ACA1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1．3工程量清单中各项目的工作内容和要求应符合相关技术标准和要求(合同技术条款)以及《水利工程工程量清单计价规范》的规定。</w:t>
      </w:r>
    </w:p>
    <w:p w14:paraId="7D1BCA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1.4工程价款的支付遵循合同条款的约定。</w:t>
      </w:r>
    </w:p>
    <w:p w14:paraId="45B4AD3D">
      <w:pPr>
        <w:keepNext w:val="0"/>
        <w:keepLines w:val="0"/>
        <w:pageBreakBefore w:val="0"/>
        <w:widowControl w:val="0"/>
        <w:kinsoku/>
        <w:wordWrap/>
        <w:overflowPunct/>
        <w:topLinePunct w:val="0"/>
        <w:autoSpaceDE/>
        <w:autoSpaceDN/>
        <w:bidi w:val="0"/>
        <w:adjustRightInd/>
        <w:snapToGrid/>
        <w:spacing w:before="0" w:after="0"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报价说明</w:t>
      </w:r>
    </w:p>
    <w:p w14:paraId="371B144A">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2.1工程量清单报价表组成</w:t>
      </w:r>
    </w:p>
    <w:p w14:paraId="2BD09E9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工程量清单报价表由以下表格组成：</w:t>
      </w:r>
    </w:p>
    <w:p w14:paraId="68065A0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w:t>
      </w:r>
    </w:p>
    <w:p w14:paraId="4DF988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（2）工程项目总价表。</w:t>
      </w:r>
    </w:p>
    <w:p w14:paraId="2F082A1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（3）分组工程量清单报价表。</w:t>
      </w:r>
    </w:p>
    <w:p w14:paraId="3AD94A0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（4）计日工项目计价表。</w:t>
      </w:r>
    </w:p>
    <w:p w14:paraId="3064F9D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（5）工程单价汇总表。</w:t>
      </w:r>
    </w:p>
    <w:p w14:paraId="43E6595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（6）工程单价费(税)率汇总表。</w:t>
      </w:r>
    </w:p>
    <w:p w14:paraId="0956612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（7）投标人生产电、风、水、砂石基础单价汇总表。</w:t>
      </w:r>
    </w:p>
    <w:p w14:paraId="5008A77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（8）投标人生产混凝土配合比材料费表。</w:t>
      </w:r>
    </w:p>
    <w:p w14:paraId="15F3E98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（9）投标人自行采购主要材料预算价格汇总表。</w:t>
      </w:r>
    </w:p>
    <w:p w14:paraId="3440493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（10）投标人自备施工机械台时(班)费汇总表。</w:t>
      </w:r>
    </w:p>
    <w:p w14:paraId="40B6B87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（11）工程单价计算表。</w:t>
      </w:r>
    </w:p>
    <w:p w14:paraId="054D3AC2">
      <w:pPr>
        <w:pStyle w:val="3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（12）人工费单价汇总表</w:t>
      </w:r>
    </w:p>
    <w:p w14:paraId="5D6604A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2.2 工程量清单报价表填写规定</w:t>
      </w:r>
    </w:p>
    <w:p w14:paraId="429D7BF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（1）除竞争性磋商文件另有规定外，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不得随意增加、删除或涂改竞争性磋商文件工程量清单中的任何内容。工程量清单中列明的所有需要填写的单价和合价，</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均应填写；未填写的单价和合价，则视为已包括在工程量清单的其它单价和合价中。</w:t>
      </w:r>
    </w:p>
    <w:p w14:paraId="17F2289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（2）工程量清单中的工程单价是完成工程量清单中一个质量合格的规定计量单位项目所需的直接工程费、间接费、企业利润和税金，并考虑到风险因素。</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根据规定的工程单价组成内容确定工程单价。除另有规定外，对有效工程量以外的超挖、超填工程量，施工附加量，加工、运输损耗量等，所消耗的人工、材料和机械费用，均应摊入相应有效工程量的工程单价内。</w:t>
      </w:r>
    </w:p>
    <w:p w14:paraId="6208119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（3）投标金额(价格)均应以人民币表示。</w:t>
      </w:r>
    </w:p>
    <w:p w14:paraId="2CD9769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（4）投标总价应按工程项目总价表合计金额填写。</w:t>
      </w:r>
    </w:p>
    <w:p w14:paraId="2F1F327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项目总价表中组号和工程项目名称按竞争性磋商文件工程量清单中的相应内容填写，并按分组工程量清单报价表中相应项目合计金额填写。暂列金额按竞争性磋商文件工程项目总价表中的相应内容填写。</w:t>
      </w:r>
    </w:p>
    <w:p w14:paraId="2C0ED0B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（6）分组工程量清单报价表中的序号、项目名称、计量单位、工程数量，按竞争性磋商文件分组工程量清单报价表的相应内容填写，并填写相应项目的单价和合价。</w:t>
      </w:r>
    </w:p>
    <w:p w14:paraId="37EF67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（7）计日工项目报价表的序号、人工、材料、机械的名称、型号规格以及计量单位，按竞争性磋商文件计日工项目清单报价表中的相应内容填写，并填写相应项目单价，但计日工合计不进入投标总价。</w:t>
      </w:r>
    </w:p>
    <w:p w14:paraId="659BFE6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（8）辅助表格填写：</w:t>
      </w:r>
    </w:p>
    <w:p w14:paraId="12F1EB5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a)</w:t>
      </w:r>
      <w:r>
        <w:rPr>
          <w:rFonts w:hint="eastAsia" w:ascii="宋体" w:hAnsi="宋体" w:eastAsia="宋体" w:cs="宋体"/>
          <w:color w:val="auto"/>
          <w:sz w:val="24"/>
          <w:szCs w:val="24"/>
          <w:highlight w:val="none"/>
        </w:rPr>
        <w:t>工程单价汇总表，按工程单价计算表中的相应内容、价格(费率)填写；</w:t>
      </w:r>
    </w:p>
    <w:p w14:paraId="7FCBC961">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b)</w:t>
      </w:r>
      <w:r>
        <w:rPr>
          <w:rFonts w:hint="eastAsia" w:ascii="宋体" w:hAnsi="宋体" w:eastAsia="宋体" w:cs="宋体"/>
          <w:color w:val="auto"/>
          <w:sz w:val="24"/>
          <w:szCs w:val="24"/>
          <w:highlight w:val="none"/>
        </w:rPr>
        <w:t>工程单价费(税)率汇总表，按工程单价计算表中的相应内容、费(税)率填写；</w:t>
      </w:r>
    </w:p>
    <w:p w14:paraId="783AA047">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c)</w:t>
      </w:r>
      <w:r>
        <w:rPr>
          <w:rFonts w:hint="eastAsia" w:ascii="宋体" w:hAnsi="宋体" w:eastAsia="宋体" w:cs="宋体"/>
          <w:color w:val="auto"/>
          <w:sz w:val="24"/>
          <w:szCs w:val="24"/>
          <w:highlight w:val="none"/>
        </w:rPr>
        <w:t>投标人生产电、风、水、砂石基础单价汇总表，按基础单价分析计算成果的相应内容、价格填写，并附相应基础单价的分析计算书；</w:t>
      </w:r>
    </w:p>
    <w:p w14:paraId="0934F41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d)</w:t>
      </w:r>
      <w:r>
        <w:rPr>
          <w:rFonts w:hint="eastAsia" w:ascii="宋体" w:hAnsi="宋体" w:eastAsia="宋体" w:cs="宋体"/>
          <w:color w:val="auto"/>
          <w:sz w:val="24"/>
          <w:szCs w:val="24"/>
          <w:highlight w:val="none"/>
        </w:rPr>
        <w:t>投标人生产混凝土配合比材料费表，按表中工程部位、混凝土强度等级（附抗渗、抗冻等级）、水泥强度等级、级配、水灰比、相应材料用量和单价填写，填写的单价必须与工程单价计算表中采用的相应混凝土材料单价一致。</w:t>
      </w:r>
    </w:p>
    <w:p w14:paraId="19BADDAF">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e)</w:t>
      </w:r>
      <w:r>
        <w:rPr>
          <w:rFonts w:hint="eastAsia" w:ascii="宋体" w:hAnsi="宋体" w:eastAsia="宋体" w:cs="宋体"/>
          <w:color w:val="auto"/>
          <w:sz w:val="24"/>
          <w:szCs w:val="24"/>
          <w:highlight w:val="none"/>
        </w:rPr>
        <w:t>投标人自行采购主要材料预算价格汇总表，按表中的序号、材料名称、型号规格、计量单位和预算价格填写，填写的预算价格必须与工程单价计算表中采用的相应材料预算价格一致；</w:t>
      </w:r>
    </w:p>
    <w:p w14:paraId="7B1F0521">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f)</w:t>
      </w:r>
      <w:r>
        <w:rPr>
          <w:rFonts w:hint="eastAsia" w:ascii="宋体" w:hAnsi="宋体" w:eastAsia="宋体" w:cs="宋体"/>
          <w:color w:val="auto"/>
          <w:sz w:val="24"/>
          <w:szCs w:val="24"/>
          <w:highlight w:val="none"/>
        </w:rPr>
        <w:t>投标人自备施工机械台时(班)费汇总表，按表中的序号、机械名称、型号规格、一类费用和二类费用填写，填写的台时(班)费合计金额必须与工程单价计算表中相应的施工机械台时(班)费单价一致；</w:t>
      </w:r>
    </w:p>
    <w:p w14:paraId="0BC7C296">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g)</w:t>
      </w:r>
      <w:r>
        <w:rPr>
          <w:rFonts w:hint="eastAsia" w:ascii="宋体" w:hAnsi="宋体" w:eastAsia="宋体" w:cs="宋体"/>
          <w:b/>
          <w:color w:val="auto"/>
          <w:sz w:val="24"/>
          <w:szCs w:val="24"/>
          <w:highlight w:val="none"/>
        </w:rPr>
        <w:t>投标金额大于或等于投标总标价百分之五的工程项目，必须编报工程单价计算表。</w:t>
      </w:r>
      <w:r>
        <w:rPr>
          <w:rFonts w:hint="eastAsia" w:ascii="宋体" w:hAnsi="宋体" w:eastAsia="宋体" w:cs="宋体"/>
          <w:color w:val="auto"/>
          <w:sz w:val="24"/>
          <w:szCs w:val="24"/>
          <w:highlight w:val="none"/>
        </w:rPr>
        <w:t>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必须与工程单价费(税)率汇总表中的费(税)率相一致；</w:t>
      </w:r>
    </w:p>
    <w:p w14:paraId="6790FE6F">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（9）已标价的工程量清单报价表必须加盖具有相应资质的造价人员印章，具体要求见供应商须知</w:t>
      </w:r>
      <w:r>
        <w:rPr>
          <w:rFonts w:hint="eastAsia" w:ascii="宋体" w:hAnsi="宋体" w:eastAsia="宋体" w:cs="宋体"/>
          <w:color w:val="auto"/>
          <w:sz w:val="24"/>
          <w:szCs w:val="24"/>
          <w:highlight w:val="none"/>
          <w:lang w:val="en-US" w:eastAsia="zh-CN"/>
        </w:rPr>
        <w:t>4-8</w:t>
      </w:r>
      <w:r>
        <w:rPr>
          <w:rFonts w:hint="eastAsia" w:ascii="宋体" w:hAnsi="宋体" w:eastAsia="宋体" w:cs="宋体"/>
          <w:color w:val="auto"/>
          <w:sz w:val="24"/>
          <w:szCs w:val="24"/>
          <w:highlight w:val="none"/>
        </w:rPr>
        <w:t>条款。</w:t>
      </w:r>
    </w:p>
    <w:p w14:paraId="6BD3A20A">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（10）其他说明</w:t>
      </w:r>
    </w:p>
    <w:p w14:paraId="78EED602">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a)工程量清单中</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没有填入单价或价格的子目，其费用视为已分摊在工程量清单中其他相关子目的单价或价格之中。</w:t>
      </w:r>
    </w:p>
    <w:p w14:paraId="7558378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b)如单价与工程量的乘积与合价不一致，以所报的单价为准，若单价中出现明显的错误，在这种情况下业主则以所报的合价为准，并修改相应单价。</w:t>
      </w:r>
    </w:p>
    <w:p w14:paraId="26352EE1">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c工程量报价单中各项均以人民币报价。投标总价保留小数点后两位</w:t>
      </w:r>
      <w:r>
        <w:rPr>
          <w:rFonts w:hint="eastAsia" w:ascii="宋体" w:hAnsi="宋体" w:eastAsia="宋体" w:cs="宋体"/>
          <w:color w:val="auto"/>
          <w:sz w:val="24"/>
          <w:szCs w:val="24"/>
          <w:highlight w:val="none"/>
          <w:lang w:eastAsia="zh-CN"/>
        </w:rPr>
        <w:t>。</w:t>
      </w:r>
    </w:p>
    <w:p w14:paraId="6CBBDA53">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d工投标报价应依据陕西省水利厅《陕西省水利工程设计概 （估）算编制规定》（2024 年修正）、《陕西省水利建筑工程概算定额》（2024年修正）、《陕西省水利设备安装工程概算定额》（2024年修正）、《陕西省水利建筑工程预算定额》（2024 年修正）、《陕西省水利设备安装工程预算定额》 （2024年修正）、《陕西省水利工程施工机械台班费定额》（2024年修正）、财政部税务总局财税(2018)32号《关于调整增值税税率的通知》进行编制，材料价格采用工程所在地2025年第</w:t>
      </w:r>
      <w:r>
        <w:rPr>
          <w:rFonts w:hint="eastAsia" w:ascii="宋体" w:hAnsi="宋体" w:eastAsia="宋体" w:cs="宋体"/>
          <w:b w:val="0"/>
          <w:bCs/>
          <w:color w:val="auto"/>
          <w:sz w:val="24"/>
          <w:szCs w:val="24"/>
          <w:highlight w:val="none"/>
          <w:lang w:val="en-US" w:eastAsia="zh-CN"/>
        </w:rPr>
        <w:t>4</w:t>
      </w:r>
      <w:r>
        <w:rPr>
          <w:rFonts w:hint="eastAsia" w:ascii="宋体" w:hAnsi="宋体" w:eastAsia="宋体" w:cs="宋体"/>
          <w:b w:val="0"/>
          <w:bCs/>
          <w:color w:val="auto"/>
          <w:sz w:val="24"/>
          <w:szCs w:val="24"/>
          <w:highlight w:val="none"/>
        </w:rPr>
        <w:t>季度价格水平。</w:t>
      </w:r>
    </w:p>
    <w:p w14:paraId="4280F7D9">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e增值税按水利部办公厅印发《调整水利工程计价依据增值税计算标准的通知》</w:t>
      </w:r>
    </w:p>
    <w:p w14:paraId="749FDB0B">
      <w:pPr>
        <w:keepNext w:val="0"/>
        <w:keepLines w:val="0"/>
        <w:pageBreakBefore w:val="0"/>
        <w:widowControl w:val="0"/>
        <w:tabs>
          <w:tab w:val="left" w:pos="0"/>
        </w:tabs>
        <w:kinsoku/>
        <w:wordWrap/>
        <w:overflowPunct/>
        <w:topLinePunct w:val="0"/>
        <w:autoSpaceDE/>
        <w:autoSpaceDN/>
        <w:bidi w:val="0"/>
        <w:adjustRightInd/>
        <w:snapToGrid/>
        <w:spacing w:line="360" w:lineRule="auto"/>
        <w:ind w:left="0"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（办财务函【2019】448号）的相关规定计取，增值税税率由10%调整为9%。</w:t>
      </w:r>
    </w:p>
    <w:p w14:paraId="4E2FD7B9">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2.3 本项目设暂列金人民币¥:30000.00元(叁万元整)，用于设计变更或签证等。</w:t>
      </w:r>
    </w:p>
    <w:p w14:paraId="75FF8DFF">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p>
    <w:p w14:paraId="37BB413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p>
    <w:p w14:paraId="3AE48D7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p>
    <w:p w14:paraId="2D05FB33">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outlineLvl w:val="9"/>
        <w:rPr>
          <w:rFonts w:hint="eastAsia" w:ascii="宋体" w:hAnsi="宋体" w:eastAsia="宋体" w:cs="宋体"/>
          <w:b/>
          <w:color w:val="auto"/>
          <w:sz w:val="24"/>
          <w:szCs w:val="24"/>
          <w:highlight w:val="none"/>
          <w:lang w:val="en-US" w:eastAsia="zh-CN"/>
        </w:rPr>
      </w:pPr>
    </w:p>
    <w:p w14:paraId="13488DB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sz w:val="24"/>
          <w:szCs w:val="24"/>
          <w:highlight w:val="none"/>
          <w:lang w:val="en-US" w:eastAsia="zh-CN"/>
        </w:rPr>
      </w:pPr>
    </w:p>
    <w:tbl>
      <w:tblPr>
        <w:tblStyle w:val="37"/>
        <w:tblW w:w="93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32"/>
        <w:gridCol w:w="3896"/>
        <w:gridCol w:w="243"/>
        <w:gridCol w:w="243"/>
        <w:gridCol w:w="831"/>
        <w:gridCol w:w="1227"/>
        <w:gridCol w:w="635"/>
      </w:tblGrid>
      <w:tr w14:paraId="69189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307" w:type="dxa"/>
            <w:gridSpan w:val="7"/>
            <w:tcBorders>
              <w:top w:val="nil"/>
              <w:left w:val="nil"/>
              <w:bottom w:val="nil"/>
              <w:right w:val="nil"/>
            </w:tcBorders>
            <w:shd w:val="clear" w:color="auto" w:fill="auto"/>
            <w:noWrap/>
            <w:vAlign w:val="center"/>
          </w:tcPr>
          <w:p w14:paraId="52B1C19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工程项目总价表</w:t>
            </w:r>
          </w:p>
        </w:tc>
      </w:tr>
      <w:tr w14:paraId="4607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07" w:type="dxa"/>
            <w:gridSpan w:val="7"/>
            <w:tcBorders>
              <w:top w:val="nil"/>
              <w:left w:val="nil"/>
              <w:bottom w:val="nil"/>
              <w:right w:val="nil"/>
            </w:tcBorders>
            <w:shd w:val="clear" w:color="auto" w:fill="auto"/>
            <w:vAlign w:val="bottom"/>
          </w:tcPr>
          <w:p w14:paraId="75A9644C">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合同编号：HDZX2026（006）CG</w:t>
            </w:r>
          </w:p>
        </w:tc>
      </w:tr>
      <w:tr w14:paraId="4FBF4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307" w:type="dxa"/>
            <w:gridSpan w:val="7"/>
            <w:tcBorders>
              <w:top w:val="nil"/>
              <w:left w:val="nil"/>
              <w:bottom w:val="nil"/>
              <w:right w:val="nil"/>
            </w:tcBorders>
            <w:shd w:val="clear" w:color="auto" w:fill="auto"/>
            <w:vAlign w:val="center"/>
          </w:tcPr>
          <w:p w14:paraId="7E89CC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千河千阳县柿沟村段水毁修复工程</w:t>
            </w:r>
          </w:p>
        </w:tc>
      </w:tr>
      <w:tr w14:paraId="1D388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1C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组号</w:t>
            </w: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10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项目分组名称</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0D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金额（元）</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03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222DB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040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w:t>
            </w: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15D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建筑工程</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6B10">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A9F4B">
            <w:pPr>
              <w:jc w:val="center"/>
              <w:rPr>
                <w:rFonts w:hint="eastAsia" w:ascii="宋体" w:hAnsi="宋体" w:eastAsia="宋体" w:cs="宋体"/>
                <w:i w:val="0"/>
                <w:iCs w:val="0"/>
                <w:color w:val="000000"/>
                <w:sz w:val="18"/>
                <w:szCs w:val="18"/>
                <w:u w:val="none"/>
              </w:rPr>
            </w:pPr>
          </w:p>
        </w:tc>
      </w:tr>
      <w:tr w14:paraId="09842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CB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w:t>
            </w: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F2DA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施工临时工程</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FE003">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106AF">
            <w:pPr>
              <w:jc w:val="center"/>
              <w:rPr>
                <w:rFonts w:hint="eastAsia" w:ascii="宋体" w:hAnsi="宋体" w:eastAsia="宋体" w:cs="宋体"/>
                <w:i w:val="0"/>
                <w:iCs w:val="0"/>
                <w:color w:val="000000"/>
                <w:sz w:val="18"/>
                <w:szCs w:val="18"/>
                <w:u w:val="none"/>
              </w:rPr>
            </w:pPr>
          </w:p>
        </w:tc>
      </w:tr>
      <w:tr w14:paraId="2A609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F9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w:t>
            </w: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026AB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暂列金</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AE7A">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FD7FF">
            <w:pPr>
              <w:jc w:val="center"/>
              <w:rPr>
                <w:rFonts w:hint="eastAsia" w:ascii="宋体" w:hAnsi="宋体" w:eastAsia="宋体" w:cs="宋体"/>
                <w:i w:val="0"/>
                <w:iCs w:val="0"/>
                <w:color w:val="000000"/>
                <w:sz w:val="18"/>
                <w:szCs w:val="18"/>
                <w:u w:val="none"/>
              </w:rPr>
            </w:pPr>
          </w:p>
        </w:tc>
      </w:tr>
      <w:tr w14:paraId="6E4D7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5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w:t>
            </w: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8CB84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工程保险（费率：0.45%）</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0BAD0">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F1C20">
            <w:pPr>
              <w:jc w:val="center"/>
              <w:rPr>
                <w:rFonts w:hint="eastAsia" w:ascii="宋体" w:hAnsi="宋体" w:eastAsia="宋体" w:cs="宋体"/>
                <w:i w:val="0"/>
                <w:iCs w:val="0"/>
                <w:color w:val="000000"/>
                <w:sz w:val="18"/>
                <w:szCs w:val="18"/>
                <w:u w:val="none"/>
              </w:rPr>
            </w:pPr>
          </w:p>
        </w:tc>
      </w:tr>
      <w:tr w14:paraId="081D0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3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5E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CBB5">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F4EAD">
            <w:pPr>
              <w:jc w:val="center"/>
              <w:rPr>
                <w:rFonts w:hint="eastAsia" w:ascii="宋体" w:hAnsi="宋体" w:eastAsia="宋体" w:cs="宋体"/>
                <w:i w:val="0"/>
                <w:iCs w:val="0"/>
                <w:color w:val="000000"/>
                <w:sz w:val="18"/>
                <w:szCs w:val="18"/>
                <w:u w:val="none"/>
              </w:rPr>
            </w:pPr>
          </w:p>
        </w:tc>
      </w:tr>
      <w:tr w14:paraId="422F0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5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479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4C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40D2">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B477">
            <w:pPr>
              <w:jc w:val="center"/>
              <w:rPr>
                <w:rFonts w:hint="eastAsia" w:ascii="宋体" w:hAnsi="宋体" w:eastAsia="宋体" w:cs="宋体"/>
                <w:i w:val="0"/>
                <w:iCs w:val="0"/>
                <w:color w:val="000000"/>
                <w:sz w:val="18"/>
                <w:szCs w:val="18"/>
                <w:u w:val="none"/>
              </w:rPr>
            </w:pPr>
          </w:p>
        </w:tc>
      </w:tr>
      <w:tr w14:paraId="1E1F9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1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合计（A）</w:t>
            </w:r>
          </w:p>
        </w:tc>
        <w:tc>
          <w:tcPr>
            <w:tcW w:w="12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31EF">
            <w:pPr>
              <w:jc w:val="center"/>
              <w:rPr>
                <w:rFonts w:hint="eastAsia" w:ascii="宋体" w:hAnsi="宋体" w:eastAsia="宋体" w:cs="宋体"/>
                <w:i w:val="0"/>
                <w:iCs w:val="0"/>
                <w:color w:val="000000"/>
                <w:sz w:val="18"/>
                <w:szCs w:val="18"/>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637B">
            <w:pPr>
              <w:jc w:val="center"/>
              <w:rPr>
                <w:rFonts w:hint="eastAsia" w:ascii="宋体" w:hAnsi="宋体" w:eastAsia="宋体" w:cs="宋体"/>
                <w:i w:val="0"/>
                <w:iCs w:val="0"/>
                <w:color w:val="000000"/>
                <w:sz w:val="18"/>
                <w:szCs w:val="18"/>
                <w:u w:val="none"/>
              </w:rPr>
            </w:pPr>
          </w:p>
        </w:tc>
      </w:tr>
      <w:tr w14:paraId="424FD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nil"/>
              <w:left w:val="nil"/>
              <w:bottom w:val="nil"/>
              <w:right w:val="nil"/>
            </w:tcBorders>
            <w:shd w:val="clear" w:color="auto" w:fill="auto"/>
            <w:noWrap/>
            <w:vAlign w:val="center"/>
          </w:tcPr>
          <w:p w14:paraId="4F07EF6F">
            <w:pPr>
              <w:jc w:val="center"/>
              <w:rPr>
                <w:rFonts w:hint="eastAsia" w:ascii="宋体" w:hAnsi="宋体" w:eastAsia="宋体" w:cs="宋体"/>
                <w:i w:val="0"/>
                <w:iCs w:val="0"/>
                <w:color w:val="000000"/>
                <w:sz w:val="18"/>
                <w:szCs w:val="18"/>
                <w:u w:val="none"/>
              </w:rPr>
            </w:pPr>
          </w:p>
        </w:tc>
        <w:tc>
          <w:tcPr>
            <w:tcW w:w="4791" w:type="dxa"/>
            <w:gridSpan w:val="4"/>
            <w:tcBorders>
              <w:top w:val="nil"/>
              <w:left w:val="nil"/>
              <w:bottom w:val="nil"/>
              <w:right w:val="nil"/>
            </w:tcBorders>
            <w:shd w:val="clear" w:color="auto" w:fill="auto"/>
            <w:noWrap/>
            <w:vAlign w:val="bottom"/>
          </w:tcPr>
          <w:p w14:paraId="63C2F425">
            <w:pPr>
              <w:jc w:val="right"/>
              <w:rPr>
                <w:rFonts w:hint="eastAsia" w:ascii="宋体" w:hAnsi="宋体" w:eastAsia="宋体" w:cs="宋体"/>
                <w:i w:val="0"/>
                <w:iCs w:val="0"/>
                <w:color w:val="000000"/>
                <w:sz w:val="18"/>
                <w:szCs w:val="18"/>
                <w:u w:val="none"/>
              </w:rPr>
            </w:pPr>
          </w:p>
        </w:tc>
        <w:tc>
          <w:tcPr>
            <w:tcW w:w="1227" w:type="dxa"/>
            <w:tcBorders>
              <w:top w:val="nil"/>
              <w:left w:val="nil"/>
              <w:bottom w:val="nil"/>
              <w:right w:val="nil"/>
            </w:tcBorders>
            <w:shd w:val="clear" w:color="auto" w:fill="auto"/>
            <w:noWrap/>
            <w:vAlign w:val="bottom"/>
          </w:tcPr>
          <w:p w14:paraId="12C2DFEF">
            <w:pPr>
              <w:jc w:val="center"/>
              <w:rPr>
                <w:rFonts w:hint="eastAsia" w:ascii="宋体" w:hAnsi="宋体" w:eastAsia="宋体" w:cs="宋体"/>
                <w:i w:val="0"/>
                <w:iCs w:val="0"/>
                <w:color w:val="000000"/>
                <w:sz w:val="18"/>
                <w:szCs w:val="18"/>
                <w:u w:val="none"/>
              </w:rPr>
            </w:pPr>
          </w:p>
        </w:tc>
        <w:tc>
          <w:tcPr>
            <w:tcW w:w="635" w:type="dxa"/>
            <w:tcBorders>
              <w:top w:val="nil"/>
              <w:left w:val="nil"/>
              <w:bottom w:val="nil"/>
              <w:right w:val="nil"/>
            </w:tcBorders>
            <w:shd w:val="clear" w:color="auto" w:fill="auto"/>
            <w:noWrap/>
            <w:vAlign w:val="bottom"/>
          </w:tcPr>
          <w:p w14:paraId="492664FE">
            <w:pPr>
              <w:jc w:val="left"/>
              <w:rPr>
                <w:rFonts w:hint="eastAsia" w:ascii="宋体" w:hAnsi="宋体" w:eastAsia="宋体" w:cs="宋体"/>
                <w:i w:val="0"/>
                <w:iCs w:val="0"/>
                <w:color w:val="000000"/>
                <w:sz w:val="18"/>
                <w:szCs w:val="18"/>
                <w:u w:val="none"/>
              </w:rPr>
            </w:pPr>
          </w:p>
        </w:tc>
      </w:tr>
      <w:tr w14:paraId="12CD8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232" w:type="dxa"/>
            <w:tcBorders>
              <w:top w:val="nil"/>
              <w:left w:val="nil"/>
              <w:bottom w:val="nil"/>
              <w:right w:val="nil"/>
            </w:tcBorders>
            <w:shd w:val="clear" w:color="auto" w:fill="auto"/>
            <w:noWrap/>
            <w:vAlign w:val="center"/>
          </w:tcPr>
          <w:p w14:paraId="6CD796E1">
            <w:pPr>
              <w:jc w:val="center"/>
              <w:rPr>
                <w:rFonts w:hint="eastAsia" w:ascii="宋体" w:hAnsi="宋体" w:eastAsia="宋体" w:cs="宋体"/>
                <w:i w:val="0"/>
                <w:iCs w:val="0"/>
                <w:color w:val="000000"/>
                <w:sz w:val="18"/>
                <w:szCs w:val="18"/>
                <w:u w:val="none"/>
              </w:rPr>
            </w:pPr>
          </w:p>
        </w:tc>
        <w:tc>
          <w:tcPr>
            <w:tcW w:w="4791" w:type="dxa"/>
            <w:gridSpan w:val="4"/>
            <w:tcBorders>
              <w:top w:val="nil"/>
              <w:left w:val="nil"/>
              <w:bottom w:val="nil"/>
              <w:right w:val="nil"/>
            </w:tcBorders>
            <w:shd w:val="clear" w:color="auto" w:fill="auto"/>
            <w:noWrap/>
            <w:vAlign w:val="bottom"/>
          </w:tcPr>
          <w:p w14:paraId="0ADA1029">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投标总报价 B =A</w:t>
            </w:r>
          </w:p>
        </w:tc>
        <w:tc>
          <w:tcPr>
            <w:tcW w:w="1227" w:type="dxa"/>
            <w:tcBorders>
              <w:top w:val="nil"/>
              <w:left w:val="nil"/>
              <w:bottom w:val="single" w:color="000000" w:sz="4" w:space="0"/>
              <w:right w:val="nil"/>
            </w:tcBorders>
            <w:shd w:val="clear" w:color="auto" w:fill="auto"/>
            <w:noWrap/>
            <w:vAlign w:val="bottom"/>
          </w:tcPr>
          <w:p w14:paraId="0F1E6CEE">
            <w:pPr>
              <w:jc w:val="center"/>
              <w:rPr>
                <w:rFonts w:hint="eastAsia" w:ascii="宋体" w:hAnsi="宋体" w:eastAsia="宋体" w:cs="宋体"/>
                <w:i w:val="0"/>
                <w:iCs w:val="0"/>
                <w:color w:val="000000"/>
                <w:sz w:val="18"/>
                <w:szCs w:val="18"/>
                <w:u w:val="none"/>
              </w:rPr>
            </w:pPr>
          </w:p>
        </w:tc>
        <w:tc>
          <w:tcPr>
            <w:tcW w:w="635" w:type="dxa"/>
            <w:tcBorders>
              <w:top w:val="nil"/>
              <w:left w:val="nil"/>
              <w:bottom w:val="nil"/>
              <w:right w:val="nil"/>
            </w:tcBorders>
            <w:shd w:val="clear" w:color="auto" w:fill="auto"/>
            <w:noWrap/>
            <w:vAlign w:val="bottom"/>
          </w:tcPr>
          <w:p w14:paraId="691EF95C">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元</w:t>
            </w:r>
          </w:p>
        </w:tc>
      </w:tr>
      <w:tr w14:paraId="3065D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232" w:type="dxa"/>
            <w:tcBorders>
              <w:top w:val="nil"/>
              <w:left w:val="nil"/>
              <w:bottom w:val="nil"/>
              <w:right w:val="nil"/>
            </w:tcBorders>
            <w:shd w:val="clear" w:color="auto" w:fill="auto"/>
            <w:noWrap/>
            <w:vAlign w:val="center"/>
          </w:tcPr>
          <w:p w14:paraId="62D3849E">
            <w:pPr>
              <w:jc w:val="center"/>
              <w:rPr>
                <w:rFonts w:hint="eastAsia" w:ascii="宋体" w:hAnsi="宋体" w:eastAsia="宋体" w:cs="宋体"/>
                <w:i w:val="0"/>
                <w:iCs w:val="0"/>
                <w:color w:val="000000"/>
                <w:sz w:val="18"/>
                <w:szCs w:val="18"/>
                <w:u w:val="none"/>
              </w:rPr>
            </w:pPr>
          </w:p>
        </w:tc>
        <w:tc>
          <w:tcPr>
            <w:tcW w:w="3896" w:type="dxa"/>
            <w:tcBorders>
              <w:top w:val="nil"/>
              <w:left w:val="nil"/>
              <w:bottom w:val="nil"/>
              <w:right w:val="nil"/>
            </w:tcBorders>
            <w:shd w:val="clear" w:color="auto" w:fill="auto"/>
            <w:noWrap/>
            <w:vAlign w:val="center"/>
          </w:tcPr>
          <w:p w14:paraId="5BA308B7">
            <w:pPr>
              <w:jc w:val="center"/>
              <w:rPr>
                <w:rFonts w:hint="eastAsia" w:ascii="宋体" w:hAnsi="宋体" w:eastAsia="宋体" w:cs="宋体"/>
                <w:i w:val="0"/>
                <w:iCs w:val="0"/>
                <w:color w:val="000000"/>
                <w:sz w:val="18"/>
                <w:szCs w:val="18"/>
                <w:u w:val="none"/>
              </w:rPr>
            </w:pPr>
          </w:p>
        </w:tc>
        <w:tc>
          <w:tcPr>
            <w:tcW w:w="243" w:type="dxa"/>
            <w:tcBorders>
              <w:top w:val="nil"/>
              <w:left w:val="nil"/>
              <w:bottom w:val="nil"/>
              <w:right w:val="nil"/>
            </w:tcBorders>
            <w:shd w:val="clear" w:color="auto" w:fill="auto"/>
            <w:noWrap/>
            <w:vAlign w:val="center"/>
          </w:tcPr>
          <w:p w14:paraId="5CE92630">
            <w:pPr>
              <w:jc w:val="center"/>
              <w:rPr>
                <w:rFonts w:hint="eastAsia" w:ascii="宋体" w:hAnsi="宋体" w:eastAsia="宋体" w:cs="宋体"/>
                <w:i w:val="0"/>
                <w:iCs w:val="0"/>
                <w:color w:val="000000"/>
                <w:sz w:val="20"/>
                <w:szCs w:val="20"/>
                <w:u w:val="none"/>
              </w:rPr>
            </w:pPr>
          </w:p>
        </w:tc>
        <w:tc>
          <w:tcPr>
            <w:tcW w:w="243" w:type="dxa"/>
            <w:tcBorders>
              <w:top w:val="nil"/>
              <w:left w:val="nil"/>
              <w:bottom w:val="nil"/>
              <w:right w:val="nil"/>
            </w:tcBorders>
            <w:shd w:val="clear" w:color="auto" w:fill="auto"/>
            <w:noWrap/>
            <w:vAlign w:val="center"/>
          </w:tcPr>
          <w:p w14:paraId="7E2E9388">
            <w:pPr>
              <w:jc w:val="center"/>
              <w:rPr>
                <w:rFonts w:hint="eastAsia" w:ascii="宋体" w:hAnsi="宋体" w:eastAsia="宋体" w:cs="宋体"/>
                <w:i w:val="0"/>
                <w:iCs w:val="0"/>
                <w:color w:val="000000"/>
                <w:sz w:val="20"/>
                <w:szCs w:val="20"/>
                <w:u w:val="none"/>
              </w:rPr>
            </w:pPr>
          </w:p>
        </w:tc>
        <w:tc>
          <w:tcPr>
            <w:tcW w:w="243" w:type="dxa"/>
            <w:tcBorders>
              <w:top w:val="nil"/>
              <w:left w:val="nil"/>
              <w:bottom w:val="nil"/>
              <w:right w:val="nil"/>
            </w:tcBorders>
            <w:shd w:val="clear" w:color="auto" w:fill="auto"/>
            <w:noWrap/>
            <w:vAlign w:val="center"/>
          </w:tcPr>
          <w:p w14:paraId="359D1D10">
            <w:pPr>
              <w:jc w:val="center"/>
              <w:rPr>
                <w:rFonts w:hint="eastAsia" w:ascii="宋体" w:hAnsi="宋体" w:eastAsia="宋体" w:cs="宋体"/>
                <w:i w:val="0"/>
                <w:iCs w:val="0"/>
                <w:color w:val="000000"/>
                <w:sz w:val="20"/>
                <w:szCs w:val="20"/>
                <w:u w:val="none"/>
              </w:rPr>
            </w:pPr>
          </w:p>
        </w:tc>
        <w:tc>
          <w:tcPr>
            <w:tcW w:w="1227" w:type="dxa"/>
            <w:tcBorders>
              <w:top w:val="nil"/>
              <w:left w:val="nil"/>
              <w:bottom w:val="nil"/>
              <w:right w:val="nil"/>
            </w:tcBorders>
            <w:shd w:val="clear" w:color="auto" w:fill="auto"/>
            <w:noWrap/>
            <w:vAlign w:val="center"/>
          </w:tcPr>
          <w:p w14:paraId="5045295A">
            <w:pPr>
              <w:jc w:val="center"/>
              <w:rPr>
                <w:rFonts w:hint="eastAsia" w:ascii="宋体" w:hAnsi="宋体" w:eastAsia="宋体" w:cs="宋体"/>
                <w:i w:val="0"/>
                <w:iCs w:val="0"/>
                <w:color w:val="000000"/>
                <w:sz w:val="18"/>
                <w:szCs w:val="18"/>
                <w:u w:val="none"/>
              </w:rPr>
            </w:pPr>
          </w:p>
        </w:tc>
        <w:tc>
          <w:tcPr>
            <w:tcW w:w="635" w:type="dxa"/>
            <w:tcBorders>
              <w:top w:val="nil"/>
              <w:left w:val="nil"/>
              <w:bottom w:val="nil"/>
              <w:right w:val="nil"/>
            </w:tcBorders>
            <w:shd w:val="clear" w:color="auto" w:fill="auto"/>
            <w:noWrap/>
            <w:vAlign w:val="center"/>
          </w:tcPr>
          <w:p w14:paraId="2F7C0DEF">
            <w:pPr>
              <w:jc w:val="center"/>
              <w:rPr>
                <w:rFonts w:hint="eastAsia" w:ascii="宋体" w:hAnsi="宋体" w:eastAsia="宋体" w:cs="宋体"/>
                <w:i w:val="0"/>
                <w:iCs w:val="0"/>
                <w:color w:val="000000"/>
                <w:sz w:val="18"/>
                <w:szCs w:val="18"/>
                <w:u w:val="none"/>
              </w:rPr>
            </w:pPr>
          </w:p>
        </w:tc>
      </w:tr>
      <w:tr w14:paraId="00923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07" w:type="dxa"/>
            <w:gridSpan w:val="7"/>
            <w:tcBorders>
              <w:top w:val="nil"/>
              <w:left w:val="nil"/>
              <w:bottom w:val="nil"/>
              <w:right w:val="nil"/>
            </w:tcBorders>
            <w:shd w:val="clear" w:color="auto" w:fill="auto"/>
            <w:noWrap/>
            <w:vAlign w:val="center"/>
          </w:tcPr>
          <w:p w14:paraId="7897A2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78CDC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07" w:type="dxa"/>
            <w:gridSpan w:val="7"/>
            <w:tcBorders>
              <w:top w:val="nil"/>
              <w:left w:val="nil"/>
              <w:bottom w:val="nil"/>
              <w:right w:val="nil"/>
            </w:tcBorders>
            <w:shd w:val="clear" w:color="auto" w:fill="auto"/>
            <w:noWrap/>
            <w:vAlign w:val="center"/>
          </w:tcPr>
          <w:p w14:paraId="06F0A8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0AB7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307" w:type="dxa"/>
            <w:gridSpan w:val="7"/>
            <w:tcBorders>
              <w:top w:val="nil"/>
              <w:left w:val="nil"/>
              <w:bottom w:val="nil"/>
              <w:right w:val="nil"/>
            </w:tcBorders>
            <w:shd w:val="clear" w:color="auto" w:fill="auto"/>
            <w:noWrap/>
            <w:vAlign w:val="center"/>
          </w:tcPr>
          <w:p w14:paraId="3F05F7AA">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bl>
    <w:p w14:paraId="73F96D8B">
      <w:pPr>
        <w:spacing w:line="360" w:lineRule="auto"/>
        <w:jc w:val="both"/>
        <w:outlineLvl w:val="9"/>
        <w:rPr>
          <w:rFonts w:hint="eastAsia" w:ascii="宋体" w:hAnsi="宋体" w:cs="宋体"/>
          <w:b/>
          <w:sz w:val="72"/>
          <w:szCs w:val="24"/>
          <w:highlight w:val="none"/>
        </w:rPr>
      </w:pPr>
    </w:p>
    <w:p w14:paraId="1F00517C">
      <w:pPr>
        <w:spacing w:line="360" w:lineRule="auto"/>
        <w:jc w:val="both"/>
        <w:outlineLvl w:val="9"/>
        <w:rPr>
          <w:rFonts w:hint="eastAsia" w:ascii="宋体" w:hAnsi="宋体" w:cs="宋体"/>
          <w:b/>
          <w:sz w:val="72"/>
          <w:szCs w:val="24"/>
          <w:highlight w:val="none"/>
        </w:rPr>
      </w:pPr>
    </w:p>
    <w:p w14:paraId="73E42759">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05529BF2">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72153B7D">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4778BF44">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636AC98E">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214E602A">
      <w:pPr>
        <w:tabs>
          <w:tab w:val="left" w:pos="1080"/>
          <w:tab w:val="left" w:pos="1155"/>
        </w:tabs>
        <w:spacing w:line="520" w:lineRule="exact"/>
        <w:jc w:val="both"/>
        <w:outlineLvl w:val="0"/>
        <w:rPr>
          <w:rFonts w:hint="eastAsia" w:ascii="宋体" w:hAnsi="宋体" w:eastAsia="宋体" w:cs="宋体"/>
          <w:b/>
          <w:bCs/>
          <w:color w:val="000000" w:themeColor="text1"/>
          <w:sz w:val="32"/>
          <w:szCs w:val="32"/>
          <w14:textFill>
            <w14:solidFill>
              <w14:schemeClr w14:val="tx1"/>
            </w14:solidFill>
          </w14:textFill>
        </w:rPr>
      </w:pPr>
    </w:p>
    <w:tbl>
      <w:tblPr>
        <w:tblStyle w:val="37"/>
        <w:tblW w:w="8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4"/>
        <w:gridCol w:w="2973"/>
        <w:gridCol w:w="695"/>
        <w:gridCol w:w="1050"/>
        <w:gridCol w:w="1077"/>
        <w:gridCol w:w="1193"/>
        <w:gridCol w:w="1058"/>
      </w:tblGrid>
      <w:tr w14:paraId="007F1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8910" w:type="dxa"/>
            <w:gridSpan w:val="7"/>
            <w:tcBorders>
              <w:top w:val="nil"/>
              <w:left w:val="nil"/>
              <w:bottom w:val="nil"/>
              <w:right w:val="nil"/>
            </w:tcBorders>
            <w:shd w:val="clear" w:color="auto" w:fill="auto"/>
            <w:vAlign w:val="center"/>
          </w:tcPr>
          <w:p w14:paraId="1AEC0F98">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分组工程量清单</w:t>
            </w:r>
          </w:p>
        </w:tc>
      </w:tr>
      <w:tr w14:paraId="1848F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659" w:type="dxa"/>
            <w:gridSpan w:val="5"/>
            <w:tcBorders>
              <w:top w:val="nil"/>
              <w:left w:val="nil"/>
              <w:bottom w:val="nil"/>
              <w:right w:val="nil"/>
            </w:tcBorders>
            <w:shd w:val="clear" w:color="auto" w:fill="auto"/>
            <w:vAlign w:val="bottom"/>
          </w:tcPr>
          <w:p w14:paraId="20772AD2">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合同编号：HDZX2026（006）CG</w:t>
            </w:r>
          </w:p>
        </w:tc>
        <w:tc>
          <w:tcPr>
            <w:tcW w:w="2251" w:type="dxa"/>
            <w:gridSpan w:val="2"/>
            <w:tcBorders>
              <w:top w:val="nil"/>
              <w:left w:val="nil"/>
              <w:bottom w:val="nil"/>
              <w:right w:val="nil"/>
            </w:tcBorders>
            <w:shd w:val="clear" w:color="auto" w:fill="auto"/>
            <w:noWrap/>
            <w:vAlign w:val="bottom"/>
          </w:tcPr>
          <w:p w14:paraId="2CE7E36E">
            <w:pPr>
              <w:jc w:val="right"/>
              <w:rPr>
                <w:rFonts w:hint="eastAsia" w:ascii="宋体" w:hAnsi="宋体" w:eastAsia="宋体" w:cs="宋体"/>
                <w:i w:val="0"/>
                <w:iCs w:val="0"/>
                <w:color w:val="000000"/>
                <w:sz w:val="20"/>
                <w:szCs w:val="20"/>
                <w:u w:val="none"/>
              </w:rPr>
            </w:pPr>
          </w:p>
        </w:tc>
      </w:tr>
      <w:tr w14:paraId="287FE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910" w:type="dxa"/>
            <w:gridSpan w:val="7"/>
            <w:tcBorders>
              <w:top w:val="nil"/>
              <w:left w:val="nil"/>
              <w:bottom w:val="nil"/>
              <w:right w:val="nil"/>
            </w:tcBorders>
            <w:shd w:val="clear" w:color="auto" w:fill="auto"/>
            <w:vAlign w:val="center"/>
          </w:tcPr>
          <w:p w14:paraId="0DE043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千河千阳县柿沟村段水毁修复工程</w:t>
            </w:r>
          </w:p>
        </w:tc>
      </w:tr>
      <w:tr w14:paraId="73B30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32" w:type="dxa"/>
            <w:gridSpan w:val="3"/>
            <w:tcBorders>
              <w:top w:val="nil"/>
              <w:left w:val="nil"/>
              <w:bottom w:val="nil"/>
              <w:right w:val="nil"/>
            </w:tcBorders>
            <w:shd w:val="clear" w:color="auto" w:fill="auto"/>
            <w:vAlign w:val="center"/>
          </w:tcPr>
          <w:p w14:paraId="1BCE11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组号：</w:t>
            </w:r>
            <w:r>
              <w:rPr>
                <w:rFonts w:hint="eastAsia" w:ascii="宋体" w:hAnsi="宋体" w:eastAsia="宋体" w:cs="宋体"/>
                <w:i w:val="0"/>
                <w:iCs w:val="0"/>
                <w:color w:val="000000"/>
                <w:kern w:val="0"/>
                <w:sz w:val="20"/>
                <w:szCs w:val="20"/>
                <w:u w:val="single"/>
                <w:lang w:val="en-US" w:eastAsia="zh-CN" w:bidi="ar"/>
              </w:rPr>
              <w:t xml:space="preserve"> 一 </w:t>
            </w:r>
            <w:r>
              <w:rPr>
                <w:rFonts w:hint="eastAsia" w:ascii="宋体" w:hAnsi="宋体" w:eastAsia="宋体" w:cs="宋体"/>
                <w:i w:val="0"/>
                <w:iCs w:val="0"/>
                <w:color w:val="FFFFFF"/>
                <w:kern w:val="0"/>
                <w:sz w:val="20"/>
                <w:szCs w:val="20"/>
                <w:u w:val="single"/>
                <w:lang w:val="en-US" w:eastAsia="zh-CN" w:bidi="ar"/>
              </w:rPr>
              <w:t>.</w:t>
            </w:r>
          </w:p>
        </w:tc>
        <w:tc>
          <w:tcPr>
            <w:tcW w:w="4378" w:type="dxa"/>
            <w:gridSpan w:val="4"/>
            <w:tcBorders>
              <w:top w:val="nil"/>
              <w:left w:val="nil"/>
              <w:bottom w:val="nil"/>
              <w:right w:val="nil"/>
            </w:tcBorders>
            <w:shd w:val="clear" w:color="auto" w:fill="auto"/>
            <w:vAlign w:val="center"/>
          </w:tcPr>
          <w:p w14:paraId="0DA987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分组名称：</w:t>
            </w:r>
            <w:r>
              <w:rPr>
                <w:rFonts w:hint="eastAsia" w:ascii="宋体" w:hAnsi="宋体" w:eastAsia="宋体" w:cs="宋体"/>
                <w:i w:val="0"/>
                <w:iCs w:val="0"/>
                <w:color w:val="000000"/>
                <w:kern w:val="0"/>
                <w:sz w:val="20"/>
                <w:szCs w:val="20"/>
                <w:u w:val="single"/>
                <w:lang w:val="en-US" w:eastAsia="zh-CN" w:bidi="ar"/>
              </w:rPr>
              <w:t xml:space="preserve"> 建筑工程 </w:t>
            </w:r>
            <w:r>
              <w:rPr>
                <w:rFonts w:hint="eastAsia" w:ascii="宋体" w:hAnsi="宋体" w:eastAsia="宋体" w:cs="宋体"/>
                <w:i w:val="0"/>
                <w:iCs w:val="0"/>
                <w:color w:val="FFFFFF"/>
                <w:kern w:val="0"/>
                <w:sz w:val="20"/>
                <w:szCs w:val="20"/>
                <w:u w:val="single"/>
                <w:lang w:val="en-US" w:eastAsia="zh-CN" w:bidi="ar"/>
              </w:rPr>
              <w:t>.</w:t>
            </w:r>
          </w:p>
        </w:tc>
      </w:tr>
      <w:tr w14:paraId="4E665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64" w:type="dxa"/>
            <w:tcBorders>
              <w:top w:val="single" w:color="000000" w:sz="4" w:space="0"/>
              <w:left w:val="single" w:color="000000" w:sz="4" w:space="0"/>
              <w:bottom w:val="nil"/>
              <w:right w:val="single" w:color="000000" w:sz="4" w:space="0"/>
            </w:tcBorders>
            <w:shd w:val="clear" w:color="auto" w:fill="auto"/>
            <w:vAlign w:val="center"/>
          </w:tcPr>
          <w:p w14:paraId="165F95D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73" w:type="dxa"/>
            <w:tcBorders>
              <w:top w:val="single" w:color="000000" w:sz="4" w:space="0"/>
              <w:left w:val="single" w:color="000000" w:sz="4" w:space="0"/>
              <w:bottom w:val="nil"/>
              <w:right w:val="single" w:color="000000" w:sz="4" w:space="0"/>
            </w:tcBorders>
            <w:shd w:val="clear" w:color="auto" w:fill="auto"/>
            <w:vAlign w:val="center"/>
          </w:tcPr>
          <w:p w14:paraId="578CC02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695" w:type="dxa"/>
            <w:tcBorders>
              <w:top w:val="single" w:color="000000" w:sz="4" w:space="0"/>
              <w:left w:val="single" w:color="000000" w:sz="4" w:space="0"/>
              <w:bottom w:val="nil"/>
              <w:right w:val="single" w:color="000000" w:sz="4" w:space="0"/>
            </w:tcBorders>
            <w:shd w:val="clear" w:color="auto" w:fill="auto"/>
            <w:vAlign w:val="center"/>
          </w:tcPr>
          <w:p w14:paraId="00693E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50" w:type="dxa"/>
            <w:tcBorders>
              <w:top w:val="single" w:color="000000" w:sz="4" w:space="0"/>
              <w:left w:val="single" w:color="000000" w:sz="4" w:space="0"/>
              <w:bottom w:val="nil"/>
              <w:right w:val="single" w:color="000000" w:sz="4" w:space="0"/>
            </w:tcBorders>
            <w:shd w:val="clear" w:color="auto" w:fill="auto"/>
            <w:vAlign w:val="center"/>
          </w:tcPr>
          <w:p w14:paraId="3B070E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工程数量</w:t>
            </w:r>
          </w:p>
        </w:tc>
        <w:tc>
          <w:tcPr>
            <w:tcW w:w="1077" w:type="dxa"/>
            <w:tcBorders>
              <w:top w:val="single" w:color="000000" w:sz="4" w:space="0"/>
              <w:left w:val="single" w:color="000000" w:sz="4" w:space="0"/>
              <w:bottom w:val="nil"/>
              <w:right w:val="single" w:color="000000" w:sz="4" w:space="0"/>
            </w:tcBorders>
            <w:shd w:val="clear" w:color="auto" w:fill="auto"/>
            <w:vAlign w:val="center"/>
          </w:tcPr>
          <w:p w14:paraId="17816F1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193" w:type="dxa"/>
            <w:tcBorders>
              <w:top w:val="single" w:color="000000" w:sz="4" w:space="0"/>
              <w:left w:val="single" w:color="000000" w:sz="4" w:space="0"/>
              <w:bottom w:val="nil"/>
              <w:right w:val="single" w:color="000000" w:sz="4" w:space="0"/>
            </w:tcBorders>
            <w:shd w:val="clear" w:color="auto" w:fill="auto"/>
            <w:vAlign w:val="center"/>
          </w:tcPr>
          <w:p w14:paraId="234C015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460B0CE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44DC8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4D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DB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建筑工程</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0FC1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3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603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692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E30F8">
            <w:pPr>
              <w:jc w:val="center"/>
              <w:rPr>
                <w:rFonts w:hint="eastAsia" w:ascii="宋体" w:hAnsi="宋体" w:eastAsia="宋体" w:cs="宋体"/>
                <w:i w:val="0"/>
                <w:iCs w:val="0"/>
                <w:color w:val="000000"/>
                <w:sz w:val="20"/>
                <w:szCs w:val="20"/>
                <w:u w:val="none"/>
              </w:rPr>
            </w:pPr>
          </w:p>
        </w:tc>
      </w:tr>
      <w:tr w14:paraId="63338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7D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DD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400mm厚格宾网护坡（详见图纸设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计）</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00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E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609.7</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077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9001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B68BA">
            <w:pPr>
              <w:jc w:val="center"/>
              <w:rPr>
                <w:rFonts w:hint="eastAsia" w:ascii="宋体" w:hAnsi="宋体" w:eastAsia="宋体" w:cs="宋体"/>
                <w:i w:val="0"/>
                <w:iCs w:val="0"/>
                <w:color w:val="000000"/>
                <w:sz w:val="20"/>
                <w:szCs w:val="20"/>
                <w:u w:val="none"/>
              </w:rPr>
            </w:pPr>
          </w:p>
        </w:tc>
      </w:tr>
      <w:tr w14:paraId="333E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8E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33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砂砾石开挖</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D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2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220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241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47944">
            <w:pPr>
              <w:jc w:val="center"/>
              <w:rPr>
                <w:rFonts w:hint="eastAsia" w:ascii="宋体" w:hAnsi="宋体" w:eastAsia="宋体" w:cs="宋体"/>
                <w:i w:val="0"/>
                <w:iCs w:val="0"/>
                <w:color w:val="000000"/>
                <w:sz w:val="20"/>
                <w:szCs w:val="20"/>
                <w:u w:val="none"/>
              </w:rPr>
            </w:pPr>
          </w:p>
        </w:tc>
      </w:tr>
      <w:tr w14:paraId="22D96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6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7E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人工修整边坡</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42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421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1488.2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C24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7ED8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6E8D">
            <w:pPr>
              <w:jc w:val="center"/>
              <w:rPr>
                <w:rFonts w:hint="eastAsia" w:ascii="宋体" w:hAnsi="宋体" w:eastAsia="宋体" w:cs="宋体"/>
                <w:i w:val="0"/>
                <w:iCs w:val="0"/>
                <w:color w:val="000000"/>
                <w:sz w:val="20"/>
                <w:szCs w:val="20"/>
                <w:u w:val="none"/>
              </w:rPr>
            </w:pPr>
          </w:p>
        </w:tc>
      </w:tr>
      <w:tr w14:paraId="6433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0A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837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砂砾石回填</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9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0B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1194</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689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BD1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488F8">
            <w:pPr>
              <w:jc w:val="center"/>
              <w:rPr>
                <w:rFonts w:hint="eastAsia" w:ascii="宋体" w:hAnsi="宋体" w:eastAsia="宋体" w:cs="宋体"/>
                <w:i w:val="0"/>
                <w:iCs w:val="0"/>
                <w:color w:val="000000"/>
                <w:sz w:val="20"/>
                <w:szCs w:val="20"/>
                <w:u w:val="none"/>
              </w:rPr>
            </w:pPr>
          </w:p>
        </w:tc>
      </w:tr>
      <w:tr w14:paraId="04FEA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3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D3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格宾网基础（毛石）（详见图纸设计）</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3A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F0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463.39</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8F3A">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F9A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190C">
            <w:pPr>
              <w:jc w:val="center"/>
              <w:rPr>
                <w:rFonts w:hint="eastAsia" w:ascii="宋体" w:hAnsi="宋体" w:eastAsia="宋体" w:cs="宋体"/>
                <w:i w:val="0"/>
                <w:iCs w:val="0"/>
                <w:color w:val="000000"/>
                <w:sz w:val="20"/>
                <w:szCs w:val="20"/>
                <w:u w:val="none"/>
              </w:rPr>
            </w:pPr>
          </w:p>
        </w:tc>
      </w:tr>
      <w:tr w14:paraId="62356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86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26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土工布（300g/㎡）</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8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m²</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00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1488.2</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711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184F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614F">
            <w:pPr>
              <w:jc w:val="center"/>
              <w:rPr>
                <w:rFonts w:hint="eastAsia" w:ascii="宋体" w:hAnsi="宋体" w:eastAsia="宋体" w:cs="宋体"/>
                <w:i w:val="0"/>
                <w:iCs w:val="0"/>
                <w:color w:val="000000"/>
                <w:sz w:val="20"/>
                <w:szCs w:val="20"/>
                <w:u w:val="none"/>
              </w:rPr>
            </w:pPr>
          </w:p>
        </w:tc>
      </w:tr>
      <w:tr w14:paraId="1C8BA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8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D9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拆除原有格宾块石</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0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0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075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322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AC183">
            <w:pPr>
              <w:jc w:val="center"/>
              <w:rPr>
                <w:rFonts w:hint="eastAsia" w:ascii="宋体" w:hAnsi="宋体" w:eastAsia="宋体" w:cs="宋体"/>
                <w:i w:val="0"/>
                <w:iCs w:val="0"/>
                <w:color w:val="000000"/>
                <w:sz w:val="20"/>
                <w:szCs w:val="20"/>
                <w:u w:val="none"/>
              </w:rPr>
            </w:pPr>
          </w:p>
        </w:tc>
      </w:tr>
      <w:tr w14:paraId="666D2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BA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4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B867">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7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78A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DD75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001E">
            <w:pPr>
              <w:jc w:val="center"/>
              <w:rPr>
                <w:rFonts w:hint="eastAsia" w:ascii="宋体" w:hAnsi="宋体" w:eastAsia="宋体" w:cs="宋体"/>
                <w:i w:val="0"/>
                <w:iCs w:val="0"/>
                <w:color w:val="000000"/>
                <w:sz w:val="20"/>
                <w:szCs w:val="20"/>
                <w:u w:val="none"/>
              </w:rPr>
            </w:pPr>
          </w:p>
        </w:tc>
      </w:tr>
      <w:tr w14:paraId="73A6D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FEE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8D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73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EB6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4BF3">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10C6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237BD">
            <w:pPr>
              <w:jc w:val="center"/>
              <w:rPr>
                <w:rFonts w:hint="eastAsia" w:ascii="宋体" w:hAnsi="宋体" w:eastAsia="宋体" w:cs="宋体"/>
                <w:i w:val="0"/>
                <w:iCs w:val="0"/>
                <w:color w:val="000000"/>
                <w:sz w:val="20"/>
                <w:szCs w:val="20"/>
                <w:u w:val="none"/>
              </w:rPr>
            </w:pPr>
          </w:p>
        </w:tc>
      </w:tr>
      <w:tr w14:paraId="5EADB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5B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958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1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37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2D0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98F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8FAB9">
            <w:pPr>
              <w:jc w:val="center"/>
              <w:rPr>
                <w:rFonts w:hint="eastAsia" w:ascii="宋体" w:hAnsi="宋体" w:eastAsia="宋体" w:cs="宋体"/>
                <w:i w:val="0"/>
                <w:iCs w:val="0"/>
                <w:color w:val="000000"/>
                <w:sz w:val="20"/>
                <w:szCs w:val="20"/>
                <w:u w:val="none"/>
              </w:rPr>
            </w:pPr>
          </w:p>
        </w:tc>
      </w:tr>
      <w:tr w14:paraId="60589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25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37C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C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5D0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6E1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7E4D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00A6">
            <w:pPr>
              <w:jc w:val="center"/>
              <w:rPr>
                <w:rFonts w:hint="eastAsia" w:ascii="宋体" w:hAnsi="宋体" w:eastAsia="宋体" w:cs="宋体"/>
                <w:i w:val="0"/>
                <w:iCs w:val="0"/>
                <w:color w:val="000000"/>
                <w:sz w:val="20"/>
                <w:szCs w:val="20"/>
                <w:u w:val="none"/>
              </w:rPr>
            </w:pPr>
          </w:p>
        </w:tc>
      </w:tr>
      <w:tr w14:paraId="047D0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CB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57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C1C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D0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84E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3C4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FAED">
            <w:pPr>
              <w:jc w:val="center"/>
              <w:rPr>
                <w:rFonts w:hint="eastAsia" w:ascii="宋体" w:hAnsi="宋体" w:eastAsia="宋体" w:cs="宋体"/>
                <w:i w:val="0"/>
                <w:iCs w:val="0"/>
                <w:color w:val="000000"/>
                <w:sz w:val="20"/>
                <w:szCs w:val="20"/>
                <w:u w:val="none"/>
              </w:rPr>
            </w:pPr>
          </w:p>
        </w:tc>
      </w:tr>
      <w:tr w14:paraId="10128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8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4D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29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B6F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CA4C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A28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30EA">
            <w:pPr>
              <w:jc w:val="center"/>
              <w:rPr>
                <w:rFonts w:hint="eastAsia" w:ascii="宋体" w:hAnsi="宋体" w:eastAsia="宋体" w:cs="宋体"/>
                <w:i w:val="0"/>
                <w:iCs w:val="0"/>
                <w:color w:val="000000"/>
                <w:sz w:val="20"/>
                <w:szCs w:val="20"/>
                <w:u w:val="none"/>
              </w:rPr>
            </w:pPr>
          </w:p>
        </w:tc>
      </w:tr>
      <w:tr w14:paraId="4167B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6A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D33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B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2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F8F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F3B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169D">
            <w:pPr>
              <w:jc w:val="center"/>
              <w:rPr>
                <w:rFonts w:hint="eastAsia" w:ascii="宋体" w:hAnsi="宋体" w:eastAsia="宋体" w:cs="宋体"/>
                <w:i w:val="0"/>
                <w:iCs w:val="0"/>
                <w:color w:val="000000"/>
                <w:sz w:val="20"/>
                <w:szCs w:val="20"/>
                <w:u w:val="none"/>
              </w:rPr>
            </w:pPr>
          </w:p>
        </w:tc>
      </w:tr>
      <w:tr w14:paraId="755B0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1C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5F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AA60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EB8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D6BA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E61F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2B313">
            <w:pPr>
              <w:jc w:val="center"/>
              <w:rPr>
                <w:rFonts w:hint="eastAsia" w:ascii="宋体" w:hAnsi="宋体" w:eastAsia="宋体" w:cs="宋体"/>
                <w:i w:val="0"/>
                <w:iCs w:val="0"/>
                <w:color w:val="000000"/>
                <w:sz w:val="20"/>
                <w:szCs w:val="20"/>
                <w:u w:val="none"/>
              </w:rPr>
            </w:pPr>
          </w:p>
        </w:tc>
      </w:tr>
      <w:tr w14:paraId="6F527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DC8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AA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81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AE57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51BC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9AD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D9A1">
            <w:pPr>
              <w:jc w:val="center"/>
              <w:rPr>
                <w:rFonts w:hint="eastAsia" w:ascii="宋体" w:hAnsi="宋体" w:eastAsia="宋体" w:cs="宋体"/>
                <w:i w:val="0"/>
                <w:iCs w:val="0"/>
                <w:color w:val="000000"/>
                <w:sz w:val="20"/>
                <w:szCs w:val="20"/>
                <w:u w:val="none"/>
              </w:rPr>
            </w:pPr>
          </w:p>
        </w:tc>
      </w:tr>
      <w:tr w14:paraId="06645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24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9E7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5A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90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DE6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414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CCFE2">
            <w:pPr>
              <w:jc w:val="center"/>
              <w:rPr>
                <w:rFonts w:hint="eastAsia" w:ascii="宋体" w:hAnsi="宋体" w:eastAsia="宋体" w:cs="宋体"/>
                <w:i w:val="0"/>
                <w:iCs w:val="0"/>
                <w:color w:val="000000"/>
                <w:sz w:val="20"/>
                <w:szCs w:val="20"/>
                <w:u w:val="none"/>
              </w:rPr>
            </w:pPr>
          </w:p>
        </w:tc>
      </w:tr>
      <w:tr w14:paraId="2E128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72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079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B2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DA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6F1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8A52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3334">
            <w:pPr>
              <w:jc w:val="center"/>
              <w:rPr>
                <w:rFonts w:hint="eastAsia" w:ascii="宋体" w:hAnsi="宋体" w:eastAsia="宋体" w:cs="宋体"/>
                <w:i w:val="0"/>
                <w:iCs w:val="0"/>
                <w:color w:val="000000"/>
                <w:sz w:val="20"/>
                <w:szCs w:val="20"/>
                <w:u w:val="none"/>
              </w:rPr>
            </w:pPr>
          </w:p>
        </w:tc>
      </w:tr>
      <w:tr w14:paraId="5092C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105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5D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D2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BE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506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537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BEE97">
            <w:pPr>
              <w:jc w:val="center"/>
              <w:rPr>
                <w:rFonts w:hint="eastAsia" w:ascii="宋体" w:hAnsi="宋体" w:eastAsia="宋体" w:cs="宋体"/>
                <w:i w:val="0"/>
                <w:iCs w:val="0"/>
                <w:color w:val="000000"/>
                <w:sz w:val="20"/>
                <w:szCs w:val="20"/>
                <w:u w:val="none"/>
              </w:rPr>
            </w:pPr>
          </w:p>
        </w:tc>
      </w:tr>
      <w:tr w14:paraId="21F0B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D7F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5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0CD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911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B44B5">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880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FDAC">
            <w:pPr>
              <w:jc w:val="center"/>
              <w:rPr>
                <w:rFonts w:hint="eastAsia" w:ascii="宋体" w:hAnsi="宋体" w:eastAsia="宋体" w:cs="宋体"/>
                <w:i w:val="0"/>
                <w:iCs w:val="0"/>
                <w:color w:val="000000"/>
                <w:sz w:val="20"/>
                <w:szCs w:val="20"/>
                <w:u w:val="none"/>
              </w:rPr>
            </w:pPr>
          </w:p>
        </w:tc>
      </w:tr>
      <w:tr w14:paraId="2DB9D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BE2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835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2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691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3B8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3B2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0C5E4">
            <w:pPr>
              <w:jc w:val="center"/>
              <w:rPr>
                <w:rFonts w:hint="eastAsia" w:ascii="宋体" w:hAnsi="宋体" w:eastAsia="宋体" w:cs="宋体"/>
                <w:i w:val="0"/>
                <w:iCs w:val="0"/>
                <w:color w:val="000000"/>
                <w:sz w:val="20"/>
                <w:szCs w:val="20"/>
                <w:u w:val="none"/>
              </w:rPr>
            </w:pPr>
          </w:p>
        </w:tc>
      </w:tr>
      <w:tr w14:paraId="3BB78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4F9847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75BB7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319232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3C35F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24A481CB">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26012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537806D7">
            <w:pPr>
              <w:jc w:val="center"/>
              <w:rPr>
                <w:rFonts w:hint="eastAsia" w:ascii="宋体" w:hAnsi="宋体" w:eastAsia="宋体" w:cs="宋体"/>
                <w:i w:val="0"/>
                <w:iCs w:val="0"/>
                <w:color w:val="000000"/>
                <w:sz w:val="20"/>
                <w:szCs w:val="20"/>
                <w:u w:val="none"/>
              </w:rPr>
            </w:pPr>
          </w:p>
        </w:tc>
      </w:tr>
      <w:tr w14:paraId="294FE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10" w:type="dxa"/>
            <w:gridSpan w:val="7"/>
            <w:tcBorders>
              <w:top w:val="nil"/>
              <w:left w:val="nil"/>
              <w:bottom w:val="nil"/>
              <w:right w:val="nil"/>
            </w:tcBorders>
            <w:shd w:val="clear" w:color="auto" w:fill="auto"/>
            <w:vAlign w:val="center"/>
          </w:tcPr>
          <w:p w14:paraId="37E371A2">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分组工程量清单</w:t>
            </w:r>
          </w:p>
        </w:tc>
      </w:tr>
      <w:tr w14:paraId="36016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659" w:type="dxa"/>
            <w:gridSpan w:val="5"/>
            <w:tcBorders>
              <w:top w:val="nil"/>
              <w:left w:val="nil"/>
              <w:bottom w:val="nil"/>
              <w:right w:val="nil"/>
            </w:tcBorders>
            <w:shd w:val="clear" w:color="auto" w:fill="auto"/>
            <w:vAlign w:val="bottom"/>
          </w:tcPr>
          <w:p w14:paraId="2F50F98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合同编号：HDZX2026（006）CG</w:t>
            </w:r>
          </w:p>
        </w:tc>
        <w:tc>
          <w:tcPr>
            <w:tcW w:w="2251" w:type="dxa"/>
            <w:gridSpan w:val="2"/>
            <w:tcBorders>
              <w:top w:val="nil"/>
              <w:left w:val="nil"/>
              <w:bottom w:val="nil"/>
              <w:right w:val="nil"/>
            </w:tcBorders>
            <w:shd w:val="clear" w:color="auto" w:fill="auto"/>
            <w:noWrap/>
            <w:vAlign w:val="bottom"/>
          </w:tcPr>
          <w:p w14:paraId="328D9E86">
            <w:pPr>
              <w:jc w:val="right"/>
              <w:rPr>
                <w:rFonts w:hint="eastAsia" w:ascii="宋体" w:hAnsi="宋体" w:eastAsia="宋体" w:cs="宋体"/>
                <w:i w:val="0"/>
                <w:iCs w:val="0"/>
                <w:color w:val="000000"/>
                <w:sz w:val="20"/>
                <w:szCs w:val="20"/>
                <w:u w:val="none"/>
              </w:rPr>
            </w:pPr>
          </w:p>
        </w:tc>
      </w:tr>
      <w:tr w14:paraId="612CA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910" w:type="dxa"/>
            <w:gridSpan w:val="7"/>
            <w:tcBorders>
              <w:top w:val="nil"/>
              <w:left w:val="nil"/>
              <w:bottom w:val="nil"/>
              <w:right w:val="nil"/>
            </w:tcBorders>
            <w:shd w:val="clear" w:color="auto" w:fill="auto"/>
            <w:vAlign w:val="center"/>
          </w:tcPr>
          <w:p w14:paraId="6658D5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千河千阳县柿沟村段水毁修复工程</w:t>
            </w:r>
            <w:r>
              <w:rPr>
                <w:rFonts w:ascii="Arial" w:hAnsi="Arial" w:eastAsia="宋体" w:cs="Arial"/>
                <w:i w:val="0"/>
                <w:iCs w:val="0"/>
                <w:color w:val="000000"/>
                <w:kern w:val="0"/>
                <w:sz w:val="20"/>
                <w:szCs w:val="20"/>
                <w:u w:val="none"/>
                <w:lang w:val="en-US" w:eastAsia="zh-CN" w:bidi="ar"/>
              </w:rPr>
              <w:t>（项目名称）</w:t>
            </w:r>
          </w:p>
        </w:tc>
      </w:tr>
      <w:tr w14:paraId="4701C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32" w:type="dxa"/>
            <w:gridSpan w:val="3"/>
            <w:tcBorders>
              <w:top w:val="nil"/>
              <w:left w:val="nil"/>
              <w:bottom w:val="nil"/>
              <w:right w:val="nil"/>
            </w:tcBorders>
            <w:shd w:val="clear" w:color="auto" w:fill="auto"/>
            <w:vAlign w:val="center"/>
          </w:tcPr>
          <w:p w14:paraId="1CE861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组号：</w:t>
            </w:r>
            <w:r>
              <w:rPr>
                <w:rFonts w:hint="eastAsia" w:ascii="宋体" w:hAnsi="宋体" w:eastAsia="宋体" w:cs="宋体"/>
                <w:i w:val="0"/>
                <w:iCs w:val="0"/>
                <w:color w:val="000000"/>
                <w:kern w:val="0"/>
                <w:sz w:val="20"/>
                <w:szCs w:val="20"/>
                <w:u w:val="single"/>
                <w:lang w:val="en-US" w:eastAsia="zh-CN" w:bidi="ar"/>
              </w:rPr>
              <w:t xml:space="preserve"> 二 </w:t>
            </w:r>
            <w:r>
              <w:rPr>
                <w:rFonts w:hint="eastAsia" w:ascii="宋体" w:hAnsi="宋体" w:eastAsia="宋体" w:cs="宋体"/>
                <w:i w:val="0"/>
                <w:iCs w:val="0"/>
                <w:color w:val="FFFFFF"/>
                <w:kern w:val="0"/>
                <w:sz w:val="20"/>
                <w:szCs w:val="20"/>
                <w:u w:val="single"/>
                <w:lang w:val="en-US" w:eastAsia="zh-CN" w:bidi="ar"/>
              </w:rPr>
              <w:t>.</w:t>
            </w:r>
          </w:p>
        </w:tc>
        <w:tc>
          <w:tcPr>
            <w:tcW w:w="4378" w:type="dxa"/>
            <w:gridSpan w:val="4"/>
            <w:tcBorders>
              <w:top w:val="nil"/>
              <w:left w:val="nil"/>
              <w:bottom w:val="nil"/>
              <w:right w:val="nil"/>
            </w:tcBorders>
            <w:shd w:val="clear" w:color="auto" w:fill="auto"/>
            <w:vAlign w:val="center"/>
          </w:tcPr>
          <w:p w14:paraId="5DFC25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分组名称：</w:t>
            </w:r>
            <w:r>
              <w:rPr>
                <w:rFonts w:hint="eastAsia" w:ascii="宋体" w:hAnsi="宋体" w:eastAsia="宋体" w:cs="宋体"/>
                <w:i w:val="0"/>
                <w:iCs w:val="0"/>
                <w:color w:val="000000"/>
                <w:kern w:val="0"/>
                <w:sz w:val="20"/>
                <w:szCs w:val="20"/>
                <w:u w:val="single"/>
                <w:lang w:val="en-US" w:eastAsia="zh-CN" w:bidi="ar"/>
              </w:rPr>
              <w:t xml:space="preserve"> 施工临时工程 </w:t>
            </w:r>
            <w:r>
              <w:rPr>
                <w:rFonts w:hint="eastAsia" w:ascii="宋体" w:hAnsi="宋体" w:eastAsia="宋体" w:cs="宋体"/>
                <w:i w:val="0"/>
                <w:iCs w:val="0"/>
                <w:color w:val="FFFFFF"/>
                <w:kern w:val="0"/>
                <w:sz w:val="20"/>
                <w:szCs w:val="20"/>
                <w:u w:val="single"/>
                <w:lang w:val="en-US" w:eastAsia="zh-CN" w:bidi="ar"/>
              </w:rPr>
              <w:t>.</w:t>
            </w:r>
          </w:p>
        </w:tc>
      </w:tr>
      <w:tr w14:paraId="1E19C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64" w:type="dxa"/>
            <w:tcBorders>
              <w:top w:val="single" w:color="000000" w:sz="4" w:space="0"/>
              <w:left w:val="single" w:color="000000" w:sz="4" w:space="0"/>
              <w:bottom w:val="nil"/>
              <w:right w:val="single" w:color="000000" w:sz="4" w:space="0"/>
            </w:tcBorders>
            <w:shd w:val="clear" w:color="auto" w:fill="auto"/>
            <w:vAlign w:val="center"/>
          </w:tcPr>
          <w:p w14:paraId="37CE6EA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73" w:type="dxa"/>
            <w:tcBorders>
              <w:top w:val="single" w:color="000000" w:sz="4" w:space="0"/>
              <w:left w:val="single" w:color="000000" w:sz="4" w:space="0"/>
              <w:bottom w:val="nil"/>
              <w:right w:val="single" w:color="000000" w:sz="4" w:space="0"/>
            </w:tcBorders>
            <w:shd w:val="clear" w:color="auto" w:fill="auto"/>
            <w:vAlign w:val="center"/>
          </w:tcPr>
          <w:p w14:paraId="13DD7E7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695" w:type="dxa"/>
            <w:tcBorders>
              <w:top w:val="single" w:color="000000" w:sz="4" w:space="0"/>
              <w:left w:val="single" w:color="000000" w:sz="4" w:space="0"/>
              <w:bottom w:val="nil"/>
              <w:right w:val="single" w:color="000000" w:sz="4" w:space="0"/>
            </w:tcBorders>
            <w:shd w:val="clear" w:color="auto" w:fill="auto"/>
            <w:vAlign w:val="center"/>
          </w:tcPr>
          <w:p w14:paraId="62922A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50" w:type="dxa"/>
            <w:tcBorders>
              <w:top w:val="single" w:color="000000" w:sz="4" w:space="0"/>
              <w:left w:val="single" w:color="000000" w:sz="4" w:space="0"/>
              <w:bottom w:val="nil"/>
              <w:right w:val="single" w:color="000000" w:sz="4" w:space="0"/>
            </w:tcBorders>
            <w:shd w:val="clear" w:color="auto" w:fill="auto"/>
            <w:vAlign w:val="center"/>
          </w:tcPr>
          <w:p w14:paraId="66B4DE7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工程数量</w:t>
            </w:r>
          </w:p>
        </w:tc>
        <w:tc>
          <w:tcPr>
            <w:tcW w:w="1077" w:type="dxa"/>
            <w:tcBorders>
              <w:top w:val="single" w:color="000000" w:sz="4" w:space="0"/>
              <w:left w:val="single" w:color="000000" w:sz="4" w:space="0"/>
              <w:bottom w:val="nil"/>
              <w:right w:val="single" w:color="000000" w:sz="4" w:space="0"/>
            </w:tcBorders>
            <w:shd w:val="clear" w:color="auto" w:fill="auto"/>
            <w:vAlign w:val="center"/>
          </w:tcPr>
          <w:p w14:paraId="39B62E9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193" w:type="dxa"/>
            <w:tcBorders>
              <w:top w:val="single" w:color="000000" w:sz="4" w:space="0"/>
              <w:left w:val="single" w:color="000000" w:sz="4" w:space="0"/>
              <w:bottom w:val="nil"/>
              <w:right w:val="single" w:color="000000" w:sz="4" w:space="0"/>
            </w:tcBorders>
            <w:shd w:val="clear" w:color="auto" w:fill="auto"/>
            <w:vAlign w:val="center"/>
          </w:tcPr>
          <w:p w14:paraId="3FF37A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2809E67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7CF2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C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49B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施工临时工程</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CA6A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2C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D2A6D">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867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8C031">
            <w:pPr>
              <w:jc w:val="center"/>
              <w:rPr>
                <w:rFonts w:hint="eastAsia" w:ascii="宋体" w:hAnsi="宋体" w:eastAsia="宋体" w:cs="宋体"/>
                <w:i w:val="0"/>
                <w:iCs w:val="0"/>
                <w:color w:val="000000"/>
                <w:sz w:val="20"/>
                <w:szCs w:val="20"/>
                <w:u w:val="none"/>
              </w:rPr>
            </w:pPr>
          </w:p>
        </w:tc>
      </w:tr>
      <w:tr w14:paraId="6557C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BF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5A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施工倒流工程</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5EF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9A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7DB7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4EFC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B0D24">
            <w:pPr>
              <w:jc w:val="center"/>
              <w:rPr>
                <w:rFonts w:hint="eastAsia" w:ascii="宋体" w:hAnsi="宋体" w:eastAsia="宋体" w:cs="宋体"/>
                <w:i w:val="0"/>
                <w:iCs w:val="0"/>
                <w:color w:val="000000"/>
                <w:sz w:val="20"/>
                <w:szCs w:val="20"/>
                <w:u w:val="none"/>
              </w:rPr>
            </w:pPr>
          </w:p>
        </w:tc>
      </w:tr>
      <w:tr w14:paraId="461B2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1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C90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袋装土围堰填筑</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3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96E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D0C7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91D7D">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6645">
            <w:pPr>
              <w:jc w:val="center"/>
              <w:rPr>
                <w:rFonts w:hint="eastAsia" w:ascii="宋体" w:hAnsi="宋体" w:eastAsia="宋体" w:cs="宋体"/>
                <w:i w:val="0"/>
                <w:iCs w:val="0"/>
                <w:color w:val="000000"/>
                <w:sz w:val="20"/>
                <w:szCs w:val="20"/>
                <w:u w:val="none"/>
              </w:rPr>
            </w:pPr>
          </w:p>
        </w:tc>
      </w:tr>
      <w:tr w14:paraId="6315A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0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81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袋装土围堰拆除</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83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4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85CD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229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BD64">
            <w:pPr>
              <w:jc w:val="center"/>
              <w:rPr>
                <w:rFonts w:hint="eastAsia" w:ascii="宋体" w:hAnsi="宋体" w:eastAsia="宋体" w:cs="宋体"/>
                <w:i w:val="0"/>
                <w:iCs w:val="0"/>
                <w:color w:val="000000"/>
                <w:sz w:val="20"/>
                <w:szCs w:val="20"/>
                <w:u w:val="none"/>
              </w:rPr>
            </w:pPr>
          </w:p>
        </w:tc>
      </w:tr>
      <w:tr w14:paraId="4EE0E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4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E9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倒流明渠开挖</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2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F3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5E6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FF91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52097">
            <w:pPr>
              <w:jc w:val="center"/>
              <w:rPr>
                <w:rFonts w:hint="eastAsia" w:ascii="宋体" w:hAnsi="宋体" w:eastAsia="宋体" w:cs="宋体"/>
                <w:i w:val="0"/>
                <w:iCs w:val="0"/>
                <w:color w:val="000000"/>
                <w:sz w:val="20"/>
                <w:szCs w:val="20"/>
                <w:u w:val="none"/>
              </w:rPr>
            </w:pPr>
          </w:p>
        </w:tc>
      </w:tr>
      <w:tr w14:paraId="21A73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BF0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5AF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倒流明渠填筑</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4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C0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D61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4B20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0749">
            <w:pPr>
              <w:jc w:val="center"/>
              <w:rPr>
                <w:rFonts w:hint="eastAsia" w:ascii="宋体" w:hAnsi="宋体" w:eastAsia="宋体" w:cs="宋体"/>
                <w:i w:val="0"/>
                <w:iCs w:val="0"/>
                <w:color w:val="000000"/>
                <w:sz w:val="20"/>
                <w:szCs w:val="20"/>
                <w:u w:val="none"/>
              </w:rPr>
            </w:pPr>
          </w:p>
        </w:tc>
      </w:tr>
      <w:tr w14:paraId="64188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BE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C4D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砂石围堰填筑</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9B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DF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CFE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13E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4B50">
            <w:pPr>
              <w:jc w:val="center"/>
              <w:rPr>
                <w:rFonts w:hint="eastAsia" w:ascii="宋体" w:hAnsi="宋体" w:eastAsia="宋体" w:cs="宋体"/>
                <w:i w:val="0"/>
                <w:iCs w:val="0"/>
                <w:color w:val="000000"/>
                <w:sz w:val="20"/>
                <w:szCs w:val="20"/>
                <w:u w:val="none"/>
              </w:rPr>
            </w:pPr>
          </w:p>
        </w:tc>
      </w:tr>
      <w:tr w14:paraId="265B8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4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F97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砂石围堰拆除</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D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73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17F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D0D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FD28">
            <w:pPr>
              <w:jc w:val="center"/>
              <w:rPr>
                <w:rFonts w:hint="eastAsia" w:ascii="宋体" w:hAnsi="宋体" w:eastAsia="宋体" w:cs="宋体"/>
                <w:i w:val="0"/>
                <w:iCs w:val="0"/>
                <w:color w:val="000000"/>
                <w:sz w:val="20"/>
                <w:szCs w:val="20"/>
                <w:u w:val="none"/>
              </w:rPr>
            </w:pPr>
          </w:p>
        </w:tc>
      </w:tr>
      <w:tr w14:paraId="72C80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B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4E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其他临时工程费（费率2%）</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F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70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653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310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00BF">
            <w:pPr>
              <w:jc w:val="center"/>
              <w:rPr>
                <w:rFonts w:hint="eastAsia" w:ascii="宋体" w:hAnsi="宋体" w:eastAsia="宋体" w:cs="宋体"/>
                <w:i w:val="0"/>
                <w:iCs w:val="0"/>
                <w:color w:val="000000"/>
                <w:sz w:val="20"/>
                <w:szCs w:val="20"/>
                <w:u w:val="none"/>
              </w:rPr>
            </w:pPr>
          </w:p>
        </w:tc>
      </w:tr>
      <w:tr w14:paraId="369D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C4B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0E9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施工安全生产专项（费率2.5%）</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E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8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8BA3">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6E5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9CF6A">
            <w:pPr>
              <w:jc w:val="center"/>
              <w:rPr>
                <w:rFonts w:hint="eastAsia" w:ascii="宋体" w:hAnsi="宋体" w:eastAsia="宋体" w:cs="宋体"/>
                <w:i w:val="0"/>
                <w:iCs w:val="0"/>
                <w:color w:val="000000"/>
                <w:sz w:val="20"/>
                <w:szCs w:val="20"/>
                <w:u w:val="none"/>
              </w:rPr>
            </w:pPr>
          </w:p>
        </w:tc>
      </w:tr>
      <w:tr w14:paraId="2638F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A2252">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1E64">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E38B">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3423">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A932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1AE3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3464">
            <w:pPr>
              <w:jc w:val="center"/>
              <w:rPr>
                <w:rFonts w:hint="eastAsia" w:ascii="宋体" w:hAnsi="宋体" w:eastAsia="宋体" w:cs="宋体"/>
                <w:i w:val="0"/>
                <w:iCs w:val="0"/>
                <w:color w:val="000000"/>
                <w:sz w:val="20"/>
                <w:szCs w:val="20"/>
                <w:u w:val="none"/>
              </w:rPr>
            </w:pPr>
          </w:p>
        </w:tc>
      </w:tr>
      <w:tr w14:paraId="2A06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84498">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B460">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758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53AC">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B07A2">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D3B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A507D">
            <w:pPr>
              <w:jc w:val="center"/>
              <w:rPr>
                <w:rFonts w:hint="eastAsia" w:ascii="宋体" w:hAnsi="宋体" w:eastAsia="宋体" w:cs="宋体"/>
                <w:i w:val="0"/>
                <w:iCs w:val="0"/>
                <w:color w:val="000000"/>
                <w:sz w:val="20"/>
                <w:szCs w:val="20"/>
                <w:u w:val="none"/>
              </w:rPr>
            </w:pPr>
          </w:p>
        </w:tc>
      </w:tr>
      <w:tr w14:paraId="4D139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062E4">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C1E8A">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EFF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5D713">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92E6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777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5285">
            <w:pPr>
              <w:jc w:val="center"/>
              <w:rPr>
                <w:rFonts w:hint="eastAsia" w:ascii="宋体" w:hAnsi="宋体" w:eastAsia="宋体" w:cs="宋体"/>
                <w:i w:val="0"/>
                <w:iCs w:val="0"/>
                <w:color w:val="000000"/>
                <w:sz w:val="20"/>
                <w:szCs w:val="20"/>
                <w:u w:val="none"/>
              </w:rPr>
            </w:pPr>
          </w:p>
        </w:tc>
      </w:tr>
      <w:tr w14:paraId="5185B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154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E84FF">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30387">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EBF1">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6FF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AC34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6AC06">
            <w:pPr>
              <w:jc w:val="center"/>
              <w:rPr>
                <w:rFonts w:hint="eastAsia" w:ascii="宋体" w:hAnsi="宋体" w:eastAsia="宋体" w:cs="宋体"/>
                <w:i w:val="0"/>
                <w:iCs w:val="0"/>
                <w:color w:val="000000"/>
                <w:sz w:val="20"/>
                <w:szCs w:val="20"/>
                <w:u w:val="none"/>
              </w:rPr>
            </w:pPr>
          </w:p>
        </w:tc>
      </w:tr>
      <w:tr w14:paraId="07A49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BBE9">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BD987">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C1CD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AB0C">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F2F6D">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C05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DA7A1">
            <w:pPr>
              <w:jc w:val="center"/>
              <w:rPr>
                <w:rFonts w:hint="eastAsia" w:ascii="宋体" w:hAnsi="宋体" w:eastAsia="宋体" w:cs="宋体"/>
                <w:i w:val="0"/>
                <w:iCs w:val="0"/>
                <w:color w:val="000000"/>
                <w:sz w:val="20"/>
                <w:szCs w:val="20"/>
                <w:u w:val="none"/>
              </w:rPr>
            </w:pPr>
          </w:p>
        </w:tc>
      </w:tr>
      <w:tr w14:paraId="24674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4A5D">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93F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92DAA">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F3C80">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78A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468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1A08">
            <w:pPr>
              <w:jc w:val="center"/>
              <w:rPr>
                <w:rFonts w:hint="eastAsia" w:ascii="宋体" w:hAnsi="宋体" w:eastAsia="宋体" w:cs="宋体"/>
                <w:i w:val="0"/>
                <w:iCs w:val="0"/>
                <w:color w:val="000000"/>
                <w:sz w:val="20"/>
                <w:szCs w:val="20"/>
                <w:u w:val="none"/>
              </w:rPr>
            </w:pPr>
          </w:p>
        </w:tc>
      </w:tr>
      <w:tr w14:paraId="43790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0E08">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9B4E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13EA">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A552D">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C41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CDC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E18D6">
            <w:pPr>
              <w:jc w:val="center"/>
              <w:rPr>
                <w:rFonts w:hint="eastAsia" w:ascii="宋体" w:hAnsi="宋体" w:eastAsia="宋体" w:cs="宋体"/>
                <w:i w:val="0"/>
                <w:iCs w:val="0"/>
                <w:color w:val="000000"/>
                <w:sz w:val="20"/>
                <w:szCs w:val="20"/>
                <w:u w:val="none"/>
              </w:rPr>
            </w:pPr>
          </w:p>
        </w:tc>
      </w:tr>
      <w:tr w14:paraId="640E8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D9B7">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169C8">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FB5C">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BC3C8">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C17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E74D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71D5A">
            <w:pPr>
              <w:jc w:val="center"/>
              <w:rPr>
                <w:rFonts w:hint="eastAsia" w:ascii="宋体" w:hAnsi="宋体" w:eastAsia="宋体" w:cs="宋体"/>
                <w:i w:val="0"/>
                <w:iCs w:val="0"/>
                <w:color w:val="000000"/>
                <w:sz w:val="20"/>
                <w:szCs w:val="20"/>
                <w:u w:val="none"/>
              </w:rPr>
            </w:pPr>
          </w:p>
        </w:tc>
      </w:tr>
      <w:tr w14:paraId="49D89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C64A1">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08F84">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4F1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7698">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EE4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BBD1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2ACF7">
            <w:pPr>
              <w:jc w:val="center"/>
              <w:rPr>
                <w:rFonts w:hint="eastAsia" w:ascii="宋体" w:hAnsi="宋体" w:eastAsia="宋体" w:cs="宋体"/>
                <w:i w:val="0"/>
                <w:iCs w:val="0"/>
                <w:color w:val="000000"/>
                <w:sz w:val="20"/>
                <w:szCs w:val="20"/>
                <w:u w:val="none"/>
              </w:rPr>
            </w:pPr>
          </w:p>
        </w:tc>
      </w:tr>
      <w:tr w14:paraId="68DB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712E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78D1D">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88BE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748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691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D74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4F370">
            <w:pPr>
              <w:jc w:val="center"/>
              <w:rPr>
                <w:rFonts w:hint="eastAsia" w:ascii="宋体" w:hAnsi="宋体" w:eastAsia="宋体" w:cs="宋体"/>
                <w:i w:val="0"/>
                <w:iCs w:val="0"/>
                <w:color w:val="000000"/>
                <w:sz w:val="20"/>
                <w:szCs w:val="20"/>
                <w:u w:val="none"/>
              </w:rPr>
            </w:pPr>
          </w:p>
        </w:tc>
      </w:tr>
      <w:tr w14:paraId="43F32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E306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191B">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86CAD">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D1515">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3CC0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C54D">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3604F">
            <w:pPr>
              <w:jc w:val="center"/>
              <w:rPr>
                <w:rFonts w:hint="eastAsia" w:ascii="宋体" w:hAnsi="宋体" w:eastAsia="宋体" w:cs="宋体"/>
                <w:i w:val="0"/>
                <w:iCs w:val="0"/>
                <w:color w:val="000000"/>
                <w:sz w:val="20"/>
                <w:szCs w:val="20"/>
                <w:u w:val="none"/>
              </w:rPr>
            </w:pPr>
          </w:p>
        </w:tc>
      </w:tr>
      <w:tr w14:paraId="5E23B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6239">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7ABA5">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6907">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DEFDA">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76A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9A0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911E">
            <w:pPr>
              <w:jc w:val="center"/>
              <w:rPr>
                <w:rFonts w:hint="eastAsia" w:ascii="宋体" w:hAnsi="宋体" w:eastAsia="宋体" w:cs="宋体"/>
                <w:i w:val="0"/>
                <w:iCs w:val="0"/>
                <w:color w:val="000000"/>
                <w:sz w:val="20"/>
                <w:szCs w:val="20"/>
                <w:u w:val="none"/>
              </w:rPr>
            </w:pPr>
          </w:p>
        </w:tc>
      </w:tr>
      <w:tr w14:paraId="38F91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FF1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F0B3D">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B8D5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7FE0">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2B4C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576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6823E">
            <w:pPr>
              <w:jc w:val="center"/>
              <w:rPr>
                <w:rFonts w:hint="eastAsia" w:ascii="宋体" w:hAnsi="宋体" w:eastAsia="宋体" w:cs="宋体"/>
                <w:i w:val="0"/>
                <w:iCs w:val="0"/>
                <w:color w:val="000000"/>
                <w:sz w:val="20"/>
                <w:szCs w:val="20"/>
                <w:u w:val="none"/>
              </w:rPr>
            </w:pPr>
          </w:p>
        </w:tc>
      </w:tr>
      <w:tr w14:paraId="3FD28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9227C">
            <w:pPr>
              <w:jc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D79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EAF0F">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494A5">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2E0EA">
            <w:pPr>
              <w:jc w:val="center"/>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EBAF">
            <w:pPr>
              <w:jc w:val="center"/>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4EFC4">
            <w:pPr>
              <w:jc w:val="center"/>
              <w:rPr>
                <w:rFonts w:hint="eastAsia" w:ascii="宋体" w:hAnsi="宋体" w:eastAsia="宋体" w:cs="宋体"/>
                <w:i w:val="0"/>
                <w:iCs w:val="0"/>
                <w:color w:val="000000"/>
                <w:sz w:val="20"/>
                <w:szCs w:val="20"/>
                <w:u w:val="none"/>
              </w:rPr>
            </w:pPr>
          </w:p>
        </w:tc>
      </w:tr>
      <w:tr w14:paraId="7BA86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910" w:type="dxa"/>
            <w:gridSpan w:val="7"/>
            <w:tcBorders>
              <w:top w:val="nil"/>
              <w:left w:val="nil"/>
              <w:bottom w:val="nil"/>
              <w:right w:val="nil"/>
            </w:tcBorders>
            <w:shd w:val="clear" w:color="auto" w:fill="auto"/>
            <w:noWrap/>
            <w:vAlign w:val="center"/>
          </w:tcPr>
          <w:p w14:paraId="5E6F5491">
            <w:pPr>
              <w:jc w:val="center"/>
              <w:rPr>
                <w:rFonts w:hint="eastAsia" w:ascii="宋体" w:hAnsi="宋体" w:eastAsia="宋体" w:cs="宋体"/>
                <w:i w:val="0"/>
                <w:iCs w:val="0"/>
                <w:color w:val="000000"/>
                <w:sz w:val="20"/>
                <w:szCs w:val="20"/>
                <w:u w:val="none"/>
              </w:rPr>
            </w:pPr>
          </w:p>
        </w:tc>
      </w:tr>
      <w:tr w14:paraId="65B3A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0EE299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4302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4926F4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2B72C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19D8453B">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r w14:paraId="0D169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0EFFE16F">
            <w:pPr>
              <w:jc w:val="center"/>
              <w:rPr>
                <w:rFonts w:hint="eastAsia" w:ascii="宋体" w:hAnsi="宋体" w:eastAsia="宋体" w:cs="宋体"/>
                <w:i w:val="0"/>
                <w:iCs w:val="0"/>
                <w:color w:val="000000"/>
                <w:sz w:val="20"/>
                <w:szCs w:val="20"/>
                <w:u w:val="none"/>
              </w:rPr>
            </w:pPr>
          </w:p>
          <w:p w14:paraId="143BCFED">
            <w:pPr>
              <w:jc w:val="center"/>
              <w:rPr>
                <w:rFonts w:hint="eastAsia" w:ascii="宋体" w:hAnsi="宋体" w:eastAsia="宋体" w:cs="宋体"/>
                <w:i w:val="0"/>
                <w:iCs w:val="0"/>
                <w:color w:val="000000"/>
                <w:sz w:val="20"/>
                <w:szCs w:val="20"/>
                <w:u w:val="none"/>
              </w:rPr>
            </w:pPr>
          </w:p>
          <w:p w14:paraId="03698DF8">
            <w:pPr>
              <w:jc w:val="center"/>
              <w:rPr>
                <w:rFonts w:hint="eastAsia" w:ascii="宋体" w:hAnsi="宋体" w:eastAsia="宋体" w:cs="宋体"/>
                <w:i w:val="0"/>
                <w:iCs w:val="0"/>
                <w:color w:val="000000"/>
                <w:sz w:val="20"/>
                <w:szCs w:val="20"/>
                <w:u w:val="none"/>
              </w:rPr>
            </w:pPr>
          </w:p>
        </w:tc>
      </w:tr>
      <w:tr w14:paraId="1478C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910" w:type="dxa"/>
            <w:gridSpan w:val="7"/>
            <w:tcBorders>
              <w:top w:val="nil"/>
              <w:left w:val="nil"/>
              <w:bottom w:val="nil"/>
              <w:right w:val="nil"/>
            </w:tcBorders>
            <w:shd w:val="clear" w:color="auto" w:fill="auto"/>
            <w:vAlign w:val="center"/>
          </w:tcPr>
          <w:p w14:paraId="334C0F7B">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分组工程量清单</w:t>
            </w:r>
          </w:p>
        </w:tc>
      </w:tr>
      <w:tr w14:paraId="1E386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659" w:type="dxa"/>
            <w:gridSpan w:val="5"/>
            <w:tcBorders>
              <w:top w:val="nil"/>
              <w:left w:val="nil"/>
              <w:bottom w:val="nil"/>
              <w:right w:val="nil"/>
            </w:tcBorders>
            <w:shd w:val="clear" w:color="auto" w:fill="auto"/>
            <w:vAlign w:val="bottom"/>
          </w:tcPr>
          <w:p w14:paraId="0E05DA08">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合同编号：HDZX2026（006）CG</w:t>
            </w:r>
          </w:p>
        </w:tc>
        <w:tc>
          <w:tcPr>
            <w:tcW w:w="2251" w:type="dxa"/>
            <w:gridSpan w:val="2"/>
            <w:tcBorders>
              <w:top w:val="nil"/>
              <w:left w:val="nil"/>
              <w:bottom w:val="nil"/>
              <w:right w:val="nil"/>
            </w:tcBorders>
            <w:shd w:val="clear" w:color="auto" w:fill="auto"/>
            <w:noWrap/>
            <w:vAlign w:val="bottom"/>
          </w:tcPr>
          <w:p w14:paraId="1FA21C2C">
            <w:pPr>
              <w:jc w:val="right"/>
              <w:rPr>
                <w:rFonts w:hint="eastAsia" w:ascii="宋体" w:hAnsi="宋体" w:eastAsia="宋体" w:cs="宋体"/>
                <w:i w:val="0"/>
                <w:iCs w:val="0"/>
                <w:color w:val="000000"/>
                <w:sz w:val="20"/>
                <w:szCs w:val="20"/>
                <w:u w:val="none"/>
              </w:rPr>
            </w:pPr>
          </w:p>
        </w:tc>
      </w:tr>
      <w:tr w14:paraId="78D1C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910" w:type="dxa"/>
            <w:gridSpan w:val="7"/>
            <w:tcBorders>
              <w:top w:val="nil"/>
              <w:left w:val="nil"/>
              <w:bottom w:val="nil"/>
              <w:right w:val="nil"/>
            </w:tcBorders>
            <w:shd w:val="clear" w:color="auto" w:fill="auto"/>
            <w:vAlign w:val="center"/>
          </w:tcPr>
          <w:p w14:paraId="23C82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千河千阳县柿沟村段水毁修复工程</w:t>
            </w:r>
          </w:p>
        </w:tc>
      </w:tr>
      <w:tr w14:paraId="7386A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32" w:type="dxa"/>
            <w:gridSpan w:val="3"/>
            <w:tcBorders>
              <w:top w:val="nil"/>
              <w:left w:val="nil"/>
              <w:bottom w:val="nil"/>
              <w:right w:val="nil"/>
            </w:tcBorders>
            <w:shd w:val="clear" w:color="auto" w:fill="auto"/>
            <w:vAlign w:val="center"/>
          </w:tcPr>
          <w:p w14:paraId="64FD4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组号：</w:t>
            </w:r>
            <w:r>
              <w:rPr>
                <w:rFonts w:hint="eastAsia" w:ascii="宋体" w:hAnsi="宋体" w:eastAsia="宋体" w:cs="宋体"/>
                <w:i w:val="0"/>
                <w:iCs w:val="0"/>
                <w:color w:val="000000"/>
                <w:kern w:val="0"/>
                <w:sz w:val="20"/>
                <w:szCs w:val="20"/>
                <w:u w:val="single"/>
                <w:lang w:val="en-US" w:eastAsia="zh-CN" w:bidi="ar"/>
              </w:rPr>
              <w:t xml:space="preserve"> 三 </w:t>
            </w:r>
            <w:r>
              <w:rPr>
                <w:rFonts w:hint="eastAsia" w:ascii="宋体" w:hAnsi="宋体" w:eastAsia="宋体" w:cs="宋体"/>
                <w:i w:val="0"/>
                <w:iCs w:val="0"/>
                <w:color w:val="FFFFFF"/>
                <w:kern w:val="0"/>
                <w:sz w:val="20"/>
                <w:szCs w:val="20"/>
                <w:u w:val="single"/>
                <w:lang w:val="en-US" w:eastAsia="zh-CN" w:bidi="ar"/>
              </w:rPr>
              <w:t>.</w:t>
            </w:r>
          </w:p>
        </w:tc>
        <w:tc>
          <w:tcPr>
            <w:tcW w:w="4378" w:type="dxa"/>
            <w:gridSpan w:val="4"/>
            <w:tcBorders>
              <w:top w:val="nil"/>
              <w:left w:val="nil"/>
              <w:bottom w:val="nil"/>
              <w:right w:val="nil"/>
            </w:tcBorders>
            <w:shd w:val="clear" w:color="auto" w:fill="auto"/>
            <w:vAlign w:val="center"/>
          </w:tcPr>
          <w:p w14:paraId="5CA8D9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分组名称：</w:t>
            </w:r>
            <w:r>
              <w:rPr>
                <w:rFonts w:hint="eastAsia" w:ascii="宋体" w:hAnsi="宋体" w:eastAsia="宋体" w:cs="宋体"/>
                <w:i w:val="0"/>
                <w:iCs w:val="0"/>
                <w:color w:val="000000"/>
                <w:kern w:val="0"/>
                <w:sz w:val="20"/>
                <w:szCs w:val="20"/>
                <w:u w:val="single"/>
                <w:lang w:val="en-US" w:eastAsia="zh-CN" w:bidi="ar"/>
              </w:rPr>
              <w:t xml:space="preserve"> 暂列金 </w:t>
            </w:r>
            <w:r>
              <w:rPr>
                <w:rFonts w:hint="eastAsia" w:ascii="宋体" w:hAnsi="宋体" w:eastAsia="宋体" w:cs="宋体"/>
                <w:i w:val="0"/>
                <w:iCs w:val="0"/>
                <w:color w:val="FFFFFF"/>
                <w:kern w:val="0"/>
                <w:sz w:val="20"/>
                <w:szCs w:val="20"/>
                <w:u w:val="single"/>
                <w:lang w:val="en-US" w:eastAsia="zh-CN" w:bidi="ar"/>
              </w:rPr>
              <w:t>.</w:t>
            </w:r>
          </w:p>
        </w:tc>
      </w:tr>
      <w:tr w14:paraId="5F888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64" w:type="dxa"/>
            <w:tcBorders>
              <w:top w:val="single" w:color="000000" w:sz="4" w:space="0"/>
              <w:left w:val="single" w:color="000000" w:sz="4" w:space="0"/>
              <w:bottom w:val="nil"/>
              <w:right w:val="single" w:color="000000" w:sz="4" w:space="0"/>
            </w:tcBorders>
            <w:shd w:val="clear" w:color="auto" w:fill="auto"/>
            <w:vAlign w:val="center"/>
          </w:tcPr>
          <w:p w14:paraId="32D7F33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73" w:type="dxa"/>
            <w:tcBorders>
              <w:top w:val="single" w:color="000000" w:sz="4" w:space="0"/>
              <w:left w:val="single" w:color="000000" w:sz="4" w:space="0"/>
              <w:bottom w:val="nil"/>
              <w:right w:val="single" w:color="000000" w:sz="4" w:space="0"/>
            </w:tcBorders>
            <w:shd w:val="clear" w:color="auto" w:fill="auto"/>
            <w:vAlign w:val="center"/>
          </w:tcPr>
          <w:p w14:paraId="5C94166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695" w:type="dxa"/>
            <w:tcBorders>
              <w:top w:val="single" w:color="000000" w:sz="4" w:space="0"/>
              <w:left w:val="single" w:color="000000" w:sz="4" w:space="0"/>
              <w:bottom w:val="nil"/>
              <w:right w:val="single" w:color="000000" w:sz="4" w:space="0"/>
            </w:tcBorders>
            <w:shd w:val="clear" w:color="auto" w:fill="auto"/>
            <w:vAlign w:val="center"/>
          </w:tcPr>
          <w:p w14:paraId="27492B5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50" w:type="dxa"/>
            <w:tcBorders>
              <w:top w:val="single" w:color="000000" w:sz="4" w:space="0"/>
              <w:left w:val="single" w:color="000000" w:sz="4" w:space="0"/>
              <w:bottom w:val="nil"/>
              <w:right w:val="single" w:color="000000" w:sz="4" w:space="0"/>
            </w:tcBorders>
            <w:shd w:val="clear" w:color="auto" w:fill="auto"/>
            <w:vAlign w:val="center"/>
          </w:tcPr>
          <w:p w14:paraId="146BA84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工程数量</w:t>
            </w:r>
          </w:p>
        </w:tc>
        <w:tc>
          <w:tcPr>
            <w:tcW w:w="1077" w:type="dxa"/>
            <w:tcBorders>
              <w:top w:val="single" w:color="000000" w:sz="4" w:space="0"/>
              <w:left w:val="single" w:color="000000" w:sz="4" w:space="0"/>
              <w:bottom w:val="nil"/>
              <w:right w:val="single" w:color="000000" w:sz="4" w:space="0"/>
            </w:tcBorders>
            <w:shd w:val="clear" w:color="auto" w:fill="auto"/>
            <w:vAlign w:val="center"/>
          </w:tcPr>
          <w:p w14:paraId="4619854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193" w:type="dxa"/>
            <w:tcBorders>
              <w:top w:val="single" w:color="000000" w:sz="4" w:space="0"/>
              <w:left w:val="single" w:color="000000" w:sz="4" w:space="0"/>
              <w:bottom w:val="nil"/>
              <w:right w:val="single" w:color="000000" w:sz="4" w:space="0"/>
            </w:tcBorders>
            <w:shd w:val="clear" w:color="auto" w:fill="auto"/>
            <w:vAlign w:val="center"/>
          </w:tcPr>
          <w:p w14:paraId="747148C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3E0B982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0CC6B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32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w:t>
            </w: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D7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暂列金</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6C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F4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6476A">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F9D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F9B9">
            <w:pPr>
              <w:jc w:val="center"/>
              <w:rPr>
                <w:rFonts w:hint="eastAsia" w:ascii="宋体" w:hAnsi="宋体" w:eastAsia="宋体" w:cs="宋体"/>
                <w:i w:val="0"/>
                <w:iCs w:val="0"/>
                <w:color w:val="000000"/>
                <w:sz w:val="20"/>
                <w:szCs w:val="20"/>
                <w:u w:val="none"/>
              </w:rPr>
            </w:pPr>
          </w:p>
        </w:tc>
      </w:tr>
      <w:tr w14:paraId="6287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B25FA">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72F8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38EFE">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F1787">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520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5C2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1FF9">
            <w:pPr>
              <w:jc w:val="center"/>
              <w:rPr>
                <w:rFonts w:hint="eastAsia" w:ascii="宋体" w:hAnsi="宋体" w:eastAsia="宋体" w:cs="宋体"/>
                <w:i w:val="0"/>
                <w:iCs w:val="0"/>
                <w:color w:val="000000"/>
                <w:sz w:val="20"/>
                <w:szCs w:val="20"/>
                <w:u w:val="none"/>
              </w:rPr>
            </w:pPr>
          </w:p>
        </w:tc>
      </w:tr>
      <w:tr w14:paraId="2C6E5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509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DBD7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CCEE9">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736F2">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CEB7">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EE9A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B8DF">
            <w:pPr>
              <w:jc w:val="center"/>
              <w:rPr>
                <w:rFonts w:hint="eastAsia" w:ascii="宋体" w:hAnsi="宋体" w:eastAsia="宋体" w:cs="宋体"/>
                <w:i w:val="0"/>
                <w:iCs w:val="0"/>
                <w:color w:val="000000"/>
                <w:sz w:val="20"/>
                <w:szCs w:val="20"/>
                <w:u w:val="none"/>
              </w:rPr>
            </w:pPr>
          </w:p>
        </w:tc>
      </w:tr>
      <w:tr w14:paraId="1CEB8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C6B5">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4058D">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B06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FA2CF">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CC2DD">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821C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29FE">
            <w:pPr>
              <w:jc w:val="center"/>
              <w:rPr>
                <w:rFonts w:hint="eastAsia" w:ascii="宋体" w:hAnsi="宋体" w:eastAsia="宋体" w:cs="宋体"/>
                <w:i w:val="0"/>
                <w:iCs w:val="0"/>
                <w:color w:val="000000"/>
                <w:sz w:val="20"/>
                <w:szCs w:val="20"/>
                <w:u w:val="none"/>
              </w:rPr>
            </w:pPr>
          </w:p>
        </w:tc>
      </w:tr>
      <w:tr w14:paraId="3300D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EED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E3E0F">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CC04E">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43333">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D662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251E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0CF99">
            <w:pPr>
              <w:jc w:val="center"/>
              <w:rPr>
                <w:rFonts w:hint="eastAsia" w:ascii="宋体" w:hAnsi="宋体" w:eastAsia="宋体" w:cs="宋体"/>
                <w:i w:val="0"/>
                <w:iCs w:val="0"/>
                <w:color w:val="000000"/>
                <w:sz w:val="20"/>
                <w:szCs w:val="20"/>
                <w:u w:val="none"/>
              </w:rPr>
            </w:pPr>
          </w:p>
        </w:tc>
      </w:tr>
      <w:tr w14:paraId="58DF6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2CFA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D173">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300E">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2C6C2">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28F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7CB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06356">
            <w:pPr>
              <w:jc w:val="center"/>
              <w:rPr>
                <w:rFonts w:hint="eastAsia" w:ascii="宋体" w:hAnsi="宋体" w:eastAsia="宋体" w:cs="宋体"/>
                <w:i w:val="0"/>
                <w:iCs w:val="0"/>
                <w:color w:val="000000"/>
                <w:sz w:val="20"/>
                <w:szCs w:val="20"/>
                <w:u w:val="none"/>
              </w:rPr>
            </w:pPr>
          </w:p>
        </w:tc>
      </w:tr>
      <w:tr w14:paraId="05B0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DEB11">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7AC30">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ADD8">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B31B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A6F5">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B679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E84B">
            <w:pPr>
              <w:jc w:val="center"/>
              <w:rPr>
                <w:rFonts w:hint="eastAsia" w:ascii="宋体" w:hAnsi="宋体" w:eastAsia="宋体" w:cs="宋体"/>
                <w:i w:val="0"/>
                <w:iCs w:val="0"/>
                <w:color w:val="000000"/>
                <w:sz w:val="20"/>
                <w:szCs w:val="20"/>
                <w:u w:val="none"/>
              </w:rPr>
            </w:pPr>
          </w:p>
        </w:tc>
      </w:tr>
      <w:tr w14:paraId="0903B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7DB4">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C7B80">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04B0">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3F50">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39A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5E22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FD69">
            <w:pPr>
              <w:jc w:val="center"/>
              <w:rPr>
                <w:rFonts w:hint="eastAsia" w:ascii="宋体" w:hAnsi="宋体" w:eastAsia="宋体" w:cs="宋体"/>
                <w:i w:val="0"/>
                <w:iCs w:val="0"/>
                <w:color w:val="000000"/>
                <w:sz w:val="20"/>
                <w:szCs w:val="20"/>
                <w:u w:val="none"/>
              </w:rPr>
            </w:pPr>
          </w:p>
        </w:tc>
      </w:tr>
      <w:tr w14:paraId="1A723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763E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B1E99">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4E39F">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21F92">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331A">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EF2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7BC4">
            <w:pPr>
              <w:jc w:val="center"/>
              <w:rPr>
                <w:rFonts w:hint="eastAsia" w:ascii="宋体" w:hAnsi="宋体" w:eastAsia="宋体" w:cs="宋体"/>
                <w:i w:val="0"/>
                <w:iCs w:val="0"/>
                <w:color w:val="000000"/>
                <w:sz w:val="20"/>
                <w:szCs w:val="20"/>
                <w:u w:val="none"/>
              </w:rPr>
            </w:pPr>
          </w:p>
        </w:tc>
      </w:tr>
      <w:tr w14:paraId="2329A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F80AC">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426D">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43656">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BC8F">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CAC93">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413A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560E7">
            <w:pPr>
              <w:jc w:val="center"/>
              <w:rPr>
                <w:rFonts w:hint="eastAsia" w:ascii="宋体" w:hAnsi="宋体" w:eastAsia="宋体" w:cs="宋体"/>
                <w:i w:val="0"/>
                <w:iCs w:val="0"/>
                <w:color w:val="000000"/>
                <w:sz w:val="20"/>
                <w:szCs w:val="20"/>
                <w:u w:val="none"/>
              </w:rPr>
            </w:pPr>
          </w:p>
        </w:tc>
      </w:tr>
      <w:tr w14:paraId="7EA55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2727F">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D8E1">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3F65E">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077B">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8449B">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1028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72DC">
            <w:pPr>
              <w:jc w:val="center"/>
              <w:rPr>
                <w:rFonts w:hint="eastAsia" w:ascii="宋体" w:hAnsi="宋体" w:eastAsia="宋体" w:cs="宋体"/>
                <w:i w:val="0"/>
                <w:iCs w:val="0"/>
                <w:color w:val="000000"/>
                <w:sz w:val="20"/>
                <w:szCs w:val="20"/>
                <w:u w:val="none"/>
              </w:rPr>
            </w:pPr>
          </w:p>
        </w:tc>
      </w:tr>
      <w:tr w14:paraId="2BD1E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3B7C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B562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3E911">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6A3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E1DC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489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72D1E">
            <w:pPr>
              <w:jc w:val="center"/>
              <w:rPr>
                <w:rFonts w:hint="eastAsia" w:ascii="宋体" w:hAnsi="宋体" w:eastAsia="宋体" w:cs="宋体"/>
                <w:i w:val="0"/>
                <w:iCs w:val="0"/>
                <w:color w:val="000000"/>
                <w:sz w:val="20"/>
                <w:szCs w:val="20"/>
                <w:u w:val="none"/>
              </w:rPr>
            </w:pPr>
          </w:p>
        </w:tc>
      </w:tr>
      <w:tr w14:paraId="3632E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11C3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8DED1">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FB9B0">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1387C">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A5A5">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CD04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A7A5">
            <w:pPr>
              <w:jc w:val="center"/>
              <w:rPr>
                <w:rFonts w:hint="eastAsia" w:ascii="宋体" w:hAnsi="宋体" w:eastAsia="宋体" w:cs="宋体"/>
                <w:i w:val="0"/>
                <w:iCs w:val="0"/>
                <w:color w:val="000000"/>
                <w:sz w:val="20"/>
                <w:szCs w:val="20"/>
                <w:u w:val="none"/>
              </w:rPr>
            </w:pPr>
          </w:p>
        </w:tc>
      </w:tr>
      <w:tr w14:paraId="51DB8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6139">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471B4">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8E50">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4DEA2">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024A4">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0D3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8F8E2">
            <w:pPr>
              <w:jc w:val="center"/>
              <w:rPr>
                <w:rFonts w:hint="eastAsia" w:ascii="宋体" w:hAnsi="宋体" w:eastAsia="宋体" w:cs="宋体"/>
                <w:i w:val="0"/>
                <w:iCs w:val="0"/>
                <w:color w:val="000000"/>
                <w:sz w:val="20"/>
                <w:szCs w:val="20"/>
                <w:u w:val="none"/>
              </w:rPr>
            </w:pPr>
          </w:p>
        </w:tc>
      </w:tr>
      <w:tr w14:paraId="28B5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F792">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8E4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C7B7">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6046">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9868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012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D9E9">
            <w:pPr>
              <w:jc w:val="center"/>
              <w:rPr>
                <w:rFonts w:hint="eastAsia" w:ascii="宋体" w:hAnsi="宋体" w:eastAsia="宋体" w:cs="宋体"/>
                <w:i w:val="0"/>
                <w:iCs w:val="0"/>
                <w:color w:val="000000"/>
                <w:sz w:val="20"/>
                <w:szCs w:val="20"/>
                <w:u w:val="none"/>
              </w:rPr>
            </w:pPr>
          </w:p>
        </w:tc>
      </w:tr>
      <w:tr w14:paraId="180BB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5DE5">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9361">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8650">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CC21E">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482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D58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AA82">
            <w:pPr>
              <w:jc w:val="center"/>
              <w:rPr>
                <w:rFonts w:hint="eastAsia" w:ascii="宋体" w:hAnsi="宋体" w:eastAsia="宋体" w:cs="宋体"/>
                <w:i w:val="0"/>
                <w:iCs w:val="0"/>
                <w:color w:val="000000"/>
                <w:sz w:val="20"/>
                <w:szCs w:val="20"/>
                <w:u w:val="none"/>
              </w:rPr>
            </w:pPr>
          </w:p>
        </w:tc>
      </w:tr>
      <w:tr w14:paraId="1EDFB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B7B5">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55403">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677B9">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A4F5">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24D7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7493">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E10F">
            <w:pPr>
              <w:jc w:val="center"/>
              <w:rPr>
                <w:rFonts w:hint="eastAsia" w:ascii="宋体" w:hAnsi="宋体" w:eastAsia="宋体" w:cs="宋体"/>
                <w:i w:val="0"/>
                <w:iCs w:val="0"/>
                <w:color w:val="000000"/>
                <w:sz w:val="20"/>
                <w:szCs w:val="20"/>
                <w:u w:val="none"/>
              </w:rPr>
            </w:pPr>
          </w:p>
        </w:tc>
      </w:tr>
      <w:tr w14:paraId="0D2D6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3D249">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BDE09">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324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B0A54">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6A32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9F6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A4C1">
            <w:pPr>
              <w:jc w:val="center"/>
              <w:rPr>
                <w:rFonts w:hint="eastAsia" w:ascii="宋体" w:hAnsi="宋体" w:eastAsia="宋体" w:cs="宋体"/>
                <w:i w:val="0"/>
                <w:iCs w:val="0"/>
                <w:color w:val="000000"/>
                <w:sz w:val="20"/>
                <w:szCs w:val="20"/>
                <w:u w:val="none"/>
              </w:rPr>
            </w:pPr>
          </w:p>
        </w:tc>
      </w:tr>
      <w:tr w14:paraId="40F63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CE7E7">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0C81B">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906C">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A884D">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834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121A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510C">
            <w:pPr>
              <w:jc w:val="center"/>
              <w:rPr>
                <w:rFonts w:hint="eastAsia" w:ascii="宋体" w:hAnsi="宋体" w:eastAsia="宋体" w:cs="宋体"/>
                <w:i w:val="0"/>
                <w:iCs w:val="0"/>
                <w:color w:val="000000"/>
                <w:sz w:val="20"/>
                <w:szCs w:val="20"/>
                <w:u w:val="none"/>
              </w:rPr>
            </w:pPr>
          </w:p>
        </w:tc>
      </w:tr>
      <w:tr w14:paraId="348EA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3E27">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334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2226">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EA270">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8DD5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E34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E6174">
            <w:pPr>
              <w:jc w:val="center"/>
              <w:rPr>
                <w:rFonts w:hint="eastAsia" w:ascii="宋体" w:hAnsi="宋体" w:eastAsia="宋体" w:cs="宋体"/>
                <w:i w:val="0"/>
                <w:iCs w:val="0"/>
                <w:color w:val="000000"/>
                <w:sz w:val="20"/>
                <w:szCs w:val="20"/>
                <w:u w:val="none"/>
              </w:rPr>
            </w:pPr>
          </w:p>
        </w:tc>
      </w:tr>
      <w:tr w14:paraId="57ADF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760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3D83">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AEDB">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7E98">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9CCC2">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B8F1">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97EE">
            <w:pPr>
              <w:jc w:val="center"/>
              <w:rPr>
                <w:rFonts w:hint="eastAsia" w:ascii="宋体" w:hAnsi="宋体" w:eastAsia="宋体" w:cs="宋体"/>
                <w:i w:val="0"/>
                <w:iCs w:val="0"/>
                <w:color w:val="000000"/>
                <w:sz w:val="20"/>
                <w:szCs w:val="20"/>
                <w:u w:val="none"/>
              </w:rPr>
            </w:pPr>
          </w:p>
        </w:tc>
      </w:tr>
      <w:tr w14:paraId="191E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BEFA">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8FD0">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1FB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CE57">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BD38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81B7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80B8">
            <w:pPr>
              <w:jc w:val="center"/>
              <w:rPr>
                <w:rFonts w:hint="eastAsia" w:ascii="宋体" w:hAnsi="宋体" w:eastAsia="宋体" w:cs="宋体"/>
                <w:i w:val="0"/>
                <w:iCs w:val="0"/>
                <w:color w:val="000000"/>
                <w:sz w:val="20"/>
                <w:szCs w:val="20"/>
                <w:u w:val="none"/>
              </w:rPr>
            </w:pPr>
          </w:p>
        </w:tc>
      </w:tr>
      <w:tr w14:paraId="6C1A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5E03">
            <w:pPr>
              <w:jc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B8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9106B">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64924">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1007">
            <w:pPr>
              <w:jc w:val="center"/>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0283">
            <w:pPr>
              <w:jc w:val="center"/>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0BD2">
            <w:pPr>
              <w:jc w:val="center"/>
              <w:rPr>
                <w:rFonts w:hint="eastAsia" w:ascii="宋体" w:hAnsi="宋体" w:eastAsia="宋体" w:cs="宋体"/>
                <w:i w:val="0"/>
                <w:iCs w:val="0"/>
                <w:color w:val="000000"/>
                <w:sz w:val="20"/>
                <w:szCs w:val="20"/>
                <w:u w:val="none"/>
              </w:rPr>
            </w:pPr>
          </w:p>
        </w:tc>
      </w:tr>
      <w:tr w14:paraId="70E86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910" w:type="dxa"/>
            <w:gridSpan w:val="7"/>
            <w:tcBorders>
              <w:top w:val="nil"/>
              <w:left w:val="nil"/>
              <w:bottom w:val="nil"/>
              <w:right w:val="nil"/>
            </w:tcBorders>
            <w:shd w:val="clear" w:color="auto" w:fill="auto"/>
            <w:noWrap/>
            <w:vAlign w:val="center"/>
          </w:tcPr>
          <w:p w14:paraId="688BDD9B">
            <w:pPr>
              <w:jc w:val="center"/>
              <w:rPr>
                <w:rFonts w:hint="eastAsia" w:ascii="宋体" w:hAnsi="宋体" w:eastAsia="宋体" w:cs="宋体"/>
                <w:i w:val="0"/>
                <w:iCs w:val="0"/>
                <w:color w:val="000000"/>
                <w:sz w:val="20"/>
                <w:szCs w:val="20"/>
                <w:u w:val="none"/>
              </w:rPr>
            </w:pPr>
          </w:p>
        </w:tc>
      </w:tr>
      <w:tr w14:paraId="5E71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442842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6920B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0C5FD2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01D22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09FBD1DE">
            <w:pPr>
              <w:keepNext w:val="0"/>
              <w:keepLines w:val="0"/>
              <w:widowControl/>
              <w:suppressLineNumbers w:val="0"/>
              <w:jc w:val="both"/>
              <w:textAlignment w:val="center"/>
              <w:rPr>
                <w:rFonts w:hint="eastAsia" w:ascii="宋体" w:hAnsi="宋体" w:eastAsia="宋体" w:cs="宋体"/>
                <w:i w:val="0"/>
                <w:iCs w:val="0"/>
                <w:color w:val="000000"/>
                <w:kern w:val="0"/>
                <w:sz w:val="20"/>
                <w:szCs w:val="20"/>
                <w:u w:val="single"/>
                <w:lang w:val="en-US" w:eastAsia="zh-CN" w:bidi="ar"/>
              </w:rPr>
            </w:pPr>
          </w:p>
          <w:p w14:paraId="7BE33222">
            <w:pPr>
              <w:keepNext w:val="0"/>
              <w:keepLines w:val="0"/>
              <w:widowControl/>
              <w:suppressLineNumbers w:val="0"/>
              <w:jc w:val="right"/>
              <w:textAlignment w:val="center"/>
              <w:rPr>
                <w:rStyle w:val="146"/>
                <w:u w:val="single"/>
                <w:lang w:val="en-US" w:eastAsia="zh-CN" w:bidi="ar"/>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p>
          <w:p w14:paraId="154E2864">
            <w:pPr>
              <w:keepNext w:val="0"/>
              <w:keepLines w:val="0"/>
              <w:widowControl/>
              <w:suppressLineNumbers w:val="0"/>
              <w:jc w:val="right"/>
              <w:textAlignment w:val="center"/>
              <w:rPr>
                <w:rStyle w:val="146"/>
                <w:u w:val="single"/>
                <w:lang w:val="en-US" w:eastAsia="zh-CN" w:bidi="ar"/>
              </w:rPr>
            </w:pPr>
          </w:p>
          <w:p w14:paraId="4BE24F47">
            <w:pPr>
              <w:keepNext w:val="0"/>
              <w:keepLines w:val="0"/>
              <w:widowControl/>
              <w:suppressLineNumbers w:val="0"/>
              <w:jc w:val="right"/>
              <w:textAlignment w:val="center"/>
              <w:rPr>
                <w:rStyle w:val="146"/>
                <w:u w:val="single"/>
                <w:lang w:val="en-US" w:eastAsia="zh-CN" w:bidi="ar"/>
              </w:rPr>
            </w:pPr>
          </w:p>
          <w:p w14:paraId="51B6A75B">
            <w:pPr>
              <w:keepNext w:val="0"/>
              <w:keepLines w:val="0"/>
              <w:widowControl/>
              <w:suppressLineNumbers w:val="0"/>
              <w:jc w:val="right"/>
              <w:textAlignment w:val="center"/>
              <w:rPr>
                <w:rStyle w:val="146"/>
                <w:u w:val="single"/>
                <w:lang w:val="en-US" w:eastAsia="zh-CN" w:bidi="ar"/>
              </w:rPr>
            </w:pPr>
          </w:p>
          <w:p w14:paraId="1419971B">
            <w:pPr>
              <w:keepNext w:val="0"/>
              <w:keepLines w:val="0"/>
              <w:widowControl/>
              <w:suppressLineNumbers w:val="0"/>
              <w:jc w:val="right"/>
              <w:textAlignment w:val="center"/>
              <w:rPr>
                <w:rStyle w:val="146"/>
                <w:u w:val="single"/>
                <w:lang w:val="en-US" w:eastAsia="zh-CN" w:bidi="ar"/>
              </w:rPr>
            </w:pPr>
          </w:p>
          <w:p w14:paraId="7B40079C">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ascii="Arial" w:hAnsi="Arial" w:eastAsia="宋体" w:cs="Arial"/>
                <w:i w:val="0"/>
                <w:iCs w:val="0"/>
                <w:color w:val="000000"/>
                <w:kern w:val="0"/>
                <w:sz w:val="20"/>
                <w:szCs w:val="20"/>
                <w:u w:val="single"/>
                <w:lang w:val="en-US" w:eastAsia="zh-CN" w:bidi="ar"/>
              </w:rPr>
              <w:t xml:space="preserve">       </w:t>
            </w:r>
          </w:p>
        </w:tc>
      </w:tr>
      <w:tr w14:paraId="5B8A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63FD1B07">
            <w:pPr>
              <w:jc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8"/>
                <w:szCs w:val="28"/>
                <w:u w:val="none"/>
                <w:lang w:val="en-US" w:eastAsia="zh-CN" w:bidi="ar"/>
              </w:rPr>
              <w:t>分组工程量清单</w:t>
            </w:r>
          </w:p>
        </w:tc>
      </w:tr>
      <w:tr w14:paraId="47EF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659" w:type="dxa"/>
            <w:gridSpan w:val="5"/>
            <w:tcBorders>
              <w:top w:val="nil"/>
              <w:left w:val="nil"/>
              <w:bottom w:val="nil"/>
              <w:right w:val="nil"/>
            </w:tcBorders>
            <w:shd w:val="clear" w:color="auto" w:fill="auto"/>
            <w:vAlign w:val="bottom"/>
          </w:tcPr>
          <w:p w14:paraId="4D8FAA86">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合同编号：HDZX2026（006）CG</w:t>
            </w:r>
          </w:p>
        </w:tc>
        <w:tc>
          <w:tcPr>
            <w:tcW w:w="2251" w:type="dxa"/>
            <w:gridSpan w:val="2"/>
            <w:tcBorders>
              <w:top w:val="nil"/>
              <w:left w:val="nil"/>
              <w:bottom w:val="nil"/>
              <w:right w:val="nil"/>
            </w:tcBorders>
            <w:shd w:val="clear" w:color="auto" w:fill="auto"/>
            <w:noWrap/>
            <w:vAlign w:val="bottom"/>
          </w:tcPr>
          <w:p w14:paraId="533B4898">
            <w:pPr>
              <w:jc w:val="right"/>
              <w:rPr>
                <w:rFonts w:hint="eastAsia" w:ascii="宋体" w:hAnsi="宋体" w:eastAsia="宋体" w:cs="宋体"/>
                <w:i w:val="0"/>
                <w:iCs w:val="0"/>
                <w:color w:val="000000"/>
                <w:sz w:val="20"/>
                <w:szCs w:val="20"/>
                <w:u w:val="none"/>
              </w:rPr>
            </w:pPr>
          </w:p>
        </w:tc>
      </w:tr>
      <w:tr w14:paraId="374A9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910" w:type="dxa"/>
            <w:gridSpan w:val="7"/>
            <w:tcBorders>
              <w:top w:val="nil"/>
              <w:left w:val="nil"/>
              <w:bottom w:val="nil"/>
              <w:right w:val="nil"/>
            </w:tcBorders>
            <w:shd w:val="clear" w:color="auto" w:fill="auto"/>
            <w:vAlign w:val="center"/>
          </w:tcPr>
          <w:p w14:paraId="205BA9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工程名称：</w:t>
            </w:r>
            <w:r>
              <w:rPr>
                <w:rFonts w:hint="eastAsia" w:ascii="宋体" w:hAnsi="宋体" w:eastAsia="宋体" w:cs="宋体"/>
                <w:i w:val="0"/>
                <w:iCs w:val="0"/>
                <w:color w:val="000000"/>
                <w:kern w:val="0"/>
                <w:sz w:val="20"/>
                <w:szCs w:val="20"/>
                <w:u w:val="single"/>
                <w:lang w:val="en-US" w:eastAsia="zh-CN" w:bidi="ar"/>
              </w:rPr>
              <w:t>千河千阳县柿沟村段水毁修复工程</w:t>
            </w:r>
          </w:p>
        </w:tc>
      </w:tr>
      <w:tr w14:paraId="0D483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532" w:type="dxa"/>
            <w:gridSpan w:val="3"/>
            <w:tcBorders>
              <w:top w:val="nil"/>
              <w:left w:val="nil"/>
              <w:bottom w:val="nil"/>
              <w:right w:val="nil"/>
            </w:tcBorders>
            <w:shd w:val="clear" w:color="auto" w:fill="auto"/>
            <w:vAlign w:val="center"/>
          </w:tcPr>
          <w:p w14:paraId="178FEC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组号：</w:t>
            </w:r>
            <w:r>
              <w:rPr>
                <w:rFonts w:hint="eastAsia" w:ascii="宋体" w:hAnsi="宋体" w:eastAsia="宋体" w:cs="宋体"/>
                <w:i w:val="0"/>
                <w:iCs w:val="0"/>
                <w:color w:val="000000"/>
                <w:kern w:val="0"/>
                <w:sz w:val="20"/>
                <w:szCs w:val="20"/>
                <w:u w:val="single"/>
                <w:lang w:val="en-US" w:eastAsia="zh-CN" w:bidi="ar"/>
              </w:rPr>
              <w:t xml:space="preserve"> 四 </w:t>
            </w:r>
            <w:r>
              <w:rPr>
                <w:rFonts w:hint="eastAsia" w:ascii="宋体" w:hAnsi="宋体" w:eastAsia="宋体" w:cs="宋体"/>
                <w:i w:val="0"/>
                <w:iCs w:val="0"/>
                <w:color w:val="FFFFFF"/>
                <w:kern w:val="0"/>
                <w:sz w:val="20"/>
                <w:szCs w:val="20"/>
                <w:u w:val="single"/>
                <w:lang w:val="en-US" w:eastAsia="zh-CN" w:bidi="ar"/>
              </w:rPr>
              <w:t>.</w:t>
            </w:r>
          </w:p>
        </w:tc>
        <w:tc>
          <w:tcPr>
            <w:tcW w:w="4378" w:type="dxa"/>
            <w:gridSpan w:val="4"/>
            <w:tcBorders>
              <w:top w:val="nil"/>
              <w:left w:val="nil"/>
              <w:bottom w:val="nil"/>
              <w:right w:val="nil"/>
            </w:tcBorders>
            <w:shd w:val="clear" w:color="auto" w:fill="auto"/>
            <w:vAlign w:val="center"/>
          </w:tcPr>
          <w:p w14:paraId="02A5A4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分组名称：工程保险（费率：0.45%）</w:t>
            </w:r>
          </w:p>
        </w:tc>
      </w:tr>
      <w:tr w14:paraId="0B9DD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64" w:type="dxa"/>
            <w:tcBorders>
              <w:top w:val="single" w:color="000000" w:sz="4" w:space="0"/>
              <w:left w:val="single" w:color="000000" w:sz="4" w:space="0"/>
              <w:bottom w:val="nil"/>
              <w:right w:val="single" w:color="000000" w:sz="4" w:space="0"/>
            </w:tcBorders>
            <w:shd w:val="clear" w:color="auto" w:fill="auto"/>
            <w:vAlign w:val="center"/>
          </w:tcPr>
          <w:p w14:paraId="44CA00B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973" w:type="dxa"/>
            <w:tcBorders>
              <w:top w:val="single" w:color="000000" w:sz="4" w:space="0"/>
              <w:left w:val="single" w:color="000000" w:sz="4" w:space="0"/>
              <w:bottom w:val="nil"/>
              <w:right w:val="single" w:color="000000" w:sz="4" w:space="0"/>
            </w:tcBorders>
            <w:shd w:val="clear" w:color="auto" w:fill="auto"/>
            <w:vAlign w:val="center"/>
          </w:tcPr>
          <w:p w14:paraId="736B6A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项目名称</w:t>
            </w:r>
          </w:p>
        </w:tc>
        <w:tc>
          <w:tcPr>
            <w:tcW w:w="695" w:type="dxa"/>
            <w:tcBorders>
              <w:top w:val="single" w:color="000000" w:sz="4" w:space="0"/>
              <w:left w:val="single" w:color="000000" w:sz="4" w:space="0"/>
              <w:bottom w:val="nil"/>
              <w:right w:val="single" w:color="000000" w:sz="4" w:space="0"/>
            </w:tcBorders>
            <w:shd w:val="clear" w:color="auto" w:fill="auto"/>
            <w:vAlign w:val="center"/>
          </w:tcPr>
          <w:p w14:paraId="6B1746D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1050" w:type="dxa"/>
            <w:tcBorders>
              <w:top w:val="single" w:color="000000" w:sz="4" w:space="0"/>
              <w:left w:val="single" w:color="000000" w:sz="4" w:space="0"/>
              <w:bottom w:val="nil"/>
              <w:right w:val="single" w:color="000000" w:sz="4" w:space="0"/>
            </w:tcBorders>
            <w:shd w:val="clear" w:color="auto" w:fill="auto"/>
            <w:vAlign w:val="center"/>
          </w:tcPr>
          <w:p w14:paraId="27133A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工程数量</w:t>
            </w:r>
          </w:p>
        </w:tc>
        <w:tc>
          <w:tcPr>
            <w:tcW w:w="1077" w:type="dxa"/>
            <w:tcBorders>
              <w:top w:val="single" w:color="000000" w:sz="4" w:space="0"/>
              <w:left w:val="single" w:color="000000" w:sz="4" w:space="0"/>
              <w:bottom w:val="nil"/>
              <w:right w:val="single" w:color="000000" w:sz="4" w:space="0"/>
            </w:tcBorders>
            <w:shd w:val="clear" w:color="auto" w:fill="auto"/>
            <w:vAlign w:val="center"/>
          </w:tcPr>
          <w:p w14:paraId="5CABFE9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单价(元)</w:t>
            </w:r>
          </w:p>
        </w:tc>
        <w:tc>
          <w:tcPr>
            <w:tcW w:w="1193" w:type="dxa"/>
            <w:tcBorders>
              <w:top w:val="single" w:color="000000" w:sz="4" w:space="0"/>
              <w:left w:val="single" w:color="000000" w:sz="4" w:space="0"/>
              <w:bottom w:val="nil"/>
              <w:right w:val="single" w:color="000000" w:sz="4" w:space="0"/>
            </w:tcBorders>
            <w:shd w:val="clear" w:color="auto" w:fill="auto"/>
            <w:vAlign w:val="center"/>
          </w:tcPr>
          <w:p w14:paraId="4EAED37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c>
          <w:tcPr>
            <w:tcW w:w="1058" w:type="dxa"/>
            <w:tcBorders>
              <w:top w:val="single" w:color="000000" w:sz="4" w:space="0"/>
              <w:left w:val="single" w:color="000000" w:sz="4" w:space="0"/>
              <w:bottom w:val="nil"/>
              <w:right w:val="single" w:color="000000" w:sz="4" w:space="0"/>
            </w:tcBorders>
            <w:shd w:val="clear" w:color="auto" w:fill="auto"/>
            <w:vAlign w:val="center"/>
          </w:tcPr>
          <w:p w14:paraId="74E9F40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0CDD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E2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D7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工程保险（费率：0.45%）</w:t>
            </w:r>
          </w:p>
        </w:tc>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7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08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DD8BA">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799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F2EF1">
            <w:pPr>
              <w:jc w:val="center"/>
              <w:rPr>
                <w:rFonts w:hint="eastAsia" w:ascii="宋体" w:hAnsi="宋体" w:eastAsia="宋体" w:cs="宋体"/>
                <w:i w:val="0"/>
                <w:iCs w:val="0"/>
                <w:color w:val="000000"/>
                <w:sz w:val="20"/>
                <w:szCs w:val="20"/>
                <w:u w:val="none"/>
              </w:rPr>
            </w:pPr>
          </w:p>
        </w:tc>
      </w:tr>
      <w:tr w14:paraId="6B7CC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E3B8">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ED606">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08AC">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2E6E">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BA15F">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B03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83FCC">
            <w:pPr>
              <w:jc w:val="center"/>
              <w:rPr>
                <w:rFonts w:hint="eastAsia" w:ascii="宋体" w:hAnsi="宋体" w:eastAsia="宋体" w:cs="宋体"/>
                <w:i w:val="0"/>
                <w:iCs w:val="0"/>
                <w:color w:val="000000"/>
                <w:sz w:val="20"/>
                <w:szCs w:val="20"/>
                <w:u w:val="none"/>
              </w:rPr>
            </w:pPr>
          </w:p>
        </w:tc>
      </w:tr>
      <w:tr w14:paraId="61407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39B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A085">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9B3C">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D1AC">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01BD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123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FCF44">
            <w:pPr>
              <w:jc w:val="center"/>
              <w:rPr>
                <w:rFonts w:hint="eastAsia" w:ascii="宋体" w:hAnsi="宋体" w:eastAsia="宋体" w:cs="宋体"/>
                <w:i w:val="0"/>
                <w:iCs w:val="0"/>
                <w:color w:val="000000"/>
                <w:sz w:val="20"/>
                <w:szCs w:val="20"/>
                <w:u w:val="none"/>
              </w:rPr>
            </w:pPr>
          </w:p>
        </w:tc>
      </w:tr>
      <w:tr w14:paraId="1174C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C8FE">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2B88">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5437D">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516E1">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063A8">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DAE6">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E199">
            <w:pPr>
              <w:jc w:val="center"/>
              <w:rPr>
                <w:rFonts w:hint="eastAsia" w:ascii="宋体" w:hAnsi="宋体" w:eastAsia="宋体" w:cs="宋体"/>
                <w:i w:val="0"/>
                <w:iCs w:val="0"/>
                <w:color w:val="000000"/>
                <w:sz w:val="20"/>
                <w:szCs w:val="20"/>
                <w:u w:val="none"/>
              </w:rPr>
            </w:pPr>
          </w:p>
        </w:tc>
      </w:tr>
      <w:tr w14:paraId="79747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FCEEC">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410C">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8287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F2633">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0BA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35E0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6FE7">
            <w:pPr>
              <w:jc w:val="center"/>
              <w:rPr>
                <w:rFonts w:hint="eastAsia" w:ascii="宋体" w:hAnsi="宋体" w:eastAsia="宋体" w:cs="宋体"/>
                <w:i w:val="0"/>
                <w:iCs w:val="0"/>
                <w:color w:val="000000"/>
                <w:sz w:val="20"/>
                <w:szCs w:val="20"/>
                <w:u w:val="none"/>
              </w:rPr>
            </w:pPr>
          </w:p>
        </w:tc>
      </w:tr>
      <w:tr w14:paraId="07D76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2847">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A9D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4429E">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661D8">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B00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172A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26F63">
            <w:pPr>
              <w:jc w:val="center"/>
              <w:rPr>
                <w:rFonts w:hint="eastAsia" w:ascii="宋体" w:hAnsi="宋体" w:eastAsia="宋体" w:cs="宋体"/>
                <w:i w:val="0"/>
                <w:iCs w:val="0"/>
                <w:color w:val="000000"/>
                <w:sz w:val="20"/>
                <w:szCs w:val="20"/>
                <w:u w:val="none"/>
              </w:rPr>
            </w:pPr>
          </w:p>
        </w:tc>
      </w:tr>
      <w:tr w14:paraId="20491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85F8">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5C3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5D8D">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9FDFA">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4074">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4EF7">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8813">
            <w:pPr>
              <w:jc w:val="center"/>
              <w:rPr>
                <w:rFonts w:hint="eastAsia" w:ascii="宋体" w:hAnsi="宋体" w:eastAsia="宋体" w:cs="宋体"/>
                <w:i w:val="0"/>
                <w:iCs w:val="0"/>
                <w:color w:val="000000"/>
                <w:sz w:val="20"/>
                <w:szCs w:val="20"/>
                <w:u w:val="none"/>
              </w:rPr>
            </w:pPr>
          </w:p>
        </w:tc>
      </w:tr>
      <w:tr w14:paraId="48596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1677B">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7D3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E37">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60AA5">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8D9CE">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D5DE">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622B">
            <w:pPr>
              <w:jc w:val="center"/>
              <w:rPr>
                <w:rFonts w:hint="eastAsia" w:ascii="宋体" w:hAnsi="宋体" w:eastAsia="宋体" w:cs="宋体"/>
                <w:i w:val="0"/>
                <w:iCs w:val="0"/>
                <w:color w:val="000000"/>
                <w:sz w:val="20"/>
                <w:szCs w:val="20"/>
                <w:u w:val="none"/>
              </w:rPr>
            </w:pPr>
          </w:p>
        </w:tc>
      </w:tr>
      <w:tr w14:paraId="7F9B3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D688">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3707">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E86C0">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4024">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8AD96">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50E7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AC3C">
            <w:pPr>
              <w:jc w:val="center"/>
              <w:rPr>
                <w:rFonts w:hint="eastAsia" w:ascii="宋体" w:hAnsi="宋体" w:eastAsia="宋体" w:cs="宋体"/>
                <w:i w:val="0"/>
                <w:iCs w:val="0"/>
                <w:color w:val="000000"/>
                <w:sz w:val="20"/>
                <w:szCs w:val="20"/>
                <w:u w:val="none"/>
              </w:rPr>
            </w:pPr>
          </w:p>
        </w:tc>
      </w:tr>
      <w:tr w14:paraId="52C9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BC5B">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5D3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FE90B">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C074">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F38F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971E2">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7482">
            <w:pPr>
              <w:jc w:val="center"/>
              <w:rPr>
                <w:rFonts w:hint="eastAsia" w:ascii="宋体" w:hAnsi="宋体" w:eastAsia="宋体" w:cs="宋体"/>
                <w:i w:val="0"/>
                <w:iCs w:val="0"/>
                <w:color w:val="000000"/>
                <w:sz w:val="20"/>
                <w:szCs w:val="20"/>
                <w:u w:val="none"/>
              </w:rPr>
            </w:pPr>
          </w:p>
        </w:tc>
      </w:tr>
      <w:tr w14:paraId="317CB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340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4FB5">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5974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7A05F">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F444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40FA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6149">
            <w:pPr>
              <w:jc w:val="center"/>
              <w:rPr>
                <w:rFonts w:hint="eastAsia" w:ascii="宋体" w:hAnsi="宋体" w:eastAsia="宋体" w:cs="宋体"/>
                <w:i w:val="0"/>
                <w:iCs w:val="0"/>
                <w:color w:val="000000"/>
                <w:sz w:val="20"/>
                <w:szCs w:val="20"/>
                <w:u w:val="none"/>
              </w:rPr>
            </w:pPr>
          </w:p>
        </w:tc>
      </w:tr>
      <w:tr w14:paraId="1BCD1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F515A">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591C">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330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450F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E59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25A0">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8F02">
            <w:pPr>
              <w:jc w:val="center"/>
              <w:rPr>
                <w:rFonts w:hint="eastAsia" w:ascii="宋体" w:hAnsi="宋体" w:eastAsia="宋体" w:cs="宋体"/>
                <w:i w:val="0"/>
                <w:iCs w:val="0"/>
                <w:color w:val="000000"/>
                <w:sz w:val="20"/>
                <w:szCs w:val="20"/>
                <w:u w:val="none"/>
              </w:rPr>
            </w:pPr>
          </w:p>
        </w:tc>
      </w:tr>
      <w:tr w14:paraId="2DCE6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66A22">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858C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3466">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8678">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0F544">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DB9E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22477">
            <w:pPr>
              <w:jc w:val="center"/>
              <w:rPr>
                <w:rFonts w:hint="eastAsia" w:ascii="宋体" w:hAnsi="宋体" w:eastAsia="宋体" w:cs="宋体"/>
                <w:i w:val="0"/>
                <w:iCs w:val="0"/>
                <w:color w:val="000000"/>
                <w:sz w:val="20"/>
                <w:szCs w:val="20"/>
                <w:u w:val="none"/>
              </w:rPr>
            </w:pPr>
          </w:p>
        </w:tc>
      </w:tr>
      <w:tr w14:paraId="463AD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9B36">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EE0B3">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D27D">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3C6A2">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E14DC">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9E3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440D">
            <w:pPr>
              <w:jc w:val="center"/>
              <w:rPr>
                <w:rFonts w:hint="eastAsia" w:ascii="宋体" w:hAnsi="宋体" w:eastAsia="宋体" w:cs="宋体"/>
                <w:i w:val="0"/>
                <w:iCs w:val="0"/>
                <w:color w:val="000000"/>
                <w:sz w:val="20"/>
                <w:szCs w:val="20"/>
                <w:u w:val="none"/>
              </w:rPr>
            </w:pPr>
          </w:p>
        </w:tc>
      </w:tr>
      <w:tr w14:paraId="54852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A58C">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3E28">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9D6F">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3C83">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E072">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1BAB">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0453">
            <w:pPr>
              <w:jc w:val="center"/>
              <w:rPr>
                <w:rFonts w:hint="eastAsia" w:ascii="宋体" w:hAnsi="宋体" w:eastAsia="宋体" w:cs="宋体"/>
                <w:i w:val="0"/>
                <w:iCs w:val="0"/>
                <w:color w:val="000000"/>
                <w:sz w:val="20"/>
                <w:szCs w:val="20"/>
                <w:u w:val="none"/>
              </w:rPr>
            </w:pPr>
          </w:p>
        </w:tc>
      </w:tr>
      <w:tr w14:paraId="3D41B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E1EA1">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09B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CD23">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7ACDC">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A776">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3415">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39DF">
            <w:pPr>
              <w:jc w:val="center"/>
              <w:rPr>
                <w:rFonts w:hint="eastAsia" w:ascii="宋体" w:hAnsi="宋体" w:eastAsia="宋体" w:cs="宋体"/>
                <w:i w:val="0"/>
                <w:iCs w:val="0"/>
                <w:color w:val="000000"/>
                <w:sz w:val="20"/>
                <w:szCs w:val="20"/>
                <w:u w:val="none"/>
              </w:rPr>
            </w:pPr>
          </w:p>
        </w:tc>
      </w:tr>
      <w:tr w14:paraId="74AE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3A825">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5AE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A2364">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9DEC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9CA6">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AA09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1833">
            <w:pPr>
              <w:jc w:val="center"/>
              <w:rPr>
                <w:rFonts w:hint="eastAsia" w:ascii="宋体" w:hAnsi="宋体" w:eastAsia="宋体" w:cs="宋体"/>
                <w:i w:val="0"/>
                <w:iCs w:val="0"/>
                <w:color w:val="000000"/>
                <w:sz w:val="20"/>
                <w:szCs w:val="20"/>
                <w:u w:val="none"/>
              </w:rPr>
            </w:pPr>
          </w:p>
        </w:tc>
      </w:tr>
      <w:tr w14:paraId="53DCC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7214">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7004E">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BDC2B">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9FA0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C1B0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B4B9">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9F3A6">
            <w:pPr>
              <w:jc w:val="center"/>
              <w:rPr>
                <w:rFonts w:hint="eastAsia" w:ascii="宋体" w:hAnsi="宋体" w:eastAsia="宋体" w:cs="宋体"/>
                <w:i w:val="0"/>
                <w:iCs w:val="0"/>
                <w:color w:val="000000"/>
                <w:sz w:val="20"/>
                <w:szCs w:val="20"/>
                <w:u w:val="none"/>
              </w:rPr>
            </w:pPr>
          </w:p>
        </w:tc>
      </w:tr>
      <w:tr w14:paraId="3F0F1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6DFF0">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6B44F">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AE1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5D239">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C53B2">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564C">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6B6F1">
            <w:pPr>
              <w:jc w:val="center"/>
              <w:rPr>
                <w:rFonts w:hint="eastAsia" w:ascii="宋体" w:hAnsi="宋体" w:eastAsia="宋体" w:cs="宋体"/>
                <w:i w:val="0"/>
                <w:iCs w:val="0"/>
                <w:color w:val="000000"/>
                <w:sz w:val="20"/>
                <w:szCs w:val="20"/>
                <w:u w:val="none"/>
              </w:rPr>
            </w:pPr>
          </w:p>
        </w:tc>
      </w:tr>
      <w:tr w14:paraId="57ABA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0123">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0DA4">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753D1">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98AD">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F1E3">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3D84">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96F3">
            <w:pPr>
              <w:jc w:val="center"/>
              <w:rPr>
                <w:rFonts w:hint="eastAsia" w:ascii="宋体" w:hAnsi="宋体" w:eastAsia="宋体" w:cs="宋体"/>
                <w:i w:val="0"/>
                <w:iCs w:val="0"/>
                <w:color w:val="000000"/>
                <w:sz w:val="20"/>
                <w:szCs w:val="20"/>
                <w:u w:val="none"/>
              </w:rPr>
            </w:pPr>
          </w:p>
        </w:tc>
      </w:tr>
      <w:tr w14:paraId="0E266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EEF4">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7DF22">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1C0F">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8CA6">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F511">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C547F">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876F">
            <w:pPr>
              <w:jc w:val="center"/>
              <w:rPr>
                <w:rFonts w:hint="eastAsia" w:ascii="宋体" w:hAnsi="宋体" w:eastAsia="宋体" w:cs="宋体"/>
                <w:i w:val="0"/>
                <w:iCs w:val="0"/>
                <w:color w:val="000000"/>
                <w:sz w:val="20"/>
                <w:szCs w:val="20"/>
                <w:u w:val="none"/>
              </w:rPr>
            </w:pPr>
          </w:p>
        </w:tc>
      </w:tr>
      <w:tr w14:paraId="70FBA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6752">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4EF40">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6E07A">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F3BA0">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4019">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A5CA">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3D09C">
            <w:pPr>
              <w:jc w:val="center"/>
              <w:rPr>
                <w:rFonts w:hint="eastAsia" w:ascii="宋体" w:hAnsi="宋体" w:eastAsia="宋体" w:cs="宋体"/>
                <w:i w:val="0"/>
                <w:iCs w:val="0"/>
                <w:color w:val="000000"/>
                <w:sz w:val="20"/>
                <w:szCs w:val="20"/>
                <w:u w:val="none"/>
              </w:rPr>
            </w:pPr>
          </w:p>
        </w:tc>
      </w:tr>
      <w:tr w14:paraId="5E91A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57ED">
            <w:pPr>
              <w:jc w:val="left"/>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93CDA">
            <w:pPr>
              <w:jc w:val="left"/>
              <w:rPr>
                <w:rFonts w:hint="eastAsia" w:ascii="宋体" w:hAnsi="宋体" w:eastAsia="宋体" w:cs="宋体"/>
                <w:i w:val="0"/>
                <w:iCs w:val="0"/>
                <w:color w:val="000000"/>
                <w:sz w:val="20"/>
                <w:szCs w:val="20"/>
                <w:u w:val="none"/>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4CD35">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82BB6">
            <w:pPr>
              <w:jc w:val="right"/>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7DB0">
            <w:pPr>
              <w:jc w:val="right"/>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BD18">
            <w:pPr>
              <w:jc w:val="right"/>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672B2">
            <w:pPr>
              <w:jc w:val="center"/>
              <w:rPr>
                <w:rFonts w:hint="eastAsia" w:ascii="宋体" w:hAnsi="宋体" w:eastAsia="宋体" w:cs="宋体"/>
                <w:i w:val="0"/>
                <w:iCs w:val="0"/>
                <w:color w:val="000000"/>
                <w:sz w:val="20"/>
                <w:szCs w:val="20"/>
                <w:u w:val="none"/>
              </w:rPr>
            </w:pPr>
          </w:p>
        </w:tc>
      </w:tr>
      <w:tr w14:paraId="0223C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9E21">
            <w:pPr>
              <w:jc w:val="center"/>
              <w:rPr>
                <w:rFonts w:hint="eastAsia" w:ascii="宋体" w:hAnsi="宋体" w:eastAsia="宋体" w:cs="宋体"/>
                <w:i w:val="0"/>
                <w:iCs w:val="0"/>
                <w:color w:val="000000"/>
                <w:sz w:val="20"/>
                <w:szCs w:val="20"/>
                <w:u w:val="none"/>
              </w:rPr>
            </w:pPr>
          </w:p>
        </w:tc>
        <w:tc>
          <w:tcPr>
            <w:tcW w:w="2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B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6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0259F">
            <w:pPr>
              <w:jc w:val="center"/>
              <w:rPr>
                <w:rFonts w:hint="eastAsia" w:ascii="宋体" w:hAnsi="宋体" w:eastAsia="宋体" w:cs="宋体"/>
                <w:i w:val="0"/>
                <w:iCs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BB92">
            <w:pPr>
              <w:jc w:val="center"/>
              <w:rPr>
                <w:rFonts w:hint="eastAsia" w:ascii="宋体" w:hAnsi="宋体" w:eastAsia="宋体" w:cs="宋体"/>
                <w:i w:val="0"/>
                <w:iCs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62B4">
            <w:pPr>
              <w:jc w:val="center"/>
              <w:rPr>
                <w:rFonts w:hint="eastAsia" w:ascii="宋体" w:hAnsi="宋体" w:eastAsia="宋体" w:cs="宋体"/>
                <w:i w:val="0"/>
                <w:iCs w:val="0"/>
                <w:color w:val="000000"/>
                <w:sz w:val="20"/>
                <w:szCs w:val="20"/>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7FA9B">
            <w:pPr>
              <w:jc w:val="center"/>
              <w:rPr>
                <w:rFonts w:hint="eastAsia" w:ascii="宋体" w:hAnsi="宋体" w:eastAsia="宋体" w:cs="宋体"/>
                <w:i w:val="0"/>
                <w:iCs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DB7F4">
            <w:pPr>
              <w:jc w:val="center"/>
              <w:rPr>
                <w:rFonts w:hint="eastAsia" w:ascii="宋体" w:hAnsi="宋体" w:eastAsia="宋体" w:cs="宋体"/>
                <w:i w:val="0"/>
                <w:iCs w:val="0"/>
                <w:color w:val="000000"/>
                <w:sz w:val="20"/>
                <w:szCs w:val="20"/>
                <w:u w:val="none"/>
              </w:rPr>
            </w:pPr>
          </w:p>
        </w:tc>
      </w:tr>
      <w:tr w14:paraId="1A994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8910" w:type="dxa"/>
            <w:gridSpan w:val="7"/>
            <w:tcBorders>
              <w:top w:val="nil"/>
              <w:left w:val="nil"/>
              <w:bottom w:val="nil"/>
              <w:right w:val="nil"/>
            </w:tcBorders>
            <w:shd w:val="clear" w:color="auto" w:fill="auto"/>
            <w:noWrap/>
            <w:vAlign w:val="center"/>
          </w:tcPr>
          <w:p w14:paraId="62B43AC9">
            <w:pPr>
              <w:jc w:val="center"/>
              <w:rPr>
                <w:rFonts w:hint="eastAsia" w:ascii="宋体" w:hAnsi="宋体" w:eastAsia="宋体" w:cs="宋体"/>
                <w:i w:val="0"/>
                <w:iCs w:val="0"/>
                <w:color w:val="000000"/>
                <w:sz w:val="20"/>
                <w:szCs w:val="20"/>
                <w:u w:val="none"/>
              </w:rPr>
            </w:pPr>
          </w:p>
        </w:tc>
      </w:tr>
      <w:tr w14:paraId="026B1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131CA0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投标人:</w:t>
            </w:r>
            <w:r>
              <w:rPr>
                <w:rFonts w:hint="eastAsia" w:ascii="宋体" w:hAnsi="宋体" w:eastAsia="宋体" w:cs="宋体"/>
                <w:i w:val="0"/>
                <w:iCs w:val="0"/>
                <w:color w:val="000000"/>
                <w:kern w:val="0"/>
                <w:sz w:val="20"/>
                <w:szCs w:val="20"/>
                <w:u w:val="single"/>
                <w:lang w:val="en-US" w:eastAsia="zh-CN" w:bidi="ar"/>
              </w:rPr>
              <w:t xml:space="preserve">                  (盖单位章) </w:t>
            </w:r>
            <w:r>
              <w:rPr>
                <w:rFonts w:ascii="Arial" w:hAnsi="Arial" w:eastAsia="宋体" w:cs="Arial"/>
                <w:i w:val="0"/>
                <w:iCs w:val="0"/>
                <w:color w:val="000000"/>
                <w:kern w:val="0"/>
                <w:sz w:val="20"/>
                <w:szCs w:val="20"/>
                <w:u w:val="none"/>
                <w:lang w:val="en-US" w:eastAsia="zh-CN" w:bidi="ar"/>
              </w:rPr>
              <w:t xml:space="preserve">       </w:t>
            </w:r>
          </w:p>
        </w:tc>
      </w:tr>
      <w:tr w14:paraId="2E2FF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092582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法定代表人或委托代理人：</w:t>
            </w:r>
            <w:r>
              <w:rPr>
                <w:rFonts w:hint="eastAsia" w:ascii="宋体" w:hAnsi="宋体" w:eastAsia="宋体" w:cs="宋体"/>
                <w:i w:val="0"/>
                <w:iCs w:val="0"/>
                <w:color w:val="000000"/>
                <w:kern w:val="0"/>
                <w:sz w:val="20"/>
                <w:szCs w:val="20"/>
                <w:u w:val="single"/>
                <w:lang w:val="en-US" w:eastAsia="zh-CN" w:bidi="ar"/>
              </w:rPr>
              <w:t xml:space="preserve">              (签名)</w:t>
            </w:r>
          </w:p>
        </w:tc>
      </w:tr>
      <w:tr w14:paraId="75C4B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910" w:type="dxa"/>
            <w:gridSpan w:val="7"/>
            <w:tcBorders>
              <w:top w:val="nil"/>
              <w:left w:val="nil"/>
              <w:bottom w:val="nil"/>
              <w:right w:val="nil"/>
            </w:tcBorders>
            <w:shd w:val="clear" w:color="auto" w:fill="auto"/>
            <w:noWrap/>
            <w:vAlign w:val="center"/>
          </w:tcPr>
          <w:p w14:paraId="4061718E">
            <w:pPr>
              <w:keepNext w:val="0"/>
              <w:keepLines w:val="0"/>
              <w:widowControl/>
              <w:suppressLineNumbers w:val="0"/>
              <w:jc w:val="right"/>
              <w:textAlignment w:val="center"/>
              <w:rPr>
                <w:rFonts w:hint="eastAsia" w:ascii="宋体" w:hAnsi="宋体" w:eastAsia="宋体" w:cs="宋体"/>
                <w:i w:val="0"/>
                <w:iCs w:val="0"/>
                <w:color w:val="000000"/>
                <w:sz w:val="20"/>
                <w:szCs w:val="20"/>
                <w:u w:val="single"/>
              </w:rPr>
            </w:pP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年</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月</w:t>
            </w:r>
            <w:r>
              <w:rPr>
                <w:rFonts w:ascii="Arial" w:hAnsi="Arial" w:eastAsia="宋体" w:cs="Arial"/>
                <w:i w:val="0"/>
                <w:iCs w:val="0"/>
                <w:color w:val="000000"/>
                <w:kern w:val="0"/>
                <w:sz w:val="20"/>
                <w:szCs w:val="20"/>
                <w:u w:val="single"/>
                <w:lang w:val="en-US" w:eastAsia="zh-CN" w:bidi="ar"/>
              </w:rPr>
              <w:t xml:space="preserve"> </w:t>
            </w:r>
            <w:r>
              <w:rPr>
                <w:rFonts w:hint="eastAsia" w:ascii="宋体" w:hAnsi="宋体" w:eastAsia="宋体" w:cs="宋体"/>
                <w:i w:val="0"/>
                <w:iCs w:val="0"/>
                <w:color w:val="000000"/>
                <w:kern w:val="0"/>
                <w:sz w:val="20"/>
                <w:szCs w:val="20"/>
                <w:u w:val="single"/>
                <w:lang w:val="en-US" w:eastAsia="zh-CN" w:bidi="ar"/>
              </w:rPr>
              <w:t xml:space="preserve">    </w:t>
            </w:r>
            <w:r>
              <w:rPr>
                <w:rFonts w:ascii="Arial" w:hAnsi="Arial" w:eastAsia="宋体" w:cs="Arial"/>
                <w:i w:val="0"/>
                <w:iCs w:val="0"/>
                <w:color w:val="000000"/>
                <w:kern w:val="0"/>
                <w:sz w:val="20"/>
                <w:szCs w:val="20"/>
                <w:u w:val="single"/>
                <w:lang w:val="en-US" w:eastAsia="zh-CN" w:bidi="ar"/>
              </w:rPr>
              <w:t xml:space="preserve"> </w:t>
            </w:r>
            <w:r>
              <w:rPr>
                <w:rStyle w:val="146"/>
                <w:u w:val="single"/>
                <w:lang w:val="en-US" w:eastAsia="zh-CN" w:bidi="ar"/>
              </w:rPr>
              <w:t>日</w:t>
            </w:r>
            <w:r>
              <w:rPr>
                <w:rFonts w:ascii="Arial" w:hAnsi="Arial" w:eastAsia="宋体" w:cs="Arial"/>
                <w:i w:val="0"/>
                <w:iCs w:val="0"/>
                <w:color w:val="000000"/>
                <w:kern w:val="0"/>
                <w:sz w:val="20"/>
                <w:szCs w:val="20"/>
                <w:u w:val="single"/>
                <w:lang w:val="en-US" w:eastAsia="zh-CN" w:bidi="ar"/>
              </w:rPr>
              <w:t xml:space="preserve">       </w:t>
            </w:r>
          </w:p>
        </w:tc>
      </w:tr>
    </w:tbl>
    <w:p w14:paraId="0AE5D7F6">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2DE66C5E">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5290A450">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p>
    <w:p w14:paraId="78537014">
      <w:pPr>
        <w:tabs>
          <w:tab w:val="left" w:pos="1080"/>
          <w:tab w:val="left" w:pos="1155"/>
        </w:tabs>
        <w:spacing w:line="520" w:lineRule="exact"/>
        <w:jc w:val="center"/>
        <w:outlineLvl w:val="0"/>
        <w:rPr>
          <w:rFonts w:hint="eastAsia" w:ascii="宋体" w:hAnsi="宋体" w:eastAsia="宋体" w:cs="宋体"/>
          <w:b/>
          <w:bCs/>
          <w:color w:val="000000" w:themeColor="text1"/>
          <w:sz w:val="32"/>
          <w:szCs w:val="32"/>
          <w14:textFill>
            <w14:solidFill>
              <w14:schemeClr w14:val="tx1"/>
            </w14:solidFill>
          </w14:textFill>
        </w:rPr>
      </w:pPr>
      <w:bookmarkStart w:id="60" w:name="_Toc13839"/>
      <w:r>
        <w:rPr>
          <w:rFonts w:hint="eastAsia" w:ascii="宋体" w:hAnsi="宋体" w:eastAsia="宋体" w:cs="宋体"/>
          <w:b/>
          <w:bCs/>
          <w:color w:val="000000" w:themeColor="text1"/>
          <w:sz w:val="32"/>
          <w:szCs w:val="32"/>
          <w14:textFill>
            <w14:solidFill>
              <w14:schemeClr w14:val="tx1"/>
            </w14:solidFill>
          </w14:textFill>
        </w:rPr>
        <w:t>第四章</w:t>
      </w:r>
      <w:r>
        <w:rPr>
          <w:rFonts w:hint="eastAsia" w:ascii="宋体" w:hAnsi="宋体" w:eastAsia="宋体" w:cs="宋体"/>
          <w:b/>
          <w:bCs/>
          <w:color w:val="000000" w:themeColor="text1"/>
          <w:kern w:val="0"/>
          <w:sz w:val="36"/>
          <w:szCs w:val="36"/>
          <w14:textFill>
            <w14:solidFill>
              <w14:schemeClr w14:val="tx1"/>
            </w14:solidFill>
          </w14:textFill>
        </w:rPr>
        <w:t xml:space="preserve">  </w:t>
      </w:r>
      <w:bookmarkStart w:id="61" w:name="_Toc458617747"/>
      <w:bookmarkStart w:id="62" w:name="_Toc16393"/>
      <w:bookmarkStart w:id="63" w:name="_Toc458617470"/>
      <w:r>
        <w:rPr>
          <w:rFonts w:hint="eastAsia" w:ascii="宋体" w:hAnsi="宋体" w:eastAsia="宋体" w:cs="宋体"/>
          <w:b/>
          <w:bCs/>
          <w:color w:val="000000" w:themeColor="text1"/>
          <w:sz w:val="32"/>
          <w:szCs w:val="32"/>
          <w14:textFill>
            <w14:solidFill>
              <w14:schemeClr w14:val="tx1"/>
            </w14:solidFill>
          </w14:textFill>
        </w:rPr>
        <w:t>合同主要条款及格式</w:t>
      </w:r>
      <w:bookmarkEnd w:id="60"/>
    </w:p>
    <w:p w14:paraId="5C61D53F">
      <w:pPr>
        <w:tabs>
          <w:tab w:val="left" w:pos="1080"/>
          <w:tab w:val="left" w:pos="1155"/>
        </w:tabs>
        <w:spacing w:line="520" w:lineRule="exact"/>
        <w:jc w:val="center"/>
        <w:rPr>
          <w:rFonts w:hint="eastAsia" w:ascii="宋体" w:hAnsi="宋体" w:eastAsia="宋体" w:cs="宋体"/>
          <w:b/>
          <w:bCs/>
          <w:sz w:val="30"/>
          <w:szCs w:val="30"/>
        </w:rPr>
      </w:pPr>
      <w:r>
        <w:rPr>
          <w:rFonts w:hint="eastAsia" w:ascii="宋体" w:hAnsi="宋体" w:eastAsia="宋体" w:cs="宋体"/>
          <w:b/>
          <w:bCs/>
          <w:sz w:val="30"/>
          <w:szCs w:val="30"/>
        </w:rPr>
        <w:t>（合同仅供参考，具体以中标后双方协议合同为准）</w:t>
      </w:r>
    </w:p>
    <w:p w14:paraId="51750CA7">
      <w:pPr>
        <w:spacing w:before="0" w:after="0" w:line="400" w:lineRule="exact"/>
        <w:jc w:val="center"/>
        <w:outlineLvl w:val="2"/>
        <w:rPr>
          <w:rFonts w:hint="eastAsia" w:ascii="宋体" w:hAnsi="宋体" w:eastAsia="宋体" w:cs="宋体"/>
          <w:sz w:val="30"/>
          <w:szCs w:val="30"/>
          <w:highlight w:val="none"/>
        </w:rPr>
      </w:pPr>
      <w:bookmarkStart w:id="64" w:name="_Toc377375979"/>
      <w:bookmarkStart w:id="65" w:name="_Toc13882"/>
      <w:r>
        <w:rPr>
          <w:rFonts w:hint="eastAsia" w:ascii="宋体" w:hAnsi="宋体" w:eastAsia="宋体" w:cs="宋体"/>
          <w:sz w:val="30"/>
          <w:szCs w:val="30"/>
          <w:highlight w:val="none"/>
        </w:rPr>
        <w:t>第1节 通用合同条款</w:t>
      </w:r>
      <w:bookmarkEnd w:id="64"/>
      <w:bookmarkEnd w:id="65"/>
    </w:p>
    <w:p w14:paraId="76E39C55">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 一般约定</w:t>
      </w:r>
    </w:p>
    <w:p w14:paraId="471771B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 词语定义</w:t>
      </w:r>
    </w:p>
    <w:p w14:paraId="4FCB9A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通用合同条款、专用合同条款中的下列词语应具有本款所赋予的含义。</w:t>
      </w:r>
    </w:p>
    <w:p w14:paraId="4465C427">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1.1.1 合同</w:t>
      </w:r>
    </w:p>
    <w:p w14:paraId="09A1246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合同文件（或称合同）：指合同协议书、中标通知书、投标函及投标函附录、专用合同条款、通用合同条款、技术标准和要求、图纸、已标价工程量清单，以及其他合同文件。</w:t>
      </w:r>
    </w:p>
    <w:p w14:paraId="390DC4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合同协议书：指第1.5 款所指的合同协议书。</w:t>
      </w:r>
    </w:p>
    <w:p w14:paraId="57470E7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中标通知书：指发包人通知承包人中标的函件。</w:t>
      </w:r>
    </w:p>
    <w:p w14:paraId="2D0732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 投标函：指构成合同文件组成部分的由承包人填写并签署的投标函。</w:t>
      </w:r>
    </w:p>
    <w:p w14:paraId="796B53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1.1.1.5 投标函附录：指附在投标函后构成合同文件的投标函附录。</w:t>
      </w:r>
    </w:p>
    <w:p w14:paraId="0A8E27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1.1.1.6技术标准和要求：指构成合同文件组成部分的名为技术标准和要求(合同技术条款)的文件，包括合同双方当事人约定对其所作的修改或补充。</w:t>
      </w:r>
    </w:p>
    <w:p w14:paraId="5A8477E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1.1.1.7图纸：指列入合同的招标图纸、投标图纸和发包人按合同约定向承包人提供的施工图纸和其它图纸(包括配套说明和有关资料)。列入合同的招标图纸已成为合同文件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49C4E7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1.1.1.8 己标价工程量清单：指构成合同文件组成部分的由承包人按照规定的格式和要求填写并标明价格的工程量清单。</w:t>
      </w:r>
    </w:p>
    <w:p w14:paraId="32606B6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1.1.1.9 其他合同文件：指经合同双方当事人确认构成合同文件的其他文件。</w:t>
      </w:r>
    </w:p>
    <w:p w14:paraId="38DFAAA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1.1.2 合同当事人和人员</w:t>
      </w:r>
    </w:p>
    <w:p w14:paraId="7A093F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1.1.2.1 合同当事人：指发包人和（或）承包人。</w:t>
      </w:r>
    </w:p>
    <w:p w14:paraId="705617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1.1.2.2 发包人：指专用合同条款中指明并与承包人在合同协议书中签字的当事人。</w:t>
      </w:r>
    </w:p>
    <w:p w14:paraId="375B759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1.1.2.3承包人：指专用合同条款中指明并与发包人在合同协议书中签字的当事人。</w:t>
      </w:r>
    </w:p>
    <w:p w14:paraId="08C9B90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1.1.2.4 承包人项目经理：指承包人派驻施工场地的全权负责人。</w:t>
      </w:r>
    </w:p>
    <w:p w14:paraId="62922CB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1.1.2.5分包人：指专用合同条款中指明的，从承包人处分包合同中某一部分工程，并与其签订分包合同的分包人。</w:t>
      </w:r>
    </w:p>
    <w:p w14:paraId="0301DDA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1.1.2.6 监理人：指在专用合同条款中指明的，受发包人委托对合同履行实施管理的法人或其他组织。</w:t>
      </w:r>
    </w:p>
    <w:p w14:paraId="0FEA33D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1.1.2.7 总监理工程师（总监）：指由监理人委派常驻施工场地对合同履行实施管理的全权负责人。</w:t>
      </w:r>
    </w:p>
    <w:p w14:paraId="6289D425">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1.1.3 工程和设备</w:t>
      </w:r>
    </w:p>
    <w:p w14:paraId="16D7C47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 工程：指永久工程和（或）临时工程。</w:t>
      </w:r>
    </w:p>
    <w:p w14:paraId="6B1C92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1.1.3.2 永久工程：指按合同约定建造并移交给发包人的工程，包括工程设备。</w:t>
      </w:r>
    </w:p>
    <w:p w14:paraId="2A501D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1.1.3.3 临时工程：指为完成合同约定的永久工程所修建的各类临时性工程，不包括施工设备。</w:t>
      </w:r>
    </w:p>
    <w:p w14:paraId="7023C24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1.1.3.4 单位工程：指专用合同条款中指明特定范围的永久工程。</w:t>
      </w:r>
    </w:p>
    <w:p w14:paraId="789396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1.1.3.5 工程设备：指构成或计划构成永久工程一部分的机电设备、金属结构设备、仪器装置及其他类似的设备和装置。</w:t>
      </w:r>
    </w:p>
    <w:p w14:paraId="40D1974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1.1.3.6 施工设备：指为完成合同约定的各项工作所需的设备、器具和其他物品，不包括临时工程和材料。</w:t>
      </w:r>
    </w:p>
    <w:p w14:paraId="0D47942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1.1.3.7 临时设施：指为完成合同约定的各项工作所服务的临时性生产和生活设施。</w:t>
      </w:r>
    </w:p>
    <w:p w14:paraId="0A59B0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1.1.3.8 承包人设备：指承包人自带的施工设备。</w:t>
      </w:r>
    </w:p>
    <w:p w14:paraId="39B0D0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1.1.3.9 施工场地（或称工地、现场）：指用于合同工程施工的场所，以及在合同中指定作为施工场地组成部分的其他场所，包括永久占地和临时占地。</w:t>
      </w:r>
    </w:p>
    <w:p w14:paraId="435E42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1.1.3.10永久占地：指发包人为建设本合同工程永久征用的场地。</w:t>
      </w:r>
    </w:p>
    <w:p w14:paraId="3497AD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1.1.3.11临时占地：指发包人为建设本合同工程临时征用，承包人在完工后须按合同要求退还的场地。</w:t>
      </w:r>
    </w:p>
    <w:p w14:paraId="66C946C1">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1.1.4 日期</w:t>
      </w:r>
    </w:p>
    <w:p w14:paraId="7276E7B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1.1.4.1 开工通知：指监理人按第11.1 款通知承包人开工的函件。</w:t>
      </w:r>
    </w:p>
    <w:p w14:paraId="3E08317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1.1.4.2 开工日期：指监理人按第11 .1 款发出的开工通知中写明的开工日期。</w:t>
      </w:r>
    </w:p>
    <w:p w14:paraId="6240070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 工期：指承包人在投标函中承诺的完成合同工程所需的期限，包括按第11.3 款、第11.4 款和第11.6 款约定所作的变更。</w:t>
      </w:r>
    </w:p>
    <w:p w14:paraId="624A80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1.1.4.4竣工日期：即合同工程完工日期，指第1.1.4.3目约定工期届满时的日期。实际完工日期以合同工程完工证书中写明的日期为准。</w:t>
      </w:r>
    </w:p>
    <w:p w14:paraId="4F0691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1.1.4.5缺陷责任期：即工程质量保修期，指履行第1 9.2款约定的缺陷责任的期限，包括根据第19.3款约定所作的延长，具体期限由专用合同条款约定。</w:t>
      </w:r>
    </w:p>
    <w:p w14:paraId="6369285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1.1.4.6 基准日期：指投标截止时间前28 天的日期。</w:t>
      </w:r>
    </w:p>
    <w:p w14:paraId="2BA02E6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1.1.4.7 天：除特别指明外，指日历天。合同中按天计算时间的，开始当天不计入，从次日开始计算。期限最后一天的截止时间为当天24:00。</w:t>
      </w:r>
    </w:p>
    <w:p w14:paraId="0B050DF7">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1.1.5 合同价格和费用</w:t>
      </w:r>
    </w:p>
    <w:p w14:paraId="451821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1.1.5.1 签约合同价：指签定合同时合同协议书中写明的，包括了暂列金额、暂估价的合同总金额。</w:t>
      </w:r>
    </w:p>
    <w:p w14:paraId="74E9E1D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1.1.5.2 合同价格：指承包人按合同约定完成了包括缺陷责任期内的全部承包工作后，发包人应付给承包人的金额，包括在履行合同过程中按合同约定进行的变更和调整。</w:t>
      </w:r>
    </w:p>
    <w:p w14:paraId="503D4A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1.1.5.3 费用：指为履行合同所发生的或将要发生的所有合理开支，包括管理费和应分摊的其他费用，但不包括利润。</w:t>
      </w:r>
    </w:p>
    <w:p w14:paraId="377AAB3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1.1.5.4 暂列金额：指已标价工程量清单中所列的暂列金额，用于在签订协议书时尚未确定或不可预见变更的施工及其所需材料、工程设备、服务等的金额，包括以计日工方式支付的金额。</w:t>
      </w:r>
    </w:p>
    <w:p w14:paraId="60BFFDE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1.1.5.5 暂估价：指发包人在工程量清单中给定的用于支付必然发生但暂时不能确定价格的材料、设备以及专业工程的金额。</w:t>
      </w:r>
    </w:p>
    <w:p w14:paraId="33BD17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1.1.5.6 计日工：指对零星工作采取的一种计价方式，按合同中的计日工子目及其单价计价付款。</w:t>
      </w:r>
    </w:p>
    <w:p w14:paraId="16EE076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1.1.5.7 质量保证金（或称保留金）：指按第17. 4.1项约定用于保证在缺陷责任期内履行缺陷修复义务的金额。</w:t>
      </w:r>
    </w:p>
    <w:p w14:paraId="2CCAFA0C">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1.1.6 其他</w:t>
      </w:r>
    </w:p>
    <w:p w14:paraId="560452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1.1.6.1 书面形式：指合同文件、信函、电报、传真等可以有形地表现所载内容的形式。</w:t>
      </w:r>
    </w:p>
    <w:p w14:paraId="7FFA801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 语言文字</w:t>
      </w:r>
    </w:p>
    <w:p w14:paraId="55E168F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除专用术语外，合同使用的语言文字为中文。必要时专用术语应附有中文注释。</w:t>
      </w:r>
    </w:p>
    <w:p w14:paraId="28A6E5E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 法律</w:t>
      </w:r>
    </w:p>
    <w:p w14:paraId="0341955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适用于合同的法律包括中华人民共和国法律、行政法规、部门规章，以及工程所在地的地方法规、自治条例、单行条例和地方政府规章。</w:t>
      </w:r>
    </w:p>
    <w:p w14:paraId="410F50D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 合同文件的优先顺序</w:t>
      </w:r>
    </w:p>
    <w:p w14:paraId="7A19D61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组成合同的各项文件应互相解释，互为说明。除专用合同条款另有约定外，解释合同文件的优先顺序如下：</w:t>
      </w:r>
    </w:p>
    <w:p w14:paraId="536B4CC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(l）合同协议书；                     (2）中标通知书；</w:t>
      </w:r>
    </w:p>
    <w:p w14:paraId="738B5B4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(3）投标函及投标函附录；             (4）专用合同条款；</w:t>
      </w:r>
    </w:p>
    <w:p w14:paraId="616135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(5）通用合同条款；                   (6）技术标准和要求；</w:t>
      </w:r>
    </w:p>
    <w:p w14:paraId="3117BCB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(7）图纸；                           (8）已标价工程量清单；</w:t>
      </w:r>
    </w:p>
    <w:p w14:paraId="1CEDEF8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(9）安全生产合同及其他合同文件。</w:t>
      </w:r>
    </w:p>
    <w:p w14:paraId="616F487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 合同协议书</w:t>
      </w:r>
    </w:p>
    <w:p w14:paraId="084451B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05F8264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 图纸和承包人文件</w:t>
      </w:r>
    </w:p>
    <w:p w14:paraId="1AED1BB6">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1.6.1 图纸的提供</w:t>
      </w:r>
    </w:p>
    <w:p w14:paraId="5A0DCB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p w14:paraId="4598082E">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1.6.2 承包人提供的文件</w:t>
      </w:r>
    </w:p>
    <w:p w14:paraId="25DD7F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承包人提供的文件应按技术标准和要求(合同技术条款)约定的期限和数量提供给监理人。监理人应按技术标准和要求(合同技术条款)约定的期限批复承包人。</w:t>
      </w:r>
    </w:p>
    <w:p w14:paraId="757BBE71">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1.6.3 图纸的修改</w:t>
      </w:r>
    </w:p>
    <w:p w14:paraId="57EFC7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6F8FC33A">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1.6.4 图纸的错误</w:t>
      </w:r>
    </w:p>
    <w:p w14:paraId="7A6292E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承包人发现发包人提供的图纸存在明显错误或疏忽，应及时通知监理人。</w:t>
      </w:r>
    </w:p>
    <w:p w14:paraId="1342B289">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1.6.5 图纸和承包人文件的保管</w:t>
      </w:r>
    </w:p>
    <w:p w14:paraId="11F737F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监理人和承包人均应在施工场地各保存一套完整的包含第1.6.1 项、第1.6.2 项、第1.6.3 项约定内容的图纸和承包人文件。</w:t>
      </w:r>
    </w:p>
    <w:p w14:paraId="29FBB96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 联络</w:t>
      </w:r>
    </w:p>
    <w:p w14:paraId="585FEFF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 与合同有关的通知、批准、证明、证书、指示、要求、请求、同意、意见、确定和决定等，均应采用书面形式。</w:t>
      </w:r>
    </w:p>
    <w:p w14:paraId="40B6B7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第1.7.1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18B3095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来往函件均应按合同约定的期限及时发出和答复，不得无故扣压和拖延，亦不得拒收。否则，由此造成的后果由责任方负责。</w:t>
      </w:r>
    </w:p>
    <w:p w14:paraId="3D3643A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 转让</w:t>
      </w:r>
    </w:p>
    <w:p w14:paraId="4C97AC5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除合同另有约定外，未经对方当事人同意，一方当事人不得将合同权利全部或部分转让给第三人，也不得全部或部分转移合同义务。</w:t>
      </w:r>
    </w:p>
    <w:p w14:paraId="05CD67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 严禁贿赂</w:t>
      </w:r>
    </w:p>
    <w:p w14:paraId="17D83E8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合同双方当事人不得以贿赂或变相贿赂的方式，谋取不当利益或损害对方权益。因贿赂造成对方损失的，行为人应赔偿损失，并承担相应的法律责任。</w:t>
      </w:r>
    </w:p>
    <w:p w14:paraId="3CD7B98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 化石、文物</w:t>
      </w:r>
    </w:p>
    <w:p w14:paraId="7808E3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28281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1.10.2 承包人发现文物后不及时报告或隐瞒不报，致使文物丢失或损坏的，应赔偿损失，并承担相应的法律责任。</w:t>
      </w:r>
    </w:p>
    <w:p w14:paraId="1A828C7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 专利技术</w:t>
      </w:r>
    </w:p>
    <w:p w14:paraId="4EE646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61F2DD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承包人在投标文件中采用专利技术的，专利技术的使用费包含在投标报价内。</w:t>
      </w:r>
    </w:p>
    <w:p w14:paraId="62E402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承包人的技术秘密和声明需要保密的资料和信息，发包人和监理人不得为合同以外的目的泄露给他人。</w:t>
      </w:r>
    </w:p>
    <w:p w14:paraId="16CCB4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1.11.4合同实施过程中，发包人要求承包人采用专利技术的，发包人应办理相应的使用手续，承包人应按发包人约定的条件使用，并承担使用专利技术的相关试验工作，所需费用由发包人承担。</w:t>
      </w:r>
    </w:p>
    <w:p w14:paraId="2AD19C9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 图纸和文件的保密</w:t>
      </w:r>
    </w:p>
    <w:p w14:paraId="1E97895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1.12.1 发包人提供的图纸和文件，未经发包人同意，承包人不得为合同以外的目的泄露给他人或公开发表与引用。</w:t>
      </w:r>
    </w:p>
    <w:p w14:paraId="01A16B9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1.12.2 承包人提供的文件，未经承包人同意，发包人和监理人不得为合同以外的目的泄露给他人或公开发表与引用。</w:t>
      </w:r>
    </w:p>
    <w:p w14:paraId="79F1A38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2.发包人义务</w:t>
      </w:r>
    </w:p>
    <w:p w14:paraId="0A98201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 遵守法律</w:t>
      </w:r>
    </w:p>
    <w:p w14:paraId="7488D17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发包人在履行合同过程中应遵守法律，并保证承包人免于承担因发包人违反法律而引起的任何责任。</w:t>
      </w:r>
    </w:p>
    <w:p w14:paraId="36D1472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 发出开工通知</w:t>
      </w:r>
    </w:p>
    <w:p w14:paraId="00F1116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发包人应委托监理人按第11.1 款的约定向承包人发出开工通知。</w:t>
      </w:r>
    </w:p>
    <w:p w14:paraId="1375AC2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 提供施工场地</w:t>
      </w:r>
    </w:p>
    <w:p w14:paraId="23E266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2.3.1 发包人应在合同双方签订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410208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2.3.2发包人提供的施工用地范围在专用合同条款中约定。</w:t>
      </w:r>
    </w:p>
    <w:p w14:paraId="5CD432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除专用合同条款另有约定外，发包人应按技术标准和要求(合同技术条款)的约定，向承包人提供施工场地内的工程地质图纸和报告，以及地下障碍物图纸等施工场地有关资料，并保证资料的真实、准确、完整。</w:t>
      </w:r>
    </w:p>
    <w:p w14:paraId="3843F18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 协助承包人办理证件和批件</w:t>
      </w:r>
    </w:p>
    <w:p w14:paraId="1270762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发包人应协助承包人办理法律规定的有关施工证件和批件。</w:t>
      </w:r>
    </w:p>
    <w:p w14:paraId="0900E46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2.5 组织设计交底</w:t>
      </w:r>
    </w:p>
    <w:p w14:paraId="1A269A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发包人应根据合同进度计划，组织设计单位向承包人进行设计交底。</w:t>
      </w:r>
    </w:p>
    <w:p w14:paraId="5886466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 支付合同价款</w:t>
      </w:r>
    </w:p>
    <w:p w14:paraId="68FFE9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发包人应按合同约定向承包人及时支付合同价款。</w:t>
      </w:r>
    </w:p>
    <w:p w14:paraId="2936C9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2.7组织竣工验收(组织法人验收)</w:t>
      </w:r>
    </w:p>
    <w:p w14:paraId="5F301A7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发包人应按合同约定及时组织法人验收。</w:t>
      </w:r>
    </w:p>
    <w:p w14:paraId="2B53D16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 其它义务</w:t>
      </w:r>
    </w:p>
    <w:p w14:paraId="14A6843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其它义务在专用合同条款中补充约定。</w:t>
      </w:r>
    </w:p>
    <w:p w14:paraId="07D69B10">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w:t>
      </w:r>
    </w:p>
    <w:p w14:paraId="48298DE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 监理人的职责和权利</w:t>
      </w:r>
    </w:p>
    <w:p w14:paraId="1C075F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 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p>
    <w:p w14:paraId="6BF3650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 监理人发出的任何指示应视为已得到发包人的批准，但监理人无权免除或变更合同约定的发包人和承包人的权利、义务和责任。</w:t>
      </w:r>
    </w:p>
    <w:p w14:paraId="6D4D743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 合同约定应由承包人承担的义务和责任，不因监理人对承包人提交文件的审查或批准，对工程、材料和设备的检查和检验，以及为实施监理作出的指示等职务行为而减轻或解除。</w:t>
      </w:r>
    </w:p>
    <w:p w14:paraId="6C2465E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 总监理工程师</w:t>
      </w:r>
    </w:p>
    <w:p w14:paraId="6E36052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3FC82D7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 监理人员</w:t>
      </w:r>
    </w:p>
    <w:p w14:paraId="3C67D2F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143E1B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6F9661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 承包人对总监理工程师授权的监理人员发出的指示有疑问的，可向总监理工程师提出书面异议，总监理工程师应在48小时内对该指示予以确认、更改或撤销。</w:t>
      </w:r>
    </w:p>
    <w:p w14:paraId="129E22D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3.3.4 除专用合同条款另有约定外，总监理工程师不应将第3.5 款约定应由总监理工程师作出确定的权力授权或委托给其他监理人员。</w:t>
      </w:r>
    </w:p>
    <w:p w14:paraId="5FA52B0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 监理人的指示</w:t>
      </w:r>
    </w:p>
    <w:p w14:paraId="308EB8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3.4.1 监理人应按第3.1 款的约定向承包人发出指示，监理人的指示应盖有监理人授权的施工场地机构章，并由总监理工程师或总监理工程师按第3.3.1 项约定授权的监理人员签字。</w:t>
      </w:r>
    </w:p>
    <w:p w14:paraId="3354811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3.4.2 承包人收到监理人按第3.4.1 项作出的指示后应遵照执行。指示构成变更的，应按第15条处理。</w:t>
      </w:r>
    </w:p>
    <w:p w14:paraId="1564046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6057558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3.4.4 除合同另有约定外，承包人只从总监理工程师或按第3.3.1 项被授权的监理人员处取得指示。</w:t>
      </w:r>
    </w:p>
    <w:p w14:paraId="47094C5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3.4.5 由于监理人未能按合同约定发出指示、指示延误或指示错误而导致承包人费用增加和（或）工期延误的，由发包人承担赔偿责任。</w:t>
      </w:r>
    </w:p>
    <w:p w14:paraId="4033043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 商定或确定</w:t>
      </w:r>
    </w:p>
    <w:p w14:paraId="18ACE6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 合同约定总监理工程师应按照本款对任何事项进行商定或确定时，总监理工程师应与合同当事人协商，尽量达成一致。不能达成一致的，总监理工程师应认真研究后审慎确定。</w:t>
      </w:r>
    </w:p>
    <w:p w14:paraId="5A5A31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00BE984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w:t>
      </w:r>
    </w:p>
    <w:p w14:paraId="78CF8EE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 承包人的一般义务</w:t>
      </w:r>
    </w:p>
    <w:p w14:paraId="7DADE08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 遵守法律</w:t>
      </w:r>
    </w:p>
    <w:p w14:paraId="7EEECE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承包人在履行合同过程中应遵守法律，并保证发包人免于承担因承包人违反法律而引起的任何责任。</w:t>
      </w:r>
    </w:p>
    <w:p w14:paraId="104460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 依法纳税</w:t>
      </w:r>
    </w:p>
    <w:p w14:paraId="1B85CA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承包人应按有关法律规定纳税，应缴纳的税金包括在合同价格内。</w:t>
      </w:r>
    </w:p>
    <w:p w14:paraId="02189B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4.1.3 完成各项承包工作</w:t>
      </w:r>
    </w:p>
    <w:p w14:paraId="4EE9ADA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照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p>
    <w:p w14:paraId="03970AE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4.1.4 对施工作业和施工方法的完备性负责</w:t>
      </w:r>
    </w:p>
    <w:p w14:paraId="6510A0E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承包人应按合同约定的工作内容和施工进度要求，编制施工组织设计和施工措施计划，并对所有施工作业和施工方法的完备性和安全可靠性负责。</w:t>
      </w:r>
    </w:p>
    <w:p w14:paraId="2100DCF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4.1.5 保证工程施工和人员的安全</w:t>
      </w:r>
    </w:p>
    <w:p w14:paraId="682F0CE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承包人应按第9.2 款约定采取施工安全措施，确保工程及其人员、材料、设备和设施的安全，防止因工程施工造成的人身伤害和财产损失。</w:t>
      </w:r>
    </w:p>
    <w:p w14:paraId="2F053A7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4.1.6 负责施工场地及其周边环境与生态的保护工作</w:t>
      </w:r>
    </w:p>
    <w:p w14:paraId="1A5ECE5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承包人应按照第9.4 款约定负责施工场地及其周边环境与生态的保护工作。</w:t>
      </w:r>
    </w:p>
    <w:p w14:paraId="13EF1D1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4.1.7 避免施工对公众与他人的利益造成损害</w:t>
      </w:r>
    </w:p>
    <w:p w14:paraId="7ADC1C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3C0785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4.1.8 为他人提供方便</w:t>
      </w:r>
    </w:p>
    <w:p w14:paraId="553DBD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354DC67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4.1.9 工程的维护和照管</w:t>
      </w:r>
    </w:p>
    <w:p w14:paraId="32E734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39B6109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4.1.10 其他义务</w:t>
      </w:r>
    </w:p>
    <w:p w14:paraId="0B8C7B1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其它义务在专用合同条款中补充约定。</w:t>
      </w:r>
    </w:p>
    <w:p w14:paraId="38E474B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 履约担保</w:t>
      </w:r>
    </w:p>
    <w:p w14:paraId="4695CA1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承包人应保证其履约担保在发包人颁发合同工程完工证书前一直有效。发包人应在合同工程完工证书颁发后28天内将履约担保退还给承包人。</w:t>
      </w:r>
    </w:p>
    <w:p w14:paraId="30F05AC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 分包</w:t>
      </w:r>
    </w:p>
    <w:p w14:paraId="0187E7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 承包人不得将其承包的全部工程转包给第三人，或将其承包的全部工程肢解后以分包的名义转包给第三人。</w:t>
      </w:r>
    </w:p>
    <w:p w14:paraId="5048179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 承包人不得将工程主体、关键性工作分包给第三人。除专用合同条款另有约定外，未经发包人同意，承包人不得将工程的其他部分或工作分包给第三人。</w:t>
      </w:r>
    </w:p>
    <w:p w14:paraId="79932C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 分包人的资格能力应与其分包工程的标准和规模相适应。</w:t>
      </w:r>
    </w:p>
    <w:p w14:paraId="3551075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 按投标函附录约定分包工程的，承包人应向发包人和监理人提交分包合同副本。</w:t>
      </w:r>
    </w:p>
    <w:p w14:paraId="1A73161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4.3.5 承包人应与分包人就分包工程向发包人承担连带责任。</w:t>
      </w:r>
    </w:p>
    <w:p w14:paraId="2E8958C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103977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46625B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由指定分包人造成的与其分包工作有关的一切索赔、诉讼和损失赔偿由指定分包人直接对发包人负责，承包人不对此承担责任。</w:t>
      </w:r>
    </w:p>
    <w:p w14:paraId="25B90F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46EBE72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4.3.9 除第4.3.7项规定的指定分包外，承包人对其分包项目的实施以及分包人的行为向发包人负全部责任。承包人应对分包项目的工程进度、质量、安全、计量和验收等实施监督和管理。</w:t>
      </w:r>
    </w:p>
    <w:p w14:paraId="606000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4.3.10分包人应按专用合同条款的约定设立项目管理机构组织管理分包工程的施工活动。</w:t>
      </w:r>
    </w:p>
    <w:p w14:paraId="27DA7DE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 联合体</w:t>
      </w:r>
    </w:p>
    <w:p w14:paraId="2BB14F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 联合体各方应共同与发包人签订合同协议书。联合体各方应为履行合同承担连带责任。</w:t>
      </w:r>
    </w:p>
    <w:p w14:paraId="5C0553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 联合体协议经发包人确认后作为合同附件。在履行合同过程中，未经发包人同意，不得修改联合体协议。</w:t>
      </w:r>
    </w:p>
    <w:p w14:paraId="2FF163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 联合体牵头人负责与发包人和监理人联系，并接受指示，负责组织联合体各成员全面履行合同。</w:t>
      </w:r>
    </w:p>
    <w:p w14:paraId="7110893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 承包人项目经理</w:t>
      </w:r>
    </w:p>
    <w:p w14:paraId="7C2B7C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5CAEC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 承包人项目经理应按合同约定以及监理人按第3.4 款作出的指示，负责组织合同工程的实施。在情况紧急且无法与监理人取得联系时，可采取保证工程和人员生命财产安全的紧急措施，并在采取措施后24小时内向监理人提交书面报告。</w:t>
      </w:r>
    </w:p>
    <w:p w14:paraId="6E911AE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 承包人为履行合同发出的一切函件均应盖有承包人授权的施工场地管理机构章，并由承包人项目经理或其授权代表签字。</w:t>
      </w:r>
    </w:p>
    <w:p w14:paraId="7C644F3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4.5.4 承包人项目经理可以授权其下属人员履行其某项职责，但事先应将这些人员的姓名和授权范围通知监理人。</w:t>
      </w:r>
    </w:p>
    <w:p w14:paraId="296EF9B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 承包人人员的管理</w:t>
      </w:r>
    </w:p>
    <w:p w14:paraId="037D65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33CBFCC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 为完成合同约定的各项工作，承包人应向施工场地派遣或雇佣足够数量的下列人员：</w:t>
      </w:r>
    </w:p>
    <w:p w14:paraId="418396F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(1）具有相应资格的专业技工和合格的普工；</w:t>
      </w:r>
    </w:p>
    <w:p w14:paraId="424A2FF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(2）具有相应施工经验的技术人员；</w:t>
      </w:r>
    </w:p>
    <w:p w14:paraId="5E66267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(3）具有相应岗位资格的各级管理人员。</w:t>
      </w:r>
    </w:p>
    <w:p w14:paraId="2210D68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4.6.3 承包人安排在施工场地的主要管理人员和技术骨干应相对稳定。承包人更换主要管理人员和技术骨干时，应取得监理人的同意。</w:t>
      </w:r>
    </w:p>
    <w:p w14:paraId="42E56AA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4.6.4 特殊岗位的工作人员均应持有相应的资格证明，监理人有权随时检查。监理人认为有必要时，可进行现场考核。</w:t>
      </w:r>
    </w:p>
    <w:p w14:paraId="68594A3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 撤换承包人项目经理和其他人员</w:t>
      </w:r>
    </w:p>
    <w:p w14:paraId="1B6672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承包人应对其项目经理和其他人员进行有效管理。监理人要求撤换不能胜任本职工作、行为不端或玩忽职守的承包人项目经理和其他人员的，承包人应予以撤换。</w:t>
      </w:r>
    </w:p>
    <w:p w14:paraId="3E9E1F3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 保障承包人人员的合法权益</w:t>
      </w:r>
    </w:p>
    <w:p w14:paraId="1617E50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 承包人应与其雇佣的人员签订劳动合同，并按时发放工资。</w:t>
      </w:r>
    </w:p>
    <w:p w14:paraId="431A837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16376C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 承包人应为其雇佣人员提供必要的食宿条件，以及符合环境保护和卫生要求的生活环境，在远离城镇的施工场地，还应配备必要的伤病防治和急救的医务人员与医疗设施。</w:t>
      </w:r>
    </w:p>
    <w:p w14:paraId="766AED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1E6843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 承包人应按有关法律规定和合同约定，为其雇佣人员办理保险。</w:t>
      </w:r>
    </w:p>
    <w:p w14:paraId="0A549D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 承包人应负责处理其雇佣人员因工伤亡事故的善后事宜。</w:t>
      </w:r>
    </w:p>
    <w:p w14:paraId="0ECE3C2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 工程价款应专款专用</w:t>
      </w:r>
    </w:p>
    <w:p w14:paraId="2B23825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发包人按合同约定支付给承包人的各项价款应专用于合同工程。</w:t>
      </w:r>
    </w:p>
    <w:p w14:paraId="131CC6F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 承包人现场查勘</w:t>
      </w:r>
    </w:p>
    <w:p w14:paraId="6DCBB7A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4.10.1 发包人应将其持有的现场地质勘探资料、水文气象资料提供给承包人，并对其准确胜负责。但承包人应对其阅读上述有关资料后所作出的解释和推断负责。</w:t>
      </w:r>
    </w:p>
    <w:p w14:paraId="1C3525D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2A74915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 不利物质条件</w:t>
      </w:r>
    </w:p>
    <w:p w14:paraId="385CA09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4.11.1除专用合同条款另有约定外，不利物质条件是指在施工中遭遇不可预见的外界障碍或自然条件造成施工受阻。</w:t>
      </w:r>
    </w:p>
    <w:p w14:paraId="20E4988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4.11.2承包人遇到不利物质条件时，应采取适应不利物质条件的合理措施继续施工，并及时通知监理人。承包人有权根据第23.1款的约定，要求延长工期及增加费用。监理人收到此类要求后，应在分析上述外界障碍或自然条件是否不可预见及不可预见程度的基础上，按照通用合同条款第15条的约定办理。</w:t>
      </w:r>
    </w:p>
    <w:p w14:paraId="701516DB">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5.材料和工程设备</w:t>
      </w:r>
    </w:p>
    <w:p w14:paraId="0F074A4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 承包人提供的材料和工程设备</w:t>
      </w:r>
    </w:p>
    <w:p w14:paraId="6735B3B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5.1.1除第5.2款约定由发包人提供的材料和工程设备外，承包人负责采购、运输和保管完成本合同工作所需的材料和工程设备。承包人应对其采购的材料和工程设备负责。</w:t>
      </w:r>
    </w:p>
    <w:p w14:paraId="29FB11E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1F25C4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06E18E8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 发包人提供的材料和工程设备</w:t>
      </w:r>
    </w:p>
    <w:p w14:paraId="488A4EB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5.2.1 发包人提供的材料和工程设备，应在专用合同条款中写明材料和工程设备的名称、规格、数量、价格、交货方式、交货地点和计划交货日期等。</w:t>
      </w:r>
    </w:p>
    <w:p w14:paraId="2FFA827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5.2.2 承包人应根据合同进度计划的安排，向监理人报送要求发包人交货的日期计划。发包人应按照监理人与合同双方当事人商定的交货日期，向承包人提交材料和工程设备。</w:t>
      </w:r>
    </w:p>
    <w:p w14:paraId="4838BB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5.2.3发包人应在材料和工程设备到货7天前通知承包人，承包人应会同监理人在约定的时间内，赴交货地点共同进行验收。发包人提供的材料和工程设备运至交货地点验收后，由承包人负责接收、卸货、运输和保管。</w:t>
      </w:r>
    </w:p>
    <w:p w14:paraId="3FFE15C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5.2.4 发包人要求向承包人提前交货的，承包人不得拒绝，但发包人应承担承包人由此增加的费用。</w:t>
      </w:r>
    </w:p>
    <w:p w14:paraId="4F3A6D8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5.2.5 承包人要求更改交货日期或地点的，应事先报请监理人批准。由于承包人要求更改交货时间或地点所增加的费用和（或）工期延误由承包人承担。</w:t>
      </w:r>
    </w:p>
    <w:p w14:paraId="1B35B78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2DBFDE1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 材料和工程设备专用于合同工程</w:t>
      </w:r>
    </w:p>
    <w:p w14:paraId="38D4418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5.3.1 运入施工场地的材料、工程设备，包括备品备件、安装专用工器具与随机资料，必须专用于合同工程，未经监理人同意，承包人不得运出施工场地或挪作他用。</w:t>
      </w:r>
    </w:p>
    <w:p w14:paraId="345B57F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2B17906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 禁止使用不合格的材料和工程设备</w:t>
      </w:r>
    </w:p>
    <w:p w14:paraId="73D1C2A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5.4.1 监理人有权拒绝承包人提供的不合格材料或工程设备，并要求承包人立即进行更换。监理人应在更换后再次进行检查和检验，由此增加的费用和（或）工期延误由承包人承担。</w:t>
      </w:r>
    </w:p>
    <w:p w14:paraId="73768F4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5.4.2 监理人发现承包人使用了不合格的材料和工程设备，应即时发出指示要求承包人立即改正，并禁止在工程中继续使用不合格的材料和工程设备。</w:t>
      </w:r>
    </w:p>
    <w:p w14:paraId="68B041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5.4.3 发包人提供的材料或工程设备不符合合同要求的，承包人有权拒绝，并可要求发包人更换，由此增加的费用和（或）工期延误由发包人承担。</w:t>
      </w:r>
    </w:p>
    <w:p w14:paraId="48184222">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6.施工设备和临时设施</w:t>
      </w:r>
    </w:p>
    <w:p w14:paraId="070E102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 承包人提供的施工设备和临时设施</w:t>
      </w:r>
    </w:p>
    <w:p w14:paraId="4775FD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2437DDD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6.1.2 除专用合同条款另有约定外，承包人应自行承担修建临时设施的费用，需要临时占地的，应由发包人办理申请手续并承担相应费用。</w:t>
      </w:r>
    </w:p>
    <w:p w14:paraId="298B558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 发包人提供的施工设备和临时设施</w:t>
      </w:r>
    </w:p>
    <w:p w14:paraId="7AB605B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发包人提供的施工设备或临时设施在专用合同条款中约定。</w:t>
      </w:r>
    </w:p>
    <w:p w14:paraId="31303A8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 要求承包人增加或更换施工设备</w:t>
      </w:r>
    </w:p>
    <w:p w14:paraId="0715C3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承包人使用的施工设备不能满足合同进度计划和（或）质量要求时，监理人有权要求承包人增加或更换施工设备，承包人应及时增加或更换，由此增加的费用和（或）工期延误由承包人承担。</w:t>
      </w:r>
    </w:p>
    <w:p w14:paraId="5816AEE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 施工设备和临时设施专用于合同工程</w:t>
      </w:r>
    </w:p>
    <w:p w14:paraId="63706DC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2F1E43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6.4.2 经监理人同意，承包人可根据合同进度计划撤走闲置的施工设备。</w:t>
      </w:r>
    </w:p>
    <w:p w14:paraId="794B0675">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7.交通运输</w:t>
      </w:r>
    </w:p>
    <w:p w14:paraId="5AF67C8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 道路通行权和场外设施</w:t>
      </w:r>
    </w:p>
    <w:p w14:paraId="79E2D06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06635E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 场内施工道路</w:t>
      </w:r>
    </w:p>
    <w:p w14:paraId="5B5963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7.2.1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14:paraId="4C1DBB4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7.2.2承包人修建的临时道路和交通设施，应免费提供发包人、监理人以及与本合同有关的其他承包人使用。</w:t>
      </w:r>
    </w:p>
    <w:p w14:paraId="0E5D842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 场外交通</w:t>
      </w:r>
    </w:p>
    <w:p w14:paraId="680DEB1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7.3.1 承包人车辆外出行驶所需的场外公共道路的通行费、养路费和税款等由承包人承担。</w:t>
      </w:r>
    </w:p>
    <w:p w14:paraId="18DF82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7.3.2 承包人应遵守有关交通法规，严格按照道路和桥梁的限制荷重安全行驶，并服从交通管理部门的检查和监督。</w:t>
      </w:r>
    </w:p>
    <w:p w14:paraId="6DFFA5C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 超大件和超重件的运输</w:t>
      </w:r>
    </w:p>
    <w:p w14:paraId="06BCA6E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628702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 道路和桥梁的损坏责任</w:t>
      </w:r>
    </w:p>
    <w:p w14:paraId="67C08B7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因承包人运输造成施工场地内外公共道路和桥梁损坏的，由承包人承担修复损坏的全部费用和可能引起的赔偿。</w:t>
      </w:r>
    </w:p>
    <w:p w14:paraId="1CCE281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7.6 水路和航空运输</w:t>
      </w:r>
    </w:p>
    <w:p w14:paraId="6EA9BE0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本条上述各款的内容适用于水路运输和航空运输，其中“道路”一词的涵义包括河道、航线、船闸、机场、码头、堤防以及水路或航空运输中其他相似结构物；“车辆”一词的函义包括船舶和飞机等。</w:t>
      </w:r>
    </w:p>
    <w:p w14:paraId="19DE2866">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8.测量放线</w:t>
      </w:r>
    </w:p>
    <w:p w14:paraId="0C0B9A1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8.1施工控制网</w:t>
      </w:r>
    </w:p>
    <w:p w14:paraId="61750DA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8.1.1 除专用合同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2130C0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8.1.2 承包人应负责管理施工控制网点。施工控制网点丢失或损坏的，承包人应及时修复。承包人应承担施工控制网点的管理与修复费用，并在工程竣工后将施工控制网点移交发包人。</w:t>
      </w:r>
    </w:p>
    <w:p w14:paraId="1EC77D2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 施工测量</w:t>
      </w:r>
    </w:p>
    <w:p w14:paraId="5A03C97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8.2.1 承包人应负责施工过程中的全部施工测量放线工作，并配置合格的人员、仪器、设备和其他物品。</w:t>
      </w:r>
    </w:p>
    <w:p w14:paraId="4E9F4E8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8.2.2 监理人可以指示承包人进行抽样复测，当复测中发现错误或出现超过合同约定的误差时，承包人应按监理人指示进行修正或补测，并承担相应的复测费用。</w:t>
      </w:r>
    </w:p>
    <w:p w14:paraId="3CC216E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 基准资料错误的责任</w:t>
      </w:r>
    </w:p>
    <w:p w14:paraId="35FDF68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720B966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8.4 监理人使用施工控制网</w:t>
      </w:r>
    </w:p>
    <w:p w14:paraId="65FEB9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监理人需要使用施工控制网的，承包人应提供必要的协助，发包人不再为此支付费用。</w:t>
      </w:r>
    </w:p>
    <w:p w14:paraId="0C4E426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8.5补充地质勘探</w:t>
      </w:r>
    </w:p>
    <w:p w14:paraId="19A6D8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14:paraId="33DBEB2E">
      <w:pPr>
        <w:spacing w:line="360" w:lineRule="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9.施工安全、治安保卫和环境保护</w:t>
      </w:r>
    </w:p>
    <w:p w14:paraId="304AE23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9.1 发包人的施工安全责任</w:t>
      </w:r>
    </w:p>
    <w:p w14:paraId="554C28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9.1.1 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6500C46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9.1.2 发包人应对其现场机构雇佣的全部人员的工伤事故承担责任，但由于承包人原因造成发包人人员工伤的，应由承包人承担责任。</w:t>
      </w:r>
    </w:p>
    <w:p w14:paraId="6EA09B0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9.1.3 发包人应负责赔偿以下各种情况造成的第三者人身伤亡和财产损失：</w:t>
      </w:r>
    </w:p>
    <w:p w14:paraId="0F80E3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(l）工程或工程的任何部分对土地的占用所造成的第三者财产损失；</w:t>
      </w:r>
    </w:p>
    <w:p w14:paraId="769817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(2）由于发包人原因在施工场地及其毗邻地带造成的第三者人身伤亡和财产损失。</w:t>
      </w:r>
    </w:p>
    <w:p w14:paraId="240FF7E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9.1.4 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14:paraId="59034C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9.1.5 发包人按照已标价工程量清单所列金额和合同约定的计量支付规定，支付安全作业环境及安全施工措施所需费用。</w:t>
      </w:r>
    </w:p>
    <w:p w14:paraId="7A3EBC9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9.1.6 发包人负责组织工程参建单位编制保证安全生产的措施方案。工程开工前，就落实保证安全生产的措施进行全面系统的布置，进一步明确承包人的安全生产责任。</w:t>
      </w:r>
    </w:p>
    <w:p w14:paraId="501BB9D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9.1.7 发包人负责在拆除工程和爆破工程施工14天前向有关部门或机构报送相关备案资料。</w:t>
      </w:r>
    </w:p>
    <w:p w14:paraId="7B9DA18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 承包人的施工安全责任</w:t>
      </w:r>
    </w:p>
    <w:p w14:paraId="555B97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1E40A8E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9.2.2 承包人应加强施工作业安全管理，特别应加强易燃、易爆材料、火工器材、有毒与腐蚀性材料和其他危险品的管理，以及对爆破作业和地下工程施工等危险作业的管理。</w:t>
      </w:r>
    </w:p>
    <w:p w14:paraId="6ABD0BB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9.2.3 承包人应严格按照国家安全标准制定施工安全操作规程，配备必要的安全生产和劳动保护设施，加强对承包人人员的安全教育，并发放安全工作手册和劳动保护用具。</w:t>
      </w:r>
    </w:p>
    <w:p w14:paraId="6E1C68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9.2.4 承包人应按监理人的指示制定应对灾害的紧急预案，报送监理人审批。承包人还应按预案做好安全检查，配置必要的救助物资和器材，切实保护好有关人员的人身和财产安全。</w:t>
      </w:r>
    </w:p>
    <w:p w14:paraId="0B336AD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290324A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9.2.6 承包人应对其履行合同所雇佣的全部人员，包括分包人人员的工伤事故承担责任，但由于发包人原因造成承包人人员工伤事故的，应由发包人承担责任。</w:t>
      </w:r>
    </w:p>
    <w:p w14:paraId="7534F55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9.2.7 由于承包人原因在施工场地内及其毗邻地带造成的第三者人员伤亡和财产损失，由承包人负责赔偿。</w:t>
      </w:r>
    </w:p>
    <w:p w14:paraId="3F6DD9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9.2.8 承包人已标价工程量清单应包含工程安全作业环境及安全施工措施所需费用。</w:t>
      </w:r>
    </w:p>
    <w:p w14:paraId="320B73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9.2.9 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1820B3F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9.2.10 承包人应设立安全生产管理机构，施工现场应有专职安全生产管理人员。</w:t>
      </w:r>
    </w:p>
    <w:p w14:paraId="6E8E178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9.2.11 承包人应负责对特种作业人员进行专门的安全作业培训，并保证特种作业人员持证上岗。</w:t>
      </w:r>
    </w:p>
    <w:p w14:paraId="5E2D3E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9.2.12 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6DD3DBE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9.2.13 承包人在使用施工起重机械和整体提升脚手架、模板等自升式架设设施前，应组织有关单位进行验收。</w:t>
      </w:r>
    </w:p>
    <w:p w14:paraId="0E9273C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 治安保卫</w:t>
      </w:r>
    </w:p>
    <w:p w14:paraId="7FF202F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9.3.1 除合同另有约定外，发包人应与当地公安部门协商，在现场建立治安管理机构或联防组织，统一管理施工场地的治安保卫事项，履行合同工程的治安保卫职责。</w:t>
      </w:r>
    </w:p>
    <w:p w14:paraId="7A5AF8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9.3.2 发包人和承包人除应协助现场治安管理机构或联防组织维护施工场地的社会治安外，还应做好包括生活区在内的各自管辖区的治安保卫工作。</w:t>
      </w:r>
    </w:p>
    <w:p w14:paraId="5495B59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72B1935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 环境保护</w:t>
      </w:r>
    </w:p>
    <w:p w14:paraId="0ACCB4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9.4.1 承包人在施工过程中，应遵守有关环境保护的法律，履行合同约定的环境保护义务，并对违反法律和合同约定义务所造成的环境破坏、人身伤害和财产损失负责。</w:t>
      </w:r>
    </w:p>
    <w:p w14:paraId="155114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9.4.2 承包人应按合同约定的环保工作内容，编制施工环保措施计划，报送监理人审批。</w:t>
      </w:r>
    </w:p>
    <w:p w14:paraId="517E80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71063CD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9.4.4 承包人应按合同约定采取有效措施，对施工开挖的边坡及时进行支护，维护排水设施，并进行水土保护，避免因施工造成的地质灾害。</w:t>
      </w:r>
    </w:p>
    <w:p w14:paraId="3C573E0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9.4.5 承包人应按国家饮用水管理标准定期对饮用水源进行监测，防止施工活动污染饮用水源。</w:t>
      </w:r>
    </w:p>
    <w:p w14:paraId="795DA58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9.4.6 承包人应按合同约定，加强对噪声、粉尘、废气、废水和废油的控制，努力降低噪声，控制粉尘和废气浓度，做好废水和废油的治理和排放。</w:t>
      </w:r>
    </w:p>
    <w:p w14:paraId="05A91EA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 事故处理</w:t>
      </w:r>
    </w:p>
    <w:p w14:paraId="3DD54C2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C05B92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9.5.1 发包人负责组织参建单位制定本工程的质量与安全事故应急预案，建立质量与安全事故应急处置指挥部。</w:t>
      </w:r>
    </w:p>
    <w:p w14:paraId="75AD71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9.5.2 承包人应对施工现场易发生质量和安全事故的部位、环节进行监控，配备救援器材、设备，并定期组织演练。</w:t>
      </w:r>
    </w:p>
    <w:p w14:paraId="607DCAA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9.5.3 工程开工前，承包人应根据本工程的特点制定施工现场施工质量与安全事故应急预案，并报发包人备案。</w:t>
      </w:r>
    </w:p>
    <w:p w14:paraId="1400D2C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9.5.4 施工过程中发生事故时，发包人、承包人应立即启动应急预案。</w:t>
      </w:r>
    </w:p>
    <w:p w14:paraId="0D30F8A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9.5.5 事故调查处理由发包人按相关规定履行手续，承包人应配合。</w:t>
      </w:r>
    </w:p>
    <w:p w14:paraId="45EE701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 水土保持</w:t>
      </w:r>
    </w:p>
    <w:p w14:paraId="32EE0D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9.6.1 发包人应及时向承包人提供水土保持方案。</w:t>
      </w:r>
    </w:p>
    <w:p w14:paraId="2C74757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9.6.2 承包人在施工过程中，应遵守有关水土保持的法律法规和规章，履行合同约定的水土保持义务，并对其违反法律和合同约定义务所造成的水土流失灾害、人身伤害和财产损失负责。</w:t>
      </w:r>
    </w:p>
    <w:p w14:paraId="6471ED8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9.6.3 承包人的水土保持措施计划，应满足技术标准和要求(合同技术条款)约定的要求。</w:t>
      </w:r>
    </w:p>
    <w:p w14:paraId="5A65743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9.7 文明工地</w:t>
      </w:r>
    </w:p>
    <w:p w14:paraId="2EB9BBB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9.7.1 发包人应按专用合同条款的约定，负责建立创建文明建设工地的组织机构，制定创建文明建设工地的规划和办法。</w:t>
      </w:r>
    </w:p>
    <w:p w14:paraId="0600F31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9.7.2 承包人应按创建文明建设工地的规划和办法，履行职责，承担相应责任。所需费用应含在已标价工程量清单中。</w:t>
      </w:r>
    </w:p>
    <w:p w14:paraId="3ACF302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9.8 防汛度汛</w:t>
      </w:r>
    </w:p>
    <w:p w14:paraId="6214A2B5">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9.8.1 发包人负责组织工程参建单位编制本工程的度汛方案和措施。</w:t>
      </w:r>
    </w:p>
    <w:p w14:paraId="46BDF73A">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9.8.2 承包人应根据发包人编制的本工程度汛方案和措施，制定相应的度汛方案，报发包人批准后实施。</w:t>
      </w:r>
    </w:p>
    <w:p w14:paraId="65B8ECD4">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42ABCD5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10.1合同进度计划</w:t>
      </w:r>
    </w:p>
    <w:p w14:paraId="40F3B0A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3B0829C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10.2合同进度计划的修订</w:t>
      </w:r>
    </w:p>
    <w:p w14:paraId="73D07DB3">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1ADFDB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不论何种原因造成施工进度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p>
    <w:p w14:paraId="6DAFBDD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10.3单位工程进度计划</w:t>
      </w:r>
    </w:p>
    <w:p w14:paraId="363A759A">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监理人认为有必要时，承包人应按监理人指示的内容和期限，并根据合同进度计划的进度控制要求，编制单位工程进度计划，提交监理人审批。</w:t>
      </w:r>
    </w:p>
    <w:p w14:paraId="54B780F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10.4提交资金流估算表</w:t>
      </w:r>
    </w:p>
    <w:p w14:paraId="7BE36E6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p>
    <w:p w14:paraId="1088B770">
      <w:pPr>
        <w:spacing w:line="360" w:lineRule="auto"/>
        <w:ind w:firstLine="480" w:firstLineChars="200"/>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资金流估算表(参考格式)    金额单位</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584"/>
        <w:gridCol w:w="968"/>
        <w:gridCol w:w="1241"/>
        <w:gridCol w:w="1276"/>
        <w:gridCol w:w="992"/>
        <w:gridCol w:w="992"/>
        <w:gridCol w:w="567"/>
        <w:gridCol w:w="1058"/>
        <w:gridCol w:w="1024"/>
      </w:tblGrid>
      <w:tr w14:paraId="0B9A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652" w:type="dxa"/>
            <w:noWrap w:val="0"/>
            <w:vAlign w:val="center"/>
          </w:tcPr>
          <w:p w14:paraId="356D299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年</w:t>
            </w:r>
          </w:p>
        </w:tc>
        <w:tc>
          <w:tcPr>
            <w:tcW w:w="584" w:type="dxa"/>
            <w:noWrap w:val="0"/>
            <w:vAlign w:val="center"/>
          </w:tcPr>
          <w:p w14:paraId="2E4B473B">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月</w:t>
            </w:r>
          </w:p>
        </w:tc>
        <w:tc>
          <w:tcPr>
            <w:tcW w:w="968" w:type="dxa"/>
            <w:noWrap w:val="0"/>
            <w:vAlign w:val="center"/>
          </w:tcPr>
          <w:p w14:paraId="71AB975A">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工程预付款</w:t>
            </w:r>
          </w:p>
        </w:tc>
        <w:tc>
          <w:tcPr>
            <w:tcW w:w="1241" w:type="dxa"/>
            <w:noWrap w:val="0"/>
            <w:vAlign w:val="center"/>
          </w:tcPr>
          <w:p w14:paraId="2248DB6F">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完成工作量付款</w:t>
            </w:r>
          </w:p>
        </w:tc>
        <w:tc>
          <w:tcPr>
            <w:tcW w:w="1276" w:type="dxa"/>
            <w:noWrap w:val="0"/>
            <w:vAlign w:val="center"/>
          </w:tcPr>
          <w:p w14:paraId="64B25232">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质量保证金扣留</w:t>
            </w:r>
          </w:p>
        </w:tc>
        <w:tc>
          <w:tcPr>
            <w:tcW w:w="992" w:type="dxa"/>
            <w:noWrap w:val="0"/>
            <w:vAlign w:val="center"/>
          </w:tcPr>
          <w:p w14:paraId="2302DBBF">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材料款扣除</w:t>
            </w:r>
          </w:p>
        </w:tc>
        <w:tc>
          <w:tcPr>
            <w:tcW w:w="992" w:type="dxa"/>
            <w:noWrap w:val="0"/>
            <w:vAlign w:val="center"/>
          </w:tcPr>
          <w:p w14:paraId="152DF536">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预付款扣还</w:t>
            </w:r>
          </w:p>
        </w:tc>
        <w:tc>
          <w:tcPr>
            <w:tcW w:w="567" w:type="dxa"/>
            <w:noWrap w:val="0"/>
            <w:vAlign w:val="center"/>
          </w:tcPr>
          <w:p w14:paraId="12D34A9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其它</w:t>
            </w:r>
          </w:p>
        </w:tc>
        <w:tc>
          <w:tcPr>
            <w:tcW w:w="1058" w:type="dxa"/>
            <w:noWrap w:val="0"/>
            <w:vAlign w:val="center"/>
          </w:tcPr>
          <w:p w14:paraId="614A7419">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应收款</w:t>
            </w:r>
          </w:p>
        </w:tc>
        <w:tc>
          <w:tcPr>
            <w:tcW w:w="1024" w:type="dxa"/>
            <w:noWrap w:val="0"/>
            <w:vAlign w:val="center"/>
          </w:tcPr>
          <w:p w14:paraId="7FF457B7">
            <w:pPr>
              <w:spacing w:line="240" w:lineRule="exact"/>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累计应收款</w:t>
            </w:r>
          </w:p>
        </w:tc>
      </w:tr>
      <w:tr w14:paraId="1B7CE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7AD3542F">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51289B3C">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7741CFE5">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5D8DE8DD">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6233C828">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408F6755">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8E8A840">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6E930089">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600D4682">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2A9E79FF">
            <w:pPr>
              <w:spacing w:line="240" w:lineRule="exact"/>
              <w:jc w:val="center"/>
              <w:outlineLvl w:val="9"/>
              <w:rPr>
                <w:rFonts w:hint="eastAsia" w:ascii="宋体" w:hAnsi="宋体" w:eastAsia="宋体" w:cs="宋体"/>
                <w:sz w:val="24"/>
                <w:szCs w:val="24"/>
                <w:highlight w:val="none"/>
              </w:rPr>
            </w:pPr>
          </w:p>
        </w:tc>
      </w:tr>
      <w:tr w14:paraId="2E79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413C2997">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384C7E36">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4936DB77">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1F6CFB68">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61FEDF90">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4E823359">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CF2A9E9">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4605206E">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0891DCA8">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3525C6BE">
            <w:pPr>
              <w:spacing w:line="240" w:lineRule="exact"/>
              <w:jc w:val="center"/>
              <w:outlineLvl w:val="9"/>
              <w:rPr>
                <w:rFonts w:hint="eastAsia" w:ascii="宋体" w:hAnsi="宋体" w:eastAsia="宋体" w:cs="宋体"/>
                <w:sz w:val="24"/>
                <w:szCs w:val="24"/>
                <w:highlight w:val="none"/>
              </w:rPr>
            </w:pPr>
          </w:p>
        </w:tc>
      </w:tr>
      <w:tr w14:paraId="4490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3D128D8C">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3A3F1D40">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737ABC21">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7CE9FA6C">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1B48AE2A">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70C8A4BF">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23A99B05">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6C404D3F">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67ED49CE">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2C90A20F">
            <w:pPr>
              <w:spacing w:line="240" w:lineRule="exact"/>
              <w:jc w:val="center"/>
              <w:outlineLvl w:val="9"/>
              <w:rPr>
                <w:rFonts w:hint="eastAsia" w:ascii="宋体" w:hAnsi="宋体" w:eastAsia="宋体" w:cs="宋体"/>
                <w:sz w:val="24"/>
                <w:szCs w:val="24"/>
                <w:highlight w:val="none"/>
              </w:rPr>
            </w:pPr>
          </w:p>
        </w:tc>
      </w:tr>
      <w:tr w14:paraId="2A46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52" w:type="dxa"/>
            <w:noWrap w:val="0"/>
            <w:vAlign w:val="center"/>
          </w:tcPr>
          <w:p w14:paraId="0E3861F7">
            <w:pPr>
              <w:spacing w:line="240" w:lineRule="exact"/>
              <w:jc w:val="center"/>
              <w:outlineLvl w:val="9"/>
              <w:rPr>
                <w:rFonts w:hint="eastAsia" w:ascii="宋体" w:hAnsi="宋体" w:eastAsia="宋体" w:cs="宋体"/>
                <w:sz w:val="24"/>
                <w:szCs w:val="24"/>
                <w:highlight w:val="none"/>
              </w:rPr>
            </w:pPr>
          </w:p>
        </w:tc>
        <w:tc>
          <w:tcPr>
            <w:tcW w:w="584" w:type="dxa"/>
            <w:noWrap w:val="0"/>
            <w:vAlign w:val="center"/>
          </w:tcPr>
          <w:p w14:paraId="5CAECFC0">
            <w:pPr>
              <w:spacing w:line="240" w:lineRule="exact"/>
              <w:jc w:val="center"/>
              <w:outlineLvl w:val="9"/>
              <w:rPr>
                <w:rFonts w:hint="eastAsia" w:ascii="宋体" w:hAnsi="宋体" w:eastAsia="宋体" w:cs="宋体"/>
                <w:sz w:val="24"/>
                <w:szCs w:val="24"/>
                <w:highlight w:val="none"/>
              </w:rPr>
            </w:pPr>
          </w:p>
        </w:tc>
        <w:tc>
          <w:tcPr>
            <w:tcW w:w="968" w:type="dxa"/>
            <w:noWrap w:val="0"/>
            <w:vAlign w:val="center"/>
          </w:tcPr>
          <w:p w14:paraId="61D1CEEA">
            <w:pPr>
              <w:spacing w:line="240" w:lineRule="exact"/>
              <w:jc w:val="center"/>
              <w:outlineLvl w:val="9"/>
              <w:rPr>
                <w:rFonts w:hint="eastAsia" w:ascii="宋体" w:hAnsi="宋体" w:eastAsia="宋体" w:cs="宋体"/>
                <w:sz w:val="24"/>
                <w:szCs w:val="24"/>
                <w:highlight w:val="none"/>
              </w:rPr>
            </w:pPr>
          </w:p>
        </w:tc>
        <w:tc>
          <w:tcPr>
            <w:tcW w:w="1241" w:type="dxa"/>
            <w:noWrap w:val="0"/>
            <w:vAlign w:val="center"/>
          </w:tcPr>
          <w:p w14:paraId="6BCEF592">
            <w:pPr>
              <w:spacing w:line="240" w:lineRule="exact"/>
              <w:jc w:val="center"/>
              <w:outlineLvl w:val="9"/>
              <w:rPr>
                <w:rFonts w:hint="eastAsia" w:ascii="宋体" w:hAnsi="宋体" w:eastAsia="宋体" w:cs="宋体"/>
                <w:sz w:val="24"/>
                <w:szCs w:val="24"/>
                <w:highlight w:val="none"/>
              </w:rPr>
            </w:pPr>
          </w:p>
        </w:tc>
        <w:tc>
          <w:tcPr>
            <w:tcW w:w="1276" w:type="dxa"/>
            <w:noWrap w:val="0"/>
            <w:vAlign w:val="center"/>
          </w:tcPr>
          <w:p w14:paraId="050DE59D">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55F4B732">
            <w:pPr>
              <w:spacing w:line="240" w:lineRule="exact"/>
              <w:jc w:val="center"/>
              <w:outlineLvl w:val="9"/>
              <w:rPr>
                <w:rFonts w:hint="eastAsia" w:ascii="宋体" w:hAnsi="宋体" w:eastAsia="宋体" w:cs="宋体"/>
                <w:sz w:val="24"/>
                <w:szCs w:val="24"/>
                <w:highlight w:val="none"/>
              </w:rPr>
            </w:pPr>
          </w:p>
        </w:tc>
        <w:tc>
          <w:tcPr>
            <w:tcW w:w="992" w:type="dxa"/>
            <w:noWrap w:val="0"/>
            <w:vAlign w:val="center"/>
          </w:tcPr>
          <w:p w14:paraId="5DAFB794">
            <w:pPr>
              <w:spacing w:line="240" w:lineRule="exact"/>
              <w:jc w:val="center"/>
              <w:outlineLvl w:val="9"/>
              <w:rPr>
                <w:rFonts w:hint="eastAsia" w:ascii="宋体" w:hAnsi="宋体" w:eastAsia="宋体" w:cs="宋体"/>
                <w:sz w:val="24"/>
                <w:szCs w:val="24"/>
                <w:highlight w:val="none"/>
              </w:rPr>
            </w:pPr>
          </w:p>
        </w:tc>
        <w:tc>
          <w:tcPr>
            <w:tcW w:w="567" w:type="dxa"/>
            <w:noWrap w:val="0"/>
            <w:vAlign w:val="center"/>
          </w:tcPr>
          <w:p w14:paraId="1ABA241A">
            <w:pPr>
              <w:spacing w:line="240" w:lineRule="exact"/>
              <w:jc w:val="center"/>
              <w:outlineLvl w:val="9"/>
              <w:rPr>
                <w:rFonts w:hint="eastAsia" w:ascii="宋体" w:hAnsi="宋体" w:eastAsia="宋体" w:cs="宋体"/>
                <w:sz w:val="24"/>
                <w:szCs w:val="24"/>
                <w:highlight w:val="none"/>
              </w:rPr>
            </w:pPr>
          </w:p>
        </w:tc>
        <w:tc>
          <w:tcPr>
            <w:tcW w:w="1058" w:type="dxa"/>
            <w:noWrap w:val="0"/>
            <w:vAlign w:val="center"/>
          </w:tcPr>
          <w:p w14:paraId="21646266">
            <w:pPr>
              <w:spacing w:line="240" w:lineRule="exact"/>
              <w:jc w:val="center"/>
              <w:outlineLvl w:val="9"/>
              <w:rPr>
                <w:rFonts w:hint="eastAsia" w:ascii="宋体" w:hAnsi="宋体" w:eastAsia="宋体" w:cs="宋体"/>
                <w:sz w:val="24"/>
                <w:szCs w:val="24"/>
                <w:highlight w:val="none"/>
              </w:rPr>
            </w:pPr>
          </w:p>
        </w:tc>
        <w:tc>
          <w:tcPr>
            <w:tcW w:w="1024" w:type="dxa"/>
            <w:noWrap w:val="0"/>
            <w:vAlign w:val="center"/>
          </w:tcPr>
          <w:p w14:paraId="358659EC">
            <w:pPr>
              <w:spacing w:line="240" w:lineRule="exact"/>
              <w:jc w:val="center"/>
              <w:outlineLvl w:val="9"/>
              <w:rPr>
                <w:rFonts w:hint="eastAsia" w:ascii="宋体" w:hAnsi="宋体" w:eastAsia="宋体" w:cs="宋体"/>
                <w:sz w:val="24"/>
                <w:szCs w:val="24"/>
                <w:highlight w:val="none"/>
              </w:rPr>
            </w:pPr>
          </w:p>
        </w:tc>
      </w:tr>
    </w:tbl>
    <w:p w14:paraId="4BA48A33">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11．开工和竣工(完工)</w:t>
      </w:r>
    </w:p>
    <w:p w14:paraId="2F77330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 开工</w:t>
      </w:r>
    </w:p>
    <w:p w14:paraId="5A6E752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75728F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1D075A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11.1.3 若发包人未能按合同约定向承包人提供开工的必要条件，承包人有权要求延长工期。监理人应在收到承包人的书面要求后，按第3.5款的约定，与合同双方商定或确定增加的费用和延长的工期。</w:t>
      </w:r>
    </w:p>
    <w:p w14:paraId="33736E3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p>
    <w:p w14:paraId="2F9E9E55">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11.2 竣工</w:t>
      </w:r>
    </w:p>
    <w:p w14:paraId="104BB71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承包人应在第1.1.4.3目约定的期限内完成合同工程。合同工程实际完工日期在合同工程完工证书中明确。</w:t>
      </w:r>
    </w:p>
    <w:p w14:paraId="5154B90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11.3 发包人的工期延误</w:t>
      </w:r>
    </w:p>
    <w:p w14:paraId="4992453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在履行合同过程中，由于发包人的下列原因造成工期延误的，承包人有权要求发包人延长工期和（或）增加费用，并支付合理利润。需要修订合同进度计划的，按照第10.2 款的约定办理。</w:t>
      </w:r>
    </w:p>
    <w:p w14:paraId="10FF7C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(l）增加合同工作内容；</w:t>
      </w:r>
    </w:p>
    <w:p w14:paraId="437C189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(2）改变合同中任何一项工作的质量要求或其他特性；</w:t>
      </w:r>
    </w:p>
    <w:p w14:paraId="1E9DCF7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(3）发包人迟延提供材料、工程设备或变更交货地点的；</w:t>
      </w:r>
    </w:p>
    <w:p w14:paraId="167714B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(4）因发包人原因导致的暂停施工；</w:t>
      </w:r>
    </w:p>
    <w:p w14:paraId="459A4C5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(5）提供图纸延误；</w:t>
      </w:r>
    </w:p>
    <w:p w14:paraId="08722D7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(6）未按合同约定及时支付预付款、进度款；</w:t>
      </w:r>
    </w:p>
    <w:p w14:paraId="7FBDD5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(7）发包人造成工期延误的其他原因。</w:t>
      </w:r>
    </w:p>
    <w:p w14:paraId="4F30E59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 异常恶劣的气候条件</w:t>
      </w:r>
    </w:p>
    <w:p w14:paraId="662A59B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11.4.1 当工程所在地发生危及施工安全的异常恶劣气候时，发包人和承包人应按本合同通用合同条款第12条的约定，及时采取暂停施工或部分暂停施工措施。异常恶劣气候条件解除后，承包人应及时安排复工。</w:t>
      </w:r>
    </w:p>
    <w:p w14:paraId="5FEA01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11.4.2 异常恶劣气候条件造成的工期延误和工程损坏，应由发包人与承包人参照本合同通用合同条款第21.3款的约定协商处理。</w:t>
      </w:r>
    </w:p>
    <w:p w14:paraId="0184BC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 本合同工程界定异常恶劣气候条件的范围在专用合同条款中约定。</w:t>
      </w:r>
    </w:p>
    <w:p w14:paraId="05D21C6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 承包人的工期延误</w:t>
      </w:r>
    </w:p>
    <w:p w14:paraId="644EE66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243662A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 工期提前</w:t>
      </w:r>
    </w:p>
    <w:p w14:paraId="03A31F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49E59FB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发包人要求提前完工的，双方协商一致后应签订提前完工协议，协议内容包括：</w:t>
      </w:r>
    </w:p>
    <w:p w14:paraId="5765AF3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(1)提前的时间和修订后的进度计划；</w:t>
      </w:r>
    </w:p>
    <w:p w14:paraId="37E7DE5B">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(2)承包人的赶工措施；</w:t>
      </w:r>
    </w:p>
    <w:p w14:paraId="18E610F8">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(3)发包人为赶工提供的条件；</w:t>
      </w:r>
    </w:p>
    <w:p w14:paraId="5853646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(4)赶工费用(包括利润和奖金)。</w:t>
      </w:r>
    </w:p>
    <w:p w14:paraId="4C98330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0706DFC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 承包人暂停施工的责任</w:t>
      </w:r>
    </w:p>
    <w:p w14:paraId="7B5F63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因下列暂停施工增加的费用和（或）工期延误由承包人承担：</w:t>
      </w:r>
    </w:p>
    <w:p w14:paraId="2F13D0D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(1）承包人违约引起的暂停施工；</w:t>
      </w:r>
    </w:p>
    <w:p w14:paraId="1E17324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(2）由于承包人原因为工程合理施工和安全保障所必需的暂停施工；</w:t>
      </w:r>
    </w:p>
    <w:p w14:paraId="3CFA0BD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(3）承包人擅自暂停施工；</w:t>
      </w:r>
    </w:p>
    <w:p w14:paraId="7D07052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(4）承包人其他原因引起的暂停施工；</w:t>
      </w:r>
    </w:p>
    <w:p w14:paraId="72EA057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(5）专用合同条款约定由承包人承担的其他暂停施工。</w:t>
      </w:r>
    </w:p>
    <w:p w14:paraId="05686FD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 发包人暂停施工的责任</w:t>
      </w:r>
    </w:p>
    <w:p w14:paraId="55CE8572">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由于发包人原因引起的暂停施工造成工期延误的，承包人有权要求发包人延长工期和(或)增加费用，并支付合理利润。</w:t>
      </w:r>
    </w:p>
    <w:p w14:paraId="1EE7288D">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属于下列任何一种情况引起的暂停施工，均为发包人的责任：</w:t>
      </w:r>
    </w:p>
    <w:p w14:paraId="3FC0C5E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(1)由于发包人违约引起的暂停施工；</w:t>
      </w:r>
    </w:p>
    <w:p w14:paraId="1222DA47">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(2)由于不可抗力的自然或社会因素引起的暂停施工；</w:t>
      </w:r>
    </w:p>
    <w:p w14:paraId="564EA76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(3)专用合同条款中约定的其它由于发包人原因引起的暂停施工。</w:t>
      </w:r>
    </w:p>
    <w:p w14:paraId="51A2C63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 监理人暂停施工指示</w:t>
      </w:r>
    </w:p>
    <w:p w14:paraId="14BA765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03E153F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5F42B90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 暂停施工后的复工</w:t>
      </w:r>
    </w:p>
    <w:p w14:paraId="046ABB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2894AF1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12.4.2 承包人无故拖延和拒绝复工的，由此增加的费用和工期延误由承包人承担；因发包人原因无法按时复工的，承包人有权要求发包人延长工期和（或）增加费用，并支付合理利润。</w:t>
      </w:r>
    </w:p>
    <w:p w14:paraId="6299204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 暂停施工持续56 天以上</w:t>
      </w:r>
    </w:p>
    <w:p w14:paraId="2AFF4A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143523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12.5.2 由于承包人责任引起的暂停施工，如承包人在收到监理人暂停施工指示后56 天内不认真采取有效的复工措施，造成工期延误，可视为承包人违约，应按第22.1 款的规定办理。</w:t>
      </w:r>
    </w:p>
    <w:p w14:paraId="2DCD438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13.工程质量</w:t>
      </w:r>
    </w:p>
    <w:p w14:paraId="4489C62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 工程质量要求</w:t>
      </w:r>
    </w:p>
    <w:p w14:paraId="029F1D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13.1.1 工程质量验收按合同约定验收标准执行。</w:t>
      </w:r>
    </w:p>
    <w:p w14:paraId="075B8DF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13.1.2 因承包人原因造成工程质量达不到合同约定验收标准的，监理人有权要求承包人返工直至符合合同要求为止，由此造成的费用增加和（或）工期延误由承包人承担。</w:t>
      </w:r>
    </w:p>
    <w:p w14:paraId="1C25169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13.1.3 因发包人原因造成工程质量达不到合同约定验收标准的，发包人应承担由于承包人返工造成的费用增加和（或）工期延误，并支付承包人合理利润。</w:t>
      </w:r>
    </w:p>
    <w:p w14:paraId="028FB20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 承包人的质量管理</w:t>
      </w:r>
    </w:p>
    <w:p w14:paraId="75B2A0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14:paraId="26DCC4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13.2.2 承包人应加强对施工人员的质量教育和技术培训，定期考核施工人员的劳动技能，严格执行规范和操作规程。</w:t>
      </w:r>
    </w:p>
    <w:p w14:paraId="0EC676A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13.3 承包人的质量检查</w:t>
      </w:r>
    </w:p>
    <w:p w14:paraId="25176E2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承包人应按合同约定对材料、工程设备以及工程的所有部位及其施工工艺进行全过程的质量检查和检验，并作详细记录，编制工程质量报表，报送监理人审查。</w:t>
      </w:r>
    </w:p>
    <w:p w14:paraId="492BC89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13.4 监理人的质量检查</w:t>
      </w:r>
    </w:p>
    <w:p w14:paraId="69FA231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4CE1BAE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 工程隐蔽部位覆盖前的检查</w:t>
      </w:r>
    </w:p>
    <w:p w14:paraId="704A10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13.5.1 通知监理人检查</w:t>
      </w:r>
    </w:p>
    <w:p w14:paraId="5AA561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22CCA7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13.5.2 监理人未到场检查</w:t>
      </w:r>
    </w:p>
    <w:p w14:paraId="0E3744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监理人未按第13.5.l项约定的时间进行检查的，除监理人另有指示外，承包人可自行完成覆盖工作，并作相应记录报送监理人，监理人应签字确认。监理人事后对检查记录有疑问的，可按第13.5.3 项的约定重新检查。</w:t>
      </w:r>
    </w:p>
    <w:p w14:paraId="37A3DEC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13.5.3 监理人重新检查</w:t>
      </w:r>
    </w:p>
    <w:p w14:paraId="3DAE6AE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2F2288D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13.5.4 承包人私自覆盖</w:t>
      </w:r>
    </w:p>
    <w:p w14:paraId="0D9EE6A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承包人未通知监理人到场检查，私自将工程隐蔽部位覆盖的，监理人有权指示承包人钻孔探测或揭开检查，由此增加的费用和（或）工期延误由承包人承担。</w:t>
      </w:r>
    </w:p>
    <w:p w14:paraId="14A3315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 清除不合格工程</w:t>
      </w:r>
    </w:p>
    <w:p w14:paraId="6561C6C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D182E6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13.6.2 由于发包人提供的材料或工程设备不合格造成的工程不合格，需要承包人采取措施补救的，发包人应承担由此增加的费用和（或）工期延误，并支付承包人合理利润。</w:t>
      </w:r>
    </w:p>
    <w:p w14:paraId="1C6FF29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 质量评定</w:t>
      </w:r>
    </w:p>
    <w:p w14:paraId="146579E6">
      <w:pPr>
        <w:spacing w:line="360" w:lineRule="auto"/>
        <w:ind w:firstLine="600" w:firstLineChars="2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13.7.1 发包人应组织承包人进行工程项目划分，并确定单位工程、主要分部工程、重要隐蔽单元工程和关键部位单元工程。</w:t>
      </w:r>
    </w:p>
    <w:p w14:paraId="7C414196">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13.7.2 工程实施过程中，单位工程、主要分部工程、重要隐蔽单元工程和关键部位单元工程的项目划分需要调整时，承包人应报发包人确认。</w:t>
      </w:r>
    </w:p>
    <w:p w14:paraId="22705EC6">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13.7.3 承包人应在单元(工序)工程质量自评合格后，报监理人核定质量等级并签证认可。</w:t>
      </w:r>
    </w:p>
    <w:p w14:paraId="3CAEAA7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13.7.4 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0D308AD1">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13.7.5 承包人应在分部工程质量自评合格后，报监理人复核和发包人认定。发包人负责按有关规定完成分部工程质量结论报工程质量监督机构核备(核定)手续。</w:t>
      </w:r>
    </w:p>
    <w:p w14:paraId="00C20A6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13.7.6 承包人应在单位工程质量自评合格后，报监理人复核和发包人认定。发包人负责按有关规定完成单位工程质量结论报工程质量监督机构核定手续。</w:t>
      </w:r>
    </w:p>
    <w:p w14:paraId="590B29C5">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13.7.7 除专用合同条款另有约定外，工程质量等级分为合格和优良，应分别达到约定的标准。</w:t>
      </w:r>
    </w:p>
    <w:p w14:paraId="32AEE1D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13.8质量事故处理</w:t>
      </w:r>
    </w:p>
    <w:p w14:paraId="20B2F8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13.8.1发生质量事故时，承包人应及时向发包人和监理人报告。</w:t>
      </w:r>
    </w:p>
    <w:p w14:paraId="72CF90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13.8.2 质量事故调查处理由发包人按相关规定履行手续，承包人应配合。</w:t>
      </w:r>
    </w:p>
    <w:p w14:paraId="09E5DBB8">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13.8.3 承包人应对质量缺陷进行备案。发包人委托监理人对质量缺陷备案情况进行监督检查并履行相关手续。</w:t>
      </w:r>
    </w:p>
    <w:p w14:paraId="481C71D0">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13.8.4 除专用合同条款另有约定外，工程竣工验收时，发包人负责向竣工验收委员会汇报并提交历次质量缺陷处理的备案资料。、</w:t>
      </w:r>
    </w:p>
    <w:p w14:paraId="53D11A6B">
      <w:pPr>
        <w:spacing w:line="360" w:lineRule="auto"/>
        <w:ind w:firstLine="4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14.试验和检验</w:t>
      </w:r>
    </w:p>
    <w:p w14:paraId="79F0987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 材料、工程设备和工程的试验和检验</w:t>
      </w:r>
    </w:p>
    <w:p w14:paraId="5D61536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E412A3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14.1.2 监理人未按合同约定派员参加试验和检验的，除监理人另有指示外，承包人可自行试验和检验，并应立即将试验和检验结果报送监理人，监理人应签字确认。</w:t>
      </w:r>
    </w:p>
    <w:p w14:paraId="607F6FE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4B750E0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14.1.4 承包人应按相关规定和标准对水泥、钢材等原材料与中间产品质量进行检验，并报监理人复核。</w:t>
      </w:r>
    </w:p>
    <w:p w14:paraId="64574BC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14.1.5 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2BFA3B8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14.1.6 对专用合同条款约定的试块、试件及有关材料，监理人实行见证取样。见证取样资料由承包人制备，记录应真实齐全，监理人、承包人等参与见证取样人员均应在相关文件上签字。</w:t>
      </w:r>
    </w:p>
    <w:p w14:paraId="63DF5FA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 现场材料试验</w:t>
      </w:r>
    </w:p>
    <w:p w14:paraId="14F6BA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14.2.1 承包人根据合同约定或监理人指示进行的现场材料试验，应由承包人提供试验场所、试验人员、试验设备器材以及其他必要的试验条件。</w:t>
      </w:r>
    </w:p>
    <w:p w14:paraId="0EC8FF9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14.2.2 监理人在必要时可以使用承包人的试验场所、试验设备器材以及其他试验条件，进行以工程质量检查为目的的复核性材料试验，承包人应予以协助。</w:t>
      </w:r>
    </w:p>
    <w:p w14:paraId="360D6EF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 现场工艺试验</w:t>
      </w:r>
    </w:p>
    <w:p w14:paraId="2B39FCC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64F40A5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15.变更</w:t>
      </w:r>
    </w:p>
    <w:p w14:paraId="1CD0F74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 变更的范围和内容</w:t>
      </w:r>
    </w:p>
    <w:p w14:paraId="31F55D0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在履行合同中发生以下情形之一，应按照本款规定进行变更。</w:t>
      </w:r>
    </w:p>
    <w:p w14:paraId="6F38066E">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(1)取消合同中任何一项工作，但被取消的工作不能转由发包人或其它人实施；</w:t>
      </w:r>
    </w:p>
    <w:p w14:paraId="3C3DC382">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(2)改变合同中任何一项工作的质量或其它特性；</w:t>
      </w:r>
    </w:p>
    <w:p w14:paraId="233E99F9">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(3)改变合同工程的基线、标高、位置或尺寸；</w:t>
      </w:r>
    </w:p>
    <w:p w14:paraId="0FCC175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(4)改变合同中任何一项工作的施工时间或改变已批准的施工工艺或顺序；</w:t>
      </w:r>
    </w:p>
    <w:p w14:paraId="35864B34">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(5)为完成工程需要追加的额外工作；</w:t>
      </w:r>
    </w:p>
    <w:p w14:paraId="0B7285D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(6)增加或减少专用合同条款中约定的关键项目工程量超过其工程总量的一定数量百分比。</w:t>
      </w:r>
    </w:p>
    <w:p w14:paraId="5657FA47">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上述第(1)～(6)目的变更内容引起工程施工组织和进度计划发生实质性变动和影响其原定的价格时，才予调整该项目的单价。第(6)目情形下单价调整方式在专用合同条款中约定。</w:t>
      </w:r>
    </w:p>
    <w:p w14:paraId="10023BB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 变更权</w:t>
      </w:r>
    </w:p>
    <w:p w14:paraId="78FE810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在履行合同过程中，经发包人同意，监理人可按第15.3 款约定的变更程序向承包人作出变更指示，承包人应遵照执行。没有监理人的变更指示，承包人不得擅自变更。</w:t>
      </w:r>
    </w:p>
    <w:p w14:paraId="3C87D56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 变更程序</w:t>
      </w:r>
    </w:p>
    <w:p w14:paraId="6C10AD8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15.3.1变更的提出</w:t>
      </w:r>
    </w:p>
    <w:p w14:paraId="52CC96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5417874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(2）在合同履行过程中，发生第15.1 款约定情形的，监理人应按照第15.3.3 项约定向承包人发出变更指示。</w:t>
      </w:r>
    </w:p>
    <w:p w14:paraId="7E6339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4B26EB1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(4）若承包人收到监理人的变更意向书后认为难以实施此项变更，应立即通知监理人，说明原因并附详细依据。监理人与承包人和发包人协商后确定撤销、改变或不改变原变更意向书。</w:t>
      </w:r>
    </w:p>
    <w:p w14:paraId="4647F21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15.3.2 变更估价</w:t>
      </w:r>
    </w:p>
    <w:p w14:paraId="7EBD98E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6960014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(2）变更工作影响工期的，承包人应提出调整工期的具体细节。监理人认为有必要时，可要求承包人提交要求提前或延长工期的施工进度计划及相应施工措施等详细资料。</w:t>
      </w:r>
    </w:p>
    <w:p w14:paraId="10083B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(3）除专用合同条款对期限另有约定外，监理人收到承包人变更报价书后的14 天内，根据第15.4 款约定的估价原则，按照第3.5 款商定或确定变更价格。</w:t>
      </w:r>
    </w:p>
    <w:p w14:paraId="4293DBD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15.3.3 变更指示</w:t>
      </w:r>
    </w:p>
    <w:p w14:paraId="520ABE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(l）变更指示只能由监理人发出。</w:t>
      </w:r>
    </w:p>
    <w:p w14:paraId="4B3BC67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(2）变更指示应说明变更的目的、范围、变更内容以及变更的工程量及其进度和技术要求，并附有关图纸和文件。承包人收到变更指示后，应按变更指示进行变更工作。</w:t>
      </w:r>
    </w:p>
    <w:p w14:paraId="1255638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 变更的估价原则</w:t>
      </w:r>
    </w:p>
    <w:p w14:paraId="3A901A8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除专用合同条款另有约定外，因变更引起的价格调整按照本款约定处理。</w:t>
      </w:r>
    </w:p>
    <w:p w14:paraId="5BF87F9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15.4.1 己标价工程量清单中有适用于变更工作的子目的，采用该子目的单价。</w:t>
      </w:r>
    </w:p>
    <w:p w14:paraId="1285754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15.4.2 己标价工程量清单中无适用于变更工作的子目，但有类似子目的，可在合理范围内参照类似子目的单价，由监理人按第3.5 款商定或确定变更工作的单价。</w:t>
      </w:r>
    </w:p>
    <w:p w14:paraId="4ACEF0B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15.4.3 己标价工程量清单中无适用或类似子目的单价，可按照成本加利润的原则，由监理人按第3.5款商定或确定变更工作的单价。</w:t>
      </w:r>
    </w:p>
    <w:p w14:paraId="0973B7B4">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15.5 承包人的合理化建议</w:t>
      </w:r>
    </w:p>
    <w:p w14:paraId="3116800A">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4D9138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15.5.2 承包人提出的合理化建议降低了合同价格、缩短了工期或者提高了工程经济效益的，发包人可按国家有关规定在专用合同条款中约定给予奖励。</w:t>
      </w:r>
    </w:p>
    <w:p w14:paraId="4FDD1D9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15.6 暂列金额</w:t>
      </w:r>
    </w:p>
    <w:p w14:paraId="6BF308D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暂列金额只能按照监理人的指示使用，并对合同价格进行相应调整。</w:t>
      </w:r>
    </w:p>
    <w:p w14:paraId="3358466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 计日工</w:t>
      </w:r>
    </w:p>
    <w:p w14:paraId="7F96D2C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15.7.1 发包人认为有必要时，由监理人通知承包人以计日工方式实施变更的零星工作。其价款按列入已标价工程量清单中的计日工计价子目及其单价进行计算．, </w:t>
      </w:r>
    </w:p>
    <w:p w14:paraId="32BE028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15.7.2 采用计日工计价的任何一项变更工作，应从暂列金额中支付，承包人应在该项变更的实施过程中，每天提交以下报表和有关凭证报送监理人审批：</w:t>
      </w:r>
    </w:p>
    <w:p w14:paraId="01640CE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(l）工作名称、内容和数量；</w:t>
      </w:r>
    </w:p>
    <w:p w14:paraId="510FD1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(2）投入该工作所有人员的姓名、工种、级别和耗用工时；</w:t>
      </w:r>
    </w:p>
    <w:p w14:paraId="139305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(3）投入该工作的材料类别和数量；</w:t>
      </w:r>
    </w:p>
    <w:p w14:paraId="21FFB79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(4）投入该工作的施工设备型号、台数和耗用台时；</w:t>
      </w:r>
    </w:p>
    <w:p w14:paraId="58E7506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(5）监理人要求提交的其他资料和凭证。</w:t>
      </w:r>
    </w:p>
    <w:p w14:paraId="1A91B2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15.7.3 计日工由承包人汇总后，按第17.3.2项的约定列入进度付款申请单，由监理人复核并经发包人同意后列入进度付款。</w:t>
      </w:r>
    </w:p>
    <w:p w14:paraId="65EEECB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 暂估价</w:t>
      </w:r>
    </w:p>
    <w:p w14:paraId="0DCBA309">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14:paraId="21CCF226">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15.8.2发包人在工程量清单中给定暂估价的材料和工程设备不属于依法必须招标的范围或未达到规定的规模标准的，应由承包人按第5.1款的约定提供。经监理人确认的材料、工程设备的价格余工程量清单中所列的暂估价的金额差以及相应的税金等其他费用列入合同价格。</w:t>
      </w:r>
    </w:p>
    <w:p w14:paraId="1F8BD0CC">
      <w:pPr>
        <w:spacing w:line="360" w:lineRule="auto"/>
        <w:ind w:firstLine="48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15.8.3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6ECF7D0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16.价格调整</w:t>
      </w:r>
    </w:p>
    <w:p w14:paraId="22C37A1E">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 物价波动引起的价格调整</w:t>
      </w:r>
    </w:p>
    <w:p w14:paraId="3C6CB2B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由于物价波动原因引起合同价格需要调整的，其价格调整方式在专用合同条款中约定。</w:t>
      </w:r>
    </w:p>
    <w:p w14:paraId="4F4175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 采用价格指数调整价格差额</w:t>
      </w:r>
    </w:p>
    <w:p w14:paraId="079CC5F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16.1.1.1 价格调整公式</w:t>
      </w:r>
    </w:p>
    <w:p w14:paraId="2078892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因人工、材料和设备等价格波动影响合同价格时，根据投标函附录中的价格指数和权重表约定的数据，按以下公式计算差额并调整合同价格。</w:t>
      </w:r>
    </w:p>
    <w:p w14:paraId="4517C029">
      <w:pPr>
        <w:spacing w:line="240" w:lineRule="exact"/>
        <w:ind w:firstLine="2361" w:firstLineChars="9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t1        </w:t>
      </w:r>
      <w:r>
        <w:rPr>
          <w:rFonts w:hint="eastAsia" w:ascii="宋体" w:hAnsi="宋体" w:eastAsia="宋体" w:cs="宋体"/>
          <w:b/>
          <w:sz w:val="24"/>
          <w:szCs w:val="24"/>
          <w:highlight w:val="none"/>
        </w:rPr>
        <w:t xml:space="preserve">  F</w:t>
      </w:r>
      <w:r>
        <w:rPr>
          <w:rFonts w:hint="eastAsia" w:ascii="宋体" w:hAnsi="宋体" w:eastAsia="宋体" w:cs="宋体"/>
          <w:b/>
          <w:sz w:val="24"/>
          <w:szCs w:val="24"/>
          <w:highlight w:val="none"/>
          <w:vertAlign w:val="subscript"/>
        </w:rPr>
        <w:t xml:space="preserve">t2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t3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tn</w:t>
      </w:r>
    </w:p>
    <w:p w14:paraId="2A826212">
      <w:pPr>
        <w:numPr>
          <w:ilvl w:val="0"/>
          <w:numId w:val="4"/>
        </w:numPr>
        <w:spacing w:line="240" w:lineRule="exact"/>
        <w:ind w:left="0"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P=P</w:t>
      </w:r>
      <w:r>
        <w:rPr>
          <w:rFonts w:hint="eastAsia" w:ascii="宋体" w:hAnsi="宋体" w:eastAsia="宋体" w:cs="宋体"/>
          <w:b/>
          <w:sz w:val="24"/>
          <w:szCs w:val="24"/>
          <w:highlight w:val="none"/>
          <w:vertAlign w:val="subscript"/>
        </w:rPr>
        <w:t>O</w:t>
      </w:r>
      <w:r>
        <w:rPr>
          <w:rFonts w:hint="eastAsia" w:ascii="宋体" w:hAnsi="宋体" w:eastAsia="宋体" w:cs="宋体"/>
          <w:b/>
          <w:sz w:val="24"/>
          <w:szCs w:val="24"/>
          <w:highlight w:val="none"/>
        </w:rPr>
        <w:t>［A+｛B</w:t>
      </w:r>
      <w:r>
        <w:rPr>
          <w:rFonts w:hint="eastAsia" w:ascii="宋体" w:hAnsi="宋体" w:eastAsia="宋体" w:cs="宋体"/>
          <w:b/>
          <w:sz w:val="24"/>
          <w:szCs w:val="24"/>
          <w:highlight w:val="none"/>
          <w:vertAlign w:val="subscript"/>
        </w:rPr>
        <w:t>1</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2</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3</w:t>
      </w:r>
      <w:r>
        <w:rPr>
          <w:rFonts w:hint="eastAsia" w:ascii="宋体" w:hAnsi="宋体" w:eastAsia="宋体" w:cs="宋体"/>
          <w:b/>
          <w:sz w:val="24"/>
          <w:szCs w:val="24"/>
          <w:highlight w:val="none"/>
        </w:rPr>
        <w:t>×—＋…＋B</w:t>
      </w:r>
      <w:r>
        <w:rPr>
          <w:rFonts w:hint="eastAsia" w:ascii="宋体" w:hAnsi="宋体" w:eastAsia="宋体" w:cs="宋体"/>
          <w:b/>
          <w:sz w:val="24"/>
          <w:szCs w:val="24"/>
          <w:highlight w:val="none"/>
          <w:vertAlign w:val="subscript"/>
        </w:rPr>
        <w:t>n</w:t>
      </w:r>
      <w:r>
        <w:rPr>
          <w:rFonts w:hint="eastAsia" w:ascii="宋体" w:hAnsi="宋体" w:eastAsia="宋体" w:cs="宋体"/>
          <w:b/>
          <w:sz w:val="24"/>
          <w:szCs w:val="24"/>
          <w:highlight w:val="none"/>
        </w:rPr>
        <w:t xml:space="preserve">×—｝－1］ </w:t>
      </w:r>
    </w:p>
    <w:p w14:paraId="456D50B5">
      <w:pPr>
        <w:spacing w:line="240" w:lineRule="exact"/>
        <w:ind w:firstLine="2361" w:firstLineChars="98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01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02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 xml:space="preserve">03                   </w:t>
      </w:r>
      <w:r>
        <w:rPr>
          <w:rFonts w:hint="eastAsia" w:ascii="宋体" w:hAnsi="宋体" w:eastAsia="宋体" w:cs="宋体"/>
          <w:b/>
          <w:sz w:val="24"/>
          <w:szCs w:val="24"/>
          <w:highlight w:val="none"/>
        </w:rPr>
        <w:t>F</w:t>
      </w:r>
      <w:r>
        <w:rPr>
          <w:rFonts w:hint="eastAsia" w:ascii="宋体" w:hAnsi="宋体" w:eastAsia="宋体" w:cs="宋体"/>
          <w:b/>
          <w:sz w:val="24"/>
          <w:szCs w:val="24"/>
          <w:highlight w:val="none"/>
          <w:vertAlign w:val="subscript"/>
        </w:rPr>
        <w:t>04</w:t>
      </w:r>
    </w:p>
    <w:p w14:paraId="345C252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式中：△ P 一需调整的价格差额；</w:t>
      </w:r>
    </w:p>
    <w:p w14:paraId="0EAC959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P</w:t>
      </w:r>
      <w:r>
        <w:rPr>
          <w:rFonts w:hint="eastAsia" w:ascii="宋体" w:hAnsi="宋体" w:eastAsia="宋体" w:cs="宋体"/>
          <w:sz w:val="24"/>
          <w:szCs w:val="24"/>
          <w:highlight w:val="none"/>
          <w:vertAlign w:val="subscript"/>
        </w:rPr>
        <w:t>O</w:t>
      </w:r>
      <w:r>
        <w:rPr>
          <w:rFonts w:hint="eastAsia" w:ascii="宋体" w:hAnsi="宋体" w:eastAsia="宋体" w:cs="宋体"/>
          <w:sz w:val="24"/>
          <w:szCs w:val="24"/>
          <w:highlight w:val="none"/>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14:paraId="0FCC6B1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 ---定值权重（即不调部分的权重）； </w:t>
      </w:r>
    </w:p>
    <w:p w14:paraId="35D3B7F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1</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2</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3</w:t>
      </w:r>
      <w:r>
        <w:rPr>
          <w:rFonts w:hint="eastAsia" w:ascii="宋体" w:hAnsi="宋体" w:eastAsia="宋体" w:cs="宋体"/>
          <w:sz w:val="24"/>
          <w:szCs w:val="24"/>
          <w:highlight w:val="none"/>
        </w:rPr>
        <w:t>；……B</w:t>
      </w:r>
      <w:r>
        <w:rPr>
          <w:rFonts w:hint="eastAsia" w:ascii="宋体" w:hAnsi="宋体" w:eastAsia="宋体" w:cs="宋体"/>
          <w:sz w:val="24"/>
          <w:szCs w:val="24"/>
          <w:highlight w:val="none"/>
          <w:vertAlign w:val="subscript"/>
        </w:rPr>
        <w:t>n</w:t>
      </w:r>
      <w:r>
        <w:rPr>
          <w:rFonts w:hint="eastAsia" w:ascii="宋体" w:hAnsi="宋体" w:eastAsia="宋体" w:cs="宋体"/>
          <w:sz w:val="24"/>
          <w:szCs w:val="24"/>
          <w:highlight w:val="none"/>
        </w:rPr>
        <w:t>---各可调因子的变值权重（即可调部分的权重）为各可调因子在投标函投标总报价中所占的比例；</w:t>
      </w:r>
    </w:p>
    <w:p w14:paraId="7BAEA6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t1</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t2</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t3</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tn</w:t>
      </w:r>
      <w:r>
        <w:rPr>
          <w:rFonts w:hint="eastAsia" w:ascii="宋体" w:hAnsi="宋体" w:eastAsia="宋体" w:cs="宋体"/>
          <w:sz w:val="24"/>
          <w:szCs w:val="24"/>
          <w:highlight w:val="none"/>
        </w:rPr>
        <w:t>---各可调因子的现行价格指数，指第17.3.3 项、第17.5.2 项和第17.6.2 项约定的付款证书相关周期最后一天的前42天的各可调因子的价格指数；</w:t>
      </w:r>
    </w:p>
    <w:p w14:paraId="368B837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01</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02</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03</w:t>
      </w:r>
      <w:r>
        <w:rPr>
          <w:rFonts w:hint="eastAsia" w:ascii="宋体" w:hAnsi="宋体" w:eastAsia="宋体" w:cs="宋体"/>
          <w:sz w:val="24"/>
          <w:szCs w:val="24"/>
          <w:highlight w:val="none"/>
        </w:rPr>
        <w:t>；……F</w:t>
      </w:r>
      <w:r>
        <w:rPr>
          <w:rFonts w:hint="eastAsia" w:ascii="宋体" w:hAnsi="宋体" w:eastAsia="宋体" w:cs="宋体"/>
          <w:sz w:val="24"/>
          <w:szCs w:val="24"/>
          <w:highlight w:val="none"/>
          <w:vertAlign w:val="subscript"/>
        </w:rPr>
        <w:t>0n</w:t>
      </w:r>
      <w:r>
        <w:rPr>
          <w:rFonts w:hint="eastAsia" w:ascii="宋体" w:hAnsi="宋体" w:eastAsia="宋体" w:cs="宋体"/>
          <w:sz w:val="24"/>
          <w:szCs w:val="24"/>
          <w:highlight w:val="none"/>
        </w:rPr>
        <w:t>---各可调因子的基本价格指数，指基准日期的各可调因子的价格指数。</w:t>
      </w:r>
    </w:p>
    <w:p w14:paraId="24449E3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E881A4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16.1.1.2 暂时确定调整差额</w:t>
      </w:r>
    </w:p>
    <w:p w14:paraId="4867C0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在计算调整差额时得不到现行价格指数的，可暂用上一次价格指数计算，并在以后的付款中再按实际价格指数进行调整。</w:t>
      </w:r>
    </w:p>
    <w:p w14:paraId="28406AF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16.1.1.3 权重的调整</w:t>
      </w:r>
    </w:p>
    <w:p w14:paraId="17713D2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按第15.1 款约定的变更导致原定合同中的权重不合理时，由监理人与承包人和发包人协商后进行调整。</w:t>
      </w:r>
    </w:p>
    <w:p w14:paraId="3C90154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16.1.1.4 承包人工期延误后的价格调整</w:t>
      </w:r>
    </w:p>
    <w:p w14:paraId="01E8202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14:paraId="497B9EB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16.1.2 采用造价信息调整价格差额</w:t>
      </w:r>
    </w:p>
    <w:p w14:paraId="4325E0B3">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4D115A6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工程造价信息的来源以及价格调整的项目和系数在专用合同条款中约定。</w:t>
      </w:r>
    </w:p>
    <w:p w14:paraId="3A910E6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 法律变化引起的价格调整</w:t>
      </w:r>
    </w:p>
    <w:p w14:paraId="55EB456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4108A1E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17.计量与支付</w:t>
      </w:r>
    </w:p>
    <w:p w14:paraId="780375B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 计量</w:t>
      </w:r>
    </w:p>
    <w:p w14:paraId="5C991B8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17.1.1 计量单位</w:t>
      </w:r>
    </w:p>
    <w:p w14:paraId="2C3EDB4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计量采用国家法定的计量单位。</w:t>
      </w:r>
    </w:p>
    <w:p w14:paraId="67F8416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17.1.2 计量方法</w:t>
      </w:r>
    </w:p>
    <w:p w14:paraId="73EB124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结算工程量应按工程量清单中约定的方法计量。</w:t>
      </w:r>
    </w:p>
    <w:p w14:paraId="16F5DC5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17.1.3 计量周期</w:t>
      </w:r>
    </w:p>
    <w:p w14:paraId="4931B9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除专用合同条款另有约定外，单价子目已完成工程量按月计量，总价子目的计量周期按批准的支付分解报告确定。</w:t>
      </w:r>
    </w:p>
    <w:p w14:paraId="1F60176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17.1.4 单价子目的计量</w:t>
      </w:r>
    </w:p>
    <w:p w14:paraId="15AAE1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(l）已标价工程量清单中的单价子目工程量为估算工程量。结算工程量是承包人实际完成的，并按合同约定的计量方法进行计量的工程量。</w:t>
      </w:r>
    </w:p>
    <w:p w14:paraId="57ABA24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(2）承包人对己完成的工程进行计量，向监理人提交进度付款申请单、己完成工程量报表和有关计量资料。</w:t>
      </w:r>
    </w:p>
    <w:p w14:paraId="44D2B73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2A20ECE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(4）监理人认为有必要时，可通知承包人共同进行联合测量、计量，承包人应遵照执行。</w:t>
      </w:r>
    </w:p>
    <w:p w14:paraId="3B675DE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0FB170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008ECF2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17.1.5 总价子目的计量</w:t>
      </w:r>
    </w:p>
    <w:p w14:paraId="7710B9A9">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总价子目的分解和计量按照下述约定进行。</w:t>
      </w:r>
    </w:p>
    <w:p w14:paraId="72E2992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(1)总价子目的计量和支付应以总价为基础，不因第16.1款中的因素而进行调整。承包人实际完成的工程量，是进行工程目标管理和控制进度支付的依据。</w:t>
      </w:r>
    </w:p>
    <w:p w14:paraId="192951A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14:paraId="270DE1E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(3)监理人对承包人提交的上述资料进行复核，以确定分阶段实际完成的工程量和工程形象目标。对其有异议的，可要求承包人按第8.2款约定进行共同复核和抽样复测。</w:t>
      </w:r>
    </w:p>
    <w:p w14:paraId="754958F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(4)除按照第15条约定的变更外，总价子目的工程量是承包人用于结算的最终工程量。</w:t>
      </w:r>
    </w:p>
    <w:p w14:paraId="6BF83AA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预付款</w:t>
      </w:r>
    </w:p>
    <w:p w14:paraId="0587B85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17.2.1 预付款</w:t>
      </w:r>
    </w:p>
    <w:p w14:paraId="538D7EAC">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1FB4940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17.2.2预付款保函(担保)</w:t>
      </w:r>
    </w:p>
    <w:p w14:paraId="427C73E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(1)承包人应在收到第一次工程预付款的同时向发包人提交工程预付款担保，担保金额应与第一次工程预付款金额相同，工程预付款担保在第一次工程预付款被发包人扣回前一直有效。</w:t>
      </w:r>
    </w:p>
    <w:p w14:paraId="53E39AF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(2)工程材料预付款的担保在专用合同条款中约定。</w:t>
      </w:r>
    </w:p>
    <w:p w14:paraId="6EC3DCC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(3)预付款担保的担保金额可根据预付款扣回的金额相应递减。</w:t>
      </w:r>
    </w:p>
    <w:p w14:paraId="075CA93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17.2.3预付款的扣回与还清</w:t>
      </w:r>
    </w:p>
    <w:p w14:paraId="4C69542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预付款在进度付款中扣回，扣回与还清办法在专用合同条款中约定。在颁发合同工程完工证书前，由于不可抗力或其它原因解除合同时，预付款尚未扣清的，尚未扣清的预付款余额应作为承包人的到期应付款。</w:t>
      </w:r>
    </w:p>
    <w:p w14:paraId="068CD99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工程进度付款</w:t>
      </w:r>
    </w:p>
    <w:p w14:paraId="2EB9019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17.3.1 付款周期</w:t>
      </w:r>
    </w:p>
    <w:p w14:paraId="05D52A6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付款周期同计量周期。</w:t>
      </w:r>
    </w:p>
    <w:p w14:paraId="12A960C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17.3.2 进度付款申请单</w:t>
      </w:r>
    </w:p>
    <w:p w14:paraId="1429665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4AA8AFA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(l）截至本次付款周期末己实施工程的价款；</w:t>
      </w:r>
    </w:p>
    <w:p w14:paraId="208C7B5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(2）根据第15条应增加和扣减的变更金额；</w:t>
      </w:r>
    </w:p>
    <w:p w14:paraId="1AE0581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(3）根据第23 条应增加和扣减的索赔金额；</w:t>
      </w:r>
    </w:p>
    <w:p w14:paraId="25F02E8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(4）根据第17.2 款约定应支付的预付款和扣减的返还预付款；</w:t>
      </w:r>
    </w:p>
    <w:p w14:paraId="28FDEE6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(5）根据第17.4.1 项约定应扣减的质量保证金；</w:t>
      </w:r>
    </w:p>
    <w:p w14:paraId="6FD48E8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(6）根据合同应增加和扣减的其他金额。</w:t>
      </w:r>
    </w:p>
    <w:p w14:paraId="098B0DC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17.3.3 进度付款证书和支付时间</w:t>
      </w:r>
    </w:p>
    <w:p w14:paraId="0EDA21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C5F37F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(2）发包人应在监理人收到进度付款中请单后的28 天内，将进度应付款支付给承包人。发包人不按期支付的，按专用合同条款的约定支付逾期付款违约金。</w:t>
      </w:r>
    </w:p>
    <w:p w14:paraId="129B0D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(3）监理人出具进度付款证书，不应视为监理人己同意、批准或接受了承包人完成的该部分工作。</w:t>
      </w:r>
    </w:p>
    <w:p w14:paraId="2C2484F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(4）进度付款涉及政府投资资金的，按照国库集中支付等国家相关规定和专用合同条款的约定办理。</w:t>
      </w:r>
    </w:p>
    <w:p w14:paraId="5B83C24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17.3.4 工程进度付款的修正</w:t>
      </w:r>
    </w:p>
    <w:p w14:paraId="6919EA2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30678F7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 质量保证金</w:t>
      </w:r>
    </w:p>
    <w:p w14:paraId="3E2F687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17.4.1监理人应从第一个工程进度付款周期开始，在发包人的进度付款中，按专用合同条款的约定扣留质量保证金，直至扣留的质量保证金总额达到专用合同条款约定的金额或比例为止。质量保证金的计算额度不包括预付款的支付与扣回金额。</w:t>
      </w:r>
    </w:p>
    <w:p w14:paraId="6515D0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17.4.2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14:paraId="1EB0E2E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17.4.3 在第1.1.4.5 目约定的缺陷责任期满时，承包人没有完成缺陷责任的，发包人有权扣留与未履行责任剩余工作所需金额相应的质量保证金余额，并有权根据第19.3 款约定要求延长缺陷责任期，直至完成剩余工作为止。</w:t>
      </w:r>
    </w:p>
    <w:p w14:paraId="2BC96E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 竣工结算（完工结算）</w:t>
      </w:r>
    </w:p>
    <w:p w14:paraId="237094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17.5.1 竣工（完工）付款申请单</w:t>
      </w:r>
    </w:p>
    <w:p w14:paraId="675C0C9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23B8385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(2)监理人对完工付款申请单有异议的，有权要求承包人进行修正和提供补充资料。经监理人和承包人协商后，由承包人向监理人提交修正后的完工付款申请单。</w:t>
      </w:r>
    </w:p>
    <w:p w14:paraId="41E254B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17.5.2竣工(完工)付款证书及支付时间</w:t>
      </w:r>
    </w:p>
    <w:p w14:paraId="7EA8E84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3E9F937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(2)发包人应在监理人出具完工付款证书后的14天内，将应支付款支付给承包人。发包人不按期支付的，按第17.3.3(2)目的约定，将逾期付款违约金支付给承包人。</w:t>
      </w:r>
    </w:p>
    <w:p w14:paraId="1DE7CF7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(3)承包人对发包人签认的完工付款证书有异议的，发包人可出具完工付款申请单中承包人已同意部分的临时付款证书。存在争议的部分，按第24条的约定办理。</w:t>
      </w:r>
    </w:p>
    <w:p w14:paraId="4A56EF0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(4)完工付款涉及政府投资资金的，按第17.3.3(4)目的约定办理。</w:t>
      </w:r>
    </w:p>
    <w:p w14:paraId="05296AA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 最终结清</w:t>
      </w:r>
    </w:p>
    <w:p w14:paraId="6F3C66C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17.6.1 最终结清申请单</w:t>
      </w:r>
    </w:p>
    <w:p w14:paraId="7A43791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(1)工程质量保修责任终止证书签发后，承包人应按监理人批准的格式提交最终结清申请单。提交最终结清申请单的份数在专用合同条款中约定。</w:t>
      </w:r>
    </w:p>
    <w:p w14:paraId="05AA740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(2)发包人对最终结清申请单内容有异议的，有权要求承包人进行修正和提供补充资料，由承包人向监理人提交修正后的最终结清申请单。</w:t>
      </w:r>
    </w:p>
    <w:p w14:paraId="470D1C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17.6.2 最终结清证书和支付时间</w:t>
      </w:r>
    </w:p>
    <w:p w14:paraId="58B5A94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06841C5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(2）发包人应在监理人出具最终结清证书后的14 天内，将应支付款支付给承包人。</w:t>
      </w:r>
    </w:p>
    <w:p w14:paraId="49641DA3">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发包人不按期支付的，按第17.3.3(2）目的约定，将逾期付款违约金支付给承包人。</w:t>
      </w:r>
    </w:p>
    <w:p w14:paraId="6CBD386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(3）承包人对发包人签认的最终结清证书有异议的，按第24条的约定办理。</w:t>
      </w:r>
    </w:p>
    <w:p w14:paraId="72B9AD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(4）最终结清付款涉及政府投资资金的，按第17.3.3(4）目的约定办理。</w:t>
      </w:r>
    </w:p>
    <w:p w14:paraId="03C79A7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17.7 竣工财务决算</w:t>
      </w:r>
    </w:p>
    <w:p w14:paraId="5ABC60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发包人负责编制本工程项目竣工财务决算，承包人应按专用合同条款的约定提供竣工财务决算编制所需的相关材料。</w:t>
      </w:r>
    </w:p>
    <w:p w14:paraId="51E8C8A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17.8 竣工审计</w:t>
      </w:r>
    </w:p>
    <w:p w14:paraId="24EF0A2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发包人负责完成本工程竣工审计手续，承包人应完成相关配合工作。</w:t>
      </w:r>
    </w:p>
    <w:p w14:paraId="5223C89F">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18.竣工验收(验收)</w:t>
      </w:r>
    </w:p>
    <w:p w14:paraId="2AD3DFC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18.1验收工作分类</w:t>
      </w:r>
    </w:p>
    <w:p w14:paraId="4E2617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52CD8E9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18.2分部工程验收</w:t>
      </w:r>
    </w:p>
    <w:p w14:paraId="5C30C8F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18.2.1 分部工程具备验收条件时，承包人应向发包人提交验收申请报告，发包人应在收到验收申请报告之日起10个工作日内决定是否同意进行验收。</w:t>
      </w:r>
    </w:p>
    <w:p w14:paraId="5E7F32B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18.2.2 除专用合同条款另有约定外，监理人主持分部工程验收，承包人应派符合条件的代表参加验收工作组。</w:t>
      </w:r>
    </w:p>
    <w:p w14:paraId="2DBA180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18.2.3 分部工程验收通过后，发包人向承包人发送分部工程验收鉴定书。承包人应及时完成分部工程验收鉴定书载明应由承包人处理的遗留问题。</w:t>
      </w:r>
    </w:p>
    <w:p w14:paraId="5E54D34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18.3单位工程验收</w:t>
      </w:r>
    </w:p>
    <w:p w14:paraId="04A9F61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18.3.1 单位工程具备验收条件时，承包人应向发包人提交验收申请报告，发包人应在收到验收申请报告之日起10个工作日内决定是否同意进行验收。</w:t>
      </w:r>
    </w:p>
    <w:p w14:paraId="39D7F4F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18.3.2 发包人主持单位工程验收，承包人应派符合条件的代表参加验收工作组。</w:t>
      </w:r>
    </w:p>
    <w:p w14:paraId="5D648A1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18.3.3 单位工程验收通过后，发包人向承包人发送单位工程验收鉴定书。承包人应及时完成单位工程验收鉴定书载明应由承包人处理的遗留问题。</w:t>
      </w:r>
    </w:p>
    <w:p w14:paraId="4EC4E86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18.3.4需提前投入使用的单位工程在专用合同条款中明确。</w:t>
      </w:r>
    </w:p>
    <w:p w14:paraId="657E3C5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18.4合同工程完工验收</w:t>
      </w:r>
    </w:p>
    <w:p w14:paraId="4DB6D5D1">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18.4.1 合同工程具备验收条件时，承包人应向发包人提交验收申请报告，发包人应在收到验收申请报告之日起20个工作日内决定是否同意进行验收。</w:t>
      </w:r>
    </w:p>
    <w:p w14:paraId="1B48ACD5">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18.4.2 发包人主持合同工程完工验收，承包人应派符合条件的代表参加验收工作组。</w:t>
      </w:r>
    </w:p>
    <w:p w14:paraId="11A015E8">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18.4.3 合同工程完工验收通过后，发包人向承包人发送合同工程完工验收鉴定书。承包人应及时完成合同工程完工验收鉴定书载明应由承包人处理的遗留问题。</w:t>
      </w:r>
    </w:p>
    <w:p w14:paraId="01C4544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18.4.4 合同工程完工验收通过后，发包人与承包人应在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个工作日内向承包人颁发合同工程完工证书。</w:t>
      </w:r>
    </w:p>
    <w:p w14:paraId="523F1D7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18.5阶段验收</w:t>
      </w:r>
    </w:p>
    <w:p w14:paraId="49A35D8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18.5.1 工程建设具备阶段验收条件时，发包人负责提出阶段验收申请报告。承包人应派代表参加阶段验收，并作为被验收单位在验收鉴定书上签字。阶段验收的具体类别在专用合同条款中约定。</w:t>
      </w:r>
    </w:p>
    <w:p w14:paraId="2112BE3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18.5.2 承包人应及时完成阶段验收鉴定书载明应由承包人处理的遗留问题。</w:t>
      </w:r>
    </w:p>
    <w:p w14:paraId="0AC622F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18.6专项验收</w:t>
      </w:r>
    </w:p>
    <w:p w14:paraId="51C9232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18.6.1 发包人负责提出专项验收申请报告。承包人应按专项验收的相关规定参加专项验收。专项验收的具体类别在专用合同条款中约定。</w:t>
      </w:r>
    </w:p>
    <w:p w14:paraId="49F3C42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18.6.2 承包人应及时完成专项验收成果性文件载明应由承包人处理的遗留问题。</w:t>
      </w:r>
    </w:p>
    <w:p w14:paraId="07B8F6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18.7竣工验收</w:t>
      </w:r>
    </w:p>
    <w:p w14:paraId="166DCDDE">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18.7.1 申请竣工验收前，发包人组织竣工验收自查，承包人应派代表参加。</w:t>
      </w:r>
    </w:p>
    <w:p w14:paraId="3A0E8E5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18.7.2 竣工验收分为竣工技术预验收和竣工验收两个阶段。发包人应通知承包人派代表参加技术预验收和竣工验收。</w:t>
      </w:r>
    </w:p>
    <w:p w14:paraId="281FDA1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18.7.3 专用合同条款约定工程需要进行技术鉴定的，承包人应提交有关资料并完成配合工作。</w:t>
      </w:r>
    </w:p>
    <w:p w14:paraId="6276225C">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18.7.4 竣工验收需要进行质量检测的，所需费用由发包人承担，但因承包人原因造成质量不合格的除外。</w:t>
      </w:r>
    </w:p>
    <w:p w14:paraId="16C7CCF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18.7.5 工程质量保修期满以及竣工验收遗留问题和尾工处理完成并通过验收后，发包人负责将处理情况和验收成果报送竣工验收主持单位，申请领取工程竣工证书，并发送承包人。</w:t>
      </w:r>
    </w:p>
    <w:p w14:paraId="4BFA5F3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18.8施工期运行</w:t>
      </w:r>
    </w:p>
    <w:p w14:paraId="2A8DF36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18.8.1 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10E83E52">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18.8.2 在施工期运行中发现工程或工程设备损坏或存在缺陷的，由承包人按第19.2款约定进行修复。</w:t>
      </w:r>
    </w:p>
    <w:p w14:paraId="5CB9A7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18.9试运行</w:t>
      </w:r>
    </w:p>
    <w:p w14:paraId="7C96781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18.9.1 除专用合同条款另有约定外，承包人应按规定进行工程及工程设备试运行，负责提供试运行所需的人员、器材和必要的条件，并承担全部试运行费用。</w:t>
      </w:r>
    </w:p>
    <w:p w14:paraId="62B83A5D">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1CAA881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18.10竣工(完工)清场</w:t>
      </w:r>
    </w:p>
    <w:p w14:paraId="0641925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18.10.1 工程项目竣工(完工)清场的工作范围和内容在技术标准和要求(合同技术条款)中约定。</w:t>
      </w:r>
    </w:p>
    <w:p w14:paraId="3226EAAB">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18.10.2 承包人未按监理人的要求恢复临时占地，或者场地清理未达到合同约定的，发包人有权委托其它人恢复或清理，所发生的金额从拟支付给承包人的款项中扣除。</w:t>
      </w:r>
    </w:p>
    <w:p w14:paraId="1D86F43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18.11施工队伍的撤离</w:t>
      </w:r>
    </w:p>
    <w:p w14:paraId="4B82F260">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合同工程完工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06708493">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19.缺陷责任与保修责任</w:t>
      </w:r>
    </w:p>
    <w:p w14:paraId="6697F61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 缺陷责任期（工程质量保修期）的起算时间</w:t>
      </w:r>
    </w:p>
    <w:p w14:paraId="4E35B95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p>
    <w:p w14:paraId="1E01FFE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 缺陷责任</w:t>
      </w:r>
    </w:p>
    <w:p w14:paraId="23106A1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19.2.1 承包人应在缺陷责任期内对己交付使用的工程承担缺陷责任。</w:t>
      </w:r>
    </w:p>
    <w:p w14:paraId="26013A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0815EA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E61F27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19.2.4 承包人不能在合理时间内修复缺陷的，发包人可自行修复或委托其他人修复，所需费用和利润的承担，按第19.2.3 项约定办理。</w:t>
      </w:r>
    </w:p>
    <w:p w14:paraId="34E8CF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 缺陷责任期的延长</w:t>
      </w:r>
    </w:p>
    <w:p w14:paraId="0D2A577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35A8B92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 进一步试验和试运行</w:t>
      </w:r>
    </w:p>
    <w:p w14:paraId="43F7E7C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任何一项缺陷或损坏修复后，经检查证明其影响了工程或工程设备的使用性能，承包人应重新进行合同约定的试验和试运行，试验和试运行的全部费用应由责任方承担。</w:t>
      </w:r>
    </w:p>
    <w:p w14:paraId="5D160F4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 承包人的进入权</w:t>
      </w:r>
    </w:p>
    <w:p w14:paraId="4C7FE12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缺陷责任期内承包人为缺陷修复工作需要，有权进入工程现场，但应遵守发包人的保安和保密规定。</w:t>
      </w:r>
    </w:p>
    <w:p w14:paraId="60022C2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 缺陷责任期终止证书（工程质量保修责任终止证书）</w:t>
      </w:r>
    </w:p>
    <w:p w14:paraId="620D615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合同工程完工验收或投入使用验收后，发包人与承包人应办理工程交接手续，承包人应向发包人递交工程质量保修书。</w:t>
      </w:r>
    </w:p>
    <w:p w14:paraId="68AF29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缺陷责任期(工程质量保修期)满后30个工作日内，发包人应向承包人颁发工程质量保修责任终止证书，并退还剩余的质量保证金，但保修责任范围内的质量缺陷未处理完成的应除外。</w:t>
      </w:r>
    </w:p>
    <w:p w14:paraId="484E730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19.7 保修责任</w:t>
      </w:r>
    </w:p>
    <w:p w14:paraId="2615EA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148687B2">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20.保险</w:t>
      </w:r>
    </w:p>
    <w:p w14:paraId="026E380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工程保险</w:t>
      </w:r>
    </w:p>
    <w:p w14:paraId="1E16652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5537585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人员工伤事故的保险</w:t>
      </w:r>
    </w:p>
    <w:p w14:paraId="4C3A722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20.2.1 承包人员工伤事故的保险</w:t>
      </w:r>
    </w:p>
    <w:p w14:paraId="0D8FDA9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承包人应依照有关法律规定参加工伤保险，为其履行合同所雇佣的全部人员，缴纳工伤保险费，并要求其分包人也进行此项保险。</w:t>
      </w:r>
    </w:p>
    <w:p w14:paraId="31320E0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20.2.2 发包人员工伤事故的保险</w:t>
      </w:r>
    </w:p>
    <w:p w14:paraId="453B7DD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发包人应依照有关法律规定参加工伤保险，为其现场机构雇佣的全部人员，缴纳工伤保险费，并要求其监理人也进行此项保险。</w:t>
      </w:r>
    </w:p>
    <w:p w14:paraId="71A5DE5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人身意外伤害险</w:t>
      </w:r>
    </w:p>
    <w:p w14:paraId="4D35FB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20.3.1 发包人应在整个施工期间为其现场机构雇用的全部人员，投保人身意外伤害险，缴纳保险费，并要求其监理人也进行此项保险。</w:t>
      </w:r>
    </w:p>
    <w:p w14:paraId="7B89C91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20.3.2 承包人应在整个施工期间为其现场机构雇用的全部人员，投保人身意外伤害险，缴纳保险费，并要求其分包人也进行此项保险。</w:t>
      </w:r>
    </w:p>
    <w:p w14:paraId="7445C7B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第三者责任险</w:t>
      </w:r>
    </w:p>
    <w:p w14:paraId="61CB4CC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2D2DC17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20.4.2 在缺陷责任期终止证书颁发前，承包人应以承包人和发包人的共同名义，投保第20.4.1 项约定的第三者责任险，其保险费率、保险金额等有关内容在专用合同条款中约定。</w:t>
      </w:r>
    </w:p>
    <w:p w14:paraId="2769D90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20.5 其他保险</w:t>
      </w:r>
    </w:p>
    <w:p w14:paraId="507EB9C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除专用合同条款另有约定外，承包人应为其施工设备、进场的材料和工程设备等办理保险。</w:t>
      </w:r>
    </w:p>
    <w:p w14:paraId="2175323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 对各项保险的一般要求</w:t>
      </w:r>
    </w:p>
    <w:p w14:paraId="4DB9ADC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20.6.1 保险凭证</w:t>
      </w:r>
    </w:p>
    <w:p w14:paraId="3FCA85C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承包人应在专用合同条款约定的期限内向发包人提交各项保险生效的证据和保险单副本，保险单必须与专用合同条款约定的条件保持一致。</w:t>
      </w:r>
    </w:p>
    <w:p w14:paraId="1BE79F9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20.6.2 保险合同条款的变动</w:t>
      </w:r>
    </w:p>
    <w:p w14:paraId="281A89D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承包人需要变动保险合同条款时，应事先征得发包人同意，并通知监理人。保险人作出变动的，承包人应在收到保险人通知后立即通知发包人和监理人。</w:t>
      </w:r>
    </w:p>
    <w:p w14:paraId="3738E23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20.6.3 持续保险</w:t>
      </w:r>
    </w:p>
    <w:p w14:paraId="29DB419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承包人应与保险人保持联系，使保险人能够随时了解工程实施中的变动，并确保按保险合同条款要求持续保险。</w:t>
      </w:r>
    </w:p>
    <w:p w14:paraId="3A83EA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20.6.4 保险金不足的补偿</w:t>
      </w:r>
    </w:p>
    <w:p w14:paraId="6AA3A3E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保险金不足以补偿损失时，应由承包人和发包人各自负责补偿的范围和金额在专用合同条款中约定。</w:t>
      </w:r>
    </w:p>
    <w:p w14:paraId="238CE45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20.6.5 未按约定投保的补救</w:t>
      </w:r>
    </w:p>
    <w:p w14:paraId="0F7C9B0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(l）由于负有投保义务的一方当事人未按合同约定办理保险，或未能使保险持续有效的，另一方当事人可代为办理，所需费用由对方当事人承担。</w:t>
      </w:r>
    </w:p>
    <w:p w14:paraId="6082C3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(2）由于负有投保义务的一方当事人未按合同约定办理某项保险，导致受益人未能得到保险人的赔偿，原应从该项保险得到的保险金应由负有投保义务的一方当事人支付。</w:t>
      </w:r>
    </w:p>
    <w:p w14:paraId="24AF133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20.6.6 报告义务</w:t>
      </w:r>
    </w:p>
    <w:p w14:paraId="6AB804F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当保险事故发生时，投保人应按照保险单规定的条件和期限及时向保险人报告。</w:t>
      </w:r>
    </w:p>
    <w:p w14:paraId="11D3D16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20.7风险责任的转移</w:t>
      </w:r>
    </w:p>
    <w:p w14:paraId="657A973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工程通过合同工程完工验收并移交给发包人后，原由承包人应承担的风险责任，以及保险的责任、权利和义务同时转移给发包人，但承包人在缺陷责任期(工程质量保修期)前造成损失和损坏情形除外。</w:t>
      </w:r>
    </w:p>
    <w:p w14:paraId="75564B86">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21.不可抗力</w:t>
      </w:r>
    </w:p>
    <w:p w14:paraId="2216C3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不可抗力的确认</w:t>
      </w:r>
    </w:p>
    <w:p w14:paraId="010825D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2006E0D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2BD5A4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不可抗力的通知</w:t>
      </w:r>
    </w:p>
    <w:p w14:paraId="43520E3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21.2.1 合同一方当事人遇到不可抗力事件，使其履行合同义务受到阻碍时，应立即通知合同另一方当事人和监理人，书面说明不可抗力和受阻碍的详细情况，并提供必要的证明。</w:t>
      </w:r>
    </w:p>
    <w:p w14:paraId="65E7891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3A87CB10">
      <w:pPr>
        <w:spacing w:line="353"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21.3 不可抗力后果及其处理</w:t>
      </w:r>
    </w:p>
    <w:p w14:paraId="48F0457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21.3.1 不可抗力造成损害的责任</w:t>
      </w:r>
    </w:p>
    <w:p w14:paraId="72A384E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除专用合同条款另有约定外，不可抗力导致的人员伤亡、财产损失、费用增加和（或）工期延误等后果，由合同双方按以下原则承担：</w:t>
      </w:r>
    </w:p>
    <w:p w14:paraId="02D81C9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(1）永久工程，包括己运至施工场地的材料和工程设备的损害，以及因工程损害造成的第三者人员伤亡和财产损失由发包人承担；</w:t>
      </w:r>
    </w:p>
    <w:p w14:paraId="36F55AE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(2）承包人设备的损坏由承包人承担；</w:t>
      </w:r>
    </w:p>
    <w:p w14:paraId="7B34B00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(3）发包人和承包人各自承担其人员伤亡和其他财产损失及其相关费用；</w:t>
      </w:r>
    </w:p>
    <w:p w14:paraId="4832D9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(4）承包人的停工损失由承包人承担，但停工期间应监理人要求照管工程和清理、修复工程的金额由发包人承担；</w:t>
      </w:r>
    </w:p>
    <w:p w14:paraId="5D77494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(5）不能按期竣工的，应合理延长工期，承包人不需支付逾期竣工违约金。发包人要求赶工的，承包人应采取赶工措施，赶工费用由发包人承担。</w:t>
      </w:r>
    </w:p>
    <w:p w14:paraId="0A1D46D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21.3.2 延迟履行期间发生的不可抗力</w:t>
      </w:r>
    </w:p>
    <w:p w14:paraId="6F7BFEF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合同一方当事人延迟履行，在延迟履行期间发生不可抗力的，不免除其责任。</w:t>
      </w:r>
    </w:p>
    <w:p w14:paraId="7C9FE7B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21.3.3 避免和减少不可抗力损失</w:t>
      </w:r>
    </w:p>
    <w:p w14:paraId="56C5854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不可抗力发生后，发包人和承包人均应采取措施尽量避免和减少损失的扩大，任何一方没有采取有效措施导致损失扩大的，应对扩大的损失承担责任。</w:t>
      </w:r>
    </w:p>
    <w:p w14:paraId="6E93272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21.3.4 因不可抗力解除合同</w:t>
      </w:r>
    </w:p>
    <w:p w14:paraId="718E965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 款商定或确定。</w:t>
      </w:r>
    </w:p>
    <w:p w14:paraId="126D151B">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22.违约</w:t>
      </w:r>
    </w:p>
    <w:p w14:paraId="6484264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22.1承包人违约</w:t>
      </w:r>
    </w:p>
    <w:p w14:paraId="60A8DB5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22.1.1 承包人违约的情形</w:t>
      </w:r>
    </w:p>
    <w:p w14:paraId="14DA14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在履行合同过程中发生的下列情况属承包人违约：</w:t>
      </w:r>
    </w:p>
    <w:p w14:paraId="3A685E07">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(1)承包人违反第1.8款或第4.3款的约定，私自将合同的全部或部分权利转让给其他人，或私自将合同的全部或部分义务转移给其他人；</w:t>
      </w:r>
    </w:p>
    <w:p w14:paraId="23033276">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(2)承包人违反第5.3款或第6.4款的约定，未经监理人批准，私自将已按合同约定进入施工场地的施工设备、临时设施或材料撤离施工场地；</w:t>
      </w:r>
    </w:p>
    <w:p w14:paraId="4656CB6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(3)承包人违反第5.4款的约定使用了不合格材料或工程设备，工程质量达不到标准要求，又拒绝清除不合格工程；</w:t>
      </w:r>
    </w:p>
    <w:p w14:paraId="57240684">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(4)承包人未能按合同进度计划及时完成合同约定的工作，已造成或预期造成工期延误；</w:t>
      </w:r>
    </w:p>
    <w:p w14:paraId="03B4B29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(5)承包人在缺陷责任期(工程质量保修期)内，未能对合同工程完工验收鉴定书所列的缺陷清单的内容或缺陷责任期(工程质量保修期)内发生的缺陷进行修复，而又拒绝按监理人指示再进行修补；</w:t>
      </w:r>
    </w:p>
    <w:p w14:paraId="3F1182DF">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(6)承包人无法继续履行或明确表示不履行或实质上已停止履行合同；</w:t>
      </w:r>
    </w:p>
    <w:p w14:paraId="5E2F706A">
      <w:pPr>
        <w:spacing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(7)承包人不按合同约定履行义务的其它情况。</w:t>
      </w:r>
    </w:p>
    <w:p w14:paraId="475C196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22.1.2 对承包人违约的处理</w:t>
      </w:r>
    </w:p>
    <w:p w14:paraId="3F76662C">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(l）承包人发生第22.1.1(6)目约定的违约情况时，发包人可通知承包人立即解除合同，并按有关法律处理。</w:t>
      </w:r>
    </w:p>
    <w:p w14:paraId="49AE12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(2）承包人发生除第22.1.1(6)目约定以外的其他违约情况时，监理人可向承包人发出整改通知，要求其在指定的期限内改正。承包人应承担其违约所引起的费用增加和（或）工期延误。</w:t>
      </w:r>
    </w:p>
    <w:p w14:paraId="5B7E10E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(3）经检查证明承包人已采取了有效措施纠正违约行为，具备复工条件的，可由监理人签发复工通知复工。</w:t>
      </w:r>
    </w:p>
    <w:p w14:paraId="3BF109F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22.1.3 承包人违约解除合同</w:t>
      </w:r>
    </w:p>
    <w:p w14:paraId="6C07D7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695151C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22.1.4 合同解除后的估价、付款和结清</w:t>
      </w:r>
    </w:p>
    <w:p w14:paraId="5A0B05B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(1）合同解除后，监理人按第3.5 款商定或确定承包人实际完成工作的价值，以及承包人己提供的材料、施工设备、工程设备和临时工程等的价值。</w:t>
      </w:r>
    </w:p>
    <w:p w14:paraId="06366E4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(2）合同解除后，发包人应暂停对承包人的一切付款，查清各项付款和己扣款金额，包括承包人应支付的违约金。</w:t>
      </w:r>
    </w:p>
    <w:p w14:paraId="068C19D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(3）合同解除后，发包人应按第23.4 款的约定向承包人索赔由于解除合同给发包人造成的损失。</w:t>
      </w:r>
    </w:p>
    <w:p w14:paraId="095074B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(4）合同双方确认上述往来款项后，出具最终结清付款证书，结清全部合同款项。</w:t>
      </w:r>
    </w:p>
    <w:p w14:paraId="70FDBEA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(5）发包人和承包人未能就解除合同后的结清达成一致而形成争议的，按第24条的约定办理。</w:t>
      </w:r>
    </w:p>
    <w:p w14:paraId="305169F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22.1.5 协议利益的转让</w:t>
      </w:r>
    </w:p>
    <w:p w14:paraId="1749480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因承包人违约解除合同的，发包人有权要求承包人将其为实施合同而签订的材料和设备的订货协议或任何服务协议利益转让给发包人，并在解除合同后的14天内，依法办理转让手续。</w:t>
      </w:r>
    </w:p>
    <w:p w14:paraId="0B28AB6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22.1.6 紧急情况下无能力或不愿进行抢救</w:t>
      </w:r>
    </w:p>
    <w:p w14:paraId="71E7C36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0D71720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 发包人违约</w:t>
      </w:r>
    </w:p>
    <w:p w14:paraId="2E90E6D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22.2.1 发包人违约的情形</w:t>
      </w:r>
    </w:p>
    <w:p w14:paraId="270CF5E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在履行合同过程中发生的下列情形，属发包人违约：</w:t>
      </w:r>
    </w:p>
    <w:p w14:paraId="6442484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(l）发包人未能按合同约定支付预付款或合同价款，或拖延、拒绝批准付款申请和支付凭证，导致付款延误的；</w:t>
      </w:r>
    </w:p>
    <w:p w14:paraId="1BF6FE7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(2）发包人原因造成停工的；</w:t>
      </w:r>
    </w:p>
    <w:p w14:paraId="3625E11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(3）监理人无正当理由没有在约定期限内发出复工指示，导致承包人无法复工的；</w:t>
      </w:r>
    </w:p>
    <w:p w14:paraId="69FDACA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(4）发包人无法继续履行或明确表示不履行或实质上已停止履行合同的；</w:t>
      </w:r>
    </w:p>
    <w:p w14:paraId="664D94B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(5）发包人不履行合同约定其他义务的。</w:t>
      </w:r>
    </w:p>
    <w:p w14:paraId="396CD78E">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22.2.2 承包人有权暂停施工</w:t>
      </w:r>
    </w:p>
    <w:p w14:paraId="446DD25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60DFF37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22.2.3 发包人违约解除合同</w:t>
      </w:r>
    </w:p>
    <w:p w14:paraId="1001A61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(1）发生第22.2.1(4）目的违约情况时，承包人可书面通知发包人解除合同。</w:t>
      </w:r>
    </w:p>
    <w:p w14:paraId="32A41D74">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7A14E093">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22.2.4 解除合同后的付款</w:t>
      </w:r>
    </w:p>
    <w:p w14:paraId="695C7DC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因发包人违约解除合同的，发包人应在解除合同后28天内向承包人支付下列金额，承包人应在此期限内及时向发包人提交要求支付下列金额的有关资料和凭证：</w:t>
      </w:r>
    </w:p>
    <w:p w14:paraId="795B36C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(l）合同解除日以前所完成工作的价款；</w:t>
      </w:r>
    </w:p>
    <w:p w14:paraId="1311771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(2）承包人为该工程施工订购并己付款的材料、工程设备和其他物品的金额。发包人付还后，该材料、工程设备和其他物品归发包人所有；</w:t>
      </w:r>
    </w:p>
    <w:p w14:paraId="4DFF898A">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(3）承包人为完成工程所发生的，而发包人未支付的金额；</w:t>
      </w:r>
    </w:p>
    <w:p w14:paraId="705287C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(4）承包人撤离施工场地以及遣散承包人人员的金额；</w:t>
      </w:r>
    </w:p>
    <w:p w14:paraId="20D7030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(5）由于解除合同应赔偿的承包人损失；</w:t>
      </w:r>
    </w:p>
    <w:p w14:paraId="3C1671D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(6）按合同约定在合同解除日前应支付给承包人的其他金额。</w:t>
      </w:r>
    </w:p>
    <w:p w14:paraId="06F1FEC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发包人应按本项约定支付上述金额并退还质量保证金和履约担保，但有权要求承包人支付应偿还给发包人的各项金额。</w:t>
      </w:r>
    </w:p>
    <w:p w14:paraId="3A64AD4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22.2.5 解除合同后的承包人撤离</w:t>
      </w:r>
    </w:p>
    <w:p w14:paraId="61D9E2B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14:paraId="17146566">
      <w:pPr>
        <w:spacing w:line="353" w:lineRule="auto"/>
        <w:ind w:firstLine="482" w:firstLineChars="200"/>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22.3 第三人造成的违约</w:t>
      </w:r>
    </w:p>
    <w:p w14:paraId="43F412B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在履行合同过程中，一方当事人因第三人的原因造成违约的，应当向对方当事人承担违约责任。一方当事人和第三人之间的纠纷，依照法律规定或者按照约定解决。</w:t>
      </w:r>
    </w:p>
    <w:p w14:paraId="7864B95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23.索赔</w:t>
      </w:r>
    </w:p>
    <w:p w14:paraId="4F48614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23.1 承包人索赔的提出</w:t>
      </w:r>
    </w:p>
    <w:p w14:paraId="63DCAF32">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根据合同约定，承包人认为有权得到追加付款和（或）延长工期的，应按以下程序向发包人提出索赔：</w:t>
      </w:r>
    </w:p>
    <w:p w14:paraId="2E49A5F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73D9F8A9">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(2）承包人应在发出索赔意向通知书后28天内，向监理人正式递交索赔通知书。索赔通知书应详细说明索赔理由以及要求追加的付款金额和（或）延长的工期，并附必要的记录和证明材料；</w:t>
      </w:r>
    </w:p>
    <w:p w14:paraId="40AC2E8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(3）索赔事件具有连续影响的，承包人应按合理时间间隔继续递交延续索赔通知，说明连续影响的实际情况和记录，列出累计的追加付款金额和（或）工期延长天数；</w:t>
      </w:r>
    </w:p>
    <w:p w14:paraId="0ADBFFE8">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(4）在索赔事件影响结束后的28 天内，承包人应向监理人递交最终索赔通知书，说明最终要求索赔的追加付款金额和延长的工期，并附必要的记录和证明材料。</w:t>
      </w:r>
    </w:p>
    <w:p w14:paraId="40C90EC1">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 承包人索赔处理程序</w:t>
      </w:r>
    </w:p>
    <w:p w14:paraId="7DDAB8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(1）监理人收到承包人提交的索赔通知书后，应及时审查索赔通知书的内容、杳验承包人的记录和证明材料，必要时监理人可要求承包人提交全部原始记录副本。</w:t>
      </w:r>
    </w:p>
    <w:p w14:paraId="4D42DA7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(2）监理人应按第3.5 款商定或确定追加的付款和（或）延长的工期，并在收到上述索赔通知书或有关索赔的进一步证明材料后的42天内，将索赔处理结果答复承包人。</w:t>
      </w:r>
    </w:p>
    <w:p w14:paraId="18597146">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(3）承包人接受索赔处理结果的，发包人应在作出索赔处理结果答复后28 天内完成赔付。承包人不接受索赔处理结果的，按第24条的约定办理。</w:t>
      </w:r>
    </w:p>
    <w:p w14:paraId="1F1F251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 承包人提出索赔的期限</w:t>
      </w:r>
    </w:p>
    <w:p w14:paraId="7022D21B">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23.3.1 承包人按第17.5款的约定接受了完工付款证书后，应被认为已无权再提出在合同工程完工证书颁发前所发生的任何索赔。</w:t>
      </w:r>
    </w:p>
    <w:p w14:paraId="137FD6E5">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23.3.2 承包人按第17.6款的约定提交的最终结清申请单中，只限于提出合同工程完工证书颁发后发生的索赔。提出索赔的期限自接受最终结清证书时终止。</w:t>
      </w:r>
    </w:p>
    <w:p w14:paraId="704030D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 发包人的索赔</w:t>
      </w:r>
    </w:p>
    <w:p w14:paraId="019374B0">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43F9255D">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23.4.2 监理人按第3.5 款商定或确定发包人从承包人处得到赔付的金额和（或）缺陷责任期的延长期。承包人应付给发包人的金额可从拟支付给承包人的合同价款中扣除，或由承包人以其他方式支付给发包人。 </w:t>
      </w:r>
    </w:p>
    <w:p w14:paraId="4F79E35F">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p>
    <w:p w14:paraId="6313D8B4">
      <w:pPr>
        <w:spacing w:before="0" w:after="0" w:line="353"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24.争议的解决</w:t>
      </w:r>
    </w:p>
    <w:p w14:paraId="04792477">
      <w:pPr>
        <w:spacing w:line="353"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 争议的解决方式</w:t>
      </w:r>
    </w:p>
    <w:p w14:paraId="012A13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56851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(l）向约定的仲裁委员会申请仲裁；</w:t>
      </w:r>
    </w:p>
    <w:p w14:paraId="13C1440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(2）向有管辖权的人民法院提起诉讼。</w:t>
      </w:r>
    </w:p>
    <w:p w14:paraId="6EA529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 友好解决</w:t>
      </w:r>
    </w:p>
    <w:p w14:paraId="549FB0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在提请争议评审、仲裁或者诉讼前，以及在争议评审、仲裁或诉讼过程中，发包人和承包人均可共同努力友好协商解决争议。</w:t>
      </w:r>
    </w:p>
    <w:p w14:paraId="3761E1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 争议评审</w:t>
      </w:r>
    </w:p>
    <w:p w14:paraId="2F063B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24.3.1 采用争议评审的，发包人和承包人应在开工日后的28天内或在争议发生后，协商成立争议评审组。争议评审组由有合同管理和工程实践经验的专家组成。</w:t>
      </w:r>
    </w:p>
    <w:p w14:paraId="12FD60E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24.3.2 合同双方的争议，应首先由申请人向争议评审组提交一份详细的评审申请报告，并附必要的文件、图纸和证明材料，申请人还应将上述报告的副本同时提交给被申请人和监理人。</w:t>
      </w:r>
    </w:p>
    <w:p w14:paraId="18C0CE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24.3.3 被申请人在收到申请人评审申请报告副本后的28 天内，向争议评审组提交一份答辩报告，并附证明材料。被申请人应将答辩报告的副本同时提交给申请人和监理人。</w:t>
      </w:r>
    </w:p>
    <w:p w14:paraId="210173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15F1B4A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32F97B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24.3.6 发包人和承包人接受评审意见的，由监理人根据评审意见拟定执行协议，经争议双方签字后作为合同的补充文件，并遵照执行。</w:t>
      </w:r>
    </w:p>
    <w:p w14:paraId="576A6F6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3ADC31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 仲裁</w:t>
      </w:r>
    </w:p>
    <w:p w14:paraId="6240E7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24.4.1 若合同双方商定直接向仲裁机构申请仲裁，应签订仲裁协议并约定仲裁机构。</w:t>
      </w:r>
    </w:p>
    <w:p w14:paraId="461168D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24.4.2 若合同双方未能达成仲裁协议，则本合同的仲裁条款无效，任一方均有权向人民法院提起诉讼。</w:t>
      </w:r>
    </w:p>
    <w:p w14:paraId="186CDE0C">
      <w:pPr>
        <w:spacing w:before="0" w:after="0" w:line="360" w:lineRule="auto"/>
        <w:outlineLvl w:val="9"/>
        <w:rPr>
          <w:rFonts w:hint="eastAsia" w:ascii="宋体" w:hAnsi="宋体" w:eastAsia="宋体" w:cs="宋体"/>
          <w:sz w:val="24"/>
          <w:szCs w:val="24"/>
          <w:highlight w:val="none"/>
        </w:rPr>
        <w:sectPr>
          <w:footerReference r:id="rId7" w:type="default"/>
          <w:pgSz w:w="11906" w:h="16838"/>
          <w:pgMar w:top="1361" w:right="1361" w:bottom="1361" w:left="1361" w:header="777" w:footer="624" w:gutter="0"/>
          <w:pgNumType w:fmt="decimal"/>
          <w:cols w:space="720" w:num="1"/>
          <w:docGrid w:linePitch="312" w:charSpace="0"/>
        </w:sectPr>
      </w:pPr>
    </w:p>
    <w:p w14:paraId="17823CC9">
      <w:pPr>
        <w:spacing w:before="0" w:after="0" w:line="360" w:lineRule="auto"/>
        <w:jc w:val="center"/>
        <w:outlineLvl w:val="2"/>
        <w:rPr>
          <w:rFonts w:hint="eastAsia" w:ascii="宋体" w:hAnsi="宋体" w:eastAsia="宋体" w:cs="宋体"/>
          <w:sz w:val="30"/>
          <w:szCs w:val="30"/>
          <w:highlight w:val="none"/>
        </w:rPr>
      </w:pPr>
      <w:bookmarkStart w:id="66" w:name="_Toc377375980"/>
      <w:bookmarkStart w:id="67" w:name="_Toc9387"/>
      <w:r>
        <w:rPr>
          <w:rFonts w:hint="eastAsia" w:ascii="宋体" w:hAnsi="宋体" w:eastAsia="宋体" w:cs="宋体"/>
          <w:sz w:val="30"/>
          <w:szCs w:val="30"/>
          <w:highlight w:val="none"/>
        </w:rPr>
        <w:t>第2节 专用合同条款</w:t>
      </w:r>
      <w:bookmarkEnd w:id="66"/>
      <w:bookmarkEnd w:id="67"/>
    </w:p>
    <w:p w14:paraId="353484C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1.一般约定</w:t>
      </w:r>
    </w:p>
    <w:p w14:paraId="12D8E0A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1.1词语定义</w:t>
      </w:r>
    </w:p>
    <w:p w14:paraId="4A99520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  合同当事人和人员</w:t>
      </w:r>
    </w:p>
    <w:p w14:paraId="22656E9C">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1.1.2.2发包人：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        千阳县河务工作站                 </w:t>
      </w:r>
    </w:p>
    <w:p w14:paraId="1AD932B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1.1.2.3承包人：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本项目招标人发出中标通知书确定的中标人   </w:t>
      </w:r>
    </w:p>
    <w:p w14:paraId="5620E81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1.1.2.5分包人：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不允许分包                    </w:t>
      </w:r>
    </w:p>
    <w:p w14:paraId="0C1B7F41">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1.1.2.6监理人：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签约时填写                    </w:t>
      </w:r>
    </w:p>
    <w:p w14:paraId="0D152481">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1.1.4  日期</w:t>
      </w:r>
    </w:p>
    <w:p w14:paraId="4580B3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1.1.4.5缺陷责任期(工程质量保修期)：</w:t>
      </w:r>
      <w:r>
        <w:rPr>
          <w:rFonts w:hint="eastAsia" w:ascii="宋体" w:hAnsi="宋体" w:eastAsia="宋体" w:cs="宋体"/>
          <w:b/>
          <w:sz w:val="24"/>
          <w:szCs w:val="24"/>
          <w:highlight w:val="none"/>
          <w:u w:val="single"/>
        </w:rPr>
        <w:t>竣工验收合格之日起1年</w:t>
      </w:r>
    </w:p>
    <w:p w14:paraId="3E2E82C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1.4合同文件的优先顺序</w:t>
      </w:r>
    </w:p>
    <w:p w14:paraId="3A7FFEA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进入合同文件的各项文件及其优先顺序是：</w:t>
      </w:r>
    </w:p>
    <w:p w14:paraId="7C9E8CE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(l）合同协议书（包括补充协议）；                     </w:t>
      </w:r>
    </w:p>
    <w:p w14:paraId="07C9999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(2）中标通知书；</w:t>
      </w:r>
    </w:p>
    <w:p w14:paraId="72B6F73B">
      <w:pPr>
        <w:spacing w:line="360" w:lineRule="auto"/>
        <w:ind w:firstLine="360" w:firstLineChars="1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(3）本合同专用条款；</w:t>
      </w:r>
    </w:p>
    <w:p w14:paraId="5D95A8E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(4）本合同通用条款；                  </w:t>
      </w:r>
    </w:p>
    <w:p w14:paraId="6ED3A1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(5）招标文件及其附件；</w:t>
      </w:r>
    </w:p>
    <w:p w14:paraId="225ED4A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(6）投标书及其附件；</w:t>
      </w:r>
    </w:p>
    <w:p w14:paraId="4FE9445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(7）标准、规范及有关技术要求；                         </w:t>
      </w:r>
    </w:p>
    <w:p w14:paraId="112035C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(8）已标价工程量清单；</w:t>
      </w:r>
    </w:p>
    <w:p w14:paraId="2C6A3D2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(9）安全生产合同及其他合同文件。</w:t>
      </w:r>
    </w:p>
    <w:p w14:paraId="1770074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1.7联络</w:t>
      </w:r>
    </w:p>
    <w:p w14:paraId="05DE4D7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1.7.2来往函件均应按技术标准和要求(合同技术条款)约定的期限送达：</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千阳县河务工作站或监理人 </w:t>
      </w:r>
      <w:r>
        <w:rPr>
          <w:rFonts w:hint="eastAsia" w:ascii="宋体" w:hAnsi="宋体" w:eastAsia="宋体" w:cs="宋体"/>
          <w:sz w:val="24"/>
          <w:szCs w:val="24"/>
          <w:highlight w:val="none"/>
        </w:rPr>
        <w:t>。</w:t>
      </w:r>
    </w:p>
    <w:p w14:paraId="38545C02">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2.发包人义务</w:t>
      </w:r>
    </w:p>
    <w:p w14:paraId="7C2A307D">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2.3提供施工场地</w:t>
      </w:r>
    </w:p>
    <w:p w14:paraId="3715AC9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2.3.2发包人提供的施工场地范围为：</w:t>
      </w:r>
      <w:r>
        <w:rPr>
          <w:rFonts w:hint="eastAsia" w:ascii="宋体" w:hAnsi="宋体" w:eastAsia="宋体" w:cs="宋体"/>
          <w:b/>
          <w:sz w:val="24"/>
          <w:szCs w:val="24"/>
          <w:highlight w:val="none"/>
          <w:u w:val="single"/>
        </w:rPr>
        <w:t>以满足正常施工需要的范围为界、临时设施用地由发包人协助承包人办理施工临时用地手续，施工临时用地的土地使用费、地面附着物补偿费和复耕费由承包人列入投标报价中。</w:t>
      </w:r>
    </w:p>
    <w:p w14:paraId="0C4CA314">
      <w:pPr>
        <w:spacing w:line="360"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2.3.3承包人自行勘察的施工场地范围为：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p>
    <w:p w14:paraId="06B73B45">
      <w:pPr>
        <w:spacing w:line="360" w:lineRule="auto"/>
        <w:ind w:firstLine="482" w:firstLineChars="20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2.8其它义务：</w:t>
      </w:r>
      <w:r>
        <w:rPr>
          <w:rFonts w:hint="eastAsia" w:ascii="宋体" w:hAnsi="宋体" w:eastAsia="宋体" w:cs="宋体"/>
          <w:b/>
          <w:sz w:val="24"/>
          <w:szCs w:val="24"/>
          <w:highlight w:val="none"/>
          <w:u w:val="single"/>
        </w:rPr>
        <w:t xml:space="preserve"> </w:t>
      </w:r>
      <w:r>
        <w:rPr>
          <w:rFonts w:hint="eastAsia" w:ascii="宋体" w:hAnsi="宋体" w:eastAsia="宋体" w:cs="宋体"/>
          <w:b/>
          <w:bCs/>
          <w:sz w:val="24"/>
          <w:szCs w:val="24"/>
          <w:highlight w:val="none"/>
          <w:u w:val="single"/>
        </w:rPr>
        <w:t>发包人有责任向承包人提供施工用电源、发包人协助承包人解决施</w:t>
      </w:r>
    </w:p>
    <w:p w14:paraId="00CAACAE">
      <w:pPr>
        <w:outlineLvl w:val="9"/>
        <w:rPr>
          <w:rFonts w:hint="eastAsia" w:ascii="宋体" w:hAnsi="宋体" w:eastAsia="宋体" w:cs="宋体"/>
          <w:highlight w:val="none"/>
        </w:rPr>
      </w:pPr>
      <w:r>
        <w:rPr>
          <w:rFonts w:hint="eastAsia" w:ascii="宋体" w:hAnsi="宋体" w:eastAsia="宋体" w:cs="宋体"/>
          <w:b/>
          <w:bCs/>
          <w:sz w:val="24"/>
          <w:szCs w:val="24"/>
          <w:highlight w:val="none"/>
          <w:u w:val="single"/>
        </w:rPr>
        <w:t xml:space="preserve">工用水水源，但电费、水费由承包人承担。      </w:t>
      </w:r>
      <w:r>
        <w:rPr>
          <w:rFonts w:hint="eastAsia" w:ascii="宋体" w:hAnsi="宋体" w:eastAsia="宋体" w:cs="宋体"/>
          <w:bCs/>
          <w:sz w:val="24"/>
          <w:szCs w:val="24"/>
          <w:highlight w:val="none"/>
          <w:u w:val="single"/>
        </w:rPr>
        <w:t xml:space="preserve"> </w:t>
      </w:r>
    </w:p>
    <w:p w14:paraId="470B6E6A">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3.监理人</w:t>
      </w:r>
    </w:p>
    <w:p w14:paraId="2170F272">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3.1监理人的职责和权力</w:t>
      </w:r>
    </w:p>
    <w:p w14:paraId="42657E0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3.1.1 监理人须根据发包人事先批准的权力范围行使权力，发包人批准的权力范围： </w:t>
      </w:r>
    </w:p>
    <w:p w14:paraId="2F3741E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(1)按第4.3款约定，批准工程的分包；</w:t>
      </w:r>
    </w:p>
    <w:p w14:paraId="14F1996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(2)按第11.3款约定，确定延长完工期限；</w:t>
      </w:r>
    </w:p>
    <w:p w14:paraId="7938AA76">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(3)按第15.6款约定，批准暂列金额的使用；</w:t>
      </w:r>
    </w:p>
    <w:p w14:paraId="5C8D189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(4)发布停工令、开工令；</w:t>
      </w:r>
    </w:p>
    <w:p w14:paraId="63DA2C7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(5)调整控制性进度计划；</w:t>
      </w:r>
    </w:p>
    <w:p w14:paraId="319E34D0">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(6)施工中发生，但投标人《工程量清单》中未列单价的工程项目单价的确认；</w:t>
      </w:r>
    </w:p>
    <w:p w14:paraId="13306F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(7)工程重大质量事故的处理意见；</w:t>
      </w:r>
    </w:p>
    <w:p w14:paraId="76BC19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(8)工程的设计变更；</w:t>
      </w:r>
    </w:p>
    <w:p w14:paraId="67F3D13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(9)撤换项目经理或技术负责人员；</w:t>
      </w:r>
    </w:p>
    <w:p w14:paraId="467FDE9E">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(10)以上权力的行使凡涉及费用增加时均须经发包人同意；</w:t>
      </w:r>
    </w:p>
    <w:p w14:paraId="53F9164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（11）负责组织所有分部工程的验收。</w:t>
      </w:r>
    </w:p>
    <w:p w14:paraId="7283D6F1">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w:t>
      </w:r>
    </w:p>
    <w:p w14:paraId="4BEB4A9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4.1承包人的一般义务</w:t>
      </w:r>
    </w:p>
    <w:p w14:paraId="332D2C3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4.1.10其他义务</w:t>
      </w:r>
    </w:p>
    <w:p w14:paraId="564D4F8A">
      <w:pPr>
        <w:spacing w:line="360" w:lineRule="auto"/>
        <w:ind w:firstLine="602" w:firstLineChars="25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做好与其他承包人、有关部门或当地群众的协调工作，确保不影响正常施工且自觉完成发包人安排的其他有关工作。</w:t>
      </w:r>
    </w:p>
    <w:p w14:paraId="593C617C">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 履约担保</w:t>
      </w:r>
    </w:p>
    <w:p w14:paraId="2A611AC8">
      <w:pPr>
        <w:spacing w:line="360" w:lineRule="auto"/>
        <w:ind w:firstLine="482" w:firstLineChars="20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履约担保为中标价的10％，合同签订前中标人以银行保函形式缴纳。</w:t>
      </w:r>
    </w:p>
    <w:p w14:paraId="525D8AF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4.3分包</w:t>
      </w:r>
    </w:p>
    <w:p w14:paraId="578635BB">
      <w:pPr>
        <w:pStyle w:val="15"/>
        <w:spacing w:line="360" w:lineRule="auto"/>
        <w:ind w:firstLine="482" w:firstLineChars="200"/>
        <w:outlineLvl w:val="9"/>
        <w:rPr>
          <w:rFonts w:hint="eastAsia" w:ascii="宋体" w:hAnsi="宋体" w:eastAsia="宋体" w:cs="宋体"/>
          <w:b/>
          <w:kern w:val="2"/>
          <w:sz w:val="24"/>
          <w:szCs w:val="24"/>
          <w:highlight w:val="none"/>
          <w:u w:val="single"/>
          <w:lang w:val="en-US" w:eastAsia="zh-CN" w:bidi="ar-SA"/>
        </w:rPr>
      </w:pPr>
      <w:r>
        <w:rPr>
          <w:rFonts w:hint="eastAsia" w:ascii="宋体" w:hAnsi="宋体" w:eastAsia="宋体" w:cs="宋体"/>
          <w:b/>
          <w:kern w:val="2"/>
          <w:sz w:val="24"/>
          <w:szCs w:val="24"/>
          <w:highlight w:val="none"/>
          <w:u w:val="single"/>
          <w:lang w:val="en-US" w:eastAsia="zh-CN" w:bidi="ar-SA"/>
        </w:rPr>
        <w:t xml:space="preserve">删去本款，并代之为本项目不允许分包 。 </w:t>
      </w:r>
    </w:p>
    <w:p w14:paraId="53C18E3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4.5项目经理</w:t>
      </w:r>
    </w:p>
    <w:p w14:paraId="66B27D1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承包人应按投标文件的约定指派项目经理，并在开工前到职，承包人不得随意更换项目经理，因特殊原因到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5000元，且发包人不接受项目经理授权其他人员代行其参加例会的权利。</w:t>
      </w:r>
    </w:p>
    <w:p w14:paraId="3372371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在原基础上补充以下内容：</w:t>
      </w:r>
    </w:p>
    <w:p w14:paraId="5383F09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4.5.5承包人项目经理在本合同执行期内，项目经理不得担任除本工程以外的其它工地的任何职务，不经发包人批准，承包人项目经理不得更换。</w:t>
      </w:r>
    </w:p>
    <w:p w14:paraId="728FE02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4.5.6发包人认为项目经理不称职，可以要求承包人更换。</w:t>
      </w:r>
    </w:p>
    <w:p w14:paraId="1135914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4.11不利物质条件</w:t>
      </w:r>
    </w:p>
    <w:p w14:paraId="2E07DB9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4.11.1 不利物质条件的范围：</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p>
    <w:p w14:paraId="7A29D24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5.材料和工程设备</w:t>
      </w:r>
    </w:p>
    <w:p w14:paraId="637B50A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5.2发包人提供的材料和工程设备</w:t>
      </w:r>
    </w:p>
    <w:p w14:paraId="771E72A6">
      <w:pPr>
        <w:pStyle w:val="15"/>
        <w:spacing w:line="360" w:lineRule="auto"/>
        <w:ind w:firstLine="480" w:firstLineChars="200"/>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5.2.1 发包人提供的材料和工程设备：</w:t>
      </w:r>
    </w:p>
    <w:p w14:paraId="1E0D6CA3">
      <w:pPr>
        <w:pStyle w:val="15"/>
        <w:spacing w:line="360"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u w:val="single"/>
        </w:rPr>
        <w:t>删去本款，并代之为本项目发包人不提供任何材料和工程设备。</w:t>
      </w:r>
    </w:p>
    <w:p w14:paraId="42A5BB07">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6.施工设备和临时设施</w:t>
      </w:r>
    </w:p>
    <w:p w14:paraId="3806DCF7">
      <w:pPr>
        <w:pStyle w:val="15"/>
        <w:spacing w:line="360"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rPr>
        <w:t>6.2发包人提供的施工设备和临时设施</w:t>
      </w:r>
    </w:p>
    <w:p w14:paraId="73DF92F4">
      <w:pPr>
        <w:spacing w:line="360" w:lineRule="auto"/>
        <w:ind w:firstLine="240" w:firstLineChars="1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(1)发包人提供的施工设备：</w:t>
      </w:r>
    </w:p>
    <w:p w14:paraId="76D83895">
      <w:pPr>
        <w:pStyle w:val="15"/>
        <w:spacing w:line="372" w:lineRule="auto"/>
        <w:ind w:firstLine="482" w:firstLineChars="200"/>
        <w:outlineLvl w:val="9"/>
        <w:rPr>
          <w:rFonts w:hint="eastAsia" w:ascii="宋体" w:hAnsi="宋体" w:eastAsia="宋体" w:cs="宋体"/>
          <w:b/>
          <w:sz w:val="24"/>
          <w:highlight w:val="none"/>
          <w:u w:val="single"/>
        </w:rPr>
      </w:pPr>
      <w:r>
        <w:rPr>
          <w:rFonts w:hint="eastAsia" w:ascii="宋体" w:hAnsi="宋体" w:eastAsia="宋体" w:cs="宋体"/>
          <w:b/>
          <w:sz w:val="24"/>
          <w:highlight w:val="none"/>
          <w:u w:val="single"/>
        </w:rPr>
        <w:t>删去本款，并代之以本项目发包人不提供任何施工设备。</w:t>
      </w:r>
    </w:p>
    <w:p w14:paraId="75F25AA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(2)发包人提供的临时设施：</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b/>
          <w:sz w:val="24"/>
          <w:szCs w:val="24"/>
          <w:highlight w:val="none"/>
        </w:rPr>
        <w:t>。</w:t>
      </w:r>
    </w:p>
    <w:p w14:paraId="717FD82E">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7.交通运输</w:t>
      </w:r>
    </w:p>
    <w:p w14:paraId="631EC818">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7.1道路通行权和场外设施</w:t>
      </w:r>
    </w:p>
    <w:p w14:paraId="2F1927BA">
      <w:pPr>
        <w:pStyle w:val="15"/>
        <w:spacing w:line="372" w:lineRule="auto"/>
        <w:ind w:firstLine="480" w:firstLineChars="200"/>
        <w:outlineLvl w:val="9"/>
        <w:rPr>
          <w:rFonts w:hint="eastAsia" w:ascii="宋体" w:hAnsi="宋体" w:eastAsia="宋体" w:cs="宋体"/>
          <w:b/>
          <w:sz w:val="24"/>
          <w:highlight w:val="none"/>
          <w:u w:val="single"/>
        </w:rPr>
      </w:pPr>
      <w:r>
        <w:rPr>
          <w:rFonts w:hint="eastAsia" w:ascii="宋体" w:hAnsi="宋体" w:eastAsia="宋体" w:cs="宋体"/>
          <w:sz w:val="24"/>
          <w:highlight w:val="none"/>
        </w:rPr>
        <w:t>道路通行权和场外设施的约定：</w:t>
      </w:r>
      <w:r>
        <w:rPr>
          <w:rFonts w:hint="eastAsia" w:ascii="宋体" w:hAnsi="宋体" w:eastAsia="宋体" w:cs="宋体"/>
          <w:b/>
          <w:sz w:val="24"/>
          <w:highlight w:val="none"/>
          <w:u w:val="single"/>
        </w:rPr>
        <w:t xml:space="preserve">   由承包人自行承担。  </w:t>
      </w:r>
    </w:p>
    <w:p w14:paraId="210291DD">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8.测量放线</w:t>
      </w:r>
    </w:p>
    <w:p w14:paraId="4C55F939">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8.1施工控制网</w:t>
      </w:r>
    </w:p>
    <w:p w14:paraId="691AFB35">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8.1.1 施工控制网的约定：</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r>
        <w:rPr>
          <w:rFonts w:hint="eastAsia" w:ascii="宋体" w:hAnsi="宋体" w:eastAsia="宋体" w:cs="宋体"/>
          <w:sz w:val="24"/>
          <w:szCs w:val="24"/>
          <w:highlight w:val="none"/>
        </w:rPr>
        <w:t>。</w:t>
      </w:r>
    </w:p>
    <w:p w14:paraId="2CB21E80">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9.施工安全、治安保卫和环境保护</w:t>
      </w:r>
    </w:p>
    <w:p w14:paraId="068910AD">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9.1发包人的施工安全责任</w:t>
      </w:r>
    </w:p>
    <w:p w14:paraId="11CDF0A6">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9.1.4发包人提供</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施工现场及施工可能影响的毗邻区域内供水、排水、供电、供气、供热、通信、广播电视等地下管线资料，气象和水文观测资料，拟建工程可能影响的相邻建筑物地下工程的有关资料  </w:t>
      </w:r>
      <w:r>
        <w:rPr>
          <w:rFonts w:hint="eastAsia" w:ascii="宋体" w:hAnsi="宋体" w:eastAsia="宋体" w:cs="宋体"/>
          <w:sz w:val="24"/>
          <w:szCs w:val="24"/>
          <w:highlight w:val="none"/>
        </w:rPr>
        <w:t>，其余资料由承包人负责收集。</w:t>
      </w:r>
    </w:p>
    <w:p w14:paraId="42FFA4EA">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9.2承包人的施工安全责任</w:t>
      </w:r>
    </w:p>
    <w:p w14:paraId="10B47FC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9.2.12下列工程应编制专项施工方案：</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双方协商确定 </w:t>
      </w:r>
      <w:r>
        <w:rPr>
          <w:rFonts w:hint="eastAsia" w:ascii="宋体" w:hAnsi="宋体" w:eastAsia="宋体" w:cs="宋体"/>
          <w:sz w:val="24"/>
          <w:szCs w:val="24"/>
          <w:highlight w:val="none"/>
        </w:rPr>
        <w:t>。其中</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对于可能会引发安全事故和工程事故的 </w:t>
      </w:r>
      <w:r>
        <w:rPr>
          <w:rFonts w:hint="eastAsia" w:ascii="宋体" w:hAnsi="宋体" w:eastAsia="宋体" w:cs="宋体"/>
          <w:sz w:val="24"/>
          <w:szCs w:val="24"/>
          <w:highlight w:val="none"/>
        </w:rPr>
        <w:t>应组织专家论证和审查。</w:t>
      </w:r>
    </w:p>
    <w:p w14:paraId="370C2CD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9.7文明工地</w:t>
      </w:r>
    </w:p>
    <w:p w14:paraId="45E276A6">
      <w:pPr>
        <w:spacing w:line="372" w:lineRule="auto"/>
        <w:ind w:firstLine="480" w:firstLineChars="200"/>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9.7.1 本合同文明工地的约定：</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承包人应自觉按县级文明施工的要求组织施工。建立宣传、警示牌、工人维权信息公示牌，保持周边环境整洁、美观，并配备必要的消防设备和救助设施。</w:t>
      </w:r>
    </w:p>
    <w:p w14:paraId="6EF49095">
      <w:pPr>
        <w:spacing w:before="0" w:after="0" w:line="372"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11.开工和竣工(完工)</w:t>
      </w:r>
    </w:p>
    <w:p w14:paraId="36754DA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11.4异常恶劣的气候条件</w:t>
      </w:r>
    </w:p>
    <w:p w14:paraId="7B3F4F57">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11.4.3本合同工程界定异常恶劣气候条件的范围为：</w:t>
      </w:r>
    </w:p>
    <w:p w14:paraId="1EBC48B1">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(1)日降雨量大于50mm的雨日超过三天；</w:t>
      </w:r>
    </w:p>
    <w:p w14:paraId="44C10D1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(2)风速大于50m／s的八级以上台风灾害；</w:t>
      </w:r>
    </w:p>
    <w:p w14:paraId="02EDA918">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(3)日气温超过39℃的高温大于三天；</w:t>
      </w:r>
    </w:p>
    <w:p w14:paraId="20E7A919">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(4)日气温低于-10。C的严寒大于三天；</w:t>
      </w:r>
    </w:p>
    <w:p w14:paraId="0BC0F95C">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(5)造成工程损坏的冰雹和大雪灾害：一周内无法正常施工；</w:t>
      </w:r>
    </w:p>
    <w:p w14:paraId="49349972">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(6)其它异常恶劣气候灾害。</w:t>
      </w:r>
    </w:p>
    <w:p w14:paraId="2A3CF26D">
      <w:pPr>
        <w:spacing w:line="372"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11.5承包人工期延误</w:t>
      </w:r>
    </w:p>
    <w:p w14:paraId="7DE3942D">
      <w:pPr>
        <w:spacing w:line="360" w:lineRule="auto"/>
        <w:ind w:firstLine="472" w:firstLineChars="196"/>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(1)逾期完工违约金表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191"/>
        <w:gridCol w:w="2191"/>
        <w:gridCol w:w="2191"/>
      </w:tblGrid>
      <w:tr w14:paraId="154A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714" w:type="dxa"/>
            <w:noWrap w:val="0"/>
            <w:vAlign w:val="center"/>
          </w:tcPr>
          <w:p w14:paraId="40CFE73D">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191" w:type="dxa"/>
            <w:noWrap w:val="0"/>
            <w:vAlign w:val="center"/>
          </w:tcPr>
          <w:p w14:paraId="22BCF438">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项目及其说明</w:t>
            </w:r>
          </w:p>
        </w:tc>
        <w:tc>
          <w:tcPr>
            <w:tcW w:w="2191" w:type="dxa"/>
            <w:noWrap w:val="0"/>
            <w:vAlign w:val="center"/>
          </w:tcPr>
          <w:p w14:paraId="0A62E36A">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要求完工日期</w:t>
            </w:r>
          </w:p>
        </w:tc>
        <w:tc>
          <w:tcPr>
            <w:tcW w:w="2191" w:type="dxa"/>
            <w:noWrap w:val="0"/>
            <w:vAlign w:val="center"/>
          </w:tcPr>
          <w:p w14:paraId="6080B260">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违约金(元／天)</w:t>
            </w:r>
          </w:p>
        </w:tc>
      </w:tr>
      <w:tr w14:paraId="4284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714" w:type="dxa"/>
            <w:noWrap w:val="0"/>
            <w:vAlign w:val="center"/>
          </w:tcPr>
          <w:p w14:paraId="384E2E9F">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191" w:type="dxa"/>
            <w:noWrap w:val="0"/>
            <w:vAlign w:val="center"/>
          </w:tcPr>
          <w:p w14:paraId="12993CEC">
            <w:pPr>
              <w:jc w:val="center"/>
              <w:outlineLvl w:val="9"/>
              <w:rPr>
                <w:rFonts w:hint="eastAsia" w:ascii="宋体" w:hAnsi="宋体" w:eastAsia="宋体" w:cs="宋体"/>
                <w:sz w:val="24"/>
                <w:szCs w:val="24"/>
                <w:highlight w:val="none"/>
              </w:rPr>
            </w:pPr>
            <w:r>
              <w:rPr>
                <w:rFonts w:hint="eastAsia" w:ascii="宋体" w:hAnsi="宋体"/>
                <w:kern w:val="0"/>
                <w:sz w:val="24"/>
                <w:szCs w:val="24"/>
                <w:highlight w:val="none"/>
                <w:u w:val="single"/>
                <w:lang w:val="en-US" w:eastAsia="zh-CN"/>
              </w:rPr>
              <w:t>千河千阳县柿沟村段水毁修复工程</w:t>
            </w:r>
          </w:p>
        </w:tc>
        <w:tc>
          <w:tcPr>
            <w:tcW w:w="2191" w:type="dxa"/>
            <w:noWrap w:val="0"/>
            <w:vAlign w:val="center"/>
          </w:tcPr>
          <w:p w14:paraId="6B8B90C0">
            <w:pPr>
              <w:jc w:val="center"/>
              <w:outlineLvl w:val="9"/>
              <w:rPr>
                <w:rFonts w:hint="eastAsia" w:ascii="宋体" w:hAnsi="宋体" w:eastAsia="宋体" w:cs="宋体"/>
                <w:sz w:val="24"/>
                <w:szCs w:val="24"/>
                <w:highlight w:val="none"/>
              </w:rPr>
            </w:pPr>
          </w:p>
        </w:tc>
        <w:tc>
          <w:tcPr>
            <w:tcW w:w="2191" w:type="dxa"/>
            <w:noWrap w:val="0"/>
            <w:vAlign w:val="center"/>
          </w:tcPr>
          <w:p w14:paraId="52564C78">
            <w:pPr>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1000</w:t>
            </w:r>
          </w:p>
        </w:tc>
      </w:tr>
    </w:tbl>
    <w:p w14:paraId="2B5CDB1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(2)全部逾期完工违约金的总限额为  </w:t>
      </w:r>
      <w:r>
        <w:rPr>
          <w:rFonts w:hint="eastAsia" w:ascii="宋体" w:hAnsi="宋体" w:eastAsia="宋体" w:cs="宋体"/>
          <w:b/>
          <w:sz w:val="24"/>
          <w:szCs w:val="24"/>
          <w:highlight w:val="none"/>
          <w:u w:val="single"/>
        </w:rPr>
        <w:t xml:space="preserve">不超过签约合同价的10％ </w:t>
      </w:r>
      <w:r>
        <w:rPr>
          <w:rFonts w:hint="eastAsia" w:ascii="宋体" w:hAnsi="宋体" w:eastAsia="宋体" w:cs="宋体"/>
          <w:sz w:val="24"/>
          <w:szCs w:val="24"/>
          <w:highlight w:val="none"/>
        </w:rPr>
        <w:t xml:space="preserve"> 。</w:t>
      </w:r>
    </w:p>
    <w:p w14:paraId="64CF357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11.6工期提前</w:t>
      </w:r>
    </w:p>
    <w:p w14:paraId="406179AD">
      <w:pPr>
        <w:pStyle w:val="15"/>
        <w:spacing w:line="360" w:lineRule="auto"/>
        <w:ind w:firstLine="480" w:firstLineChars="200"/>
        <w:outlineLvl w:val="9"/>
        <w:rPr>
          <w:rFonts w:hint="eastAsia" w:ascii="宋体" w:hAnsi="宋体" w:eastAsia="宋体" w:cs="宋体"/>
          <w:b/>
          <w:bCs/>
          <w:sz w:val="24"/>
          <w:highlight w:val="none"/>
        </w:rPr>
      </w:pPr>
      <w:r>
        <w:rPr>
          <w:rFonts w:hint="eastAsia" w:ascii="宋体" w:hAnsi="宋体" w:eastAsia="宋体" w:cs="宋体"/>
          <w:sz w:val="24"/>
          <w:highlight w:val="none"/>
        </w:rPr>
        <w:t>工期提前的奖励约定：</w:t>
      </w:r>
      <w:r>
        <w:rPr>
          <w:rFonts w:hint="eastAsia" w:ascii="宋体" w:hAnsi="宋体" w:eastAsia="宋体" w:cs="宋体"/>
          <w:b/>
          <w:sz w:val="24"/>
          <w:highlight w:val="none"/>
          <w:u w:val="single"/>
        </w:rPr>
        <w:t xml:space="preserve">    不奖励    </w:t>
      </w:r>
      <w:r>
        <w:rPr>
          <w:rFonts w:hint="eastAsia" w:ascii="宋体" w:hAnsi="宋体" w:eastAsia="宋体" w:cs="宋体"/>
          <w:b/>
          <w:sz w:val="24"/>
          <w:highlight w:val="none"/>
        </w:rPr>
        <w:t>。</w:t>
      </w:r>
      <w:r>
        <w:rPr>
          <w:rFonts w:hint="eastAsia" w:ascii="宋体" w:hAnsi="宋体" w:eastAsia="宋体" w:cs="宋体"/>
          <w:sz w:val="24"/>
          <w:highlight w:val="none"/>
        </w:rPr>
        <w:t xml:space="preserve"> </w:t>
      </w:r>
    </w:p>
    <w:p w14:paraId="2888855D">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0C24A7C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12.1承包人暂停施工的责任</w:t>
      </w:r>
    </w:p>
    <w:p w14:paraId="2AB4BDB5">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(5)承包人承担暂停施工责任的其它情形：</w:t>
      </w:r>
      <w:r>
        <w:rPr>
          <w:rFonts w:hint="eastAsia" w:ascii="宋体" w:hAnsi="宋体" w:eastAsia="宋体" w:cs="宋体"/>
          <w:b/>
          <w:sz w:val="24"/>
          <w:szCs w:val="24"/>
          <w:highlight w:val="none"/>
          <w:u w:val="single"/>
        </w:rPr>
        <w:t>因承包人协调工作不妥而造成的暂停施工。</w:t>
      </w:r>
    </w:p>
    <w:p w14:paraId="0EDA563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12.2发包人暂停施工的责任</w:t>
      </w:r>
    </w:p>
    <w:p w14:paraId="5A22062C">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(3)发包人承担暂停施工责任的其它情形：</w:t>
      </w:r>
      <w:r>
        <w:rPr>
          <w:rFonts w:hint="eastAsia" w:ascii="宋体" w:hAnsi="宋体" w:eastAsia="宋体" w:cs="宋体"/>
          <w:b/>
          <w:sz w:val="24"/>
          <w:szCs w:val="24"/>
          <w:highlight w:val="none"/>
          <w:u w:val="single"/>
        </w:rPr>
        <w:t xml:space="preserve">       无       </w:t>
      </w:r>
      <w:r>
        <w:rPr>
          <w:rFonts w:hint="eastAsia" w:ascii="宋体" w:hAnsi="宋体" w:eastAsia="宋体" w:cs="宋体"/>
          <w:b/>
          <w:sz w:val="24"/>
          <w:szCs w:val="24"/>
          <w:highlight w:val="none"/>
        </w:rPr>
        <w:t>。</w:t>
      </w:r>
    </w:p>
    <w:p w14:paraId="2EA556B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13.工程质量</w:t>
      </w:r>
    </w:p>
    <w:p w14:paraId="4307FE5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13.7质量评定</w:t>
      </w:r>
    </w:p>
    <w:p w14:paraId="2B2FF4A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13.7.4 重要隐蔽单元工程和关键部位单元工程质量评定的约定：</w:t>
      </w:r>
      <w:r>
        <w:rPr>
          <w:rFonts w:hint="eastAsia" w:ascii="宋体" w:hAnsi="宋体" w:eastAsia="宋体" w:cs="宋体"/>
          <w:b/>
          <w:sz w:val="24"/>
          <w:szCs w:val="24"/>
          <w:highlight w:val="none"/>
          <w:u w:val="single"/>
        </w:rPr>
        <w:t>经参见各方验收合格</w:t>
      </w:r>
      <w:r>
        <w:rPr>
          <w:rFonts w:hint="eastAsia" w:ascii="宋体" w:hAnsi="宋体" w:eastAsia="宋体" w:cs="宋体"/>
          <w:sz w:val="24"/>
          <w:szCs w:val="24"/>
          <w:highlight w:val="none"/>
        </w:rPr>
        <w:t>。</w:t>
      </w:r>
    </w:p>
    <w:p w14:paraId="587F040F">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13.7.7 工程合格标准为：</w:t>
      </w:r>
      <w:r>
        <w:rPr>
          <w:rFonts w:hint="eastAsia" w:ascii="宋体" w:hAnsi="宋体" w:eastAsia="宋体" w:cs="宋体"/>
          <w:b/>
          <w:sz w:val="24"/>
          <w:szCs w:val="24"/>
          <w:highlight w:val="none"/>
          <w:u w:val="single"/>
        </w:rPr>
        <w:t>依据相关验收规范</w:t>
      </w:r>
      <w:r>
        <w:rPr>
          <w:rFonts w:hint="eastAsia" w:ascii="宋体" w:hAnsi="宋体" w:eastAsia="宋体" w:cs="宋体"/>
          <w:b/>
          <w:sz w:val="24"/>
          <w:szCs w:val="24"/>
          <w:highlight w:val="none"/>
        </w:rPr>
        <w:t>；</w:t>
      </w:r>
      <w:r>
        <w:rPr>
          <w:rFonts w:hint="eastAsia" w:ascii="宋体" w:hAnsi="宋体" w:eastAsia="宋体" w:cs="宋体"/>
          <w:sz w:val="24"/>
          <w:szCs w:val="24"/>
          <w:highlight w:val="none"/>
        </w:rPr>
        <w:t>优良标准为：</w:t>
      </w:r>
      <w:r>
        <w:rPr>
          <w:rFonts w:hint="eastAsia" w:ascii="宋体" w:hAnsi="宋体" w:eastAsia="宋体" w:cs="宋体"/>
          <w:b/>
          <w:sz w:val="24"/>
          <w:szCs w:val="24"/>
          <w:highlight w:val="none"/>
          <w:u w:val="single"/>
        </w:rPr>
        <w:t>依据相关验收规范</w:t>
      </w:r>
      <w:r>
        <w:rPr>
          <w:rFonts w:hint="eastAsia" w:ascii="宋体" w:hAnsi="宋体" w:eastAsia="宋体" w:cs="宋体"/>
          <w:b/>
          <w:sz w:val="24"/>
          <w:szCs w:val="24"/>
          <w:highlight w:val="none"/>
        </w:rPr>
        <w:t>。</w:t>
      </w:r>
      <w:r>
        <w:rPr>
          <w:rFonts w:hint="eastAsia" w:ascii="宋体" w:hAnsi="宋体" w:eastAsia="宋体" w:cs="宋体"/>
          <w:sz w:val="24"/>
          <w:szCs w:val="24"/>
          <w:highlight w:val="none"/>
        </w:rPr>
        <w:t>达到优良的奖金为：</w:t>
      </w:r>
      <w:r>
        <w:rPr>
          <w:rFonts w:hint="eastAsia" w:ascii="宋体" w:hAnsi="宋体" w:eastAsia="宋体" w:cs="宋体"/>
          <w:b/>
          <w:sz w:val="24"/>
          <w:szCs w:val="24"/>
          <w:highlight w:val="none"/>
          <w:u w:val="single"/>
        </w:rPr>
        <w:t xml:space="preserve">   无   </w:t>
      </w:r>
      <w:r>
        <w:rPr>
          <w:rFonts w:hint="eastAsia" w:ascii="宋体" w:hAnsi="宋体" w:eastAsia="宋体" w:cs="宋体"/>
          <w:sz w:val="24"/>
          <w:szCs w:val="24"/>
          <w:highlight w:val="none"/>
        </w:rPr>
        <w:t>。</w:t>
      </w:r>
    </w:p>
    <w:p w14:paraId="5A769AAA">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13.8质量事故处理</w:t>
      </w:r>
    </w:p>
    <w:p w14:paraId="7CCD7E8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13.8.4 工程竣工验收时，</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 </w:t>
      </w:r>
      <w:r>
        <w:rPr>
          <w:rFonts w:hint="eastAsia" w:ascii="宋体" w:hAnsi="宋体" w:eastAsia="宋体" w:cs="宋体"/>
          <w:sz w:val="24"/>
          <w:szCs w:val="24"/>
          <w:highlight w:val="none"/>
        </w:rPr>
        <w:t>向竣工验收委员会汇报并提交历次质量缺陷处理的备案资料。</w:t>
      </w:r>
    </w:p>
    <w:p w14:paraId="28C3423C">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14.试验和检验</w:t>
      </w:r>
    </w:p>
    <w:p w14:paraId="69BDA89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14.1材料、工程设备和工程的试验和检验</w:t>
      </w:r>
    </w:p>
    <w:p w14:paraId="7CEFC07C">
      <w:pPr>
        <w:spacing w:line="360" w:lineRule="auto"/>
        <w:ind w:firstLine="480" w:firstLineChars="200"/>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14.1.5 材料、工程设备进场后的交货检查和验收中，承包人负责</w:t>
      </w:r>
      <w:r>
        <w:rPr>
          <w:rFonts w:hint="eastAsia" w:ascii="宋体" w:hAnsi="宋体" w:eastAsia="宋体" w:cs="宋体"/>
          <w:b/>
          <w:sz w:val="24"/>
          <w:szCs w:val="24"/>
          <w:highlight w:val="none"/>
          <w:u w:val="single"/>
        </w:rPr>
        <w:t>参与其承包范围相关产品的检查验收，并做好保管责任。</w:t>
      </w:r>
    </w:p>
    <w:p w14:paraId="5E14332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14.1.6本工程实行见证取样的试块、试件及有关材料：</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由监理人制定 。</w:t>
      </w:r>
    </w:p>
    <w:p w14:paraId="06C6719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15.变更</w:t>
      </w:r>
    </w:p>
    <w:p w14:paraId="79F1F2A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15.1变更的范围和内容</w:t>
      </w:r>
    </w:p>
    <w:p w14:paraId="37186BAC">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（6）增加或减少合同中关键项目的工程量超过其工程总量的</w:t>
      </w:r>
      <w:r>
        <w:rPr>
          <w:rFonts w:hint="eastAsia" w:ascii="宋体" w:hAnsi="宋体" w:eastAsia="宋体" w:cs="宋体"/>
          <w:b/>
          <w:sz w:val="24"/>
          <w:szCs w:val="24"/>
          <w:highlight w:val="none"/>
          <w:u w:val="single"/>
        </w:rPr>
        <w:t xml:space="preserve"> 签约时填入 </w:t>
      </w:r>
      <w:r>
        <w:rPr>
          <w:rFonts w:hint="eastAsia" w:ascii="宋体" w:hAnsi="宋体" w:eastAsia="宋体" w:cs="宋体"/>
          <w:sz w:val="24"/>
          <w:szCs w:val="24"/>
          <w:highlight w:val="none"/>
        </w:rPr>
        <w:t>，关键项目：</w:t>
      </w:r>
      <w:r>
        <w:rPr>
          <w:rFonts w:hint="eastAsia" w:ascii="宋体" w:hAnsi="宋体" w:eastAsia="宋体" w:cs="宋体"/>
          <w:b/>
          <w:sz w:val="24"/>
          <w:szCs w:val="24"/>
          <w:highlight w:val="none"/>
          <w:u w:val="single"/>
        </w:rPr>
        <w:t xml:space="preserve"> 签约时填入 </w:t>
      </w:r>
      <w:r>
        <w:rPr>
          <w:rFonts w:hint="eastAsia" w:ascii="宋体" w:hAnsi="宋体" w:eastAsia="宋体" w:cs="宋体"/>
          <w:sz w:val="24"/>
          <w:szCs w:val="24"/>
          <w:highlight w:val="none"/>
        </w:rPr>
        <w:t>，单价调整方式：</w:t>
      </w:r>
      <w:r>
        <w:rPr>
          <w:rFonts w:hint="eastAsia" w:ascii="宋体" w:hAnsi="宋体" w:eastAsia="宋体" w:cs="宋体"/>
          <w:b/>
          <w:sz w:val="24"/>
          <w:szCs w:val="24"/>
          <w:highlight w:val="none"/>
          <w:u w:val="single"/>
        </w:rPr>
        <w:t xml:space="preserve"> 单价不变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7485C4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15.5承包人的合理化建议</w:t>
      </w:r>
    </w:p>
    <w:p w14:paraId="62946874">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15.5.2 </w:t>
      </w:r>
      <w:r>
        <w:rPr>
          <w:rFonts w:hint="eastAsia" w:ascii="宋体" w:hAnsi="宋体" w:eastAsia="宋体" w:cs="宋体"/>
          <w:b/>
          <w:sz w:val="24"/>
          <w:szCs w:val="24"/>
          <w:highlight w:val="none"/>
        </w:rPr>
        <w:t>承包人实现合理化建议的奖励金额为：</w:t>
      </w:r>
      <w:r>
        <w:rPr>
          <w:rFonts w:hint="eastAsia" w:ascii="宋体" w:hAnsi="宋体" w:eastAsia="宋体" w:cs="宋体"/>
          <w:sz w:val="24"/>
          <w:szCs w:val="24"/>
          <w:highlight w:val="none"/>
          <w:u w:val="single"/>
        </w:rPr>
        <w:t xml:space="preserve">    无   </w:t>
      </w:r>
      <w:r>
        <w:rPr>
          <w:rFonts w:hint="eastAsia" w:ascii="宋体" w:hAnsi="宋体" w:eastAsia="宋体" w:cs="宋体"/>
          <w:sz w:val="24"/>
          <w:szCs w:val="24"/>
          <w:highlight w:val="none"/>
        </w:rPr>
        <w:t>。</w:t>
      </w:r>
    </w:p>
    <w:p w14:paraId="2023725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15.8暂估价</w:t>
      </w:r>
    </w:p>
    <w:p w14:paraId="175D532C">
      <w:pPr>
        <w:spacing w:line="360" w:lineRule="auto"/>
        <w:ind w:firstLine="482" w:firstLineChars="200"/>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u w:val="single"/>
        </w:rPr>
        <w:t>删除本款全文并代之以：无</w:t>
      </w:r>
    </w:p>
    <w:p w14:paraId="486794C1">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16.价格调整 </w:t>
      </w:r>
    </w:p>
    <w:p w14:paraId="00263847">
      <w:pPr>
        <w:spacing w:line="360" w:lineRule="auto"/>
        <w:ind w:firstLine="482" w:firstLineChars="200"/>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16.1物价波动引起的价格调整</w:t>
      </w:r>
    </w:p>
    <w:p w14:paraId="595F78AF">
      <w:pPr>
        <w:spacing w:line="360" w:lineRule="auto"/>
        <w:ind w:firstLine="480" w:firstLineChars="200"/>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物价波动引起的价格调整方式：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价格波动由投标人在投标时进行预测，并在投标报价中予以考虑。合同执行期内不调整   </w:t>
      </w:r>
      <w:r>
        <w:rPr>
          <w:rFonts w:hint="eastAsia" w:ascii="宋体" w:hAnsi="宋体" w:eastAsia="宋体" w:cs="宋体"/>
          <w:sz w:val="24"/>
          <w:szCs w:val="24"/>
          <w:highlight w:val="none"/>
        </w:rPr>
        <w:t>。</w:t>
      </w:r>
    </w:p>
    <w:p w14:paraId="70EB581F">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17.计量与支付（详见施工合同）</w:t>
      </w:r>
    </w:p>
    <w:p w14:paraId="7B16AE8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 预付款</w:t>
      </w:r>
    </w:p>
    <w:p w14:paraId="2C7F365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17.2.1预付款</w:t>
      </w:r>
    </w:p>
    <w:p w14:paraId="50F69616">
      <w:pPr>
        <w:ind w:firstLine="480" w:firstLineChars="200"/>
        <w:outlineLvl w:val="9"/>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u w:val="single"/>
        </w:rPr>
        <w:t>本项目无预付款。</w:t>
      </w:r>
    </w:p>
    <w:p w14:paraId="119CEAC3">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 工程进度付款</w:t>
      </w:r>
    </w:p>
    <w:p w14:paraId="4495A629">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17.3.1 付款周期</w:t>
      </w:r>
    </w:p>
    <w:p w14:paraId="78FF0949">
      <w:pPr>
        <w:spacing w:line="360" w:lineRule="auto"/>
        <w:ind w:firstLine="602" w:firstLineChars="250"/>
        <w:outlineLvl w:val="9"/>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 xml:space="preserve"> 付款周期为按月计量支付  </w:t>
      </w:r>
    </w:p>
    <w:p w14:paraId="769A47B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17.3.2 进度付款申请单</w:t>
      </w:r>
    </w:p>
    <w:p w14:paraId="559810A1">
      <w:pPr>
        <w:spacing w:line="360" w:lineRule="auto"/>
        <w:ind w:firstLine="602" w:firstLineChars="25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u w:val="single"/>
        </w:rPr>
        <w:t xml:space="preserve">承包人应提交进度付款申请单的份数为一式6份，审签完后，发包人、承包人及监理人各存2份 </w:t>
      </w:r>
      <w:r>
        <w:rPr>
          <w:rFonts w:hint="eastAsia" w:ascii="宋体" w:hAnsi="宋体" w:eastAsia="宋体" w:cs="宋体"/>
          <w:b/>
          <w:sz w:val="24"/>
          <w:szCs w:val="24"/>
          <w:highlight w:val="none"/>
        </w:rPr>
        <w:t xml:space="preserve">。 </w:t>
      </w:r>
    </w:p>
    <w:p w14:paraId="739DEF54">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17.3.3 进度付款证书和支付时间</w:t>
      </w:r>
    </w:p>
    <w:p w14:paraId="19F445A1">
      <w:pPr>
        <w:spacing w:line="360" w:lineRule="auto"/>
        <w:ind w:firstLine="480" w:firstLineChars="200"/>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p>
    <w:p w14:paraId="427DEB5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17.3.4 工程进度付款的修正</w:t>
      </w:r>
    </w:p>
    <w:p w14:paraId="730D8C45">
      <w:pPr>
        <w:spacing w:line="360" w:lineRule="auto"/>
        <w:ind w:firstLine="602" w:firstLineChars="250"/>
        <w:outlineLvl w:val="9"/>
        <w:rPr>
          <w:rFonts w:hint="eastAsia" w:ascii="宋体" w:hAnsi="宋体" w:eastAsia="宋体" w:cs="宋体"/>
          <w:kern w:val="0"/>
          <w:sz w:val="24"/>
          <w:szCs w:val="24"/>
          <w:highlight w:val="none"/>
        </w:rPr>
      </w:pPr>
      <w:r>
        <w:rPr>
          <w:rFonts w:hint="eastAsia" w:ascii="宋体" w:hAnsi="宋体" w:eastAsia="宋体" w:cs="宋体"/>
          <w:b/>
          <w:sz w:val="24"/>
          <w:szCs w:val="24"/>
          <w:highlight w:val="none"/>
          <w:u w:val="single"/>
        </w:rPr>
        <w:t xml:space="preserve">       双方协商确定        </w:t>
      </w:r>
    </w:p>
    <w:p w14:paraId="02249A25">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17.4质量保证金</w:t>
      </w:r>
    </w:p>
    <w:p w14:paraId="11802C0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17.4.1扣留的质量保证金总额为签约合同价的 </w:t>
      </w:r>
      <w:r>
        <w:rPr>
          <w:rFonts w:hint="eastAsia" w:ascii="宋体" w:hAnsi="宋体" w:eastAsia="宋体" w:cs="宋体"/>
          <w:b/>
          <w:sz w:val="24"/>
          <w:szCs w:val="24"/>
          <w:highlight w:val="none"/>
          <w:u w:val="single"/>
        </w:rPr>
        <w:t xml:space="preserve"> 3％ </w:t>
      </w:r>
      <w:r>
        <w:rPr>
          <w:rFonts w:hint="eastAsia" w:ascii="宋体" w:hAnsi="宋体" w:eastAsia="宋体" w:cs="宋体"/>
          <w:sz w:val="24"/>
          <w:szCs w:val="24"/>
          <w:highlight w:val="none"/>
        </w:rPr>
        <w:t>。每个付款周期扣留的质量保证金为工程进度付款的</w:t>
      </w:r>
      <w:r>
        <w:rPr>
          <w:rFonts w:hint="eastAsia" w:ascii="宋体" w:hAnsi="宋体" w:eastAsia="宋体" w:cs="宋体"/>
          <w:b/>
          <w:sz w:val="24"/>
          <w:szCs w:val="24"/>
          <w:highlight w:val="none"/>
          <w:u w:val="single"/>
        </w:rPr>
        <w:t>3％</w:t>
      </w:r>
      <w:r>
        <w:rPr>
          <w:rFonts w:hint="eastAsia" w:ascii="宋体" w:hAnsi="宋体" w:eastAsia="宋体" w:cs="宋体"/>
          <w:sz w:val="24"/>
          <w:szCs w:val="24"/>
          <w:highlight w:val="none"/>
        </w:rPr>
        <w:t>。最后一次全部扣清。在质保期结束后，退还全部质量保证金。</w:t>
      </w:r>
    </w:p>
    <w:p w14:paraId="0FB7047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17.5竣工(完工)结算</w:t>
      </w:r>
    </w:p>
    <w:p w14:paraId="5AD9D90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17.5.1竣工(完工)付款申请单</w:t>
      </w:r>
    </w:p>
    <w:p w14:paraId="34D6FCC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(1)承包人应提交完工付款申请单一式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6  </w:t>
      </w:r>
      <w:r>
        <w:rPr>
          <w:rFonts w:hint="eastAsia" w:ascii="宋体" w:hAnsi="宋体" w:eastAsia="宋体" w:cs="宋体"/>
          <w:sz w:val="24"/>
          <w:szCs w:val="24"/>
          <w:highlight w:val="none"/>
        </w:rPr>
        <w:t>份。</w:t>
      </w:r>
    </w:p>
    <w:p w14:paraId="0A82ABD6">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  最终结清</w:t>
      </w:r>
    </w:p>
    <w:p w14:paraId="31377C27">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17.6.1最终结清申请单</w:t>
      </w:r>
    </w:p>
    <w:p w14:paraId="51086701">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(1)承包人应提交最终结清申请单一式</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6  </w:t>
      </w:r>
      <w:r>
        <w:rPr>
          <w:rFonts w:hint="eastAsia" w:ascii="宋体" w:hAnsi="宋体" w:eastAsia="宋体" w:cs="宋体"/>
          <w:sz w:val="24"/>
          <w:szCs w:val="24"/>
          <w:highlight w:val="none"/>
        </w:rPr>
        <w:t>份。</w:t>
      </w:r>
    </w:p>
    <w:p w14:paraId="66A686F1">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17.7竣工财务决算</w:t>
      </w:r>
    </w:p>
    <w:p w14:paraId="2CD50583">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承包人应为竣工财务决算编制提供的资料：</w:t>
      </w:r>
      <w:r>
        <w:rPr>
          <w:rFonts w:hint="eastAsia" w:ascii="宋体" w:hAnsi="宋体" w:eastAsia="宋体" w:cs="宋体"/>
          <w:b/>
          <w:sz w:val="24"/>
          <w:szCs w:val="24"/>
          <w:highlight w:val="none"/>
          <w:u w:val="single"/>
        </w:rPr>
        <w:t>与本项目财务决算有关的所有资料（如竣工图、有关签证资料、变更通知单、最终结算清单等）</w:t>
      </w:r>
      <w:r>
        <w:rPr>
          <w:rFonts w:hint="eastAsia" w:ascii="宋体" w:hAnsi="宋体" w:eastAsia="宋体" w:cs="宋体"/>
          <w:sz w:val="24"/>
          <w:szCs w:val="24"/>
          <w:highlight w:val="none"/>
        </w:rPr>
        <w:t>。</w:t>
      </w:r>
    </w:p>
    <w:p w14:paraId="5751959E">
      <w:pPr>
        <w:spacing w:before="0" w:after="0"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18.竣工验收(验收)</w:t>
      </w:r>
    </w:p>
    <w:p w14:paraId="53F35410">
      <w:pPr>
        <w:spacing w:line="360" w:lineRule="auto"/>
        <w:ind w:firstLine="482" w:firstLineChars="200"/>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18.1验收工作分类</w:t>
      </w:r>
    </w:p>
    <w:p w14:paraId="2C7F5EF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本工程法人验收包括：</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；政府验收包括：</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。验收条件为:</w:t>
      </w:r>
      <w:r>
        <w:rPr>
          <w:rFonts w:hint="eastAsia" w:ascii="宋体" w:hAnsi="宋体" w:eastAsia="宋体" w:cs="宋体"/>
          <w:b/>
          <w:sz w:val="24"/>
          <w:szCs w:val="24"/>
          <w:highlight w:val="none"/>
          <w:u w:val="single"/>
        </w:rPr>
        <w:t xml:space="preserve"> 已完成全部工作内容 </w:t>
      </w:r>
      <w:r>
        <w:rPr>
          <w:rFonts w:hint="eastAsia" w:ascii="宋体" w:hAnsi="宋体" w:eastAsia="宋体" w:cs="宋体"/>
          <w:sz w:val="24"/>
          <w:szCs w:val="24"/>
          <w:highlight w:val="none"/>
        </w:rPr>
        <w:t>验收程序为：</w:t>
      </w:r>
      <w:r>
        <w:rPr>
          <w:rFonts w:hint="eastAsia" w:ascii="宋体" w:hAnsi="宋体" w:eastAsia="宋体" w:cs="宋体"/>
          <w:b/>
          <w:sz w:val="24"/>
          <w:szCs w:val="24"/>
          <w:highlight w:val="none"/>
          <w:u w:val="single"/>
        </w:rPr>
        <w:t>承包人已自行组织验收合格，存在的问题已全部处理，竣工资料已按要求整理完成</w:t>
      </w:r>
      <w:r>
        <w:rPr>
          <w:rFonts w:hint="eastAsia" w:ascii="宋体" w:hAnsi="宋体" w:eastAsia="宋体" w:cs="宋体"/>
          <w:sz w:val="24"/>
          <w:szCs w:val="24"/>
          <w:highlight w:val="none"/>
        </w:rPr>
        <w:t>。</w:t>
      </w:r>
    </w:p>
    <w:p w14:paraId="2F7C6C17">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18.2分部工程验收</w:t>
      </w:r>
    </w:p>
    <w:p w14:paraId="087B2E7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18.2.2本工程由发包人主持的分部工程验收为</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发包人认为需要由其主持的关键分部工程验收</w:t>
      </w:r>
      <w:r>
        <w:rPr>
          <w:rFonts w:hint="eastAsia" w:ascii="宋体" w:hAnsi="宋体" w:eastAsia="宋体" w:cs="宋体"/>
          <w:sz w:val="24"/>
          <w:szCs w:val="24"/>
          <w:highlight w:val="none"/>
        </w:rPr>
        <w:t>，其余由监理人主持。</w:t>
      </w:r>
    </w:p>
    <w:p w14:paraId="7C1E3B48">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18.3单位工程验收</w:t>
      </w:r>
    </w:p>
    <w:p w14:paraId="01D99CA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18.3.4提前投入使用的单位工程包括：</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sz w:val="24"/>
          <w:szCs w:val="24"/>
          <w:highlight w:val="none"/>
        </w:rPr>
        <w:t>。</w:t>
      </w:r>
    </w:p>
    <w:p w14:paraId="401674BF">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18.5阶段验收</w:t>
      </w:r>
    </w:p>
    <w:p w14:paraId="4A2DAC58">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18.5.1本合同工程阶段验收类别包括：</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依通用条款 </w:t>
      </w:r>
      <w:r>
        <w:rPr>
          <w:rFonts w:hint="eastAsia" w:ascii="宋体" w:hAnsi="宋体" w:eastAsia="宋体" w:cs="宋体"/>
          <w:b/>
          <w:sz w:val="24"/>
          <w:szCs w:val="24"/>
          <w:highlight w:val="none"/>
        </w:rPr>
        <w:t>。</w:t>
      </w:r>
    </w:p>
    <w:p w14:paraId="4B6E995B">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18.6专项验收</w:t>
      </w:r>
    </w:p>
    <w:p w14:paraId="0424B7CB">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18.6.2本合同工程专项验收类别包括：</w:t>
      </w:r>
      <w:r>
        <w:rPr>
          <w:rFonts w:hint="eastAsia" w:ascii="宋体" w:hAnsi="宋体" w:eastAsia="宋体" w:cs="宋体"/>
          <w:b/>
          <w:sz w:val="24"/>
          <w:szCs w:val="24"/>
          <w:highlight w:val="none"/>
          <w:u w:val="single"/>
        </w:rPr>
        <w:t>依据工程的特点临时确定</w:t>
      </w:r>
      <w:r>
        <w:rPr>
          <w:rFonts w:hint="eastAsia" w:ascii="宋体" w:hAnsi="宋体" w:eastAsia="宋体" w:cs="宋体"/>
          <w:b/>
          <w:sz w:val="24"/>
          <w:szCs w:val="24"/>
          <w:highlight w:val="none"/>
        </w:rPr>
        <w:t>。</w:t>
      </w:r>
    </w:p>
    <w:p w14:paraId="4AD36249">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18.7竣工验收</w:t>
      </w:r>
    </w:p>
    <w:p w14:paraId="25AD9AE2">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18.7.3  本工程</w:t>
      </w:r>
      <w:r>
        <w:rPr>
          <w:rFonts w:hint="eastAsia" w:ascii="宋体" w:hAnsi="宋体" w:eastAsia="宋体" w:cs="宋体"/>
          <w:b/>
          <w:sz w:val="24"/>
          <w:szCs w:val="24"/>
          <w:highlight w:val="none"/>
          <w:u w:val="single"/>
        </w:rPr>
        <w:t xml:space="preserve">  不需要  </w:t>
      </w:r>
      <w:r>
        <w:rPr>
          <w:rFonts w:hint="eastAsia" w:ascii="宋体" w:hAnsi="宋体" w:eastAsia="宋体" w:cs="宋体"/>
          <w:sz w:val="24"/>
          <w:szCs w:val="24"/>
          <w:highlight w:val="none"/>
        </w:rPr>
        <w:t>竣工验收技术鉴定(蓄水安全鉴定)。</w:t>
      </w:r>
    </w:p>
    <w:p w14:paraId="56717660">
      <w:pPr>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18.8施工期运行</w:t>
      </w:r>
    </w:p>
    <w:p w14:paraId="6936FA95">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18.8.1需要在施工期运行的单位工程或工程设备：</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无   </w:t>
      </w:r>
      <w:r>
        <w:rPr>
          <w:rFonts w:hint="eastAsia" w:ascii="宋体" w:hAnsi="宋体" w:eastAsia="宋体" w:cs="宋体"/>
          <w:sz w:val="24"/>
          <w:szCs w:val="24"/>
          <w:highlight w:val="none"/>
        </w:rPr>
        <w:t>。</w:t>
      </w:r>
    </w:p>
    <w:p w14:paraId="3CC33E3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18.9试运行</w:t>
      </w:r>
    </w:p>
    <w:p w14:paraId="470F2AF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18.9.1 试运行的组织：</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；费用承担：</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 承包人  </w:t>
      </w:r>
      <w:r>
        <w:rPr>
          <w:rFonts w:hint="eastAsia" w:ascii="宋体" w:hAnsi="宋体" w:eastAsia="宋体" w:cs="宋体"/>
          <w:sz w:val="24"/>
          <w:szCs w:val="24"/>
          <w:highlight w:val="none"/>
        </w:rPr>
        <w:t>。</w:t>
      </w:r>
    </w:p>
    <w:p w14:paraId="4ED7CC34">
      <w:pPr>
        <w:keepNext w:val="0"/>
        <w:keepLines w:val="0"/>
        <w:pageBreakBefore w:val="0"/>
        <w:widowControl w:val="0"/>
        <w:kinsoku/>
        <w:wordWrap/>
        <w:overflowPunct/>
        <w:topLinePunct w:val="0"/>
        <w:autoSpaceDE/>
        <w:autoSpaceDN/>
        <w:bidi w:val="0"/>
        <w:adjustRightInd/>
        <w:snapToGrid/>
        <w:spacing w:before="0" w:after="0" w:line="42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19.缺陷责任与保修责任</w:t>
      </w:r>
    </w:p>
    <w:p w14:paraId="7976924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19.1缺陷责任期(工程质量保修期)的起算时间</w:t>
      </w:r>
    </w:p>
    <w:p w14:paraId="269E8BE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本工程缺陷责任期(工程质量保修期)计算如下:</w:t>
      </w:r>
      <w:r>
        <w:rPr>
          <w:rFonts w:hint="eastAsia" w:ascii="宋体" w:hAnsi="宋体" w:eastAsia="宋体" w:cs="宋体"/>
          <w:b/>
          <w:sz w:val="24"/>
          <w:szCs w:val="24"/>
          <w:highlight w:val="none"/>
          <w:u w:val="single"/>
        </w:rPr>
        <w:t xml:space="preserve"> 竣工验收合格之日起1年 </w:t>
      </w:r>
      <w:r>
        <w:rPr>
          <w:rFonts w:hint="eastAsia" w:ascii="宋体" w:hAnsi="宋体" w:eastAsia="宋体" w:cs="宋体"/>
          <w:sz w:val="24"/>
          <w:szCs w:val="24"/>
          <w:highlight w:val="none"/>
        </w:rPr>
        <w:t>。</w:t>
      </w:r>
    </w:p>
    <w:p w14:paraId="5FEB1E3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 缺陷责任期的延长</w:t>
      </w:r>
    </w:p>
    <w:p w14:paraId="2A88266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sz w:val="24"/>
          <w:szCs w:val="24"/>
          <w:highlight w:val="none"/>
        </w:rPr>
        <w:t>由于承包人原因造成某项缺陷或损坏使某项工程或工程设备不能按原定目标使用而需要再次检查、检验和修复的，发包人有权要求承包人相应延长缺陷责任期，</w:t>
      </w:r>
      <w:r>
        <w:rPr>
          <w:rFonts w:hint="eastAsia" w:ascii="宋体" w:hAnsi="宋体" w:eastAsia="宋体" w:cs="宋体"/>
          <w:b/>
          <w:sz w:val="24"/>
          <w:szCs w:val="24"/>
          <w:highlight w:val="none"/>
          <w:u w:val="single"/>
        </w:rPr>
        <w:t>缺陷责任期由发包人和承包人双方约定。承包人应在开工前及时与发包人签订材料和设备质量责任合同，并出具书面承诺书。</w:t>
      </w:r>
    </w:p>
    <w:p w14:paraId="27D80F76">
      <w:pPr>
        <w:keepNext w:val="0"/>
        <w:keepLines w:val="0"/>
        <w:pageBreakBefore w:val="0"/>
        <w:widowControl w:val="0"/>
        <w:kinsoku/>
        <w:wordWrap/>
        <w:overflowPunct/>
        <w:topLinePunct w:val="0"/>
        <w:autoSpaceDE/>
        <w:autoSpaceDN/>
        <w:bidi w:val="0"/>
        <w:adjustRightInd/>
        <w:snapToGrid/>
        <w:spacing w:before="0" w:after="0" w:line="42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20.保险</w:t>
      </w:r>
    </w:p>
    <w:p w14:paraId="7B0866B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9"/>
        <w:rPr>
          <w:rFonts w:hint="eastAsia" w:ascii="宋体" w:hAnsi="宋体" w:eastAsia="宋体" w:cs="宋体"/>
          <w:b/>
          <w:color w:val="FF0000"/>
          <w:sz w:val="24"/>
          <w:szCs w:val="24"/>
          <w:highlight w:val="none"/>
        </w:rPr>
      </w:pPr>
      <w:r>
        <w:rPr>
          <w:rFonts w:hint="eastAsia" w:ascii="宋体" w:hAnsi="宋体" w:eastAsia="宋体" w:cs="宋体"/>
          <w:b/>
          <w:sz w:val="24"/>
          <w:szCs w:val="24"/>
          <w:highlight w:val="none"/>
        </w:rPr>
        <w:t>20.1工程保险</w:t>
      </w:r>
    </w:p>
    <w:p w14:paraId="5D70E46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建筑工程一切险和(或)安装工程一切险投保人: </w:t>
      </w:r>
      <w:r>
        <w:rPr>
          <w:rFonts w:hint="eastAsia" w:ascii="宋体" w:hAnsi="宋体" w:eastAsia="宋体" w:cs="宋体"/>
          <w:b/>
          <w:sz w:val="24"/>
          <w:szCs w:val="24"/>
          <w:highlight w:val="none"/>
          <w:u w:val="single"/>
        </w:rPr>
        <w:t>依通用条款全部由承包人投保，费用由承包人在投标报价中考虑；</w:t>
      </w:r>
    </w:p>
    <w:p w14:paraId="0964C83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投保内容：</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承包人应以承包人和发包人的共同名义向发包人同意的保险公司投保，投保的项目为该标段所有内容工程。  </w:t>
      </w:r>
    </w:p>
    <w:p w14:paraId="70333B1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保险金额、保险费率和保险期限：</w:t>
      </w:r>
      <w:r>
        <w:rPr>
          <w:rFonts w:hint="eastAsia" w:ascii="宋体" w:hAnsi="宋体" w:eastAsia="宋体" w:cs="宋体"/>
          <w:b/>
          <w:sz w:val="24"/>
          <w:szCs w:val="24"/>
          <w:highlight w:val="none"/>
          <w:u w:val="single"/>
        </w:rPr>
        <w:t xml:space="preserve">工程保险额按建筑工程及安装工程报价，保险费在投标报价汇总表中专项列入、保险期限按合同工期 </w:t>
      </w:r>
      <w:r>
        <w:rPr>
          <w:rFonts w:hint="eastAsia" w:ascii="宋体" w:hAnsi="宋体" w:eastAsia="宋体" w:cs="宋体"/>
          <w:b/>
          <w:sz w:val="24"/>
          <w:szCs w:val="24"/>
          <w:highlight w:val="none"/>
        </w:rPr>
        <w:t>。</w:t>
      </w:r>
    </w:p>
    <w:p w14:paraId="446270D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20.4第三者责任险</w:t>
      </w:r>
    </w:p>
    <w:p w14:paraId="07ABAD7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20.4.2第三者责任险保险费率：</w:t>
      </w:r>
      <w:r>
        <w:rPr>
          <w:rFonts w:hint="eastAsia" w:ascii="宋体" w:hAnsi="宋体" w:eastAsia="宋体" w:cs="宋体"/>
          <w:b/>
          <w:sz w:val="24"/>
          <w:szCs w:val="24"/>
          <w:highlight w:val="none"/>
          <w:u w:val="single"/>
        </w:rPr>
        <w:t>依据保险公司的规定</w:t>
      </w:r>
    </w:p>
    <w:p w14:paraId="15BEA3A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20.5其它保险</w:t>
      </w:r>
    </w:p>
    <w:p w14:paraId="40D8550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需要投保的其它内容：</w:t>
      </w:r>
      <w:r>
        <w:rPr>
          <w:rFonts w:hint="eastAsia" w:ascii="宋体" w:hAnsi="宋体" w:eastAsia="宋体" w:cs="宋体"/>
          <w:b/>
          <w:sz w:val="24"/>
          <w:szCs w:val="24"/>
          <w:highlight w:val="none"/>
          <w:u w:val="single"/>
        </w:rPr>
        <w:t>依通用条款</w:t>
      </w:r>
      <w:r>
        <w:rPr>
          <w:rFonts w:hint="eastAsia" w:ascii="宋体" w:hAnsi="宋体" w:eastAsia="宋体" w:cs="宋体"/>
          <w:sz w:val="24"/>
          <w:szCs w:val="24"/>
          <w:highlight w:val="none"/>
        </w:rPr>
        <w:t>；</w:t>
      </w:r>
    </w:p>
    <w:p w14:paraId="1357708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保险金额、保险费率和保险期限：</w:t>
      </w:r>
      <w:r>
        <w:rPr>
          <w:rFonts w:hint="eastAsia" w:ascii="宋体" w:hAnsi="宋体" w:eastAsia="宋体" w:cs="宋体"/>
          <w:b/>
          <w:sz w:val="24"/>
          <w:szCs w:val="24"/>
          <w:highlight w:val="none"/>
          <w:u w:val="single"/>
        </w:rPr>
        <w:t>不做约定</w:t>
      </w:r>
    </w:p>
    <w:p w14:paraId="7AA0563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20.6对各项保险的一般要求</w:t>
      </w:r>
    </w:p>
    <w:p w14:paraId="216B136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20.6.1 保险凭证</w:t>
      </w:r>
    </w:p>
    <w:p w14:paraId="15405C2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承包人提交保险凭证的期限：</w:t>
      </w:r>
      <w:r>
        <w:rPr>
          <w:rFonts w:hint="eastAsia" w:ascii="宋体" w:hAnsi="宋体" w:eastAsia="宋体" w:cs="宋体"/>
          <w:b/>
          <w:sz w:val="24"/>
          <w:szCs w:val="24"/>
          <w:highlight w:val="none"/>
          <w:u w:val="single"/>
        </w:rPr>
        <w:t xml:space="preserve">合同约定的开工之日前 </w:t>
      </w:r>
      <w:r>
        <w:rPr>
          <w:rFonts w:hint="eastAsia" w:ascii="宋体" w:hAnsi="宋体" w:eastAsia="宋体" w:cs="宋体"/>
          <w:sz w:val="24"/>
          <w:szCs w:val="24"/>
          <w:highlight w:val="none"/>
        </w:rPr>
        <w:t>保险条件：</w:t>
      </w:r>
      <w:r>
        <w:rPr>
          <w:rFonts w:hint="eastAsia" w:ascii="宋体" w:hAnsi="宋体" w:eastAsia="宋体" w:cs="宋体"/>
          <w:b/>
          <w:sz w:val="24"/>
          <w:szCs w:val="24"/>
          <w:highlight w:val="none"/>
          <w:u w:val="single"/>
        </w:rPr>
        <w:t>建设资金已落实</w:t>
      </w:r>
      <w:r>
        <w:rPr>
          <w:rFonts w:hint="eastAsia" w:ascii="宋体" w:hAnsi="宋体" w:eastAsia="宋体" w:cs="宋体"/>
          <w:sz w:val="24"/>
          <w:szCs w:val="24"/>
          <w:highlight w:val="none"/>
        </w:rPr>
        <w:t>；</w:t>
      </w:r>
    </w:p>
    <w:p w14:paraId="5B518FB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20.6.2保险金不足的补偿</w:t>
      </w:r>
    </w:p>
    <w:p w14:paraId="346FD70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承包人负责补偿的范围与金额：</w:t>
      </w:r>
      <w:r>
        <w:rPr>
          <w:rFonts w:hint="eastAsia" w:ascii="宋体" w:hAnsi="宋体" w:eastAsia="宋体" w:cs="宋体"/>
          <w:b/>
          <w:sz w:val="24"/>
          <w:szCs w:val="24"/>
          <w:highlight w:val="none"/>
          <w:u w:val="single"/>
        </w:rPr>
        <w:t>依通用条款</w:t>
      </w:r>
    </w:p>
    <w:p w14:paraId="35FDFB3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发包人负责补偿的范围与金额：</w:t>
      </w:r>
      <w:r>
        <w:rPr>
          <w:rFonts w:hint="eastAsia" w:ascii="宋体" w:hAnsi="宋体" w:eastAsia="宋体" w:cs="宋体"/>
          <w:b/>
          <w:sz w:val="24"/>
          <w:szCs w:val="24"/>
          <w:highlight w:val="none"/>
          <w:u w:val="single"/>
        </w:rPr>
        <w:t>依通用条款</w:t>
      </w:r>
    </w:p>
    <w:p w14:paraId="731429D6">
      <w:pPr>
        <w:keepNext w:val="0"/>
        <w:keepLines w:val="0"/>
        <w:pageBreakBefore w:val="0"/>
        <w:widowControl w:val="0"/>
        <w:kinsoku/>
        <w:wordWrap/>
        <w:overflowPunct/>
        <w:topLinePunct w:val="0"/>
        <w:autoSpaceDE/>
        <w:autoSpaceDN/>
        <w:bidi w:val="0"/>
        <w:adjustRightInd/>
        <w:snapToGrid/>
        <w:spacing w:before="0" w:after="0" w:line="420" w:lineRule="exac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24.争议的解决</w:t>
      </w:r>
    </w:p>
    <w:p w14:paraId="7BC5E6D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24.1争议的解决方式</w:t>
      </w:r>
    </w:p>
    <w:p w14:paraId="30761D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eastAsia="宋体" w:cs="宋体"/>
          <w:b/>
          <w:sz w:val="21"/>
          <w:szCs w:val="21"/>
          <w:highlight w:val="none"/>
          <w:u w:val="single"/>
        </w:rPr>
      </w:pPr>
      <w:r>
        <w:rPr>
          <w:rFonts w:hint="eastAsia" w:ascii="宋体" w:hAnsi="宋体" w:eastAsia="宋体" w:cs="宋体"/>
          <w:sz w:val="24"/>
          <w:szCs w:val="24"/>
          <w:highlight w:val="none"/>
        </w:rPr>
        <w:t>合同当事人友好协商解决不成、不愿提请争议评审或不接受争议评审组意见的，约定的合同争议解决方式</w:t>
      </w:r>
      <w:r>
        <w:rPr>
          <w:rFonts w:hint="eastAsia" w:ascii="宋体" w:hAnsi="宋体" w:eastAsia="宋体" w:cs="宋体"/>
          <w:b/>
          <w:sz w:val="24"/>
          <w:szCs w:val="24"/>
          <w:highlight w:val="none"/>
        </w:rPr>
        <w:t>：</w:t>
      </w:r>
      <w:r>
        <w:rPr>
          <w:rFonts w:hint="eastAsia" w:ascii="宋体" w:hAnsi="宋体" w:eastAsia="宋体" w:cs="宋体"/>
          <w:b/>
          <w:sz w:val="24"/>
          <w:szCs w:val="24"/>
          <w:highlight w:val="none"/>
          <w:u w:val="single"/>
        </w:rPr>
        <w:t xml:space="preserve"> 向有关管辖权的人民法院提起诉讼 </w:t>
      </w:r>
      <w:r>
        <w:rPr>
          <w:rFonts w:hint="eastAsia" w:ascii="宋体" w:hAnsi="宋体" w:eastAsia="宋体" w:cs="宋体"/>
          <w:sz w:val="24"/>
          <w:szCs w:val="24"/>
          <w:highlight w:val="none"/>
        </w:rPr>
        <w:t>。</w:t>
      </w:r>
    </w:p>
    <w:p w14:paraId="76E7C6F9">
      <w:pPr>
        <w:spacing w:before="0" w:after="0" w:line="360" w:lineRule="auto"/>
        <w:jc w:val="center"/>
        <w:outlineLvl w:val="2"/>
        <w:rPr>
          <w:rFonts w:hint="eastAsia" w:ascii="宋体" w:hAnsi="宋体" w:eastAsia="宋体" w:cs="宋体"/>
          <w:sz w:val="30"/>
          <w:szCs w:val="30"/>
          <w:highlight w:val="none"/>
        </w:rPr>
      </w:pPr>
      <w:bookmarkStart w:id="68" w:name="_Toc377375981"/>
      <w:bookmarkStart w:id="69" w:name="_Toc13019"/>
    </w:p>
    <w:p w14:paraId="5C677CCE">
      <w:pPr>
        <w:spacing w:before="0" w:after="0" w:line="360" w:lineRule="auto"/>
        <w:jc w:val="center"/>
        <w:outlineLvl w:val="2"/>
        <w:rPr>
          <w:rFonts w:hint="eastAsia" w:ascii="宋体" w:hAnsi="宋体" w:eastAsia="宋体" w:cs="宋体"/>
          <w:sz w:val="30"/>
          <w:szCs w:val="30"/>
          <w:highlight w:val="none"/>
        </w:rPr>
      </w:pPr>
      <w:r>
        <w:rPr>
          <w:rFonts w:hint="eastAsia" w:ascii="宋体" w:hAnsi="宋体" w:eastAsia="宋体" w:cs="宋体"/>
          <w:sz w:val="30"/>
          <w:szCs w:val="30"/>
          <w:highlight w:val="none"/>
        </w:rPr>
        <w:t>第3节 合同附件格式</w:t>
      </w:r>
      <w:bookmarkEnd w:id="68"/>
      <w:bookmarkEnd w:id="69"/>
    </w:p>
    <w:p w14:paraId="2A37A08E">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附件一：合同协议书</w:t>
      </w:r>
    </w:p>
    <w:p w14:paraId="54AB28CC">
      <w:pPr>
        <w:spacing w:after="240" w:afterLines="100" w:line="440" w:lineRule="exact"/>
        <w:jc w:val="center"/>
        <w:outlineLvl w:val="9"/>
        <w:rPr>
          <w:rFonts w:hint="eastAsia" w:ascii="宋体" w:hAnsi="宋体" w:eastAsia="宋体" w:cs="宋体"/>
          <w:b/>
          <w:highlight w:val="none"/>
        </w:rPr>
      </w:pPr>
      <w:r>
        <w:rPr>
          <w:rFonts w:hint="eastAsia" w:ascii="宋体" w:hAnsi="宋体" w:eastAsia="宋体" w:cs="宋体"/>
          <w:b/>
          <w:szCs w:val="24"/>
          <w:highlight w:val="none"/>
        </w:rPr>
        <w:t>合同协议书</w:t>
      </w:r>
    </w:p>
    <w:p w14:paraId="61100778">
      <w:pPr>
        <w:spacing w:line="440" w:lineRule="exact"/>
        <w:ind w:firstLine="482" w:firstLineChars="200"/>
        <w:outlineLvl w:val="9"/>
        <w:rPr>
          <w:rFonts w:hint="eastAsia" w:ascii="宋体" w:hAnsi="宋体" w:eastAsia="宋体" w:cs="宋体"/>
          <w:sz w:val="24"/>
          <w:szCs w:val="24"/>
          <w:highlight w:val="none"/>
        </w:rPr>
      </w:pPr>
      <w:r>
        <w:rPr>
          <w:rFonts w:hint="eastAsia" w:ascii="宋体" w:hAnsi="宋体" w:eastAsia="宋体" w:cs="宋体"/>
          <w:b/>
          <w:sz w:val="24"/>
          <w:highlight w:val="none"/>
          <w:u w:val="single"/>
        </w:rPr>
        <w:t xml:space="preserve">                   </w:t>
      </w:r>
      <w:r>
        <w:rPr>
          <w:rFonts w:hint="eastAsia" w:ascii="宋体" w:hAnsi="宋体" w:eastAsia="宋体" w:cs="宋体"/>
          <w:sz w:val="24"/>
          <w:szCs w:val="24"/>
          <w:highlight w:val="none"/>
        </w:rPr>
        <w:t>(发包人名称，以下简称“发包人”)为实施</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szCs w:val="24"/>
          <w:highlight w:val="none"/>
        </w:rPr>
        <w:t>，已接受</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(承包人名称，以下简称“承包人”)对</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w:t>
      </w:r>
      <w:r>
        <w:rPr>
          <w:rFonts w:hint="eastAsia" w:ascii="宋体" w:hAnsi="宋体" w:eastAsia="宋体" w:cs="宋体"/>
          <w:sz w:val="24"/>
          <w:szCs w:val="24"/>
          <w:highlight w:val="none"/>
        </w:rPr>
        <w:t>的投标，并确定其为中标人。发包人和承包人共同达成如下协议。</w:t>
      </w:r>
    </w:p>
    <w:p w14:paraId="764B97DF">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1.本协议书与下列文件一起构成合同文件：</w:t>
      </w:r>
    </w:p>
    <w:p w14:paraId="651710CA">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(1）中标通知书；                     </w:t>
      </w:r>
    </w:p>
    <w:p w14:paraId="22BD6382">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(2）投标函及投标函附录；</w:t>
      </w:r>
    </w:p>
    <w:p w14:paraId="422A1F53">
      <w:pPr>
        <w:spacing w:line="440" w:lineRule="exact"/>
        <w:ind w:firstLine="360" w:firstLineChars="15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(3）本合同专用条款；</w:t>
      </w:r>
    </w:p>
    <w:p w14:paraId="40119353">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(4）本合同通用条款； </w:t>
      </w:r>
    </w:p>
    <w:p w14:paraId="1FFEBB5E">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(5）技术标准和要求(合同技术条款)</w:t>
      </w:r>
    </w:p>
    <w:p w14:paraId="2436E1D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20ED86AC">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(7）已标价工程量清单；                         </w:t>
      </w:r>
    </w:p>
    <w:p w14:paraId="589E5AE3">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(8）安全生产合同及其他合同文件。</w:t>
      </w:r>
    </w:p>
    <w:p w14:paraId="4F1CE547">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2.上述文件互相补充和解释，如有不明确或不一致之处，以合同约定次序在先者为准。</w:t>
      </w:r>
    </w:p>
    <w:p w14:paraId="09CE2527">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3.签约合同价：人民币(大写)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01000705">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4.承包人项目经理：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7444672">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5.工程质量符合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标准。</w:t>
      </w:r>
    </w:p>
    <w:p w14:paraId="588263EB">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6.承包人承诺按合同约定承担工程的实施、完成及缺陷修复。</w:t>
      </w:r>
    </w:p>
    <w:p w14:paraId="2FEEE68E">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7.发包人承诺按合同约定的条件、时间和方式向承包人支付合同价款。</w:t>
      </w:r>
    </w:p>
    <w:p w14:paraId="7CF17DD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8.承包人承诺执行监理人开工通知，计划工期为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w:t>
      </w:r>
    </w:p>
    <w:p w14:paraId="0AC104F9">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9.本协议书一式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份，合同双方各执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份。 </w:t>
      </w:r>
    </w:p>
    <w:p w14:paraId="383C9F44">
      <w:pPr>
        <w:spacing w:line="440" w:lineRule="exact"/>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10.合同未尽事宜，双方另行签订补充协议。补充协议是合同的组成部分。</w:t>
      </w:r>
    </w:p>
    <w:p w14:paraId="6FC91898">
      <w:pPr>
        <w:spacing w:line="440" w:lineRule="exact"/>
        <w:ind w:firstLine="480" w:firstLineChars="200"/>
        <w:outlineLvl w:val="9"/>
        <w:rPr>
          <w:rFonts w:hint="eastAsia" w:ascii="宋体" w:hAnsi="宋体" w:eastAsia="宋体" w:cs="宋体"/>
          <w:sz w:val="24"/>
          <w:szCs w:val="24"/>
          <w:highlight w:val="none"/>
        </w:rPr>
      </w:pPr>
    </w:p>
    <w:p w14:paraId="24203D74">
      <w:pPr>
        <w:spacing w:line="440" w:lineRule="exac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发 包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    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(盖单位章)</w:t>
      </w:r>
    </w:p>
    <w:p w14:paraId="26750D86">
      <w:pPr>
        <w:spacing w:line="440" w:lineRule="exac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    法定代表人或其委托代理人：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(签字)</w:t>
      </w:r>
    </w:p>
    <w:p w14:paraId="08A60567">
      <w:pPr>
        <w:autoSpaceDE w:val="0"/>
        <w:autoSpaceDN w:val="0"/>
        <w:adjustRightInd w:val="0"/>
        <w:spacing w:line="440" w:lineRule="exact"/>
        <w:ind w:firstLine="1050" w:firstLineChars="500"/>
        <w:outlineLvl w:val="9"/>
        <w:rPr>
          <w:rFonts w:hint="eastAsia" w:ascii="宋体" w:hAnsi="宋体" w:eastAsia="宋体" w:cs="宋体"/>
          <w:sz w:val="21"/>
          <w:szCs w:val="21"/>
          <w:highlight w:val="none"/>
        </w:rPr>
        <w:sectPr>
          <w:pgSz w:w="11906" w:h="16838"/>
          <w:pgMar w:top="1361" w:right="1361" w:bottom="1361" w:left="1361" w:header="777" w:footer="771" w:gutter="0"/>
          <w:pgNumType w:fmt="decimal"/>
          <w:cols w:space="720" w:num="1"/>
          <w:docGrid w:linePitch="312" w:charSpace="0"/>
        </w:sect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日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E318838">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附件二：履约担保</w:t>
      </w:r>
    </w:p>
    <w:p w14:paraId="207B453D">
      <w:pPr>
        <w:spacing w:line="500" w:lineRule="exact"/>
        <w:jc w:val="center"/>
        <w:outlineLvl w:val="9"/>
        <w:rPr>
          <w:rFonts w:hint="eastAsia" w:ascii="宋体" w:hAnsi="宋体" w:eastAsia="宋体" w:cs="宋体"/>
          <w:b/>
          <w:bCs/>
          <w:szCs w:val="32"/>
          <w:highlight w:val="none"/>
        </w:rPr>
      </w:pPr>
      <w:r>
        <w:rPr>
          <w:rFonts w:hint="eastAsia" w:ascii="宋体" w:hAnsi="宋体" w:eastAsia="宋体" w:cs="宋体"/>
          <w:b/>
          <w:bCs/>
          <w:szCs w:val="32"/>
          <w:highlight w:val="none"/>
        </w:rPr>
        <w:t>履约保函示范文本</w:t>
      </w:r>
    </w:p>
    <w:p w14:paraId="79DA0593">
      <w:pPr>
        <w:wordWrap w:val="0"/>
        <w:spacing w:line="500" w:lineRule="exact"/>
        <w:jc w:val="right"/>
        <w:outlineLvl w:val="9"/>
        <w:rPr>
          <w:rFonts w:hint="eastAsia" w:ascii="宋体" w:hAnsi="宋体" w:eastAsia="宋体" w:cs="宋体"/>
          <w:szCs w:val="21"/>
          <w:highlight w:val="none"/>
        </w:rPr>
      </w:pPr>
      <w:r>
        <w:rPr>
          <w:rFonts w:hint="eastAsia" w:ascii="宋体" w:hAnsi="宋体" w:eastAsia="宋体" w:cs="宋体"/>
          <w:sz w:val="24"/>
          <w:highlight w:val="none"/>
        </w:rPr>
        <w:t xml:space="preserve">编号：       </w:t>
      </w:r>
      <w:r>
        <w:rPr>
          <w:rFonts w:hint="eastAsia" w:ascii="宋体" w:hAnsi="宋体" w:eastAsia="宋体" w:cs="宋体"/>
          <w:szCs w:val="21"/>
          <w:highlight w:val="none"/>
        </w:rPr>
        <w:t xml:space="preserve">    </w:t>
      </w:r>
    </w:p>
    <w:p w14:paraId="4D79243B">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申请人：</w:t>
      </w:r>
    </w:p>
    <w:p w14:paraId="70F00BCF">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6DDF6F6E">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受益人：</w:t>
      </w:r>
    </w:p>
    <w:p w14:paraId="2B01CB04">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163FCEEC">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开立人：</w:t>
      </w:r>
    </w:p>
    <w:p w14:paraId="7FCA6A78">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地址：</w:t>
      </w:r>
    </w:p>
    <w:p w14:paraId="6FEAF520">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275DFEE3">
      <w:pPr>
        <w:spacing w:line="500" w:lineRule="exact"/>
        <w:outlineLvl w:val="9"/>
        <w:rPr>
          <w:rFonts w:hint="eastAsia"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（受益人名称）： </w:t>
      </w:r>
    </w:p>
    <w:p w14:paraId="59E49DEB">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鉴于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（以下简称“受益人”）与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（以下简称“申请人”）于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日就</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工程（以下简称“本工程”）施工和有关事项协商一致共同签订</w:t>
      </w:r>
      <w:r>
        <w:rPr>
          <w:rFonts w:hint="eastAsia" w:ascii="宋体" w:hAnsi="宋体" w:eastAsia="宋体" w:cs="宋体"/>
          <w:sz w:val="24"/>
          <w:highlight w:val="none"/>
          <w:u w:val="single"/>
        </w:rPr>
        <w:t>《        》</w:t>
      </w:r>
      <w:r>
        <w:rPr>
          <w:rFonts w:hint="eastAsia" w:ascii="宋体" w:hAnsi="宋体" w:eastAsia="宋体" w:cs="宋体"/>
          <w:sz w:val="24"/>
          <w:highlight w:val="none"/>
        </w:rPr>
        <w:t xml:space="preserve">（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 </w:t>
      </w:r>
    </w:p>
    <w:p w14:paraId="3E66239E">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一、本保函担保范围：承包人未按照基础合同的约定履行义务，应当向贵方承担的违约责任和赔偿因此造成的损失、利息、律师费、诉讼费用等实现债权的费用。</w:t>
      </w:r>
    </w:p>
    <w:p w14:paraId="0B5A100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二、本保函担保金额最高不超过人民币（大写）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7AE91EB9">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三、本保函有效期自开立之日起至基础合同约定的缺陷责任期后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日止，最迟不超过</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p>
    <w:p w14:paraId="1E3CA71D">
      <w:pPr>
        <w:spacing w:line="500" w:lineRule="exact"/>
        <w:ind w:firstLine="480"/>
        <w:outlineLvl w:val="9"/>
        <w:rPr>
          <w:rFonts w:hint="eastAsia" w:ascii="宋体" w:hAnsi="宋体" w:eastAsia="宋体" w:cs="宋体"/>
          <w:sz w:val="24"/>
          <w:highlight w:val="none"/>
        </w:rPr>
      </w:pPr>
      <w:r>
        <w:rPr>
          <w:rFonts w:hint="eastAsia" w:ascii="宋体" w:hAnsi="宋体" w:eastAsia="宋体" w:cs="宋体"/>
          <w:sz w:val="24"/>
          <w:highlight w:val="none"/>
        </w:rPr>
        <w:t>四、我方承诺，在收到受益人发来的书面付款通知后的</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日内无条件支付，前述书面付款通知即为付款要求之单据，且应满足以下要求：</w:t>
      </w:r>
    </w:p>
    <w:p w14:paraId="46460D3E">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（1）付款通知到达的日期在本保函的有效期内；</w:t>
      </w:r>
    </w:p>
    <w:p w14:paraId="32B346F9">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（2）载明要求支付的金额；</w:t>
      </w:r>
    </w:p>
    <w:p w14:paraId="67B1764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（3）载明申请人违反合同义务的条款和内容；</w:t>
      </w:r>
    </w:p>
    <w:p w14:paraId="7DFFC8F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（4）声明不存在合同文件约定或我国法律规定免除申请人或开立人支付责任的情形；</w:t>
      </w:r>
    </w:p>
    <w:p w14:paraId="48AC583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（5）付款通知应在本保函有效期内到达的地址是：</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5087D742">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受益人发出的书面付款通知应由其为鉴明受益人法定代表人（负责人）或授权代理人签字并加盖公章。</w:t>
      </w:r>
    </w:p>
    <w:p w14:paraId="2C0A723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五、本保函项下的权利不得转让，不得设定担保。贵方未经我方书面同意转 让本保函或其项下任何权利，对我方不发生法律效力。 </w:t>
      </w:r>
    </w:p>
    <w:p w14:paraId="22028015">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六、与本保函有关的基础合同不成立、不生效、无效、被撤销、被解除，不影响本保函的独立有效。 </w:t>
      </w:r>
    </w:p>
    <w:p w14:paraId="334E898D">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七、贵方应在本保函到期后的七日内将本保函正本退回我方注销，但是不论贵方是否按此要求将本保函正本退回我方，我方在本保函项下的义务和责任均在保函有效期到期后自动消灭。 </w:t>
      </w:r>
    </w:p>
    <w:p w14:paraId="6D65B504">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八、本保函适用的法律为中华人民共和国法律，争议裁判管辖地为中华人民共和国</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w:t>
      </w:r>
    </w:p>
    <w:p w14:paraId="710BED2C">
      <w:pPr>
        <w:spacing w:line="500" w:lineRule="exact"/>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九、本保函自我方法定代表人或授权代表签字并加盖公章之日起生效。 </w:t>
      </w:r>
    </w:p>
    <w:p w14:paraId="4CC668DD">
      <w:pPr>
        <w:spacing w:line="360" w:lineRule="auto"/>
        <w:outlineLvl w:val="9"/>
        <w:rPr>
          <w:rFonts w:hint="eastAsia" w:ascii="宋体" w:hAnsi="宋体" w:eastAsia="宋体" w:cs="宋体"/>
          <w:sz w:val="24"/>
          <w:szCs w:val="24"/>
          <w:highlight w:val="none"/>
        </w:rPr>
      </w:pPr>
    </w:p>
    <w:p w14:paraId="308DEE7D">
      <w:pPr>
        <w:spacing w:line="360" w:lineRule="auto"/>
        <w:ind w:firstLine="480" w:firstLineChars="200"/>
        <w:outlineLvl w:val="9"/>
        <w:rPr>
          <w:rFonts w:hint="eastAsia" w:ascii="宋体" w:hAnsi="宋体" w:eastAsia="宋体" w:cs="宋体"/>
          <w:sz w:val="24"/>
          <w:szCs w:val="24"/>
          <w:highlight w:val="none"/>
        </w:rPr>
      </w:pPr>
    </w:p>
    <w:p w14:paraId="651A46B1">
      <w:pPr>
        <w:spacing w:line="48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开立人：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2DBF7F2">
      <w:pPr>
        <w:spacing w:line="48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56616FC5">
      <w:pPr>
        <w:pStyle w:val="13"/>
        <w:spacing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14:paraId="71FDEEC3">
      <w:pPr>
        <w:pStyle w:val="13"/>
        <w:spacing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p>
    <w:p w14:paraId="6BCED9EF">
      <w:pPr>
        <w:pStyle w:val="13"/>
        <w:spacing w:after="0" w:line="480" w:lineRule="auto"/>
        <w:ind w:firstLine="2880" w:firstLineChars="1200"/>
        <w:outlineLvl w:val="9"/>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p>
    <w:p w14:paraId="530D2CB0">
      <w:pPr>
        <w:pStyle w:val="13"/>
        <w:spacing w:after="0" w:line="480" w:lineRule="auto"/>
        <w:ind w:firstLine="2880" w:firstLineChars="1200"/>
        <w:outlineLvl w:val="9"/>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2D7682D4">
      <w:pPr>
        <w:spacing w:line="360" w:lineRule="auto"/>
        <w:jc w:val="center"/>
        <w:outlineLvl w:val="9"/>
        <w:rPr>
          <w:rFonts w:hint="eastAsia" w:ascii="宋体" w:hAnsi="宋体" w:eastAsia="宋体" w:cs="宋体"/>
          <w:b/>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AF419BE">
      <w:pPr>
        <w:spacing w:line="360" w:lineRule="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14:paraId="481BD448">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附件三：预付款担保函</w:t>
      </w:r>
    </w:p>
    <w:p w14:paraId="60C08F3A">
      <w:pPr>
        <w:spacing w:after="240" w:afterLines="100" w:line="360" w:lineRule="auto"/>
        <w:jc w:val="center"/>
        <w:outlineLvl w:val="9"/>
        <w:rPr>
          <w:rFonts w:hint="eastAsia" w:ascii="宋体" w:hAnsi="宋体" w:eastAsia="宋体" w:cs="宋体"/>
          <w:b/>
          <w:szCs w:val="24"/>
          <w:highlight w:val="none"/>
        </w:rPr>
      </w:pPr>
      <w:r>
        <w:rPr>
          <w:rFonts w:hint="eastAsia" w:ascii="宋体" w:hAnsi="宋体" w:eastAsia="宋体" w:cs="宋体"/>
          <w:b/>
          <w:szCs w:val="24"/>
          <w:highlight w:val="none"/>
        </w:rPr>
        <w:t>工程预付款担保函</w:t>
      </w:r>
    </w:p>
    <w:p w14:paraId="67ED1803">
      <w:pPr>
        <w:spacing w:line="360" w:lineRule="auto"/>
        <w:outlineLvl w:val="9"/>
        <w:rPr>
          <w:rFonts w:hint="eastAsia" w:ascii="宋体" w:hAnsi="宋体" w:eastAsia="宋体" w:cs="宋体"/>
          <w:b/>
          <w:sz w:val="24"/>
          <w:szCs w:val="24"/>
          <w:highlight w:val="none"/>
        </w:rPr>
      </w:pP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（发包人名称）</w:t>
      </w:r>
      <w:r>
        <w:rPr>
          <w:rFonts w:hint="eastAsia" w:ascii="宋体" w:hAnsi="宋体" w:eastAsia="宋体" w:cs="宋体"/>
          <w:sz w:val="24"/>
          <w:szCs w:val="24"/>
          <w:highlight w:val="none"/>
        </w:rPr>
        <w:t>：</w:t>
      </w:r>
    </w:p>
    <w:p w14:paraId="7DC0AA2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根据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(承包人名称，以下简称“承包人”)与</w:t>
      </w:r>
      <w:r>
        <w:rPr>
          <w:rFonts w:hint="eastAsia" w:ascii="宋体" w:hAnsi="宋体" w:eastAsia="宋体" w:cs="宋体"/>
          <w:b/>
          <w:sz w:val="24"/>
          <w:highlight w:val="none"/>
          <w:u w:val="single"/>
        </w:rPr>
        <w:t xml:space="preserve">               </w:t>
      </w:r>
      <w:r>
        <w:rPr>
          <w:rFonts w:hint="eastAsia" w:ascii="宋体" w:hAnsi="宋体" w:eastAsia="宋体" w:cs="宋体"/>
          <w:sz w:val="24"/>
          <w:szCs w:val="24"/>
          <w:highlight w:val="none"/>
        </w:rPr>
        <w:t>(发包人名称，以下简称“发包人”) 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日签订的</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w:t>
      </w:r>
      <w:r>
        <w:rPr>
          <w:rFonts w:hint="eastAsia" w:ascii="宋体" w:hAnsi="宋体" w:eastAsia="宋体" w:cs="宋体"/>
          <w:sz w:val="24"/>
          <w:szCs w:val="24"/>
          <w:highlight w:val="none"/>
        </w:rPr>
        <w:t>合同协议书，承包人按约定的金额向发包人提交一份预付款担保，即有权得到发包人支付相等金额的预付款。我方愿意就你方提供给承包人的预付款提供担保。</w:t>
      </w:r>
    </w:p>
    <w:p w14:paraId="67D4EF1C">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1.担保金额人民币(大写)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AD0080B">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2.担保有效期自预付款支付给承包人起生效，至发包人签发的进度付款证书说明预付款已完全扣清止。</w:t>
      </w:r>
    </w:p>
    <w:p w14:paraId="73CF377F">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在本担保有效期内，因承包人违反合同约定的义务而要求收回预付款时，我方在收到你方的书面通知后，无条件的在7天内予以支付。但本担保的担保金额，在任何时候不应超过预付款金额减去发包人按合同约定在向承包人签发的进度付款证书中已扣回的金额。</w:t>
      </w:r>
    </w:p>
    <w:p w14:paraId="4BF079C0">
      <w:pPr>
        <w:spacing w:line="360" w:lineRule="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4.发包人和承包人按《通用合同条款》第15条变更合同时，我方承担本担保规定的义务不变。</w:t>
      </w:r>
    </w:p>
    <w:p w14:paraId="1BE66C58">
      <w:pPr>
        <w:spacing w:line="360" w:lineRule="auto"/>
        <w:ind w:firstLine="480" w:firstLineChars="200"/>
        <w:outlineLvl w:val="9"/>
        <w:rPr>
          <w:rFonts w:hint="eastAsia" w:ascii="宋体" w:hAnsi="宋体" w:eastAsia="宋体" w:cs="宋体"/>
          <w:sz w:val="24"/>
          <w:szCs w:val="24"/>
          <w:highlight w:val="none"/>
        </w:rPr>
      </w:pPr>
    </w:p>
    <w:p w14:paraId="331A1088">
      <w:pPr>
        <w:spacing w:line="360" w:lineRule="auto"/>
        <w:ind w:firstLine="480" w:firstLineChars="200"/>
        <w:outlineLvl w:val="9"/>
        <w:rPr>
          <w:rFonts w:hint="eastAsia" w:ascii="宋体" w:hAnsi="宋体" w:eastAsia="宋体" w:cs="宋体"/>
          <w:sz w:val="24"/>
          <w:szCs w:val="24"/>
          <w:highlight w:val="none"/>
        </w:rPr>
      </w:pPr>
    </w:p>
    <w:p w14:paraId="17F84324">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担保人：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(盖单位章)</w:t>
      </w:r>
    </w:p>
    <w:p w14:paraId="0429B630">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2B728C70">
      <w:pPr>
        <w:pStyle w:val="13"/>
        <w:spacing w:line="360" w:lineRule="auto"/>
        <w:ind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地    址：</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p>
    <w:p w14:paraId="5C1CED16">
      <w:pPr>
        <w:pStyle w:val="13"/>
        <w:spacing w:line="360" w:lineRule="auto"/>
        <w:ind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邮政编码：</w:t>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ab/>
      </w:r>
      <w:r>
        <w:rPr>
          <w:rFonts w:hint="eastAsia" w:ascii="宋体" w:hAnsi="宋体" w:eastAsia="宋体" w:cs="宋体"/>
          <w:sz w:val="24"/>
          <w:highlight w:val="none"/>
          <w:u w:val="single"/>
        </w:rPr>
        <w:t xml:space="preserve">           </w:t>
      </w:r>
    </w:p>
    <w:p w14:paraId="6391112A">
      <w:pPr>
        <w:pStyle w:val="13"/>
        <w:spacing w:line="360" w:lineRule="auto"/>
        <w:ind w:right="480" w:firstLine="3360" w:firstLineChars="1400"/>
        <w:outlineLvl w:val="9"/>
        <w:rPr>
          <w:rFonts w:hint="eastAsia" w:ascii="宋体" w:hAnsi="宋体" w:eastAsia="宋体" w:cs="宋体"/>
          <w:sz w:val="24"/>
          <w:highlight w:val="none"/>
          <w:u w:val="single"/>
        </w:rPr>
      </w:pPr>
      <w:r>
        <w:rPr>
          <w:rFonts w:hint="eastAsia" w:ascii="宋体" w:hAnsi="宋体" w:eastAsia="宋体" w:cs="宋体"/>
          <w:sz w:val="24"/>
          <w:highlight w:val="none"/>
        </w:rPr>
        <w:t>电    话：</w:t>
      </w:r>
      <w:r>
        <w:rPr>
          <w:rFonts w:hint="eastAsia" w:ascii="宋体" w:hAnsi="宋体" w:eastAsia="宋体" w:cs="宋体"/>
          <w:sz w:val="24"/>
          <w:highlight w:val="none"/>
          <w:u w:val="single"/>
        </w:rPr>
        <w:t xml:space="preserve">                         </w:t>
      </w:r>
    </w:p>
    <w:p w14:paraId="41FD0178">
      <w:pPr>
        <w:pStyle w:val="13"/>
        <w:spacing w:line="360" w:lineRule="auto"/>
        <w:ind w:right="480" w:firstLine="3360" w:firstLineChars="1400"/>
        <w:outlineLvl w:val="9"/>
        <w:rPr>
          <w:rFonts w:hint="eastAsia" w:ascii="宋体" w:hAnsi="宋体" w:eastAsia="宋体" w:cs="宋体"/>
          <w:sz w:val="24"/>
          <w:highlight w:val="none"/>
        </w:rPr>
      </w:pPr>
      <w:r>
        <w:rPr>
          <w:rFonts w:hint="eastAsia" w:ascii="宋体" w:hAnsi="宋体" w:eastAsia="宋体" w:cs="宋体"/>
          <w:sz w:val="24"/>
          <w:highlight w:val="none"/>
        </w:rPr>
        <w:t>传    真：</w:t>
      </w:r>
      <w:r>
        <w:rPr>
          <w:rFonts w:hint="eastAsia" w:ascii="宋体" w:hAnsi="宋体" w:eastAsia="宋体" w:cs="宋体"/>
          <w:sz w:val="24"/>
          <w:highlight w:val="none"/>
          <w:u w:val="single"/>
        </w:rPr>
        <w:t xml:space="preserve">                         </w:t>
      </w:r>
    </w:p>
    <w:p w14:paraId="42EA0CD1">
      <w:pPr>
        <w:spacing w:line="360" w:lineRule="auto"/>
        <w:jc w:val="center"/>
        <w:outlineLvl w:val="9"/>
        <w:rPr>
          <w:rFonts w:hint="eastAsia" w:ascii="宋体" w:hAnsi="宋体" w:eastAsia="宋体" w:cs="宋体"/>
          <w:sz w:val="24"/>
          <w:szCs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 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90F92D5">
      <w:pPr>
        <w:spacing w:line="360" w:lineRule="auto"/>
        <w:outlineLvl w:val="9"/>
        <w:rPr>
          <w:rFonts w:hint="eastAsia" w:ascii="宋体" w:hAnsi="宋体" w:eastAsia="宋体" w:cs="宋体"/>
          <w:b/>
          <w:sz w:val="24"/>
          <w:szCs w:val="24"/>
          <w:highlight w:val="none"/>
        </w:rPr>
      </w:pPr>
    </w:p>
    <w:p w14:paraId="2F736C33">
      <w:pPr>
        <w:spacing w:line="360" w:lineRule="auto"/>
        <w:outlineLvl w:val="9"/>
        <w:rPr>
          <w:rFonts w:hint="eastAsia" w:ascii="宋体" w:hAnsi="宋体" w:eastAsia="宋体" w:cs="宋体"/>
          <w:sz w:val="24"/>
          <w:szCs w:val="24"/>
          <w:highlight w:val="none"/>
        </w:rPr>
      </w:pPr>
      <w:r>
        <w:rPr>
          <w:rFonts w:hint="eastAsia" w:ascii="宋体" w:hAnsi="宋体" w:eastAsia="宋体" w:cs="宋体"/>
          <w:b/>
          <w:sz w:val="24"/>
          <w:szCs w:val="24"/>
          <w:highlight w:val="none"/>
        </w:rPr>
        <w:t>注：</w:t>
      </w:r>
      <w:r>
        <w:rPr>
          <w:rFonts w:hint="eastAsia" w:ascii="宋体" w:hAnsi="宋体" w:eastAsia="宋体" w:cs="宋体"/>
          <w:sz w:val="24"/>
          <w:szCs w:val="24"/>
          <w:highlight w:val="none"/>
        </w:rPr>
        <w:t>委托代理人应附授权委托书。</w:t>
      </w:r>
    </w:p>
    <w:p w14:paraId="3C37BABF">
      <w:pPr>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附件四：安全生产合同</w:t>
      </w:r>
    </w:p>
    <w:p w14:paraId="59FEDC7B">
      <w:pPr>
        <w:spacing w:after="240" w:afterLines="100" w:line="360" w:lineRule="auto"/>
        <w:jc w:val="center"/>
        <w:outlineLvl w:val="9"/>
        <w:rPr>
          <w:rFonts w:hint="eastAsia" w:ascii="宋体" w:hAnsi="宋体" w:eastAsia="宋体" w:cs="宋体"/>
          <w:b/>
          <w:szCs w:val="24"/>
          <w:highlight w:val="none"/>
        </w:rPr>
      </w:pPr>
      <w:r>
        <w:rPr>
          <w:rFonts w:hint="eastAsia" w:ascii="宋体" w:hAnsi="宋体" w:eastAsia="宋体" w:cs="宋体"/>
          <w:b/>
          <w:szCs w:val="24"/>
          <w:highlight w:val="none"/>
        </w:rPr>
        <w:t>安全生产合同（格式）</w:t>
      </w:r>
    </w:p>
    <w:p w14:paraId="1871A78F">
      <w:pPr>
        <w:spacing w:line="360" w:lineRule="auto"/>
        <w:ind w:firstLine="240" w:firstLineChars="100"/>
        <w:outlineLvl w:val="9"/>
        <w:rPr>
          <w:rFonts w:hint="eastAsia" w:ascii="宋体" w:hAnsi="宋体" w:eastAsia="宋体" w:cs="宋体"/>
          <w:sz w:val="24"/>
          <w:highlight w:val="none"/>
        </w:rPr>
      </w:pPr>
      <w:r>
        <w:rPr>
          <w:rFonts w:hint="eastAsia" w:ascii="宋体" w:hAnsi="宋体" w:eastAsia="宋体" w:cs="宋体"/>
          <w:sz w:val="24"/>
          <w:highlight w:val="none"/>
        </w:rPr>
        <w:t>为在</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（项目名称）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（标段名称）施工合同的实施过程中创造安全、高效的施工环境，切实搞好本项目的安全管理工作，本项目发包人</w:t>
      </w:r>
      <w:r>
        <w:rPr>
          <w:rFonts w:hint="eastAsia" w:ascii="宋体" w:hAnsi="宋体" w:eastAsia="宋体" w:cs="宋体"/>
          <w:b/>
          <w:sz w:val="24"/>
          <w:highlight w:val="none"/>
          <w:u w:val="single"/>
        </w:rPr>
        <w:t xml:space="preserve">                       </w:t>
      </w:r>
      <w:r>
        <w:rPr>
          <w:rFonts w:hint="eastAsia" w:ascii="宋体" w:hAnsi="宋体" w:eastAsia="宋体" w:cs="宋体"/>
          <w:sz w:val="24"/>
          <w:highlight w:val="none"/>
        </w:rPr>
        <w:t>（以下简称“发包人”）与承包人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（承包人名称，以下简称“承包人”）特此签订安全生产合同：</w:t>
      </w:r>
    </w:p>
    <w:p w14:paraId="290E238A">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1.发包人职责</w:t>
      </w:r>
    </w:p>
    <w:p w14:paraId="18C99052">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（1）严格遵守国家有关安全生产的法律法规，认真执行工程承包合同中的有关安全要求。</w:t>
      </w:r>
    </w:p>
    <w:p w14:paraId="54CE3D7A">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（2）按照“安全第一、预防为主”和坚持“管生产必须管安全”的原则进行安全生产管理，做到生产与安全工作同时计划、布置、检查、总结和评比。</w:t>
      </w:r>
    </w:p>
    <w:p w14:paraId="11FBA05E">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（3）重要的安全设施必须坚持与主体工程“三同时”的原则，即：同时设计、审批，同时施工，同时验收，投入使用。</w:t>
      </w:r>
    </w:p>
    <w:p w14:paraId="1B937171">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（4）定期召开安全生产调度会，及时传达中央及地方有关安全生产的精神。</w:t>
      </w:r>
    </w:p>
    <w:p w14:paraId="48A5B5BB">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（5）组织对承包人施工现场安全生产检查，监督承包人及时处理发现的各种安全隐患。</w:t>
      </w:r>
    </w:p>
    <w:p w14:paraId="61CD0A03">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2.承包人职责</w:t>
      </w:r>
    </w:p>
    <w:p w14:paraId="0F7FD9EC">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（1）严格遵守《中华人民共和国安全生产法》、《建设工程安全生产管理条例》等国家有关安全生产的法律法规的规定。认真执行工程承包合同中的有关安全要求。</w:t>
      </w:r>
    </w:p>
    <w:p w14:paraId="45173FF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4BA6510D">
      <w:pPr>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2D7A2EF6">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（4）承包人在任何时候都应采取各种合理的预防措施，防止其员工发生任何违法、违禁、暴力或妨碍治安的行为。</w:t>
      </w:r>
    </w:p>
    <w:p w14:paraId="11B1AAD0">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w:t>
      </w:r>
    </w:p>
    <w:p w14:paraId="1DF0D7A5">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71F5297">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（7）操作人员上岗，必须按规定穿戴防护用品。施工负责人和安全检查员应随时检查劳动防护用品的穿戴情况，不按规定穿戴防护用品的人员不得上岗。</w:t>
      </w:r>
    </w:p>
    <w:p w14:paraId="0590F476">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（8）所有施工机具设备和高空作业的设备均应定期检查，并有安全员的签字记录，保证其经常处于完好状态；不合格的机具、设备和劳动保护用品严禁使用：</w:t>
      </w:r>
    </w:p>
    <w:p w14:paraId="0F39BE29">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（9）施工中采用新技术、新工艺、新设备、新材料时，必须制定相应的安全技术措施，施工现场必须具有相关的安全标志牌。</w:t>
      </w:r>
    </w:p>
    <w:p w14:paraId="1D3C8420">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2DF1495">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3.违约责任</w:t>
      </w:r>
    </w:p>
    <w:p w14:paraId="4470BB2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如因发包人或承包人违约造成安全事故，将依法追究责任。</w:t>
      </w:r>
    </w:p>
    <w:p w14:paraId="60EA8633">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4.本合同由双方法定代表人或其授权的代理人签署并加盖单位章后生效，全部工程竣工验收后失效。</w:t>
      </w:r>
    </w:p>
    <w:p w14:paraId="7C5C3E9F">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5.本合同正本—式二份，副本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份，合同双方各执正本—份，副本</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份，当正本与副本的内容不一致时，以正本为准。</w:t>
      </w:r>
    </w:p>
    <w:p w14:paraId="4516CF97">
      <w:pPr>
        <w:spacing w:line="360" w:lineRule="auto"/>
        <w:outlineLvl w:val="9"/>
        <w:rPr>
          <w:rFonts w:hint="eastAsia" w:ascii="宋体" w:hAnsi="宋体" w:eastAsia="宋体" w:cs="宋体"/>
          <w:sz w:val="24"/>
          <w:highlight w:val="none"/>
        </w:rPr>
      </w:pPr>
    </w:p>
    <w:p w14:paraId="082F98C3">
      <w:pPr>
        <w:spacing w:line="360" w:lineRule="auto"/>
        <w:outlineLvl w:val="9"/>
        <w:rPr>
          <w:rFonts w:hint="eastAsia" w:ascii="宋体" w:hAnsi="宋体" w:eastAsia="宋体" w:cs="宋体"/>
          <w:sz w:val="24"/>
          <w:highlight w:val="none"/>
        </w:rPr>
      </w:pPr>
      <w:r>
        <w:rPr>
          <w:rFonts w:hint="eastAsia" w:ascii="宋体" w:hAnsi="宋体" w:eastAsia="宋体" w:cs="宋体"/>
          <w:sz w:val="24"/>
          <w:highlight w:val="none"/>
        </w:rPr>
        <w:t>发包人：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（盖单位章）  承包人：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（盖单位章） </w:t>
      </w:r>
    </w:p>
    <w:p w14:paraId="284F690E">
      <w:pPr>
        <w:spacing w:line="360" w:lineRule="auto"/>
        <w:outlineLvl w:val="9"/>
        <w:rPr>
          <w:rFonts w:hint="eastAsia" w:ascii="宋体" w:hAnsi="宋体" w:eastAsia="宋体" w:cs="宋体"/>
          <w:sz w:val="24"/>
          <w:highlight w:val="none"/>
        </w:rPr>
      </w:pPr>
      <w:r>
        <w:rPr>
          <w:rFonts w:hint="eastAsia" w:ascii="宋体" w:hAnsi="宋体" w:eastAsia="宋体" w:cs="宋体"/>
          <w:sz w:val="24"/>
          <w:highlight w:val="none"/>
        </w:rPr>
        <w:t>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  法定代表人或其委托代理人：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（签字）</w:t>
      </w:r>
    </w:p>
    <w:p w14:paraId="6851DC1D">
      <w:pPr>
        <w:spacing w:line="360" w:lineRule="auto"/>
        <w:ind w:firstLine="480" w:firstLineChars="200"/>
        <w:outlineLvl w:val="9"/>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日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032D8802">
      <w:pPr>
        <w:widowControl/>
        <w:tabs>
          <w:tab w:val="center" w:pos="4466"/>
          <w:tab w:val="right" w:pos="8479"/>
        </w:tabs>
        <w:spacing w:line="360" w:lineRule="auto"/>
        <w:ind w:right="67" w:rightChars="28" w:firstLine="480" w:firstLineChars="200"/>
        <w:jc w:val="left"/>
        <w:rPr>
          <w:rFonts w:hint="eastAsia" w:ascii="宋体" w:hAnsi="宋体" w:eastAsia="宋体" w:cs="宋体"/>
          <w:lang w:val="zh-CN"/>
        </w:rPr>
      </w:pPr>
    </w:p>
    <w:p w14:paraId="58D2303C">
      <w:pPr>
        <w:widowControl/>
        <w:tabs>
          <w:tab w:val="center" w:pos="4466"/>
          <w:tab w:val="right" w:pos="8479"/>
        </w:tabs>
        <w:spacing w:line="360" w:lineRule="auto"/>
        <w:ind w:right="67" w:rightChars="28"/>
        <w:rPr>
          <w:rFonts w:hint="eastAsia" w:ascii="宋体" w:hAnsi="宋体" w:eastAsia="宋体" w:cs="宋体"/>
          <w:lang w:val="zh-CN"/>
        </w:rPr>
      </w:pPr>
    </w:p>
    <w:p w14:paraId="59D85DA3">
      <w:pPr>
        <w:pStyle w:val="13"/>
        <w:rPr>
          <w:rFonts w:hint="eastAsia" w:ascii="宋体" w:hAnsi="宋体" w:eastAsia="宋体" w:cs="宋体"/>
          <w:lang w:val="zh-CN"/>
        </w:rPr>
      </w:pPr>
    </w:p>
    <w:p w14:paraId="58D4C955">
      <w:pPr>
        <w:rPr>
          <w:rFonts w:hint="eastAsia" w:ascii="宋体" w:hAnsi="宋体" w:eastAsia="宋体" w:cs="宋体"/>
          <w:lang w:val="zh-CN"/>
        </w:rPr>
      </w:pPr>
    </w:p>
    <w:p w14:paraId="4BE1ABBB">
      <w:pPr>
        <w:pStyle w:val="23"/>
        <w:rPr>
          <w:rFonts w:hint="eastAsia" w:ascii="宋体" w:hAnsi="宋体" w:eastAsia="宋体" w:cs="宋体"/>
          <w:lang w:val="zh-CN"/>
        </w:rPr>
      </w:pPr>
    </w:p>
    <w:p w14:paraId="09E8F3FD">
      <w:pPr>
        <w:pStyle w:val="23"/>
        <w:rPr>
          <w:rFonts w:hint="eastAsia" w:ascii="宋体" w:hAnsi="宋体" w:eastAsia="宋体" w:cs="宋体"/>
          <w:lang w:val="zh-CN"/>
        </w:rPr>
      </w:pPr>
    </w:p>
    <w:p w14:paraId="6B577D3E">
      <w:pPr>
        <w:pStyle w:val="23"/>
        <w:rPr>
          <w:rFonts w:hint="eastAsia" w:ascii="宋体" w:hAnsi="宋体" w:eastAsia="宋体" w:cs="宋体"/>
          <w:lang w:val="zh-CN"/>
        </w:rPr>
      </w:pPr>
    </w:p>
    <w:p w14:paraId="4CBDA8CB">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76B0D47">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9D97B33">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BC3C26">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13A3AAB0">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468A032B">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76EC16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D08AF5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73A4552">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0E4BF86E">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5B32611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E6A6D1F">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30F082A1">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7FD93B38">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6BC47572">
      <w:pPr>
        <w:spacing w:line="360" w:lineRule="auto"/>
        <w:jc w:val="center"/>
        <w:outlineLvl w:val="0"/>
        <w:rPr>
          <w:rFonts w:hint="eastAsia" w:ascii="宋体" w:hAnsi="宋体" w:eastAsia="宋体" w:cs="宋体"/>
          <w:b/>
          <w:bCs/>
          <w:color w:val="000000" w:themeColor="text1"/>
          <w:kern w:val="0"/>
          <w:sz w:val="36"/>
          <w:szCs w:val="36"/>
          <w14:textFill>
            <w14:solidFill>
              <w14:schemeClr w14:val="tx1"/>
            </w14:solidFill>
          </w14:textFill>
        </w:rPr>
      </w:pPr>
    </w:p>
    <w:p w14:paraId="2F3C1EC1">
      <w:pPr>
        <w:spacing w:line="360" w:lineRule="auto"/>
        <w:jc w:val="center"/>
        <w:outlineLvl w:val="0"/>
        <w:rPr>
          <w:rFonts w:hint="eastAsia" w:ascii="宋体" w:hAnsi="宋体" w:eastAsia="宋体" w:cs="宋体"/>
          <w:color w:val="000000" w:themeColor="text1"/>
          <w:kern w:val="0"/>
          <w:sz w:val="36"/>
          <w:szCs w:val="36"/>
          <w14:textFill>
            <w14:solidFill>
              <w14:schemeClr w14:val="tx1"/>
            </w14:solidFill>
          </w14:textFill>
        </w:rPr>
      </w:pPr>
      <w:bookmarkStart w:id="70" w:name="_Toc5799"/>
      <w:r>
        <w:rPr>
          <w:rFonts w:hint="eastAsia" w:ascii="宋体" w:hAnsi="宋体" w:eastAsia="宋体" w:cs="宋体"/>
          <w:b/>
          <w:bCs/>
          <w:color w:val="000000" w:themeColor="text1"/>
          <w:kern w:val="0"/>
          <w:sz w:val="36"/>
          <w:szCs w:val="36"/>
          <w14:textFill>
            <w14:solidFill>
              <w14:schemeClr w14:val="tx1"/>
            </w14:solidFill>
          </w14:textFill>
        </w:rPr>
        <w:t xml:space="preserve">第五章 </w:t>
      </w:r>
      <w:bookmarkStart w:id="71" w:name="_Toc25636"/>
      <w:bookmarkStart w:id="72" w:name="_Toc9837"/>
      <w:r>
        <w:rPr>
          <w:rFonts w:hint="eastAsia" w:ascii="宋体" w:hAnsi="宋体" w:eastAsia="宋体" w:cs="宋体"/>
          <w:b/>
          <w:bCs/>
          <w:color w:val="000000" w:themeColor="text1"/>
          <w:kern w:val="0"/>
          <w:sz w:val="36"/>
          <w:szCs w:val="36"/>
          <w14:textFill>
            <w14:solidFill>
              <w14:schemeClr w14:val="tx1"/>
            </w14:solidFill>
          </w14:textFill>
        </w:rPr>
        <w:t>响应文件格式</w:t>
      </w:r>
      <w:bookmarkEnd w:id="61"/>
      <w:bookmarkEnd w:id="62"/>
      <w:bookmarkEnd w:id="63"/>
      <w:bookmarkEnd w:id="70"/>
      <w:bookmarkEnd w:id="71"/>
      <w:bookmarkEnd w:id="72"/>
    </w:p>
    <w:p w14:paraId="5CDABD45">
      <w:pPr>
        <w:rPr>
          <w:b/>
          <w:bCs/>
          <w:sz w:val="28"/>
          <w:szCs w:val="24"/>
        </w:rPr>
      </w:pPr>
      <w:r>
        <w:rPr>
          <w:rFonts w:hint="eastAsia"/>
          <w:b/>
          <w:bCs/>
          <w:sz w:val="28"/>
          <w:szCs w:val="24"/>
        </w:rPr>
        <w:t>一、封面</w:t>
      </w:r>
    </w:p>
    <w:p w14:paraId="793193CD">
      <w:pPr>
        <w:pStyle w:val="13"/>
        <w:rPr>
          <w:rFonts w:hint="eastAsia" w:ascii="宋体" w:hAnsi="宋体" w:eastAsia="宋体" w:cs="宋体"/>
        </w:rPr>
      </w:pPr>
    </w:p>
    <w:p w14:paraId="0B996051">
      <w:pPr>
        <w:spacing w:line="360" w:lineRule="auto"/>
        <w:rPr>
          <w:rFonts w:hint="eastAsia" w:ascii="宋体" w:hAnsi="宋体" w:eastAsia="宋体" w:cs="宋体"/>
          <w:b/>
          <w:color w:val="000000" w:themeColor="text1"/>
          <w:sz w:val="36"/>
          <w:szCs w:val="36"/>
          <w14:textFill>
            <w14:solidFill>
              <w14:schemeClr w14:val="tx1"/>
            </w14:solidFill>
          </w14:textFill>
        </w:rPr>
      </w:pPr>
      <w:r>
        <w:rPr>
          <w:rFonts w:hint="eastAsia" w:ascii="宋体" w:hAnsi="宋体" w:eastAsia="宋体" w:cs="宋体"/>
          <w:b/>
          <w:color w:val="000000" w:themeColor="text1"/>
          <w:sz w:val="36"/>
          <w:szCs w:val="36"/>
          <w14:textFill>
            <w14:solidFill>
              <w14:schemeClr w14:val="tx1"/>
            </w14:solidFill>
          </w14:textFill>
        </w:rPr>
        <w:t xml:space="preserve">                                 </w:t>
      </w:r>
      <w:r>
        <w:rPr>
          <w:rFonts w:hint="eastAsia" w:ascii="宋体" w:hAnsi="宋体" w:eastAsia="宋体" w:cs="宋体"/>
          <w:b/>
          <w:color w:val="000000" w:themeColor="text1"/>
          <w:sz w:val="36"/>
          <w:szCs w:val="36"/>
          <w:bdr w:val="single" w:color="auto" w:sz="4" w:space="0"/>
          <w:shd w:val="pct10" w:color="auto" w:fill="FFFFFF"/>
          <w14:textFill>
            <w14:solidFill>
              <w14:schemeClr w14:val="tx1"/>
            </w14:solidFill>
          </w14:textFill>
        </w:rPr>
        <w:t>政府采购项目</w:t>
      </w:r>
    </w:p>
    <w:p w14:paraId="1F615DC4">
      <w:pPr>
        <w:spacing w:line="360" w:lineRule="auto"/>
        <w:rPr>
          <w:rFonts w:hint="eastAsia"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eastAsia="宋体" w:cs="宋体"/>
          <w:b/>
          <w:bCs/>
          <w:kern w:val="2"/>
          <w:sz w:val="32"/>
          <w:szCs w:val="22"/>
          <w:lang w:val="en-US" w:eastAsia="zh-CN" w:bidi="ar-SA"/>
        </w:rPr>
        <w:t>项目编号:</w:t>
      </w:r>
      <w:r>
        <w:rPr>
          <w:rFonts w:hint="eastAsia" w:ascii="宋体" w:hAnsi="宋体" w:eastAsia="宋体" w:cs="宋体"/>
          <w:b/>
          <w:color w:val="000000" w:themeColor="text1"/>
          <w:sz w:val="28"/>
          <w:szCs w:val="28"/>
          <w:u w:val="single"/>
          <w:lang w:val="en-US" w:eastAsia="zh-CN"/>
          <w14:textFill>
            <w14:solidFill>
              <w14:schemeClr w14:val="tx1"/>
            </w14:solidFill>
          </w14:textFill>
        </w:rPr>
        <w:t xml:space="preserve">             </w:t>
      </w:r>
    </w:p>
    <w:p w14:paraId="483316D9">
      <w:pPr>
        <w:pStyle w:val="13"/>
        <w:spacing w:line="360" w:lineRule="auto"/>
        <w:rPr>
          <w:rFonts w:hint="eastAsia" w:ascii="宋体" w:hAnsi="宋体" w:eastAsia="宋体" w:cs="宋体"/>
          <w:color w:val="000000" w:themeColor="text1"/>
          <w14:textFill>
            <w14:solidFill>
              <w14:schemeClr w14:val="tx1"/>
            </w14:solidFill>
          </w14:textFill>
        </w:rPr>
      </w:pPr>
    </w:p>
    <w:p w14:paraId="7AAB2486">
      <w:pPr>
        <w:spacing w:line="600" w:lineRule="exact"/>
        <w:jc w:val="center"/>
        <w:rPr>
          <w:rFonts w:hint="eastAsia" w:ascii="宋体" w:hAnsi="宋体" w:eastAsia="宋体" w:cs="宋体"/>
          <w:b/>
          <w:bCs/>
          <w:kern w:val="2"/>
          <w:sz w:val="44"/>
          <w:szCs w:val="32"/>
          <w:lang w:val="en-US" w:eastAsia="zh-CN" w:bidi="ar-SA"/>
        </w:rPr>
      </w:pPr>
    </w:p>
    <w:p w14:paraId="19B3007D">
      <w:pPr>
        <w:pStyle w:val="35"/>
        <w:ind w:firstLine="280"/>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
          <w:bCs/>
          <w:kern w:val="2"/>
          <w:sz w:val="44"/>
          <w:szCs w:val="32"/>
          <w:lang w:val="en-US" w:eastAsia="zh-CN" w:bidi="ar-SA"/>
        </w:rPr>
        <w:t>千河千阳县柿沟村段水毁修复工程</w:t>
      </w:r>
    </w:p>
    <w:p w14:paraId="3E1A851C">
      <w:pPr>
        <w:pStyle w:val="36"/>
        <w:ind w:firstLine="640"/>
        <w:rPr>
          <w:rFonts w:hint="eastAsia" w:ascii="宋体" w:hAnsi="宋体" w:eastAsia="宋体" w:cs="宋体"/>
          <w:color w:val="000000" w:themeColor="text1"/>
          <w14:textFill>
            <w14:solidFill>
              <w14:schemeClr w14:val="tx1"/>
            </w14:solidFill>
          </w14:textFill>
        </w:rPr>
      </w:pPr>
    </w:p>
    <w:p w14:paraId="52861835">
      <w:pPr>
        <w:pStyle w:val="36"/>
        <w:ind w:firstLine="640"/>
        <w:rPr>
          <w:rFonts w:hint="eastAsia" w:ascii="宋体" w:hAnsi="宋体" w:eastAsia="宋体" w:cs="宋体"/>
          <w:color w:val="000000" w:themeColor="text1"/>
          <w14:textFill>
            <w14:solidFill>
              <w14:schemeClr w14:val="tx1"/>
            </w14:solidFill>
          </w14:textFill>
        </w:rPr>
      </w:pPr>
    </w:p>
    <w:p w14:paraId="540AF8C5">
      <w:pPr>
        <w:pStyle w:val="13"/>
        <w:rPr>
          <w:rFonts w:hint="eastAsia"/>
        </w:rPr>
      </w:pPr>
    </w:p>
    <w:p w14:paraId="671580D9">
      <w:pPr>
        <w:pStyle w:val="36"/>
        <w:ind w:firstLine="640"/>
        <w:rPr>
          <w:rFonts w:hint="eastAsia" w:ascii="宋体" w:hAnsi="宋体" w:eastAsia="宋体" w:cs="宋体"/>
          <w:color w:val="000000" w:themeColor="text1"/>
          <w14:textFill>
            <w14:solidFill>
              <w14:schemeClr w14:val="tx1"/>
            </w14:solidFill>
          </w14:textFill>
        </w:rPr>
      </w:pPr>
    </w:p>
    <w:p w14:paraId="69AD27BB">
      <w:pPr>
        <w:spacing w:before="156" w:beforeLines="50" w:line="360" w:lineRule="auto"/>
        <w:ind w:right="-998" w:rightChars="-416" w:firstLine="1807" w:firstLineChars="300"/>
        <w:rPr>
          <w:rFonts w:hint="eastAsia" w:ascii="宋体" w:hAnsi="宋体" w:eastAsia="宋体" w:cs="宋体"/>
          <w:b/>
          <w:bCs/>
          <w:color w:val="000000" w:themeColor="text1"/>
          <w:spacing w:val="20"/>
          <w:kern w:val="0"/>
          <w:sz w:val="56"/>
          <w:szCs w:val="56"/>
          <w14:textFill>
            <w14:solidFill>
              <w14:schemeClr w14:val="tx1"/>
            </w14:solidFill>
          </w14:textFill>
        </w:rPr>
      </w:pPr>
      <w:r>
        <w:rPr>
          <w:rFonts w:hint="eastAsia" w:ascii="宋体" w:hAnsi="宋体" w:eastAsia="宋体" w:cs="宋体"/>
          <w:b/>
          <w:bCs/>
          <w:color w:val="000000" w:themeColor="text1"/>
          <w:spacing w:val="20"/>
          <w:kern w:val="0"/>
          <w:sz w:val="56"/>
          <w:szCs w:val="56"/>
          <w14:textFill>
            <w14:solidFill>
              <w14:schemeClr w14:val="tx1"/>
            </w14:solidFill>
          </w14:textFill>
        </w:rPr>
        <w:t>竞争性磋商响应文件</w:t>
      </w:r>
    </w:p>
    <w:p w14:paraId="1E21113E">
      <w:pPr>
        <w:pStyle w:val="36"/>
        <w:ind w:firstLine="640"/>
        <w:rPr>
          <w:rFonts w:hint="eastAsia" w:ascii="宋体" w:hAnsi="宋体" w:eastAsia="宋体" w:cs="宋体"/>
          <w:color w:val="000000" w:themeColor="text1"/>
          <w14:textFill>
            <w14:solidFill>
              <w14:schemeClr w14:val="tx1"/>
            </w14:solidFill>
          </w14:textFill>
        </w:rPr>
      </w:pPr>
    </w:p>
    <w:p w14:paraId="7D8F3ABF">
      <w:pPr>
        <w:spacing w:line="480" w:lineRule="auto"/>
        <w:ind w:firstLine="1188" w:firstLineChars="400"/>
        <w:rPr>
          <w:rFonts w:hint="eastAsia" w:ascii="宋体" w:hAnsi="宋体" w:eastAsia="宋体" w:cs="宋体"/>
          <w:b/>
          <w:color w:val="000000" w:themeColor="text1"/>
          <w:spacing w:val="8"/>
          <w:sz w:val="28"/>
          <w:szCs w:val="28"/>
          <w14:textFill>
            <w14:solidFill>
              <w14:schemeClr w14:val="tx1"/>
            </w14:solidFill>
          </w14:textFill>
        </w:rPr>
      </w:pPr>
    </w:p>
    <w:p w14:paraId="42A12E11">
      <w:pPr>
        <w:pStyle w:val="5"/>
        <w:numPr>
          <w:ilvl w:val="3"/>
          <w:numId w:val="0"/>
        </w:numPr>
        <w:rPr>
          <w:rFonts w:hint="eastAsia" w:ascii="宋体" w:hAnsi="宋体" w:eastAsia="宋体" w:cs="宋体"/>
        </w:rPr>
      </w:pPr>
    </w:p>
    <w:p w14:paraId="2690A242">
      <w:pPr>
        <w:rPr>
          <w:rFonts w:hint="eastAsia"/>
        </w:rPr>
      </w:pPr>
    </w:p>
    <w:p w14:paraId="3EFACF56">
      <w:pPr>
        <w:numPr>
          <w:ilvl w:val="3"/>
          <w:numId w:val="0"/>
        </w:numPr>
        <w:rPr>
          <w:rFonts w:hint="eastAsia" w:ascii="宋体" w:hAnsi="宋体" w:eastAsia="宋体" w:cs="宋体"/>
        </w:rPr>
      </w:pPr>
    </w:p>
    <w:p w14:paraId="371EC2A5">
      <w:pPr>
        <w:rPr>
          <w:rFonts w:hint="eastAsia" w:ascii="宋体" w:hAnsi="宋体" w:eastAsia="宋体" w:cs="宋体"/>
        </w:rPr>
      </w:pPr>
    </w:p>
    <w:p w14:paraId="365C2B84">
      <w:pPr>
        <w:numPr>
          <w:ilvl w:val="3"/>
          <w:numId w:val="0"/>
        </w:numPr>
        <w:rPr>
          <w:rFonts w:hint="eastAsia" w:ascii="宋体" w:hAnsi="宋体" w:eastAsia="宋体" w:cs="宋体"/>
        </w:rPr>
      </w:pPr>
    </w:p>
    <w:p w14:paraId="449F13B5">
      <w:pPr>
        <w:spacing w:line="480" w:lineRule="auto"/>
        <w:ind w:firstLine="1783" w:firstLineChars="600"/>
        <w:rPr>
          <w:rFonts w:hint="eastAsia" w:ascii="宋体" w:hAnsi="宋体" w:eastAsia="宋体" w:cs="宋体"/>
          <w:b/>
          <w:color w:val="000000" w:themeColor="text1"/>
          <w:spacing w:val="8"/>
          <w:sz w:val="28"/>
          <w:szCs w:val="28"/>
          <w14:textFill>
            <w14:solidFill>
              <w14:schemeClr w14:val="tx1"/>
            </w14:solidFill>
          </w14:textFill>
        </w:rPr>
      </w:pPr>
      <w:r>
        <w:rPr>
          <w:rFonts w:hint="eastAsia" w:ascii="宋体" w:hAnsi="宋体" w:eastAsia="宋体" w:cs="宋体"/>
          <w:b/>
          <w:color w:val="000000" w:themeColor="text1"/>
          <w:spacing w:val="8"/>
          <w:sz w:val="28"/>
          <w:szCs w:val="28"/>
          <w14:textFill>
            <w14:solidFill>
              <w14:schemeClr w14:val="tx1"/>
            </w14:solidFill>
          </w14:textFill>
        </w:rPr>
        <w:t>供应商（公章）：</w:t>
      </w:r>
      <w:r>
        <w:rPr>
          <w:rFonts w:hint="eastAsia" w:ascii="宋体" w:hAnsi="宋体" w:eastAsia="宋体" w:cs="宋体"/>
          <w:b/>
          <w:color w:val="000000" w:themeColor="text1"/>
          <w:spacing w:val="8"/>
          <w:sz w:val="28"/>
          <w:szCs w:val="28"/>
          <w:u w:val="single"/>
          <w14:textFill>
            <w14:solidFill>
              <w14:schemeClr w14:val="tx1"/>
            </w14:solidFill>
          </w14:textFill>
        </w:rPr>
        <w:t xml:space="preserve">                    </w:t>
      </w:r>
      <w:r>
        <w:rPr>
          <w:rFonts w:hint="eastAsia" w:ascii="宋体" w:hAnsi="宋体" w:eastAsia="宋体" w:cs="宋体"/>
          <w:b/>
          <w:color w:val="000000" w:themeColor="text1"/>
          <w:spacing w:val="8"/>
          <w:sz w:val="28"/>
          <w:szCs w:val="28"/>
          <w14:textFill>
            <w14:solidFill>
              <w14:schemeClr w14:val="tx1"/>
            </w14:solidFill>
          </w14:textFill>
        </w:rPr>
        <w:t xml:space="preserve"> </w:t>
      </w:r>
    </w:p>
    <w:p w14:paraId="555516F9">
      <w:pPr>
        <w:spacing w:line="480" w:lineRule="auto"/>
        <w:ind w:firstLine="1687" w:firstLineChars="600"/>
        <w:rPr>
          <w:rFonts w:hint="eastAsia" w:ascii="宋体" w:hAnsi="宋体" w:eastAsia="宋体" w:cs="宋体"/>
          <w:b/>
          <w:color w:val="000000" w:themeColor="text1"/>
          <w:sz w:val="28"/>
          <w:szCs w:val="28"/>
          <w:u w:val="single"/>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时           间：</w:t>
      </w:r>
      <w:r>
        <w:rPr>
          <w:rFonts w:hint="eastAsia" w:ascii="宋体" w:hAnsi="宋体" w:eastAsia="宋体" w:cs="宋体"/>
          <w:b/>
          <w:color w:val="000000" w:themeColor="text1"/>
          <w:sz w:val="28"/>
          <w:szCs w:val="28"/>
          <w:u w:val="single"/>
          <w14:textFill>
            <w14:solidFill>
              <w14:schemeClr w14:val="tx1"/>
            </w14:solidFill>
          </w14:textFill>
        </w:rPr>
        <w:t xml:space="preserve">                       </w:t>
      </w:r>
      <w:bookmarkStart w:id="73" w:name="_Toc173549978"/>
      <w:bookmarkStart w:id="74" w:name="_Toc170980552"/>
      <w:bookmarkStart w:id="75" w:name="_Toc193126881"/>
      <w:bookmarkStart w:id="76" w:name="_Toc167849360"/>
      <w:bookmarkStart w:id="77" w:name="_Toc169846776"/>
      <w:bookmarkStart w:id="78" w:name="_Toc167591330"/>
      <w:bookmarkStart w:id="79" w:name="_Toc194663918"/>
      <w:bookmarkStart w:id="80" w:name="_Toc175032437"/>
      <w:bookmarkStart w:id="81" w:name="_Toc170980453"/>
      <w:bookmarkStart w:id="82" w:name="_Toc167591492"/>
      <w:bookmarkStart w:id="83" w:name="_Toc188808833"/>
      <w:bookmarkStart w:id="84" w:name="_Toc193187097"/>
      <w:bookmarkStart w:id="85" w:name="_Toc167591144"/>
      <w:bookmarkStart w:id="86" w:name="_Toc167590775"/>
      <w:bookmarkStart w:id="87" w:name="_Toc169846873"/>
      <w:bookmarkStart w:id="88" w:name="_Toc154482479"/>
      <w:bookmarkStart w:id="89" w:name="_Toc167591043"/>
      <w:bookmarkStart w:id="90" w:name="_Toc175033592"/>
      <w:bookmarkStart w:id="91" w:name="_Toc169838532"/>
    </w:p>
    <w:p w14:paraId="4142BDEA">
      <w:pPr>
        <w:pStyle w:val="13"/>
        <w:rPr>
          <w:rFonts w:hint="eastAsia" w:ascii="宋体" w:hAnsi="宋体" w:eastAsia="宋体" w:cs="宋体"/>
          <w:b/>
          <w:color w:val="000000" w:themeColor="text1"/>
          <w:sz w:val="28"/>
          <w:szCs w:val="28"/>
          <w:u w:val="single"/>
          <w14:textFill>
            <w14:solidFill>
              <w14:schemeClr w14:val="tx1"/>
            </w14:solidFill>
          </w14:textFill>
        </w:rPr>
      </w:pPr>
    </w:p>
    <w:p w14:paraId="2D73E6B2">
      <w:pPr>
        <w:numPr>
          <w:ilvl w:val="0"/>
          <w:numId w:val="0"/>
        </w:numPr>
        <w:rPr>
          <w:rFonts w:hint="eastAsia" w:ascii="宋体" w:hAnsi="宋体" w:eastAsia="宋体" w:cs="宋体"/>
          <w:bCs/>
          <w:color w:val="000000" w:themeColor="text1"/>
          <w:kern w:val="0"/>
          <w:sz w:val="24"/>
          <w:szCs w:val="21"/>
          <w:lang w:val="en-US" w:eastAsia="zh-CN" w:bidi="ar-SA"/>
          <w14:textFill>
            <w14:solidFill>
              <w14:schemeClr w14:val="tx1"/>
            </w14:solidFill>
          </w14:textFill>
        </w:rPr>
      </w:pPr>
    </w:p>
    <w:p w14:paraId="39C6DFF3">
      <w:pPr>
        <w:numPr>
          <w:ilvl w:val="0"/>
          <w:numId w:val="0"/>
        </w:numP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pPr>
    </w:p>
    <w:p w14:paraId="0E0E54DE">
      <w:pPr>
        <w:numPr>
          <w:ilvl w:val="0"/>
          <w:numId w:val="0"/>
        </w:numPr>
        <w:rPr>
          <w:rFonts w:hint="eastAsia" w:ascii="宋体" w:hAnsi="宋体" w:eastAsia="宋体" w:cs="宋体"/>
          <w:color w:val="auto"/>
          <w:sz w:val="24"/>
          <w:szCs w:val="24"/>
          <w:lang w:val="en-US" w:eastAsia="zh-CN"/>
        </w:rPr>
      </w:pPr>
      <w:r>
        <w:rPr>
          <w:rFonts w:hint="eastAsia" w:asciiTheme="minorEastAsia" w:hAnsiTheme="minorEastAsia" w:eastAsiaTheme="minorEastAsia" w:cstheme="minorEastAsia"/>
          <w:bCs/>
          <w:color w:val="000000" w:themeColor="text1"/>
          <w:kern w:val="0"/>
          <w:sz w:val="24"/>
          <w:szCs w:val="21"/>
          <w:lang w:val="en-US" w:eastAsia="zh-CN" w:bidi="ar-SA"/>
          <w14:textFill>
            <w14:solidFill>
              <w14:schemeClr w14:val="tx1"/>
            </w14:solidFill>
          </w14:textFill>
        </w:rPr>
        <w:t>二、</w:t>
      </w:r>
      <w:r>
        <w:rPr>
          <w:rFonts w:hint="eastAsia"/>
          <w:b/>
          <w:bCs/>
          <w:sz w:val="28"/>
          <w:szCs w:val="24"/>
        </w:rPr>
        <w:t>资格证明文件</w:t>
      </w:r>
      <w:r>
        <w:rPr>
          <w:rFonts w:hint="eastAsia" w:ascii="宋体" w:hAnsi="宋体" w:eastAsia="宋体" w:cs="宋体"/>
          <w:b/>
          <w:bCs/>
          <w:color w:val="000000"/>
          <w:kern w:val="0"/>
          <w:sz w:val="24"/>
          <w:szCs w:val="24"/>
          <w:lang w:val="en-US" w:eastAsia="zh-CN" w:bidi="ar"/>
        </w:rPr>
        <w:t xml:space="preserve"> </w:t>
      </w:r>
    </w:p>
    <w:p w14:paraId="15C8ADDB">
      <w:pPr>
        <w:numPr>
          <w:ilvl w:val="0"/>
          <w:numId w:val="0"/>
        </w:num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1、</w:t>
      </w:r>
      <w:r>
        <w:rPr>
          <w:rFonts w:hint="eastAsia" w:ascii="宋体" w:hAnsi="宋体" w:eastAsia="宋体" w:cs="宋体"/>
          <w:bCs/>
          <w:color w:val="000000" w:themeColor="text1"/>
          <w:kern w:val="0"/>
          <w:szCs w:val="21"/>
          <w14:textFill>
            <w14:solidFill>
              <w14:schemeClr w14:val="tx1"/>
            </w14:solidFill>
          </w14:textFill>
        </w:rPr>
        <w:t>营业执照等主体资格证明文件</w:t>
      </w:r>
    </w:p>
    <w:p w14:paraId="2F9851CB">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2、</w:t>
      </w:r>
      <w:r>
        <w:rPr>
          <w:rFonts w:hint="eastAsia" w:ascii="宋体" w:hAnsi="宋体" w:eastAsia="宋体" w:cs="宋体"/>
          <w:bCs/>
          <w:color w:val="000000" w:themeColor="text1"/>
          <w:kern w:val="0"/>
          <w:szCs w:val="21"/>
          <w14:textFill>
            <w14:solidFill>
              <w14:schemeClr w14:val="tx1"/>
            </w14:solidFill>
          </w14:textFill>
        </w:rPr>
        <w:t>企业资质</w:t>
      </w:r>
    </w:p>
    <w:p w14:paraId="21B00081">
      <w:pPr>
        <w:spacing w:line="500" w:lineRule="exact"/>
        <w:ind w:firstLine="480" w:firstLineChars="200"/>
        <w:rPr>
          <w:rFonts w:hint="eastAsia" w:ascii="宋体" w:hAnsi="宋体" w:eastAsia="宋体" w:cs="宋体"/>
        </w:rPr>
      </w:pPr>
      <w:r>
        <w:rPr>
          <w:rFonts w:hint="eastAsia" w:ascii="宋体" w:hAnsi="宋体" w:eastAsia="宋体" w:cs="宋体"/>
          <w:bCs/>
          <w:color w:val="000000" w:themeColor="text1"/>
          <w:kern w:val="0"/>
          <w:szCs w:val="21"/>
          <w:lang w:val="en-US" w:eastAsia="zh-CN"/>
          <w14:textFill>
            <w14:solidFill>
              <w14:schemeClr w14:val="tx1"/>
            </w14:solidFill>
          </w14:textFill>
        </w:rPr>
        <w:t>3、</w:t>
      </w:r>
      <w:r>
        <w:rPr>
          <w:rFonts w:hint="eastAsia" w:ascii="宋体" w:hAnsi="宋体" w:eastAsia="宋体" w:cs="宋体"/>
          <w:bCs/>
          <w:color w:val="000000" w:themeColor="text1"/>
          <w:kern w:val="0"/>
          <w:szCs w:val="21"/>
          <w14:textFill>
            <w14:solidFill>
              <w14:schemeClr w14:val="tx1"/>
            </w14:solidFill>
          </w14:textFill>
        </w:rPr>
        <w:t>项目负责人</w:t>
      </w:r>
    </w:p>
    <w:p w14:paraId="670697E8">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4、</w:t>
      </w:r>
      <w:r>
        <w:rPr>
          <w:rFonts w:hint="eastAsia" w:ascii="宋体" w:hAnsi="宋体" w:eastAsia="宋体" w:cs="宋体"/>
          <w:bCs/>
          <w:color w:val="000000" w:themeColor="text1"/>
          <w:kern w:val="0"/>
          <w:szCs w:val="21"/>
          <w14:textFill>
            <w14:solidFill>
              <w14:schemeClr w14:val="tx1"/>
            </w14:solidFill>
          </w14:textFill>
        </w:rPr>
        <w:t>财务状况报告</w:t>
      </w:r>
    </w:p>
    <w:p w14:paraId="1EE4089B">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5、</w:t>
      </w:r>
      <w:r>
        <w:rPr>
          <w:rFonts w:hint="eastAsia" w:ascii="宋体" w:hAnsi="宋体" w:eastAsia="宋体" w:cs="宋体"/>
          <w:bCs/>
          <w:color w:val="000000" w:themeColor="text1"/>
          <w:kern w:val="0"/>
          <w:szCs w:val="21"/>
          <w14:textFill>
            <w14:solidFill>
              <w14:schemeClr w14:val="tx1"/>
            </w14:solidFill>
          </w14:textFill>
        </w:rPr>
        <w:t>社保缴纳证明</w:t>
      </w:r>
    </w:p>
    <w:p w14:paraId="3CFDC941">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6、</w:t>
      </w:r>
      <w:r>
        <w:rPr>
          <w:rFonts w:hint="eastAsia" w:ascii="宋体" w:hAnsi="宋体" w:eastAsia="宋体" w:cs="宋体"/>
          <w:bCs/>
          <w:color w:val="000000" w:themeColor="text1"/>
          <w:kern w:val="0"/>
          <w:szCs w:val="21"/>
          <w14:textFill>
            <w14:solidFill>
              <w14:schemeClr w14:val="tx1"/>
            </w14:solidFill>
          </w14:textFill>
        </w:rPr>
        <w:t>税收缴纳证明</w:t>
      </w:r>
    </w:p>
    <w:p w14:paraId="5254621F">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7、</w:t>
      </w:r>
      <w:r>
        <w:rPr>
          <w:rFonts w:hint="eastAsia" w:ascii="宋体" w:hAnsi="宋体" w:eastAsia="宋体" w:cs="宋体"/>
          <w:bCs/>
          <w:color w:val="000000" w:themeColor="text1"/>
          <w:kern w:val="0"/>
          <w:szCs w:val="21"/>
          <w14:textFill>
            <w14:solidFill>
              <w14:schemeClr w14:val="tx1"/>
            </w14:solidFill>
          </w14:textFill>
        </w:rPr>
        <w:t>信用记录</w:t>
      </w:r>
    </w:p>
    <w:p w14:paraId="294E20F7">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8、</w:t>
      </w:r>
      <w:r>
        <w:rPr>
          <w:rFonts w:hint="eastAsia" w:ascii="宋体" w:hAnsi="宋体" w:eastAsia="宋体" w:cs="宋体"/>
          <w:bCs/>
          <w:color w:val="000000" w:themeColor="text1"/>
          <w:kern w:val="0"/>
          <w:szCs w:val="21"/>
          <w14:textFill>
            <w14:solidFill>
              <w14:schemeClr w14:val="tx1"/>
            </w14:solidFill>
          </w14:textFill>
        </w:rPr>
        <w:t>控股管理关系</w:t>
      </w:r>
    </w:p>
    <w:p w14:paraId="3F16AD10">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9、</w:t>
      </w:r>
      <w:r>
        <w:rPr>
          <w:rFonts w:hint="eastAsia" w:ascii="宋体" w:hAnsi="宋体" w:eastAsia="宋体" w:cs="宋体"/>
          <w:bCs/>
          <w:color w:val="000000" w:themeColor="text1"/>
          <w:kern w:val="0"/>
          <w:szCs w:val="21"/>
          <w14:textFill>
            <w14:solidFill>
              <w14:schemeClr w14:val="tx1"/>
            </w14:solidFill>
          </w14:textFill>
        </w:rPr>
        <w:t>书面声明</w:t>
      </w:r>
    </w:p>
    <w:p w14:paraId="0F1CDCEA">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lang w:val="en-US" w:eastAsia="zh-CN"/>
          <w14:textFill>
            <w14:solidFill>
              <w14:schemeClr w14:val="tx1"/>
            </w14:solidFill>
          </w14:textFill>
        </w:rPr>
        <w:t>10、</w:t>
      </w:r>
      <w:r>
        <w:rPr>
          <w:rFonts w:hint="eastAsia" w:ascii="宋体" w:hAnsi="宋体" w:eastAsia="宋体" w:cs="宋体"/>
          <w:bCs/>
          <w:color w:val="000000" w:themeColor="text1"/>
          <w:kern w:val="0"/>
          <w:szCs w:val="21"/>
          <w14:textFill>
            <w14:solidFill>
              <w14:schemeClr w14:val="tx1"/>
            </w14:solidFill>
          </w14:textFill>
        </w:rPr>
        <w:t>法定代表人授权委托书</w:t>
      </w:r>
    </w:p>
    <w:p w14:paraId="605048FC">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14:textFill>
            <w14:solidFill>
              <w14:schemeClr w14:val="tx1"/>
            </w14:solidFill>
          </w14:textFill>
        </w:rPr>
        <w:t>11</w:t>
      </w:r>
      <w:r>
        <w:rPr>
          <w:rFonts w:hint="eastAsia" w:ascii="宋体" w:hAnsi="宋体" w:eastAsia="宋体" w:cs="宋体"/>
          <w:bCs/>
          <w:color w:val="000000" w:themeColor="text1"/>
          <w:kern w:val="0"/>
          <w:szCs w:val="21"/>
          <w:lang w:eastAsia="zh-CN"/>
          <w14:textFill>
            <w14:solidFill>
              <w14:schemeClr w14:val="tx1"/>
            </w14:solidFill>
          </w14:textFill>
        </w:rPr>
        <w:t>、</w:t>
      </w:r>
      <w:r>
        <w:rPr>
          <w:rFonts w:hint="eastAsia" w:ascii="宋体" w:hAnsi="宋体" w:eastAsia="宋体" w:cs="宋体"/>
          <w:bCs/>
          <w:color w:val="000000" w:themeColor="text1"/>
          <w:kern w:val="0"/>
          <w:szCs w:val="21"/>
          <w14:textFill>
            <w14:solidFill>
              <w14:schemeClr w14:val="tx1"/>
            </w14:solidFill>
          </w14:textFill>
        </w:rPr>
        <w:t>履行合同所必须的证明资料</w:t>
      </w:r>
    </w:p>
    <w:p w14:paraId="2EFC09D9">
      <w:pPr>
        <w:spacing w:line="500" w:lineRule="exact"/>
        <w:ind w:firstLine="480" w:firstLineChars="200"/>
        <w:rPr>
          <w:rFonts w:hint="eastAsia" w:ascii="宋体" w:hAnsi="宋体" w:eastAsia="宋体" w:cs="宋体"/>
          <w:bCs/>
          <w:color w:val="000000" w:themeColor="text1"/>
          <w:kern w:val="0"/>
          <w:szCs w:val="21"/>
          <w14:textFill>
            <w14:solidFill>
              <w14:schemeClr w14:val="tx1"/>
            </w14:solidFill>
          </w14:textFill>
        </w:rPr>
      </w:pPr>
      <w:r>
        <w:rPr>
          <w:rFonts w:hint="eastAsia" w:ascii="宋体" w:hAnsi="宋体" w:eastAsia="宋体" w:cs="宋体"/>
          <w:bCs/>
          <w:color w:val="000000" w:themeColor="text1"/>
          <w:kern w:val="0"/>
          <w:szCs w:val="21"/>
          <w14:textFill>
            <w14:solidFill>
              <w14:schemeClr w14:val="tx1"/>
            </w14:solidFill>
          </w14:textFill>
        </w:rPr>
        <w:t>12</w:t>
      </w:r>
      <w:r>
        <w:rPr>
          <w:rFonts w:hint="eastAsia" w:ascii="宋体" w:hAnsi="宋体" w:eastAsia="宋体" w:cs="宋体"/>
          <w:bCs/>
          <w:color w:val="000000" w:themeColor="text1"/>
          <w:kern w:val="0"/>
          <w:szCs w:val="21"/>
          <w:lang w:eastAsia="zh-CN"/>
          <w14:textFill>
            <w14:solidFill>
              <w14:schemeClr w14:val="tx1"/>
            </w14:solidFill>
          </w14:textFill>
        </w:rPr>
        <w:t>、</w:t>
      </w:r>
      <w:r>
        <w:rPr>
          <w:rFonts w:hint="eastAsia" w:ascii="宋体" w:hAnsi="宋体" w:eastAsia="宋体" w:cs="宋体"/>
          <w:bCs/>
          <w:color w:val="000000" w:themeColor="text1"/>
          <w:kern w:val="0"/>
          <w:szCs w:val="21"/>
          <w14:textFill>
            <w14:solidFill>
              <w14:schemeClr w14:val="tx1"/>
            </w14:solidFill>
          </w14:textFill>
        </w:rPr>
        <w:t>专门面向中小企业声明函</w:t>
      </w:r>
    </w:p>
    <w:p w14:paraId="6091B998">
      <w:pPr>
        <w:numPr>
          <w:ilvl w:val="0"/>
          <w:numId w:val="0"/>
        </w:numPr>
        <w:rPr>
          <w:rFonts w:hint="eastAsia" w:ascii="宋体" w:hAnsi="宋体" w:eastAsia="宋体" w:cs="宋体"/>
          <w:b/>
          <w:bCs/>
          <w:color w:val="000000"/>
          <w:kern w:val="0"/>
          <w:sz w:val="24"/>
          <w:szCs w:val="24"/>
          <w:lang w:val="en-US" w:eastAsia="zh-CN" w:bidi="ar"/>
        </w:rPr>
      </w:pPr>
    </w:p>
    <w:p w14:paraId="4179847E">
      <w:pPr>
        <w:numPr>
          <w:ilvl w:val="0"/>
          <w:numId w:val="0"/>
        </w:numPr>
        <w:rPr>
          <w:rFonts w:hint="eastAsia" w:ascii="宋体" w:hAnsi="宋体" w:eastAsia="宋体" w:cs="宋体"/>
          <w:b/>
          <w:bCs/>
          <w:color w:val="000000"/>
          <w:kern w:val="0"/>
          <w:sz w:val="24"/>
          <w:szCs w:val="24"/>
          <w:lang w:val="en-US" w:eastAsia="zh-CN" w:bidi="ar"/>
        </w:rPr>
      </w:pPr>
    </w:p>
    <w:p w14:paraId="7CACD187">
      <w:pPr>
        <w:numPr>
          <w:ilvl w:val="0"/>
          <w:numId w:val="0"/>
        </w:numPr>
        <w:rPr>
          <w:rFonts w:hint="eastAsia" w:ascii="宋体" w:hAnsi="宋体" w:eastAsia="宋体" w:cs="宋体"/>
          <w:b/>
          <w:bCs/>
          <w:color w:val="000000"/>
          <w:kern w:val="0"/>
          <w:sz w:val="24"/>
          <w:szCs w:val="24"/>
          <w:lang w:val="en-US" w:eastAsia="zh-CN" w:bidi="ar"/>
        </w:rPr>
      </w:pPr>
    </w:p>
    <w:p w14:paraId="1FCEA8BF">
      <w:pPr>
        <w:numPr>
          <w:ilvl w:val="0"/>
          <w:numId w:val="0"/>
        </w:numPr>
        <w:rPr>
          <w:rFonts w:hint="eastAsia" w:ascii="宋体" w:hAnsi="宋体" w:eastAsia="宋体" w:cs="宋体"/>
          <w:b/>
          <w:bCs/>
          <w:color w:val="000000"/>
          <w:kern w:val="0"/>
          <w:sz w:val="24"/>
          <w:szCs w:val="24"/>
          <w:lang w:val="en-US" w:eastAsia="zh-CN" w:bidi="ar"/>
        </w:rPr>
      </w:pPr>
    </w:p>
    <w:p w14:paraId="04F5703A">
      <w:pPr>
        <w:numPr>
          <w:ilvl w:val="0"/>
          <w:numId w:val="0"/>
        </w:numPr>
        <w:rPr>
          <w:rFonts w:hint="eastAsia" w:ascii="宋体" w:hAnsi="宋体" w:eastAsia="宋体" w:cs="宋体"/>
          <w:b/>
          <w:bCs/>
          <w:color w:val="000000"/>
          <w:kern w:val="0"/>
          <w:sz w:val="24"/>
          <w:szCs w:val="24"/>
          <w:lang w:val="en-US" w:eastAsia="zh-CN" w:bidi="ar"/>
        </w:rPr>
      </w:pPr>
    </w:p>
    <w:p w14:paraId="41E5AD4C">
      <w:pPr>
        <w:numPr>
          <w:ilvl w:val="0"/>
          <w:numId w:val="0"/>
        </w:numPr>
        <w:rPr>
          <w:rFonts w:hint="eastAsia" w:ascii="宋体" w:hAnsi="宋体" w:eastAsia="宋体" w:cs="宋体"/>
          <w:bCs/>
          <w:color w:val="000000" w:themeColor="text1"/>
          <w:kern w:val="0"/>
          <w:sz w:val="24"/>
          <w:szCs w:val="21"/>
          <w:lang w:val="en-US" w:eastAsia="zh-CN" w:bidi="ar-SA"/>
          <w14:textFill>
            <w14:solidFill>
              <w14:schemeClr w14:val="tx1"/>
            </w14:solidFill>
          </w14:textFill>
        </w:rPr>
      </w:pPr>
    </w:p>
    <w:p w14:paraId="5A7D1E26">
      <w:pPr>
        <w:numPr>
          <w:ilvl w:val="0"/>
          <w:numId w:val="0"/>
        </w:numPr>
        <w:jc w:val="center"/>
        <w:rPr>
          <w:rFonts w:hint="eastAsia" w:ascii="宋体" w:hAnsi="宋体" w:eastAsia="宋体" w:cs="宋体"/>
          <w:b/>
          <w:bCs/>
          <w:color w:val="auto"/>
          <w:sz w:val="28"/>
          <w:szCs w:val="24"/>
        </w:rPr>
      </w:pPr>
    </w:p>
    <w:p w14:paraId="61774F0D">
      <w:pPr>
        <w:numPr>
          <w:ilvl w:val="0"/>
          <w:numId w:val="0"/>
        </w:numPr>
        <w:jc w:val="center"/>
        <w:rPr>
          <w:rFonts w:hint="eastAsia" w:ascii="宋体" w:hAnsi="宋体" w:eastAsia="宋体" w:cs="宋体"/>
          <w:b/>
          <w:bCs/>
          <w:color w:val="auto"/>
          <w:sz w:val="28"/>
          <w:szCs w:val="24"/>
        </w:rPr>
      </w:pPr>
    </w:p>
    <w:p w14:paraId="7005D0CC">
      <w:pPr>
        <w:numPr>
          <w:ilvl w:val="0"/>
          <w:numId w:val="0"/>
        </w:numPr>
        <w:jc w:val="center"/>
        <w:rPr>
          <w:rFonts w:hint="eastAsia" w:ascii="宋体" w:hAnsi="宋体" w:eastAsia="宋体" w:cs="宋体"/>
          <w:b/>
          <w:bCs/>
          <w:color w:val="auto"/>
          <w:sz w:val="28"/>
          <w:szCs w:val="24"/>
        </w:rPr>
      </w:pPr>
    </w:p>
    <w:p w14:paraId="2462AFC4">
      <w:pPr>
        <w:numPr>
          <w:ilvl w:val="0"/>
          <w:numId w:val="0"/>
        </w:numPr>
        <w:jc w:val="center"/>
        <w:rPr>
          <w:rFonts w:hint="eastAsia" w:ascii="宋体" w:hAnsi="宋体" w:eastAsia="宋体" w:cs="宋体"/>
          <w:b/>
          <w:bCs/>
          <w:color w:val="auto"/>
          <w:sz w:val="28"/>
          <w:szCs w:val="24"/>
        </w:rPr>
      </w:pPr>
    </w:p>
    <w:p w14:paraId="1037E1D4">
      <w:pPr>
        <w:numPr>
          <w:ilvl w:val="0"/>
          <w:numId w:val="0"/>
        </w:numPr>
        <w:jc w:val="center"/>
        <w:rPr>
          <w:rFonts w:hint="eastAsia" w:ascii="宋体" w:hAnsi="宋体" w:eastAsia="宋体" w:cs="宋体"/>
          <w:b/>
          <w:bCs/>
          <w:color w:val="auto"/>
          <w:sz w:val="28"/>
          <w:szCs w:val="24"/>
        </w:rPr>
      </w:pPr>
    </w:p>
    <w:p w14:paraId="079C0B73">
      <w:pPr>
        <w:numPr>
          <w:ilvl w:val="0"/>
          <w:numId w:val="0"/>
        </w:numPr>
        <w:jc w:val="center"/>
        <w:rPr>
          <w:rFonts w:hint="eastAsia" w:ascii="宋体" w:hAnsi="宋体" w:eastAsia="宋体" w:cs="宋体"/>
          <w:b/>
          <w:bCs/>
          <w:color w:val="auto"/>
          <w:sz w:val="28"/>
          <w:szCs w:val="24"/>
        </w:rPr>
      </w:pPr>
    </w:p>
    <w:p w14:paraId="7046218C">
      <w:pPr>
        <w:numPr>
          <w:ilvl w:val="0"/>
          <w:numId w:val="0"/>
        </w:numPr>
        <w:jc w:val="center"/>
        <w:rPr>
          <w:rFonts w:hint="eastAsia" w:ascii="宋体" w:hAnsi="宋体" w:eastAsia="宋体" w:cs="宋体"/>
          <w:b/>
          <w:bCs/>
          <w:color w:val="auto"/>
          <w:sz w:val="28"/>
          <w:szCs w:val="24"/>
        </w:rPr>
      </w:pPr>
    </w:p>
    <w:p w14:paraId="32779925">
      <w:pPr>
        <w:numPr>
          <w:ilvl w:val="0"/>
          <w:numId w:val="0"/>
        </w:numPr>
        <w:jc w:val="center"/>
        <w:rPr>
          <w:rFonts w:hint="eastAsia" w:ascii="宋体" w:hAnsi="宋体" w:eastAsia="宋体" w:cs="宋体"/>
          <w:b/>
          <w:bCs/>
          <w:color w:val="auto"/>
          <w:sz w:val="28"/>
          <w:szCs w:val="24"/>
        </w:rPr>
      </w:pPr>
    </w:p>
    <w:p w14:paraId="16F529C5">
      <w:pPr>
        <w:spacing w:line="500" w:lineRule="exact"/>
        <w:jc w:val="both"/>
        <w:rPr>
          <w:rFonts w:hint="eastAsia" w:ascii="宋体" w:hAnsi="宋体" w:eastAsia="宋体" w:cs="宋体"/>
          <w:b/>
          <w:bCs w:val="0"/>
          <w:color w:val="000000" w:themeColor="text1"/>
          <w:kern w:val="0"/>
          <w:szCs w:val="21"/>
          <w:lang w:val="en-US" w:eastAsia="zh-CN"/>
          <w14:textFill>
            <w14:solidFill>
              <w14:schemeClr w14:val="tx1"/>
            </w14:solidFill>
          </w14:textFill>
        </w:rPr>
      </w:pPr>
      <w:r>
        <w:rPr>
          <w:rFonts w:hint="eastAsia" w:ascii="宋体" w:hAnsi="宋体" w:eastAsia="宋体" w:cs="宋体"/>
          <w:b/>
          <w:bCs w:val="0"/>
          <w:color w:val="000000" w:themeColor="text1"/>
          <w:kern w:val="0"/>
          <w:szCs w:val="21"/>
          <w:lang w:val="en-US" w:eastAsia="zh-CN"/>
          <w14:textFill>
            <w14:solidFill>
              <w14:schemeClr w14:val="tx1"/>
            </w14:solidFill>
          </w14:textFill>
        </w:rPr>
        <w:t>附件：法定代表人资格证明书及法定代表人授权委托书</w:t>
      </w:r>
    </w:p>
    <w:p w14:paraId="5DE86DB9">
      <w:pPr>
        <w:spacing w:line="500" w:lineRule="exact"/>
        <w:ind w:firstLine="482" w:firstLineChars="200"/>
        <w:jc w:val="center"/>
        <w:rPr>
          <w:rFonts w:asciiTheme="minorEastAsia" w:hAnsiTheme="minorEastAsia" w:cstheme="minorEastAsia"/>
          <w:b/>
          <w:color w:val="000000" w:themeColor="text1"/>
          <w:kern w:val="0"/>
          <w:sz w:val="28"/>
          <w14:textFill>
            <w14:solidFill>
              <w14:schemeClr w14:val="tx1"/>
            </w14:solidFill>
          </w14:textFill>
        </w:rPr>
      </w:pPr>
      <w:r>
        <w:rPr>
          <w:rFonts w:hint="eastAsia" w:ascii="宋体" w:hAnsi="宋体" w:eastAsia="宋体" w:cs="宋体"/>
          <w:b/>
          <w:bCs w:val="0"/>
          <w:color w:val="000000" w:themeColor="text1"/>
          <w:kern w:val="0"/>
          <w:szCs w:val="21"/>
          <w14:textFill>
            <w14:solidFill>
              <w14:schemeClr w14:val="tx1"/>
            </w14:solidFill>
          </w14:textFill>
        </w:rPr>
        <w:t>（法定代表人投标时提供10-1/被授权人投标时提供10-1和10-2）</w:t>
      </w:r>
    </w:p>
    <w:p w14:paraId="1E1690AA">
      <w:pPr>
        <w:spacing w:line="360" w:lineRule="auto"/>
        <w:ind w:left="240" w:leftChars="100"/>
        <w:jc w:val="center"/>
        <w:rPr>
          <w:rFonts w:ascii="宋体" w:hAnsi="宋体" w:eastAsia="宋体" w:cs="宋体"/>
          <w:b/>
          <w:szCs w:val="24"/>
        </w:rPr>
      </w:pPr>
      <w:r>
        <w:rPr>
          <w:rFonts w:hint="eastAsia" w:ascii="宋体" w:hAnsi="宋体" w:eastAsia="宋体" w:cs="宋体"/>
          <w:b/>
          <w:szCs w:val="24"/>
        </w:rPr>
        <w:t>10-1、法定代表人资格证明书</w:t>
      </w:r>
    </w:p>
    <w:tbl>
      <w:tblPr>
        <w:tblStyle w:val="37"/>
        <w:tblW w:w="50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79"/>
        <w:gridCol w:w="1568"/>
        <w:gridCol w:w="1407"/>
        <w:gridCol w:w="2176"/>
      </w:tblGrid>
      <w:tr w14:paraId="715B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000" w:type="pct"/>
            <w:gridSpan w:val="5"/>
          </w:tcPr>
          <w:p w14:paraId="0561CA64">
            <w:pPr>
              <w:tabs>
                <w:tab w:val="right" w:leader="dot" w:pos="9022"/>
              </w:tabs>
              <w:autoSpaceDE w:val="0"/>
              <w:autoSpaceDN w:val="0"/>
              <w:adjustRightInd w:val="0"/>
              <w:spacing w:line="480" w:lineRule="exact"/>
              <w:jc w:val="left"/>
              <w:rPr>
                <w:rFonts w:hint="default" w:ascii="宋体" w:hAnsi="宋体" w:eastAsia="宋体" w:cs="宋体"/>
                <w:bCs/>
                <w:caps/>
                <w:szCs w:val="24"/>
                <w:lang w:val="en-US" w:eastAsia="zh-CN"/>
              </w:rPr>
            </w:pPr>
            <w:r>
              <w:rPr>
                <w:rFonts w:hint="eastAsia" w:ascii="宋体" w:hAnsi="宋体" w:eastAsia="宋体" w:cs="宋体"/>
                <w:bCs/>
                <w:caps/>
                <w:szCs w:val="24"/>
              </w:rPr>
              <w:t>致：</w:t>
            </w:r>
            <w:r>
              <w:rPr>
                <w:rFonts w:hint="eastAsia" w:ascii="宋体" w:hAnsi="宋体" w:eastAsia="宋体" w:cs="宋体"/>
                <w:bCs/>
                <w:caps/>
                <w:szCs w:val="24"/>
                <w:lang w:val="en-US" w:eastAsia="zh-CN"/>
              </w:rPr>
              <w:t>采购人或代理公司</w:t>
            </w:r>
          </w:p>
        </w:tc>
      </w:tr>
      <w:tr w14:paraId="7F705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tcPr>
          <w:p w14:paraId="0A4A4B8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40341405">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p w14:paraId="1274244C">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企</w:t>
            </w:r>
          </w:p>
          <w:p w14:paraId="7C1785AA">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业</w:t>
            </w:r>
          </w:p>
          <w:p w14:paraId="6EB2AA7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情</w:t>
            </w:r>
          </w:p>
          <w:p w14:paraId="18816B98">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况</w:t>
            </w:r>
          </w:p>
          <w:p w14:paraId="44C369AE">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p>
        </w:tc>
        <w:tc>
          <w:tcPr>
            <w:tcW w:w="1227" w:type="pct"/>
            <w:vAlign w:val="center"/>
          </w:tcPr>
          <w:p w14:paraId="2EB3C6E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企 业 名 称</w:t>
            </w:r>
          </w:p>
        </w:tc>
        <w:tc>
          <w:tcPr>
            <w:tcW w:w="2899" w:type="pct"/>
            <w:gridSpan w:val="3"/>
          </w:tcPr>
          <w:p w14:paraId="043732F8">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956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018E27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5FFA919">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 定 地 址</w:t>
            </w:r>
          </w:p>
        </w:tc>
        <w:tc>
          <w:tcPr>
            <w:tcW w:w="2899" w:type="pct"/>
            <w:gridSpan w:val="3"/>
          </w:tcPr>
          <w:p w14:paraId="21C3E32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09C1A417">
        <w:tblPrEx>
          <w:tblCellMar>
            <w:top w:w="0" w:type="dxa"/>
            <w:left w:w="108" w:type="dxa"/>
            <w:bottom w:w="0" w:type="dxa"/>
            <w:right w:w="108" w:type="dxa"/>
          </w:tblCellMar>
        </w:tblPrEx>
        <w:trPr>
          <w:trHeight w:val="580" w:hRule="atLeast"/>
        </w:trPr>
        <w:tc>
          <w:tcPr>
            <w:tcW w:w="873" w:type="pct"/>
            <w:vMerge w:val="continue"/>
          </w:tcPr>
          <w:p w14:paraId="58B64FF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0FA7D432">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邮 政 编 码</w:t>
            </w:r>
          </w:p>
        </w:tc>
        <w:tc>
          <w:tcPr>
            <w:tcW w:w="2899" w:type="pct"/>
            <w:gridSpan w:val="3"/>
          </w:tcPr>
          <w:p w14:paraId="3C8AA0BC">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7AF7A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6BEC0A8">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5B95CE15">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工商登记机关</w:t>
            </w:r>
          </w:p>
        </w:tc>
        <w:tc>
          <w:tcPr>
            <w:tcW w:w="2899" w:type="pct"/>
            <w:gridSpan w:val="3"/>
          </w:tcPr>
          <w:p w14:paraId="6F07FDA7">
            <w:pPr>
              <w:tabs>
                <w:tab w:val="right" w:leader="dot" w:pos="9022"/>
              </w:tabs>
              <w:autoSpaceDE w:val="0"/>
              <w:autoSpaceDN w:val="0"/>
              <w:adjustRightInd w:val="0"/>
              <w:spacing w:line="480" w:lineRule="exact"/>
              <w:ind w:firstLine="2400" w:firstLineChars="1000"/>
              <w:jc w:val="left"/>
              <w:rPr>
                <w:rFonts w:ascii="宋体" w:hAnsi="宋体" w:eastAsia="宋体" w:cs="宋体"/>
                <w:bCs/>
                <w:caps/>
                <w:szCs w:val="24"/>
              </w:rPr>
            </w:pPr>
          </w:p>
        </w:tc>
      </w:tr>
      <w:tr w14:paraId="50BA2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4D233F0D">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restart"/>
            <w:vAlign w:val="center"/>
          </w:tcPr>
          <w:p w14:paraId="157364FA">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税务登记机关</w:t>
            </w:r>
          </w:p>
        </w:tc>
        <w:tc>
          <w:tcPr>
            <w:tcW w:w="2899" w:type="pct"/>
            <w:gridSpan w:val="3"/>
          </w:tcPr>
          <w:p w14:paraId="508B470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542D5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CEB514E">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Merge w:val="continue"/>
          </w:tcPr>
          <w:p w14:paraId="28B5755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899" w:type="pct"/>
            <w:gridSpan w:val="3"/>
          </w:tcPr>
          <w:p w14:paraId="5E7D39D4">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2E9B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8" w:hRule="atLeast"/>
        </w:trPr>
        <w:tc>
          <w:tcPr>
            <w:tcW w:w="873" w:type="pct"/>
            <w:vMerge w:val="continue"/>
          </w:tcPr>
          <w:p w14:paraId="05A4E43A">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vAlign w:val="center"/>
          </w:tcPr>
          <w:p w14:paraId="7A7B419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机构代码证号</w:t>
            </w:r>
          </w:p>
          <w:p w14:paraId="14121DC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（或统一社会信用代码证号）</w:t>
            </w:r>
          </w:p>
        </w:tc>
        <w:tc>
          <w:tcPr>
            <w:tcW w:w="2899" w:type="pct"/>
            <w:gridSpan w:val="3"/>
          </w:tcPr>
          <w:p w14:paraId="2AF6772A">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1CF6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restart"/>
            <w:vAlign w:val="center"/>
          </w:tcPr>
          <w:p w14:paraId="6F1BDE00">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法定代表人</w:t>
            </w:r>
          </w:p>
        </w:tc>
        <w:tc>
          <w:tcPr>
            <w:tcW w:w="1227" w:type="pct"/>
          </w:tcPr>
          <w:p w14:paraId="1F56FC06">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姓    名</w:t>
            </w:r>
          </w:p>
        </w:tc>
        <w:tc>
          <w:tcPr>
            <w:tcW w:w="882" w:type="pct"/>
          </w:tcPr>
          <w:p w14:paraId="50818D1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7DA7D9E1">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性    别</w:t>
            </w:r>
          </w:p>
        </w:tc>
        <w:tc>
          <w:tcPr>
            <w:tcW w:w="1224" w:type="pct"/>
          </w:tcPr>
          <w:p w14:paraId="4A4E73C0">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62BB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73" w:type="pct"/>
            <w:vMerge w:val="continue"/>
          </w:tcPr>
          <w:p w14:paraId="7DB0972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1227" w:type="pct"/>
          </w:tcPr>
          <w:p w14:paraId="1A64CFD3">
            <w:pPr>
              <w:tabs>
                <w:tab w:val="right" w:leader="dot" w:pos="9022"/>
              </w:tabs>
              <w:autoSpaceDE w:val="0"/>
              <w:autoSpaceDN w:val="0"/>
              <w:adjustRightInd w:val="0"/>
              <w:spacing w:line="480" w:lineRule="exact"/>
              <w:ind w:firstLine="240" w:firstLineChars="100"/>
              <w:jc w:val="left"/>
              <w:rPr>
                <w:rFonts w:ascii="宋体" w:hAnsi="宋体" w:eastAsia="宋体" w:cs="宋体"/>
                <w:bCs/>
                <w:caps/>
                <w:szCs w:val="24"/>
              </w:rPr>
            </w:pPr>
            <w:r>
              <w:rPr>
                <w:rFonts w:hint="eastAsia" w:ascii="宋体" w:hAnsi="宋体" w:eastAsia="宋体" w:cs="宋体"/>
                <w:bCs/>
                <w:caps/>
                <w:szCs w:val="24"/>
              </w:rPr>
              <w:t>职    务</w:t>
            </w:r>
          </w:p>
        </w:tc>
        <w:tc>
          <w:tcPr>
            <w:tcW w:w="882" w:type="pct"/>
          </w:tcPr>
          <w:p w14:paraId="31C62B14">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792" w:type="pct"/>
          </w:tcPr>
          <w:p w14:paraId="508F06D7">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联系电话</w:t>
            </w:r>
          </w:p>
        </w:tc>
        <w:tc>
          <w:tcPr>
            <w:tcW w:w="1224" w:type="pct"/>
          </w:tcPr>
          <w:p w14:paraId="24B9F01E">
            <w:pPr>
              <w:tabs>
                <w:tab w:val="right" w:leader="dot" w:pos="9022"/>
              </w:tabs>
              <w:autoSpaceDE w:val="0"/>
              <w:autoSpaceDN w:val="0"/>
              <w:adjustRightInd w:val="0"/>
              <w:spacing w:line="480" w:lineRule="exact"/>
              <w:jc w:val="left"/>
              <w:rPr>
                <w:rFonts w:ascii="宋体" w:hAnsi="宋体" w:eastAsia="宋体" w:cs="宋体"/>
                <w:bCs/>
                <w:caps/>
                <w:szCs w:val="24"/>
              </w:rPr>
            </w:pPr>
          </w:p>
        </w:tc>
      </w:tr>
      <w:tr w14:paraId="3930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trPr>
        <w:tc>
          <w:tcPr>
            <w:tcW w:w="873" w:type="pct"/>
            <w:vMerge w:val="restart"/>
          </w:tcPr>
          <w:p w14:paraId="139FAF8A">
            <w:pPr>
              <w:tabs>
                <w:tab w:val="right" w:leader="dot" w:pos="9022"/>
              </w:tabs>
              <w:autoSpaceDE w:val="0"/>
              <w:autoSpaceDN w:val="0"/>
              <w:adjustRightInd w:val="0"/>
              <w:spacing w:line="480" w:lineRule="exact"/>
              <w:jc w:val="left"/>
              <w:rPr>
                <w:rFonts w:ascii="宋体" w:hAnsi="宋体" w:eastAsia="宋体" w:cs="宋体"/>
                <w:bCs/>
                <w:caps/>
                <w:szCs w:val="24"/>
              </w:rPr>
            </w:pPr>
          </w:p>
          <w:p w14:paraId="352AFAF8">
            <w:pPr>
              <w:tabs>
                <w:tab w:val="right" w:leader="dot" w:pos="9022"/>
              </w:tabs>
              <w:autoSpaceDE w:val="0"/>
              <w:autoSpaceDN w:val="0"/>
              <w:adjustRightInd w:val="0"/>
              <w:spacing w:line="480" w:lineRule="exact"/>
              <w:jc w:val="left"/>
              <w:rPr>
                <w:rFonts w:ascii="宋体" w:hAnsi="宋体" w:eastAsia="宋体" w:cs="宋体"/>
                <w:bCs/>
                <w:caps/>
                <w:szCs w:val="24"/>
              </w:rPr>
            </w:pPr>
          </w:p>
          <w:p w14:paraId="2441B579">
            <w:pPr>
              <w:tabs>
                <w:tab w:val="right" w:leader="dot" w:pos="9022"/>
              </w:tabs>
              <w:autoSpaceDE w:val="0"/>
              <w:autoSpaceDN w:val="0"/>
              <w:adjustRightInd w:val="0"/>
              <w:spacing w:line="480" w:lineRule="exact"/>
              <w:jc w:val="left"/>
              <w:rPr>
                <w:rFonts w:ascii="宋体" w:hAnsi="宋体" w:eastAsia="宋体" w:cs="宋体"/>
                <w:bCs/>
                <w:caps/>
                <w:szCs w:val="24"/>
              </w:rPr>
            </w:pPr>
          </w:p>
          <w:p w14:paraId="3C50B9C0">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法定代表人身份证复印件</w:t>
            </w:r>
          </w:p>
        </w:tc>
        <w:tc>
          <w:tcPr>
            <w:tcW w:w="2110" w:type="pct"/>
            <w:gridSpan w:val="2"/>
            <w:vMerge w:val="restart"/>
            <w:vAlign w:val="center"/>
          </w:tcPr>
          <w:p w14:paraId="2AC417DD">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spacing w:val="-4"/>
                <w:szCs w:val="24"/>
              </w:rPr>
              <w:t>二代身份证正、反两面</w:t>
            </w:r>
          </w:p>
        </w:tc>
        <w:tc>
          <w:tcPr>
            <w:tcW w:w="2016" w:type="pct"/>
            <w:gridSpan w:val="2"/>
          </w:tcPr>
          <w:p w14:paraId="0E1463CF">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（法定代表人签字或盖章）</w:t>
            </w:r>
          </w:p>
        </w:tc>
      </w:tr>
      <w:tr w14:paraId="3C7A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trPr>
        <w:tc>
          <w:tcPr>
            <w:tcW w:w="873" w:type="pct"/>
            <w:vMerge w:val="continue"/>
          </w:tcPr>
          <w:p w14:paraId="550EC2F6">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110" w:type="pct"/>
            <w:gridSpan w:val="2"/>
            <w:vMerge w:val="continue"/>
          </w:tcPr>
          <w:p w14:paraId="51FAB515">
            <w:pPr>
              <w:tabs>
                <w:tab w:val="right" w:leader="dot" w:pos="9022"/>
              </w:tabs>
              <w:autoSpaceDE w:val="0"/>
              <w:autoSpaceDN w:val="0"/>
              <w:adjustRightInd w:val="0"/>
              <w:spacing w:line="480" w:lineRule="exact"/>
              <w:jc w:val="left"/>
              <w:rPr>
                <w:rFonts w:ascii="宋体" w:hAnsi="宋体" w:eastAsia="宋体" w:cs="宋体"/>
                <w:bCs/>
                <w:caps/>
                <w:szCs w:val="24"/>
              </w:rPr>
            </w:pPr>
          </w:p>
        </w:tc>
        <w:tc>
          <w:tcPr>
            <w:tcW w:w="2016" w:type="pct"/>
            <w:gridSpan w:val="2"/>
          </w:tcPr>
          <w:p w14:paraId="2C07AD05">
            <w:pPr>
              <w:tabs>
                <w:tab w:val="right" w:leader="dot" w:pos="9022"/>
              </w:tabs>
              <w:autoSpaceDE w:val="0"/>
              <w:autoSpaceDN w:val="0"/>
              <w:adjustRightInd w:val="0"/>
              <w:spacing w:line="480" w:lineRule="exact"/>
              <w:jc w:val="left"/>
              <w:rPr>
                <w:rFonts w:ascii="宋体" w:hAnsi="宋体" w:eastAsia="宋体" w:cs="宋体"/>
                <w:bCs/>
                <w:caps/>
                <w:szCs w:val="24"/>
              </w:rPr>
            </w:pPr>
          </w:p>
          <w:p w14:paraId="32F2CAAF">
            <w:pPr>
              <w:tabs>
                <w:tab w:val="right" w:leader="dot" w:pos="9022"/>
              </w:tabs>
              <w:autoSpaceDE w:val="0"/>
              <w:autoSpaceDN w:val="0"/>
              <w:adjustRightInd w:val="0"/>
              <w:spacing w:line="480" w:lineRule="exact"/>
              <w:ind w:firstLine="120" w:firstLineChars="50"/>
              <w:jc w:val="left"/>
              <w:rPr>
                <w:rFonts w:ascii="宋体" w:hAnsi="宋体" w:eastAsia="宋体" w:cs="宋体"/>
                <w:bCs/>
                <w:caps/>
                <w:szCs w:val="24"/>
              </w:rPr>
            </w:pPr>
            <w:r>
              <w:rPr>
                <w:rFonts w:hint="eastAsia" w:ascii="宋体" w:hAnsi="宋体" w:eastAsia="宋体" w:cs="宋体"/>
                <w:bCs/>
                <w:caps/>
                <w:szCs w:val="24"/>
              </w:rPr>
              <w:t>（公章）</w:t>
            </w:r>
          </w:p>
          <w:p w14:paraId="11EAF958">
            <w:pPr>
              <w:tabs>
                <w:tab w:val="right" w:leader="dot" w:pos="9022"/>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 xml:space="preserve">   </w:t>
            </w:r>
          </w:p>
          <w:p w14:paraId="117A12B4">
            <w:pPr>
              <w:tabs>
                <w:tab w:val="right" w:leader="dot" w:pos="9022"/>
              </w:tabs>
              <w:autoSpaceDE w:val="0"/>
              <w:autoSpaceDN w:val="0"/>
              <w:adjustRightInd w:val="0"/>
              <w:spacing w:line="480" w:lineRule="exact"/>
              <w:ind w:firstLine="1440" w:firstLineChars="600"/>
              <w:jc w:val="left"/>
              <w:rPr>
                <w:rFonts w:ascii="宋体" w:hAnsi="宋体" w:eastAsia="宋体" w:cs="宋体"/>
                <w:bCs/>
                <w:caps/>
                <w:szCs w:val="24"/>
              </w:rPr>
            </w:pPr>
            <w:r>
              <w:rPr>
                <w:rFonts w:hint="eastAsia" w:ascii="宋体" w:hAnsi="宋体" w:eastAsia="宋体" w:cs="宋体"/>
                <w:bCs/>
                <w:caps/>
                <w:szCs w:val="24"/>
              </w:rPr>
              <w:t>年  月  日</w:t>
            </w:r>
          </w:p>
        </w:tc>
      </w:tr>
      <w:tr w14:paraId="29A5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873" w:type="pct"/>
          </w:tcPr>
          <w:p w14:paraId="573E3666">
            <w:pPr>
              <w:tabs>
                <w:tab w:val="right" w:leader="dot" w:pos="9022"/>
              </w:tabs>
              <w:autoSpaceDE w:val="0"/>
              <w:autoSpaceDN w:val="0"/>
              <w:adjustRightInd w:val="0"/>
              <w:spacing w:line="480" w:lineRule="exact"/>
              <w:jc w:val="center"/>
              <w:rPr>
                <w:rFonts w:ascii="宋体" w:hAnsi="宋体" w:eastAsia="宋体" w:cs="宋体"/>
                <w:bCs/>
                <w:caps/>
                <w:szCs w:val="24"/>
              </w:rPr>
            </w:pPr>
            <w:r>
              <w:rPr>
                <w:rFonts w:hint="eastAsia" w:ascii="宋体" w:hAnsi="宋体" w:eastAsia="宋体" w:cs="宋体"/>
                <w:bCs/>
                <w:caps/>
                <w:szCs w:val="24"/>
              </w:rPr>
              <w:t>磋商有效期</w:t>
            </w:r>
          </w:p>
        </w:tc>
        <w:tc>
          <w:tcPr>
            <w:tcW w:w="4126" w:type="pct"/>
            <w:gridSpan w:val="4"/>
          </w:tcPr>
          <w:p w14:paraId="7F3707BA">
            <w:pPr>
              <w:tabs>
                <w:tab w:val="left" w:pos="603"/>
              </w:tabs>
              <w:autoSpaceDE w:val="0"/>
              <w:autoSpaceDN w:val="0"/>
              <w:adjustRightInd w:val="0"/>
              <w:spacing w:line="480" w:lineRule="exact"/>
              <w:jc w:val="left"/>
              <w:rPr>
                <w:rFonts w:ascii="宋体" w:hAnsi="宋体" w:eastAsia="宋体" w:cs="宋体"/>
                <w:bCs/>
                <w:caps/>
                <w:szCs w:val="24"/>
              </w:rPr>
            </w:pPr>
            <w:r>
              <w:rPr>
                <w:rFonts w:hint="eastAsia" w:ascii="宋体" w:hAnsi="宋体" w:eastAsia="宋体" w:cs="宋体"/>
                <w:bCs/>
                <w:caps/>
                <w:szCs w:val="24"/>
              </w:rPr>
              <w:t>本授权书</w:t>
            </w:r>
            <w:r>
              <w:rPr>
                <w:rFonts w:hint="eastAsia" w:ascii="宋体" w:hAnsi="宋体" w:eastAsia="宋体" w:cs="宋体"/>
                <w:bCs/>
                <w:szCs w:val="24"/>
              </w:rPr>
              <w:t>自投标截止之日起90日历天</w:t>
            </w:r>
            <w:r>
              <w:rPr>
                <w:rFonts w:hint="eastAsia" w:ascii="宋体" w:hAnsi="宋体" w:eastAsia="宋体" w:cs="宋体"/>
                <w:bCs/>
                <w:caps/>
                <w:szCs w:val="24"/>
              </w:rPr>
              <w:t>。</w:t>
            </w:r>
          </w:p>
        </w:tc>
      </w:tr>
    </w:tbl>
    <w:p w14:paraId="4B4E6AD7">
      <w:pPr>
        <w:spacing w:line="360" w:lineRule="auto"/>
        <w:ind w:left="240" w:leftChars="100"/>
        <w:jc w:val="center"/>
        <w:rPr>
          <w:rFonts w:ascii="宋体" w:hAnsi="宋体" w:eastAsia="宋体" w:cs="宋体"/>
          <w:sz w:val="28"/>
          <w:szCs w:val="28"/>
        </w:rPr>
      </w:pPr>
      <w:r>
        <w:rPr>
          <w:rFonts w:hint="eastAsia" w:ascii="宋体" w:hAnsi="宋体" w:eastAsia="宋体" w:cs="宋体"/>
          <w:sz w:val="28"/>
          <w:szCs w:val="28"/>
        </w:rPr>
        <w:br w:type="page"/>
      </w:r>
      <w:r>
        <w:rPr>
          <w:rFonts w:hint="eastAsia" w:ascii="宋体" w:hAnsi="宋体" w:eastAsia="宋体" w:cs="宋体"/>
          <w:szCs w:val="24"/>
        </w:rPr>
        <w:t>10-2、法定代表人授权委托书</w:t>
      </w:r>
    </w:p>
    <w:p w14:paraId="50DDD7C8">
      <w:pPr>
        <w:spacing w:line="360" w:lineRule="auto"/>
        <w:jc w:val="left"/>
        <w:rPr>
          <w:rFonts w:ascii="宋体" w:hAnsi="宋体" w:eastAsia="宋体" w:cs="宋体"/>
          <w:szCs w:val="24"/>
        </w:rPr>
      </w:pPr>
    </w:p>
    <w:p w14:paraId="0C78026E">
      <w:pPr>
        <w:spacing w:line="360" w:lineRule="auto"/>
        <w:jc w:val="left"/>
        <w:rPr>
          <w:rFonts w:ascii="宋体" w:hAnsi="宋体" w:eastAsia="宋体" w:cs="宋体"/>
          <w:szCs w:val="24"/>
        </w:rPr>
      </w:pPr>
      <w:r>
        <w:rPr>
          <w:rFonts w:hint="eastAsia" w:ascii="宋体" w:hAnsi="宋体" w:eastAsia="宋体" w:cs="宋体"/>
          <w:szCs w:val="24"/>
          <w:u w:val="single"/>
          <w:lang w:val="en-US" w:eastAsia="zh-CN"/>
        </w:rPr>
        <w:t>采购人或代理公司</w:t>
      </w:r>
      <w:r>
        <w:rPr>
          <w:rFonts w:hint="eastAsia" w:ascii="宋体" w:hAnsi="宋体" w:eastAsia="宋体" w:cs="宋体"/>
          <w:szCs w:val="24"/>
        </w:rPr>
        <w:t>：</w:t>
      </w:r>
    </w:p>
    <w:p w14:paraId="15E699E7">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u w:val="single"/>
        </w:rPr>
        <w:t xml:space="preserve">                       </w:t>
      </w:r>
      <w:r>
        <w:rPr>
          <w:rFonts w:hint="eastAsia" w:ascii="宋体" w:hAnsi="宋体" w:eastAsia="宋体" w:cs="宋体"/>
          <w:kern w:val="0"/>
          <w:szCs w:val="24"/>
        </w:rPr>
        <w:t>（供应商名称）法定代表人</w:t>
      </w:r>
      <w:r>
        <w:rPr>
          <w:rFonts w:hint="eastAsia" w:ascii="宋体" w:hAnsi="宋体" w:eastAsia="宋体" w:cs="宋体"/>
          <w:kern w:val="0"/>
          <w:szCs w:val="24"/>
          <w:u w:val="single"/>
        </w:rPr>
        <w:t xml:space="preserve">                 </w:t>
      </w:r>
      <w:r>
        <w:rPr>
          <w:rFonts w:hint="eastAsia" w:ascii="宋体" w:hAnsi="宋体" w:eastAsia="宋体" w:cs="宋体"/>
          <w:kern w:val="0"/>
          <w:szCs w:val="24"/>
        </w:rPr>
        <w:t>授权我公司</w:t>
      </w:r>
      <w:r>
        <w:rPr>
          <w:rFonts w:hint="eastAsia" w:ascii="宋体" w:hAnsi="宋体" w:eastAsia="宋体" w:cs="宋体"/>
          <w:kern w:val="0"/>
          <w:szCs w:val="24"/>
          <w:u w:val="single"/>
        </w:rPr>
        <w:t xml:space="preserve">                      </w:t>
      </w:r>
      <w:r>
        <w:rPr>
          <w:rFonts w:hint="eastAsia" w:ascii="宋体" w:hAnsi="宋体" w:eastAsia="宋体" w:cs="宋体"/>
          <w:kern w:val="0"/>
          <w:szCs w:val="24"/>
        </w:rPr>
        <w:t>（职务或职称）</w:t>
      </w:r>
      <w:r>
        <w:rPr>
          <w:rFonts w:hint="eastAsia" w:ascii="宋体" w:hAnsi="宋体" w:eastAsia="宋体" w:cs="宋体"/>
          <w:kern w:val="0"/>
          <w:szCs w:val="24"/>
          <w:u w:val="single"/>
        </w:rPr>
        <w:t xml:space="preserve">                    </w:t>
      </w:r>
      <w:r>
        <w:rPr>
          <w:rFonts w:hint="eastAsia" w:ascii="宋体" w:hAnsi="宋体" w:eastAsia="宋体" w:cs="宋体"/>
          <w:kern w:val="0"/>
          <w:szCs w:val="24"/>
        </w:rPr>
        <w:t>（姓名）为我单位本次投标授权代理人，全权处理此次</w:t>
      </w:r>
      <w:r>
        <w:rPr>
          <w:rFonts w:hint="eastAsia" w:ascii="宋体" w:hAnsi="宋体" w:eastAsia="宋体" w:cs="宋体"/>
          <w:kern w:val="0"/>
          <w:szCs w:val="24"/>
          <w:u w:val="single"/>
        </w:rPr>
        <w:t xml:space="preserve">   (项目名称 ）（项目编号） </w:t>
      </w:r>
      <w:r>
        <w:rPr>
          <w:rFonts w:hint="eastAsia" w:ascii="宋体" w:hAnsi="宋体" w:eastAsia="宋体" w:cs="宋体"/>
          <w:kern w:val="0"/>
          <w:szCs w:val="24"/>
        </w:rPr>
        <w:t>采购活动的一切事宜。</w:t>
      </w:r>
    </w:p>
    <w:p w14:paraId="574B115F">
      <w:pPr>
        <w:widowControl/>
        <w:spacing w:before="100" w:beforeAutospacing="1" w:after="100" w:afterAutospacing="1" w:line="720" w:lineRule="auto"/>
        <w:ind w:firstLine="480" w:firstLineChars="200"/>
        <w:jc w:val="left"/>
        <w:rPr>
          <w:rFonts w:ascii="宋体" w:hAnsi="宋体" w:eastAsia="宋体" w:cs="宋体"/>
          <w:kern w:val="0"/>
          <w:szCs w:val="24"/>
        </w:rPr>
      </w:pPr>
      <w:r>
        <w:rPr>
          <w:rFonts w:hint="eastAsia" w:ascii="宋体" w:hAnsi="宋体" w:eastAsia="宋体" w:cs="宋体"/>
          <w:kern w:val="0"/>
          <w:szCs w:val="24"/>
        </w:rPr>
        <w:t>磋商有效期：本授权书自投标截止之日起90日历天。</w:t>
      </w:r>
    </w:p>
    <w:p w14:paraId="2ECB4775">
      <w:pPr>
        <w:spacing w:line="360" w:lineRule="auto"/>
        <w:ind w:firstLine="480"/>
        <w:jc w:val="left"/>
        <w:rPr>
          <w:rFonts w:ascii="宋体" w:hAnsi="宋体" w:eastAsia="宋体" w:cs="宋体"/>
          <w:szCs w:val="24"/>
        </w:rPr>
      </w:pPr>
      <w:r>
        <w:rPr>
          <w:rFonts w:hint="eastAsia" w:ascii="宋体" w:hAnsi="宋体" w:eastAsia="宋体" w:cs="宋体"/>
          <w:szCs w:val="24"/>
        </w:rPr>
        <w:t>特此授权。</w:t>
      </w:r>
    </w:p>
    <w:p w14:paraId="1A26063A">
      <w:pPr>
        <w:spacing w:line="360" w:lineRule="auto"/>
        <w:jc w:val="left"/>
        <w:rPr>
          <w:rFonts w:ascii="宋体" w:hAnsi="宋体" w:eastAsia="宋体" w:cs="宋体"/>
          <w:szCs w:val="24"/>
        </w:rPr>
      </w:pPr>
    </w:p>
    <w:p w14:paraId="10189E70">
      <w:pPr>
        <w:spacing w:line="360" w:lineRule="auto"/>
        <w:jc w:val="center"/>
        <w:rPr>
          <w:rFonts w:ascii="宋体" w:hAnsi="宋体" w:eastAsia="宋体" w:cs="宋体"/>
          <w:szCs w:val="24"/>
        </w:rPr>
      </w:pPr>
      <w:r>
        <w:rPr>
          <w:rFonts w:hint="eastAsia" w:ascii="宋体" w:hAnsi="宋体" w:eastAsia="宋体" w:cs="宋体"/>
          <w:szCs w:val="24"/>
        </w:rPr>
        <w:t>（附授权代理人身份证明复印件，正、反两面）</w:t>
      </w:r>
    </w:p>
    <w:p w14:paraId="03A6CC04">
      <w:pPr>
        <w:spacing w:line="360" w:lineRule="auto"/>
        <w:jc w:val="left"/>
        <w:rPr>
          <w:rFonts w:ascii="宋体" w:hAnsi="宋体" w:eastAsia="宋体" w:cs="宋体"/>
          <w:szCs w:val="24"/>
        </w:rPr>
      </w:pPr>
    </w:p>
    <w:p w14:paraId="1D2279B1">
      <w:pPr>
        <w:spacing w:line="360" w:lineRule="auto"/>
        <w:jc w:val="left"/>
        <w:rPr>
          <w:rFonts w:ascii="宋体" w:hAnsi="宋体" w:eastAsia="宋体" w:cs="宋体"/>
          <w:szCs w:val="24"/>
        </w:rPr>
      </w:pPr>
    </w:p>
    <w:p w14:paraId="604BC7B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供应商名称（公章）：</w:t>
      </w:r>
      <w:r>
        <w:rPr>
          <w:rFonts w:hint="eastAsia" w:ascii="宋体" w:hAnsi="宋体" w:eastAsia="宋体" w:cs="宋体"/>
          <w:szCs w:val="24"/>
          <w:u w:val="single"/>
        </w:rPr>
        <w:t xml:space="preserve">                    </w:t>
      </w:r>
    </w:p>
    <w:p w14:paraId="607C54F6">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法定代表人签字或盖章：</w:t>
      </w:r>
      <w:r>
        <w:rPr>
          <w:rFonts w:hint="eastAsia" w:ascii="宋体" w:hAnsi="宋体" w:eastAsia="宋体" w:cs="宋体"/>
          <w:szCs w:val="24"/>
          <w:u w:val="single"/>
        </w:rPr>
        <w:t xml:space="preserve">                  </w:t>
      </w:r>
    </w:p>
    <w:p w14:paraId="0535C441">
      <w:pPr>
        <w:spacing w:line="600" w:lineRule="auto"/>
        <w:ind w:firstLine="3120" w:firstLineChars="1300"/>
        <w:jc w:val="left"/>
        <w:rPr>
          <w:rFonts w:ascii="宋体" w:hAnsi="宋体" w:eastAsia="宋体" w:cs="宋体"/>
          <w:szCs w:val="24"/>
        </w:rPr>
      </w:pPr>
      <w:r>
        <w:rPr>
          <w:rFonts w:hint="eastAsia" w:ascii="宋体" w:hAnsi="宋体" w:eastAsia="宋体" w:cs="宋体"/>
          <w:szCs w:val="24"/>
        </w:rPr>
        <w:t>委托代理人签字：</w:t>
      </w:r>
      <w:r>
        <w:rPr>
          <w:rFonts w:hint="eastAsia" w:ascii="宋体" w:hAnsi="宋体" w:eastAsia="宋体" w:cs="宋体"/>
          <w:szCs w:val="24"/>
          <w:u w:val="single"/>
        </w:rPr>
        <w:t xml:space="preserve">                        </w:t>
      </w:r>
    </w:p>
    <w:p w14:paraId="5A9194EC">
      <w:pPr>
        <w:spacing w:line="600" w:lineRule="auto"/>
        <w:ind w:right="324" w:rightChars="135" w:firstLine="4320" w:firstLineChars="1800"/>
        <w:rPr>
          <w:rFonts w:ascii="宋体" w:hAnsi="宋体" w:eastAsia="宋体" w:cs="宋体"/>
          <w:szCs w:val="24"/>
        </w:rPr>
        <w:sectPr>
          <w:headerReference r:id="rId9" w:type="first"/>
          <w:footerReference r:id="rId11" w:type="first"/>
          <w:headerReference r:id="rId8" w:type="default"/>
          <w:footerReference r:id="rId10" w:type="default"/>
          <w:pgSz w:w="11906" w:h="16838"/>
          <w:pgMar w:top="1440" w:right="1701" w:bottom="1440" w:left="1701" w:header="851" w:footer="680" w:gutter="0"/>
          <w:pgNumType w:fmt="decimal" w:chapStyle="1"/>
          <w:cols w:space="720" w:num="1"/>
          <w:titlePg/>
          <w:docGrid w:type="lines" w:linePitch="312" w:charSpace="0"/>
        </w:sectPr>
      </w:pPr>
      <w:r>
        <w:rPr>
          <w:rFonts w:hint="eastAsia" w:ascii="宋体" w:hAnsi="宋体" w:eastAsia="宋体" w:cs="宋体"/>
          <w:szCs w:val="24"/>
        </w:rPr>
        <w:t>年    月    日</w:t>
      </w:r>
      <w:bookmarkStart w:id="92" w:name="_Toc445282614"/>
    </w:p>
    <w:bookmarkEnd w:id="92"/>
    <w:p w14:paraId="5B52CD63">
      <w:pPr>
        <w:numPr>
          <w:ilvl w:val="0"/>
          <w:numId w:val="0"/>
        </w:numP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三、 符合性证明文件 </w:t>
      </w:r>
    </w:p>
    <w:p w14:paraId="68109B1A">
      <w:pPr>
        <w:pStyle w:val="13"/>
        <w:rPr>
          <w:rFonts w:hint="eastAsia" w:ascii="宋体" w:hAnsi="宋体" w:eastAsia="宋体" w:cs="宋体"/>
        </w:rPr>
      </w:pP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0D082E33">
      <w:pPr>
        <w:pStyle w:val="56"/>
        <w:spacing w:line="480" w:lineRule="auto"/>
        <w:ind w:firstLine="0" w:firstLineChars="0"/>
        <w:jc w:val="center"/>
        <w:rPr>
          <w:rFonts w:hint="eastAsia" w:ascii="宋体" w:hAnsi="宋体" w:eastAsia="宋体" w:cs="宋体"/>
          <w:color w:val="auto"/>
          <w:sz w:val="24"/>
          <w:szCs w:val="24"/>
        </w:rPr>
      </w:pPr>
      <w:bookmarkStart w:id="93" w:name="_Toc193187098"/>
      <w:bookmarkStart w:id="94" w:name="_Toc188808834"/>
      <w:bookmarkStart w:id="95" w:name="_Toc193126882"/>
      <w:bookmarkStart w:id="96" w:name="_Toc194663919"/>
      <w:r>
        <w:rPr>
          <w:rFonts w:hint="eastAsia" w:ascii="宋体" w:hAnsi="宋体" w:eastAsia="宋体" w:cs="宋体"/>
          <w:b/>
          <w:color w:val="auto"/>
          <w:sz w:val="24"/>
          <w:szCs w:val="24"/>
        </w:rPr>
        <w:t>1.响应函</w:t>
      </w:r>
    </w:p>
    <w:p w14:paraId="0D909AD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致：</w:t>
      </w:r>
      <w:r>
        <w:rPr>
          <w:rFonts w:hint="eastAsia" w:ascii="宋体" w:hAnsi="宋体" w:eastAsia="宋体" w:cs="宋体"/>
          <w:b/>
          <w:color w:val="auto"/>
          <w:sz w:val="24"/>
          <w:szCs w:val="24"/>
          <w:lang w:eastAsia="zh-CN"/>
        </w:rPr>
        <w:t>华地众信工程项目管理有限公司</w:t>
      </w:r>
    </w:p>
    <w:p w14:paraId="7FD8C870">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根据贵单位</w:t>
      </w:r>
      <w:r>
        <w:rPr>
          <w:rFonts w:hint="eastAsia" w:ascii="宋体" w:hAnsi="宋体" w:eastAsia="宋体" w:cs="宋体"/>
          <w:color w:val="auto"/>
          <w:sz w:val="24"/>
          <w:szCs w:val="24"/>
          <w:u w:val="single"/>
        </w:rPr>
        <w:t>（项目名称）（项目编号）</w:t>
      </w:r>
      <w:r>
        <w:rPr>
          <w:rFonts w:hint="eastAsia" w:ascii="宋体" w:hAnsi="宋体" w:eastAsia="宋体" w:cs="宋体"/>
          <w:color w:val="auto"/>
          <w:sz w:val="24"/>
          <w:szCs w:val="24"/>
        </w:rPr>
        <w:t>的磋商公告，我方代表</w:t>
      </w:r>
      <w:r>
        <w:rPr>
          <w:rFonts w:hint="eastAsia" w:ascii="宋体" w:hAnsi="宋体" w:eastAsia="宋体" w:cs="宋体"/>
          <w:color w:val="auto"/>
          <w:sz w:val="24"/>
          <w:szCs w:val="24"/>
          <w:u w:val="single"/>
        </w:rPr>
        <w:t>（姓名、职务）</w:t>
      </w:r>
      <w:r>
        <w:rPr>
          <w:rFonts w:hint="eastAsia" w:ascii="宋体" w:hAnsi="宋体" w:eastAsia="宋体" w:cs="宋体"/>
          <w:color w:val="auto"/>
          <w:sz w:val="24"/>
          <w:szCs w:val="24"/>
        </w:rPr>
        <w:t>经正式授权并代表</w:t>
      </w:r>
      <w:r>
        <w:rPr>
          <w:rFonts w:hint="eastAsia" w:ascii="宋体" w:hAnsi="宋体" w:eastAsia="宋体" w:cs="宋体"/>
          <w:color w:val="auto"/>
          <w:sz w:val="24"/>
          <w:szCs w:val="24"/>
          <w:u w:val="single"/>
        </w:rPr>
        <w:t>（供应商名称）</w:t>
      </w:r>
      <w:r>
        <w:rPr>
          <w:rFonts w:hint="eastAsia" w:ascii="宋体" w:hAnsi="宋体" w:eastAsia="宋体" w:cs="宋体"/>
          <w:color w:val="auto"/>
          <w:sz w:val="24"/>
          <w:szCs w:val="24"/>
        </w:rPr>
        <w:t>就该项目进行投标。</w:t>
      </w:r>
    </w:p>
    <w:p w14:paraId="2844BADD">
      <w:pPr>
        <w:keepNext w:val="0"/>
        <w:keepLines w:val="0"/>
        <w:pageBreakBefore w:val="0"/>
        <w:widowControl w:val="0"/>
        <w:kinsoku/>
        <w:wordWrap/>
        <w:overflowPunct/>
        <w:topLinePunct w:val="0"/>
        <w:autoSpaceDE/>
        <w:autoSpaceDN/>
        <w:bidi w:val="0"/>
        <w:adjustRightInd/>
        <w:snapToGrid/>
        <w:spacing w:line="460" w:lineRule="exact"/>
        <w:ind w:firstLine="472" w:firstLineChars="196"/>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在此，我方郑重声明以下诸点，并负法律责任：</w:t>
      </w:r>
    </w:p>
    <w:p w14:paraId="78252AC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按</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lang w:val="zh-CN"/>
        </w:rPr>
        <w:t>文件的规定，我公</w:t>
      </w:r>
      <w:r>
        <w:rPr>
          <w:rFonts w:hint="eastAsia" w:ascii="宋体" w:hAnsi="宋体" w:eastAsia="宋体" w:cs="宋体"/>
          <w:color w:val="auto"/>
          <w:sz w:val="24"/>
          <w:szCs w:val="24"/>
          <w:u w:val="none"/>
          <w:lang w:val="zh-CN"/>
        </w:rPr>
        <w:t>司的</w:t>
      </w:r>
      <w:r>
        <w:rPr>
          <w:rFonts w:hint="eastAsia" w:ascii="宋体" w:hAnsi="宋体" w:eastAsia="宋体" w:cs="宋体"/>
          <w:color w:val="auto"/>
          <w:sz w:val="24"/>
          <w:szCs w:val="24"/>
          <w:u w:val="none"/>
        </w:rPr>
        <w:t>磋商</w:t>
      </w:r>
      <w:r>
        <w:rPr>
          <w:rFonts w:hint="eastAsia" w:ascii="宋体" w:hAnsi="宋体" w:eastAsia="宋体" w:cs="宋体"/>
          <w:color w:val="auto"/>
          <w:sz w:val="24"/>
          <w:szCs w:val="24"/>
          <w:u w:val="none"/>
          <w:lang w:val="zh-CN"/>
        </w:rPr>
        <w:t>总报价为：人民币（大写）：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none"/>
          <w:lang w:val="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lang w:val="zh-CN"/>
        </w:rPr>
        <w:t>元），</w:t>
      </w:r>
      <w:r>
        <w:rPr>
          <w:rFonts w:hint="eastAsia" w:ascii="宋体" w:hAnsi="宋体" w:eastAsia="宋体" w:cs="宋体"/>
          <w:color w:val="auto"/>
          <w:sz w:val="24"/>
          <w:szCs w:val="24"/>
          <w:u w:val="none"/>
          <w:lang w:val="en-US" w:eastAsia="zh-CN"/>
        </w:rPr>
        <w:t>工期：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日历天；</w:t>
      </w:r>
      <w:r>
        <w:rPr>
          <w:rFonts w:hint="eastAsia" w:ascii="宋体" w:hAnsi="宋体" w:eastAsia="宋体" w:cs="宋体"/>
          <w:color w:val="auto"/>
          <w:sz w:val="24"/>
          <w:szCs w:val="24"/>
          <w:lang w:val="en-US" w:eastAsia="zh-CN"/>
        </w:rPr>
        <w:t xml:space="preserve"> 质量：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w:t>
      </w:r>
    </w:p>
    <w:p w14:paraId="0B0394FA">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2、我方已详细审查全部竞争性磋商文件，完全理解并同意放弃对这方面有不明及误解质疑的权力。</w:t>
      </w:r>
    </w:p>
    <w:p w14:paraId="54B37230">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3、我方完全理解并同意竞争性磋商文件中有关没收磋商保证金的条款。</w:t>
      </w:r>
    </w:p>
    <w:p w14:paraId="21EAFBAE">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4、我方同意按照要求提供投标有关的一切数据或资料。</w:t>
      </w:r>
    </w:p>
    <w:p w14:paraId="720F64C6">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5、我方将按竞争性磋商文件的规定履行合同责任和义务。</w:t>
      </w:r>
    </w:p>
    <w:p w14:paraId="009A71CC">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6、我方完全理解最低报价不是中标的唯一条件，采购人有权选择质优价廉的</w:t>
      </w:r>
      <w:r>
        <w:rPr>
          <w:rFonts w:hint="eastAsia" w:ascii="宋体" w:hAnsi="宋体" w:eastAsia="宋体" w:cs="宋体"/>
          <w:color w:val="auto"/>
          <w:sz w:val="24"/>
          <w:szCs w:val="24"/>
          <w:lang w:val="en-US" w:eastAsia="zh-CN"/>
        </w:rPr>
        <w:t>货物、</w:t>
      </w:r>
      <w:r>
        <w:rPr>
          <w:rFonts w:hint="eastAsia" w:ascii="宋体" w:hAnsi="宋体" w:eastAsia="宋体" w:cs="宋体"/>
          <w:color w:val="auto"/>
          <w:sz w:val="24"/>
          <w:szCs w:val="24"/>
        </w:rPr>
        <w:t>服务。</w:t>
      </w:r>
    </w:p>
    <w:p w14:paraId="7853C28E">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7、我方同意按竞争性磋商文件规定，遵守贵方有关招标的各项规定。</w:t>
      </w:r>
    </w:p>
    <w:p w14:paraId="7177914C">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有效期为自响应文件提交截止之日起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日历天。</w:t>
      </w:r>
    </w:p>
    <w:p w14:paraId="57493559">
      <w:pPr>
        <w:keepNext w:val="0"/>
        <w:keepLines w:val="0"/>
        <w:pageBreakBefore w:val="0"/>
        <w:widowControl w:val="0"/>
        <w:kinsoku/>
        <w:wordWrap/>
        <w:overflowPunct/>
        <w:topLinePunct w:val="0"/>
        <w:autoSpaceDE/>
        <w:autoSpaceDN/>
        <w:bidi w:val="0"/>
        <w:adjustRightInd/>
        <w:snapToGrid/>
        <w:spacing w:line="460" w:lineRule="exact"/>
        <w:ind w:firstLine="470" w:firstLineChars="196"/>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、所有关于本项目的函电，请按下列地址联系：</w:t>
      </w:r>
    </w:p>
    <w:p w14:paraId="4C80223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w:t>
      </w:r>
      <w:r>
        <w:rPr>
          <w:rFonts w:hint="eastAsia" w:ascii="宋体" w:hAnsi="宋体" w:eastAsia="宋体" w:cs="宋体"/>
          <w:color w:val="auto"/>
          <w:sz w:val="24"/>
          <w:szCs w:val="24"/>
          <w:lang w:val="en-US" w:eastAsia="zh-CN"/>
        </w:rPr>
        <w:t>全称</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p>
    <w:p w14:paraId="16D460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详 细 地 址：</w:t>
      </w:r>
      <w:r>
        <w:rPr>
          <w:rFonts w:hint="eastAsia" w:ascii="宋体" w:hAnsi="宋体" w:eastAsia="宋体" w:cs="宋体"/>
          <w:color w:val="auto"/>
          <w:sz w:val="24"/>
          <w:szCs w:val="24"/>
          <w:u w:val="single"/>
        </w:rPr>
        <w:t xml:space="preserve">                                         </w:t>
      </w:r>
    </w:p>
    <w:p w14:paraId="2EC99ED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邮 政 编 码：</w:t>
      </w:r>
      <w:r>
        <w:rPr>
          <w:rFonts w:hint="eastAsia" w:ascii="宋体" w:hAnsi="宋体" w:eastAsia="宋体" w:cs="宋体"/>
          <w:color w:val="auto"/>
          <w:sz w:val="24"/>
          <w:szCs w:val="24"/>
          <w:u w:val="single"/>
        </w:rPr>
        <w:t xml:space="preserve">                                         </w:t>
      </w:r>
    </w:p>
    <w:p w14:paraId="09CE309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电       话：</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4F84F3C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传       真：</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zh-CN"/>
        </w:rPr>
        <w:t xml:space="preserve"> </w:t>
      </w:r>
    </w:p>
    <w:p w14:paraId="17E10D4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电 子 邮 件：</w:t>
      </w:r>
      <w:r>
        <w:rPr>
          <w:rFonts w:hint="eastAsia" w:ascii="宋体" w:hAnsi="宋体" w:eastAsia="宋体" w:cs="宋体"/>
          <w:color w:val="auto"/>
          <w:sz w:val="24"/>
          <w:szCs w:val="24"/>
          <w:u w:val="single"/>
        </w:rPr>
        <w:t xml:space="preserve">                                         </w:t>
      </w:r>
    </w:p>
    <w:p w14:paraId="7B04302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开 户 银 行：</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5227700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帐       号：</w:t>
      </w:r>
      <w:r>
        <w:rPr>
          <w:rFonts w:hint="eastAsia" w:ascii="宋体" w:hAnsi="宋体" w:eastAsia="宋体" w:cs="宋体"/>
          <w:color w:val="auto"/>
          <w:sz w:val="24"/>
          <w:szCs w:val="24"/>
          <w:u w:val="single"/>
          <w:lang w:val="zh-CN"/>
        </w:rPr>
        <w:t xml:space="preserve">                   </w:t>
      </w:r>
      <w:r>
        <w:rPr>
          <w:rFonts w:hint="eastAsia" w:ascii="宋体" w:hAnsi="宋体" w:eastAsia="宋体" w:cs="宋体"/>
          <w:color w:val="auto"/>
          <w:sz w:val="24"/>
          <w:szCs w:val="24"/>
          <w:u w:val="single"/>
        </w:rPr>
        <w:t xml:space="preserve">                      </w:t>
      </w:r>
    </w:p>
    <w:p w14:paraId="14A34E1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000000" w:themeColor="text1"/>
          <w:szCs w:val="24"/>
          <w:u w:val="single"/>
          <w14:textFill>
            <w14:solidFill>
              <w14:schemeClr w14:val="tx1"/>
            </w14:solidFill>
          </w14:textFill>
        </w:rPr>
      </w:pPr>
      <w:r>
        <w:rPr>
          <w:rFonts w:hint="eastAsia" w:ascii="宋体" w:hAnsi="宋体" w:eastAsia="宋体" w:cs="宋体"/>
          <w:color w:val="auto"/>
          <w:sz w:val="24"/>
          <w:szCs w:val="24"/>
          <w:u w:val="none"/>
          <w:lang w:val="en-US" w:eastAsia="zh-CN"/>
        </w:rPr>
        <w:t>日       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color w:val="000000" w:themeColor="text1"/>
          <w14:textFill>
            <w14:solidFill>
              <w14:schemeClr w14:val="tx1"/>
            </w14:solidFill>
          </w14:textFill>
        </w:rPr>
        <w:br w:type="page"/>
      </w:r>
    </w:p>
    <w:p w14:paraId="2BBE60E5">
      <w:pPr>
        <w:pStyle w:val="56"/>
        <w:spacing w:line="480" w:lineRule="auto"/>
        <w:ind w:firstLine="0" w:firstLineChars="0"/>
        <w:jc w:val="center"/>
        <w:rPr>
          <w:rFonts w:hint="eastAsia" w:ascii="宋体" w:hAnsi="宋体" w:eastAsia="宋体" w:cs="宋体"/>
          <w:b/>
          <w:color w:val="000000" w:themeColor="text1"/>
          <w:sz w:val="24"/>
          <w:szCs w:val="21"/>
          <w14:textFill>
            <w14:solidFill>
              <w14:schemeClr w14:val="tx1"/>
            </w14:solidFill>
          </w14:textFill>
        </w:rPr>
      </w:pPr>
      <w:r>
        <w:rPr>
          <w:rFonts w:hint="eastAsia" w:ascii="宋体" w:hAnsi="宋体" w:eastAsia="宋体" w:cs="宋体"/>
          <w:b/>
          <w:color w:val="000000" w:themeColor="text1"/>
          <w:sz w:val="24"/>
          <w:szCs w:val="21"/>
          <w14:textFill>
            <w14:solidFill>
              <w14:schemeClr w14:val="tx1"/>
            </w14:solidFill>
          </w14:textFill>
        </w:rPr>
        <w:t>2.第一次磋商报价表</w:t>
      </w:r>
    </w:p>
    <w:bookmarkEnd w:id="93"/>
    <w:bookmarkEnd w:id="94"/>
    <w:bookmarkEnd w:id="95"/>
    <w:bookmarkEnd w:id="96"/>
    <w:p w14:paraId="00127BB3">
      <w:pPr>
        <w:spacing w:line="480" w:lineRule="exact"/>
        <w:ind w:left="240" w:leftChars="100"/>
        <w:jc w:val="center"/>
        <w:rPr>
          <w:rFonts w:hint="eastAsia" w:ascii="宋体" w:hAnsi="宋体" w:eastAsia="宋体" w:cs="宋体"/>
          <w:sz w:val="4"/>
          <w:szCs w:val="4"/>
        </w:rPr>
      </w:pPr>
      <w:bookmarkStart w:id="97" w:name="_Toc22781"/>
      <w:bookmarkStart w:id="98" w:name="_Toc233435985"/>
      <w:bookmarkStart w:id="99" w:name="_Toc128557265"/>
      <w:bookmarkStart w:id="100" w:name="_Toc193187105"/>
      <w:bookmarkStart w:id="101" w:name="_Toc194663926"/>
      <w:bookmarkStart w:id="102" w:name="_Toc193126889"/>
      <w:bookmarkStart w:id="103" w:name="_Toc188808840"/>
    </w:p>
    <w:p w14:paraId="0E9A843D">
      <w:pPr>
        <w:spacing w:line="480" w:lineRule="exact"/>
        <w:rPr>
          <w:rFonts w:hint="eastAsia" w:ascii="宋体" w:hAnsi="宋体" w:eastAsia="宋体" w:cs="宋体"/>
          <w:bCs/>
          <w:kern w:val="0"/>
        </w:rPr>
      </w:pPr>
      <w:r>
        <w:rPr>
          <w:rFonts w:hint="eastAsia" w:ascii="宋体" w:hAnsi="宋体" w:eastAsia="宋体" w:cs="宋体"/>
          <w:bCs/>
          <w:kern w:val="0"/>
        </w:rPr>
        <w:t>项目名称：</w:t>
      </w:r>
      <w:r>
        <w:rPr>
          <w:rFonts w:hint="eastAsia" w:ascii="宋体" w:hAnsi="宋体" w:eastAsia="宋体" w:cs="宋体"/>
          <w:bCs/>
          <w:kern w:val="0"/>
          <w:u w:val="single"/>
        </w:rPr>
        <w:t xml:space="preserve">                                          </w:t>
      </w:r>
    </w:p>
    <w:p w14:paraId="1D837E78">
      <w:pPr>
        <w:spacing w:line="480" w:lineRule="exact"/>
        <w:rPr>
          <w:rFonts w:hint="eastAsia" w:ascii="宋体" w:hAnsi="宋体" w:eastAsia="宋体" w:cs="宋体"/>
          <w:bCs/>
          <w:kern w:val="0"/>
          <w:u w:val="single"/>
        </w:rPr>
      </w:pPr>
      <w:r>
        <w:rPr>
          <w:rFonts w:hint="eastAsia" w:ascii="宋体" w:hAnsi="宋体" w:eastAsia="宋体" w:cs="宋体"/>
          <w:bCs/>
          <w:kern w:val="0"/>
        </w:rPr>
        <w:t>项目编号：</w:t>
      </w:r>
      <w:r>
        <w:rPr>
          <w:rFonts w:hint="eastAsia" w:ascii="宋体" w:hAnsi="宋体" w:eastAsia="宋体" w:cs="宋体"/>
          <w:bCs/>
          <w:kern w:val="0"/>
          <w:u w:val="single"/>
        </w:rPr>
        <w:t xml:space="preserve">                                          </w:t>
      </w:r>
    </w:p>
    <w:tbl>
      <w:tblPr>
        <w:tblStyle w:val="37"/>
        <w:tblpPr w:leftFromText="180" w:rightFromText="180" w:vertAnchor="text" w:horzAnchor="page" w:tblpX="1767" w:tblpY="195"/>
        <w:tblOverlap w:val="never"/>
        <w:tblW w:w="48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56"/>
        <w:gridCol w:w="6154"/>
      </w:tblGrid>
      <w:tr w14:paraId="2890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7F765F39">
            <w:pPr>
              <w:spacing w:line="480" w:lineRule="exact"/>
              <w:jc w:val="center"/>
              <w:rPr>
                <w:rFonts w:hint="eastAsia" w:ascii="宋体" w:hAnsi="宋体" w:eastAsia="宋体" w:cs="宋体"/>
              </w:rPr>
            </w:pPr>
            <w:r>
              <w:rPr>
                <w:rFonts w:hint="eastAsia" w:ascii="宋体" w:hAnsi="宋体" w:eastAsia="宋体" w:cs="宋体"/>
              </w:rPr>
              <w:t>1</w:t>
            </w:r>
          </w:p>
        </w:tc>
        <w:tc>
          <w:tcPr>
            <w:tcW w:w="1184" w:type="pct"/>
            <w:vAlign w:val="center"/>
          </w:tcPr>
          <w:p w14:paraId="3D33A86B">
            <w:pPr>
              <w:spacing w:line="480" w:lineRule="exact"/>
              <w:jc w:val="center"/>
              <w:rPr>
                <w:rFonts w:hint="eastAsia" w:ascii="宋体" w:hAnsi="宋体" w:eastAsia="宋体" w:cs="宋体"/>
              </w:rPr>
            </w:pPr>
            <w:r>
              <w:rPr>
                <w:rFonts w:hint="eastAsia" w:ascii="宋体" w:hAnsi="宋体" w:eastAsia="宋体" w:cs="宋体"/>
              </w:rPr>
              <w:t>供应商名称</w:t>
            </w:r>
          </w:p>
        </w:tc>
        <w:tc>
          <w:tcPr>
            <w:tcW w:w="3379" w:type="pct"/>
            <w:vAlign w:val="center"/>
          </w:tcPr>
          <w:p w14:paraId="1951B036">
            <w:pPr>
              <w:spacing w:line="480" w:lineRule="exact"/>
              <w:rPr>
                <w:rFonts w:hint="eastAsia" w:ascii="宋体" w:hAnsi="宋体" w:eastAsia="宋体" w:cs="宋体"/>
                <w:bCs/>
              </w:rPr>
            </w:pPr>
          </w:p>
        </w:tc>
      </w:tr>
      <w:tr w14:paraId="58D4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Merge w:val="restart"/>
            <w:vAlign w:val="center"/>
          </w:tcPr>
          <w:p w14:paraId="521D8B0F">
            <w:pPr>
              <w:spacing w:line="480" w:lineRule="exact"/>
              <w:jc w:val="center"/>
              <w:rPr>
                <w:rFonts w:hint="eastAsia" w:ascii="宋体" w:hAnsi="宋体" w:eastAsia="宋体" w:cs="宋体"/>
                <w:bCs/>
              </w:rPr>
            </w:pPr>
            <w:r>
              <w:rPr>
                <w:rFonts w:hint="eastAsia" w:ascii="宋体" w:hAnsi="宋体" w:eastAsia="宋体" w:cs="宋体"/>
              </w:rPr>
              <w:t>2</w:t>
            </w:r>
          </w:p>
        </w:tc>
        <w:tc>
          <w:tcPr>
            <w:tcW w:w="1184" w:type="pct"/>
            <w:vMerge w:val="restart"/>
            <w:vAlign w:val="center"/>
          </w:tcPr>
          <w:p w14:paraId="10F08104">
            <w:pPr>
              <w:spacing w:line="480" w:lineRule="exact"/>
              <w:jc w:val="center"/>
              <w:rPr>
                <w:rFonts w:hint="eastAsia" w:ascii="宋体" w:hAnsi="宋体" w:eastAsia="宋体" w:cs="宋体"/>
              </w:rPr>
            </w:pPr>
            <w:r>
              <w:rPr>
                <w:rFonts w:hint="eastAsia" w:ascii="宋体" w:hAnsi="宋体" w:eastAsia="宋体" w:cs="宋体"/>
              </w:rPr>
              <w:t>磋商报价</w:t>
            </w:r>
          </w:p>
          <w:p w14:paraId="6012916C">
            <w:pPr>
              <w:spacing w:line="480" w:lineRule="exact"/>
              <w:jc w:val="center"/>
              <w:rPr>
                <w:rFonts w:hint="eastAsia" w:ascii="宋体" w:hAnsi="宋体" w:eastAsia="宋体" w:cs="宋体"/>
              </w:rPr>
            </w:pPr>
            <w:r>
              <w:rPr>
                <w:rFonts w:hint="eastAsia" w:ascii="宋体" w:hAnsi="宋体" w:eastAsia="宋体" w:cs="宋体"/>
              </w:rPr>
              <w:t>（元）</w:t>
            </w:r>
          </w:p>
        </w:tc>
        <w:tc>
          <w:tcPr>
            <w:tcW w:w="3379" w:type="pct"/>
            <w:vAlign w:val="center"/>
          </w:tcPr>
          <w:p w14:paraId="712AB505">
            <w:pPr>
              <w:spacing w:line="480" w:lineRule="exact"/>
              <w:rPr>
                <w:rFonts w:hint="eastAsia" w:ascii="宋体" w:hAnsi="宋体" w:eastAsia="宋体" w:cs="宋体"/>
                <w:bCs/>
              </w:rPr>
            </w:pPr>
            <w:r>
              <w:rPr>
                <w:rFonts w:hint="eastAsia" w:ascii="宋体" w:hAnsi="宋体" w:eastAsia="宋体" w:cs="宋体"/>
                <w:bCs/>
              </w:rPr>
              <w:t>大 写：</w:t>
            </w:r>
          </w:p>
        </w:tc>
      </w:tr>
      <w:tr w14:paraId="03B2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Merge w:val="continue"/>
            <w:vAlign w:val="center"/>
          </w:tcPr>
          <w:p w14:paraId="7A8E9EF3">
            <w:pPr>
              <w:spacing w:line="480" w:lineRule="exact"/>
              <w:jc w:val="center"/>
              <w:rPr>
                <w:rFonts w:hint="eastAsia" w:ascii="宋体" w:hAnsi="宋体" w:eastAsia="宋体" w:cs="宋体"/>
                <w:bCs/>
              </w:rPr>
            </w:pPr>
          </w:p>
        </w:tc>
        <w:tc>
          <w:tcPr>
            <w:tcW w:w="1184" w:type="pct"/>
            <w:vMerge w:val="continue"/>
            <w:vAlign w:val="center"/>
          </w:tcPr>
          <w:p w14:paraId="5618E583">
            <w:pPr>
              <w:spacing w:line="480" w:lineRule="exact"/>
              <w:jc w:val="center"/>
              <w:rPr>
                <w:rFonts w:hint="eastAsia" w:ascii="宋体" w:hAnsi="宋体" w:eastAsia="宋体" w:cs="宋体"/>
                <w:bCs/>
              </w:rPr>
            </w:pPr>
          </w:p>
        </w:tc>
        <w:tc>
          <w:tcPr>
            <w:tcW w:w="3379" w:type="pct"/>
            <w:vAlign w:val="center"/>
          </w:tcPr>
          <w:p w14:paraId="7DF53219">
            <w:pPr>
              <w:spacing w:line="480" w:lineRule="exact"/>
              <w:rPr>
                <w:rFonts w:hint="eastAsia" w:ascii="宋体" w:hAnsi="宋体" w:eastAsia="宋体" w:cs="宋体"/>
                <w:bCs/>
              </w:rPr>
            </w:pPr>
            <w:r>
              <w:rPr>
                <w:rFonts w:hint="eastAsia" w:ascii="宋体" w:hAnsi="宋体" w:eastAsia="宋体" w:cs="宋体"/>
                <w:bCs/>
              </w:rPr>
              <w:t>小 写：</w:t>
            </w:r>
          </w:p>
        </w:tc>
      </w:tr>
      <w:tr w14:paraId="1972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2F6715C0">
            <w:pPr>
              <w:spacing w:line="480" w:lineRule="exact"/>
              <w:jc w:val="center"/>
              <w:rPr>
                <w:rFonts w:hint="eastAsia" w:ascii="宋体" w:hAnsi="宋体" w:eastAsia="宋体" w:cs="宋体"/>
              </w:rPr>
            </w:pPr>
            <w:r>
              <w:rPr>
                <w:rFonts w:hint="eastAsia" w:ascii="宋体" w:hAnsi="宋体" w:eastAsia="宋体" w:cs="宋体"/>
              </w:rPr>
              <w:t>3</w:t>
            </w:r>
          </w:p>
        </w:tc>
        <w:tc>
          <w:tcPr>
            <w:tcW w:w="1184" w:type="pct"/>
            <w:vAlign w:val="center"/>
          </w:tcPr>
          <w:p w14:paraId="257B2613">
            <w:pPr>
              <w:spacing w:line="480" w:lineRule="exact"/>
              <w:jc w:val="center"/>
              <w:rPr>
                <w:rFonts w:hint="eastAsia" w:ascii="宋体" w:hAnsi="宋体" w:eastAsia="宋体" w:cs="宋体"/>
              </w:rPr>
            </w:pPr>
            <w:r>
              <w:rPr>
                <w:rFonts w:hint="eastAsia" w:ascii="宋体" w:hAnsi="宋体" w:eastAsia="宋体" w:cs="宋体"/>
              </w:rPr>
              <w:t>工  期</w:t>
            </w:r>
          </w:p>
          <w:p w14:paraId="72D4EF64">
            <w:pPr>
              <w:spacing w:line="480" w:lineRule="exact"/>
              <w:jc w:val="center"/>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日历天</w:t>
            </w:r>
            <w:r>
              <w:rPr>
                <w:rFonts w:hint="eastAsia" w:ascii="宋体" w:hAnsi="宋体" w:eastAsia="宋体" w:cs="宋体"/>
                <w:lang w:eastAsia="zh-CN"/>
              </w:rPr>
              <w:t>）</w:t>
            </w:r>
          </w:p>
        </w:tc>
        <w:tc>
          <w:tcPr>
            <w:tcW w:w="3379" w:type="pct"/>
            <w:vAlign w:val="center"/>
          </w:tcPr>
          <w:p w14:paraId="3FDE6C35">
            <w:pPr>
              <w:spacing w:line="480" w:lineRule="exact"/>
              <w:rPr>
                <w:rFonts w:hint="eastAsia" w:ascii="宋体" w:hAnsi="宋体" w:eastAsia="宋体" w:cs="宋体"/>
              </w:rPr>
            </w:pPr>
          </w:p>
        </w:tc>
      </w:tr>
      <w:tr w14:paraId="7BC6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435" w:type="pct"/>
            <w:vAlign w:val="center"/>
          </w:tcPr>
          <w:p w14:paraId="3937A6F8">
            <w:pPr>
              <w:spacing w:line="480" w:lineRule="exact"/>
              <w:jc w:val="center"/>
              <w:rPr>
                <w:rFonts w:hint="eastAsia" w:ascii="宋体" w:hAnsi="宋体" w:eastAsia="宋体" w:cs="宋体"/>
              </w:rPr>
            </w:pPr>
            <w:r>
              <w:rPr>
                <w:rFonts w:hint="eastAsia" w:ascii="宋体" w:hAnsi="宋体" w:eastAsia="宋体" w:cs="宋体"/>
              </w:rPr>
              <w:t>4</w:t>
            </w:r>
          </w:p>
        </w:tc>
        <w:tc>
          <w:tcPr>
            <w:tcW w:w="1184" w:type="pct"/>
            <w:vAlign w:val="center"/>
          </w:tcPr>
          <w:p w14:paraId="425EB6C4">
            <w:pPr>
              <w:spacing w:line="480" w:lineRule="exact"/>
              <w:jc w:val="center"/>
              <w:rPr>
                <w:rFonts w:hint="eastAsia" w:ascii="宋体" w:hAnsi="宋体" w:eastAsia="宋体" w:cs="宋体"/>
                <w:lang w:val="en-US" w:eastAsia="zh-CN"/>
              </w:rPr>
            </w:pPr>
            <w:r>
              <w:rPr>
                <w:rFonts w:hint="eastAsia" w:ascii="宋体" w:hAnsi="宋体" w:eastAsia="宋体" w:cs="宋体"/>
              </w:rPr>
              <w:t>质量</w:t>
            </w:r>
          </w:p>
        </w:tc>
        <w:tc>
          <w:tcPr>
            <w:tcW w:w="3379" w:type="pct"/>
            <w:vAlign w:val="center"/>
          </w:tcPr>
          <w:p w14:paraId="6337F31B">
            <w:pPr>
              <w:spacing w:line="480" w:lineRule="exact"/>
              <w:jc w:val="left"/>
              <w:rPr>
                <w:rFonts w:hint="eastAsia" w:ascii="宋体" w:hAnsi="宋体" w:eastAsia="宋体" w:cs="宋体"/>
                <w:u w:val="single"/>
              </w:rPr>
            </w:pPr>
          </w:p>
        </w:tc>
      </w:tr>
      <w:tr w14:paraId="7229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435" w:type="pct"/>
            <w:tcBorders>
              <w:bottom w:val="single" w:color="auto" w:sz="4" w:space="0"/>
            </w:tcBorders>
            <w:vAlign w:val="center"/>
          </w:tcPr>
          <w:p w14:paraId="1FF54731">
            <w:pPr>
              <w:kinsoku w:val="0"/>
              <w:spacing w:line="480" w:lineRule="exact"/>
              <w:jc w:val="center"/>
              <w:rPr>
                <w:rFonts w:hint="eastAsia" w:ascii="宋体" w:hAnsi="宋体" w:eastAsia="宋体" w:cs="宋体"/>
                <w:b/>
              </w:rPr>
            </w:pPr>
            <w:r>
              <w:rPr>
                <w:rFonts w:hint="eastAsia" w:ascii="宋体" w:hAnsi="宋体" w:eastAsia="宋体" w:cs="宋体"/>
                <w:bCs/>
              </w:rPr>
              <w:t>5</w:t>
            </w:r>
          </w:p>
        </w:tc>
        <w:tc>
          <w:tcPr>
            <w:tcW w:w="4564" w:type="pct"/>
            <w:gridSpan w:val="2"/>
            <w:tcBorders>
              <w:bottom w:val="single" w:color="auto" w:sz="4" w:space="0"/>
            </w:tcBorders>
            <w:vAlign w:val="center"/>
          </w:tcPr>
          <w:p w14:paraId="0D93D32F">
            <w:pPr>
              <w:kinsoku w:val="0"/>
              <w:spacing w:line="480" w:lineRule="exact"/>
              <w:rPr>
                <w:rFonts w:hint="eastAsia" w:ascii="宋体" w:hAnsi="宋体" w:eastAsia="宋体" w:cs="宋体"/>
              </w:rPr>
            </w:pPr>
            <w:r>
              <w:rPr>
                <w:rFonts w:hint="eastAsia" w:ascii="宋体" w:hAnsi="宋体" w:eastAsia="宋体" w:cs="宋体"/>
                <w:b/>
              </w:rPr>
              <w:t>备注：精确到小数点后两位，大小写不一致时，以大写为准。</w:t>
            </w:r>
          </w:p>
        </w:tc>
      </w:tr>
    </w:tbl>
    <w:p w14:paraId="2F488D1A">
      <w:pPr>
        <w:spacing w:line="480" w:lineRule="exact"/>
        <w:rPr>
          <w:rFonts w:hint="eastAsia" w:ascii="宋体" w:hAnsi="宋体" w:eastAsia="宋体" w:cs="宋体"/>
          <w:bCs/>
          <w:kern w:val="0"/>
        </w:rPr>
      </w:pPr>
      <w:r>
        <w:rPr>
          <w:rFonts w:hint="eastAsia" w:ascii="宋体" w:hAnsi="宋体" w:eastAsia="宋体" w:cs="宋体"/>
          <w:bCs/>
          <w:kern w:val="0"/>
        </w:rPr>
        <w:t>注：1、本表价格应按总价填写，同时应保证磋商响应文件的正、副本中仍有此表且一致。</w:t>
      </w:r>
    </w:p>
    <w:p w14:paraId="3C43BBB6">
      <w:pPr>
        <w:spacing w:line="480" w:lineRule="exact"/>
        <w:rPr>
          <w:rFonts w:hint="eastAsia" w:ascii="宋体" w:hAnsi="宋体" w:eastAsia="宋体" w:cs="宋体"/>
          <w:bCs/>
          <w:kern w:val="0"/>
        </w:rPr>
      </w:pPr>
      <w:r>
        <w:rPr>
          <w:rFonts w:hint="eastAsia" w:ascii="宋体" w:hAnsi="宋体" w:eastAsia="宋体" w:cs="宋体"/>
          <w:bCs/>
          <w:kern w:val="0"/>
        </w:rPr>
        <w:t>2、报价精确到小数点后两位。</w:t>
      </w:r>
    </w:p>
    <w:p w14:paraId="4790F776">
      <w:pPr>
        <w:spacing w:line="480" w:lineRule="exact"/>
        <w:rPr>
          <w:rFonts w:hint="eastAsia" w:ascii="宋体" w:hAnsi="宋体" w:eastAsia="宋体" w:cs="宋体"/>
          <w:bCs/>
          <w:kern w:val="0"/>
        </w:rPr>
      </w:pPr>
    </w:p>
    <w:p w14:paraId="692E3302">
      <w:pPr>
        <w:spacing w:line="480" w:lineRule="exact"/>
        <w:rPr>
          <w:rFonts w:hint="eastAsia" w:ascii="宋体" w:hAnsi="宋体" w:eastAsia="宋体" w:cs="宋体"/>
          <w:bCs/>
          <w:kern w:val="0"/>
        </w:rPr>
      </w:pPr>
    </w:p>
    <w:p w14:paraId="4DCBD79E">
      <w:pPr>
        <w:spacing w:line="480" w:lineRule="exact"/>
        <w:ind w:firstLine="2880" w:firstLineChars="1200"/>
        <w:rPr>
          <w:rFonts w:hint="eastAsia" w:ascii="宋体" w:hAnsi="宋体" w:eastAsia="宋体" w:cs="宋体"/>
          <w:bCs/>
          <w:kern w:val="0"/>
        </w:rPr>
      </w:pPr>
      <w:r>
        <w:rPr>
          <w:rFonts w:hint="eastAsia" w:ascii="宋体" w:hAnsi="宋体" w:eastAsia="宋体" w:cs="宋体"/>
          <w:bCs/>
          <w:kern w:val="0"/>
        </w:rPr>
        <w:t>供应商名称：</w:t>
      </w:r>
      <w:r>
        <w:rPr>
          <w:rFonts w:hint="eastAsia" w:ascii="宋体" w:hAnsi="宋体" w:eastAsia="宋体" w:cs="宋体"/>
          <w:bCs/>
          <w:kern w:val="0"/>
          <w:u w:val="single"/>
        </w:rPr>
        <w:t xml:space="preserve">                             </w:t>
      </w:r>
      <w:r>
        <w:rPr>
          <w:rFonts w:hint="eastAsia" w:ascii="宋体" w:hAnsi="宋体" w:eastAsia="宋体" w:cs="宋体"/>
          <w:bCs/>
          <w:kern w:val="0"/>
        </w:rPr>
        <w:t>（盖章）</w:t>
      </w:r>
    </w:p>
    <w:p w14:paraId="73AED537">
      <w:pPr>
        <w:spacing w:line="480" w:lineRule="exact"/>
        <w:ind w:firstLine="2880" w:firstLineChars="1200"/>
        <w:rPr>
          <w:rFonts w:hint="eastAsia" w:ascii="宋体" w:hAnsi="宋体" w:eastAsia="宋体" w:cs="宋体"/>
          <w:bCs/>
          <w:kern w:val="0"/>
        </w:rPr>
      </w:pPr>
      <w:r>
        <w:rPr>
          <w:rFonts w:hint="eastAsia" w:ascii="宋体" w:hAnsi="宋体" w:eastAsia="宋体" w:cs="宋体"/>
          <w:bCs/>
          <w:kern w:val="0"/>
        </w:rPr>
        <w:t>法定代表人或授权代表：</w:t>
      </w:r>
      <w:r>
        <w:rPr>
          <w:rFonts w:hint="eastAsia" w:ascii="宋体" w:hAnsi="宋体" w:eastAsia="宋体" w:cs="宋体"/>
          <w:bCs/>
          <w:kern w:val="0"/>
          <w:u w:val="single"/>
        </w:rPr>
        <w:t xml:space="preserve">            </w:t>
      </w:r>
      <w:r>
        <w:rPr>
          <w:rFonts w:hint="eastAsia" w:ascii="宋体" w:hAnsi="宋体" w:eastAsia="宋体" w:cs="宋体"/>
        </w:rPr>
        <w:t>（签字或盖章）</w:t>
      </w:r>
    </w:p>
    <w:p w14:paraId="0F454DFC">
      <w:pPr>
        <w:spacing w:line="480" w:lineRule="exact"/>
        <w:ind w:firstLine="2880" w:firstLineChars="1200"/>
        <w:rPr>
          <w:rFonts w:hint="eastAsia" w:ascii="宋体" w:hAnsi="宋体" w:eastAsia="宋体" w:cs="宋体"/>
          <w:bCs/>
          <w:kern w:val="0"/>
        </w:rPr>
      </w:pPr>
      <w:r>
        <w:rPr>
          <w:rFonts w:hint="eastAsia" w:ascii="宋体" w:hAnsi="宋体" w:eastAsia="宋体" w:cs="宋体"/>
        </w:rPr>
        <w:t>日      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674873F">
      <w:pPr>
        <w:pStyle w:val="23"/>
        <w:spacing w:line="480" w:lineRule="exact"/>
        <w:rPr>
          <w:rFonts w:hint="eastAsia" w:ascii="宋体" w:hAnsi="宋体" w:eastAsia="宋体" w:cs="宋体"/>
        </w:rPr>
      </w:pPr>
    </w:p>
    <w:p w14:paraId="5FC399E9">
      <w:pPr>
        <w:spacing w:line="480" w:lineRule="exact"/>
        <w:ind w:left="240" w:leftChars="100"/>
        <w:jc w:val="center"/>
        <w:rPr>
          <w:rFonts w:hint="eastAsia" w:ascii="宋体" w:hAnsi="宋体" w:eastAsia="宋体" w:cs="宋体"/>
          <w:sz w:val="28"/>
          <w:szCs w:val="28"/>
        </w:rPr>
      </w:pPr>
    </w:p>
    <w:p w14:paraId="2B5673B3">
      <w:pPr>
        <w:pStyle w:val="13"/>
        <w:rPr>
          <w:rFonts w:hint="eastAsia" w:ascii="宋体" w:hAnsi="宋体" w:eastAsia="宋体" w:cs="宋体"/>
          <w:sz w:val="28"/>
          <w:szCs w:val="28"/>
        </w:rPr>
      </w:pPr>
    </w:p>
    <w:p w14:paraId="00E94583">
      <w:pPr>
        <w:rPr>
          <w:rFonts w:hint="eastAsia" w:ascii="宋体" w:hAnsi="宋体" w:eastAsia="宋体" w:cs="宋体"/>
        </w:rPr>
      </w:pPr>
    </w:p>
    <w:p w14:paraId="65ABC220">
      <w:pPr>
        <w:spacing w:line="480" w:lineRule="exact"/>
        <w:ind w:left="240" w:leftChars="100"/>
        <w:jc w:val="center"/>
        <w:rPr>
          <w:rFonts w:hint="eastAsia" w:ascii="宋体" w:hAnsi="宋体" w:eastAsia="宋体" w:cs="宋体"/>
          <w:b/>
          <w:color w:val="000000" w:themeColor="text1"/>
          <w:kern w:val="0"/>
          <w:sz w:val="24"/>
          <w:szCs w:val="21"/>
          <w14:textFill>
            <w14:solidFill>
              <w14:schemeClr w14:val="tx1"/>
            </w14:solidFill>
          </w14:textFill>
        </w:rPr>
      </w:pPr>
    </w:p>
    <w:p w14:paraId="392BF0A9">
      <w:pPr>
        <w:spacing w:line="480" w:lineRule="exact"/>
        <w:ind w:left="240" w:leftChars="100"/>
        <w:jc w:val="center"/>
        <w:rPr>
          <w:rFonts w:hint="eastAsia" w:ascii="宋体" w:hAnsi="宋体" w:eastAsia="宋体" w:cs="宋体"/>
          <w:b/>
          <w:color w:val="000000" w:themeColor="text1"/>
          <w:kern w:val="0"/>
          <w:sz w:val="24"/>
          <w:szCs w:val="21"/>
          <w14:textFill>
            <w14:solidFill>
              <w14:schemeClr w14:val="tx1"/>
            </w14:solidFill>
          </w14:textFill>
        </w:rPr>
      </w:pPr>
    </w:p>
    <w:p w14:paraId="3A99B93A">
      <w:pPr>
        <w:spacing w:line="480" w:lineRule="exact"/>
        <w:ind w:left="240" w:leftChars="100"/>
        <w:jc w:val="center"/>
        <w:rPr>
          <w:rFonts w:hint="eastAsia" w:ascii="宋体" w:hAnsi="宋体" w:eastAsia="宋体" w:cs="宋体"/>
          <w:b/>
          <w:color w:val="000000" w:themeColor="text1"/>
          <w:kern w:val="0"/>
          <w:sz w:val="24"/>
          <w:szCs w:val="21"/>
          <w:lang w:eastAsia="zh-CN"/>
          <w14:textFill>
            <w14:solidFill>
              <w14:schemeClr w14:val="tx1"/>
            </w14:solidFill>
          </w14:textFill>
        </w:rPr>
      </w:pPr>
      <w:r>
        <w:rPr>
          <w:rFonts w:hint="eastAsia" w:ascii="宋体" w:hAnsi="宋体" w:eastAsia="宋体" w:cs="宋体"/>
          <w:b/>
          <w:color w:val="000000" w:themeColor="text1"/>
          <w:kern w:val="0"/>
          <w:sz w:val="24"/>
          <w:szCs w:val="21"/>
          <w14:textFill>
            <w14:solidFill>
              <w14:schemeClr w14:val="tx1"/>
            </w14:solidFill>
          </w14:textFill>
        </w:rPr>
        <w:t>3.</w:t>
      </w:r>
      <w:r>
        <w:rPr>
          <w:rFonts w:hint="eastAsia" w:ascii="宋体" w:hAnsi="宋体" w:eastAsia="宋体" w:cs="宋体"/>
          <w:kern w:val="0"/>
          <w:position w:val="4"/>
          <w:sz w:val="24"/>
          <w:szCs w:val="24"/>
        </w:rPr>
        <w:t xml:space="preserve"> </w:t>
      </w:r>
      <w:r>
        <w:rPr>
          <w:rFonts w:hint="eastAsia" w:ascii="宋体" w:hAnsi="宋体" w:eastAsia="宋体" w:cs="宋体"/>
          <w:b/>
          <w:color w:val="000000" w:themeColor="text1"/>
          <w:kern w:val="0"/>
          <w:sz w:val="24"/>
          <w:szCs w:val="21"/>
          <w:lang w:val="en-US" w:eastAsia="zh-CN"/>
          <w14:textFill>
            <w14:solidFill>
              <w14:schemeClr w14:val="tx1"/>
            </w14:solidFill>
          </w14:textFill>
        </w:rPr>
        <w:t>已标价工程量清单</w:t>
      </w:r>
    </w:p>
    <w:p w14:paraId="775BBBB8">
      <w:pPr>
        <w:pStyle w:val="29"/>
        <w:spacing w:line="480" w:lineRule="exact"/>
        <w:ind w:left="960" w:hanging="480"/>
        <w:rPr>
          <w:rFonts w:hint="eastAsia" w:ascii="宋体" w:hAnsi="宋体" w:eastAsia="宋体" w:cs="宋体"/>
        </w:rPr>
      </w:pPr>
    </w:p>
    <w:p w14:paraId="2B0D437C">
      <w:pPr>
        <w:tabs>
          <w:tab w:val="left" w:pos="1260"/>
        </w:tabs>
        <w:spacing w:line="480" w:lineRule="exact"/>
        <w:jc w:val="center"/>
        <w:rPr>
          <w:rFonts w:hint="eastAsia" w:ascii="宋体" w:hAnsi="宋体" w:eastAsia="宋体" w:cs="宋体"/>
          <w:sz w:val="32"/>
          <w:szCs w:val="32"/>
        </w:rPr>
      </w:pPr>
    </w:p>
    <w:p w14:paraId="59FC5658">
      <w:pPr>
        <w:tabs>
          <w:tab w:val="left" w:pos="1260"/>
        </w:tabs>
        <w:spacing w:line="480" w:lineRule="exact"/>
        <w:jc w:val="center"/>
        <w:rPr>
          <w:rFonts w:hint="eastAsia" w:ascii="宋体" w:hAnsi="宋体" w:eastAsia="宋体" w:cs="宋体"/>
          <w:sz w:val="32"/>
          <w:szCs w:val="32"/>
        </w:rPr>
      </w:pPr>
    </w:p>
    <w:p w14:paraId="1F7A5281">
      <w:pPr>
        <w:tabs>
          <w:tab w:val="left" w:pos="1260"/>
        </w:tabs>
        <w:spacing w:line="480" w:lineRule="exact"/>
        <w:jc w:val="center"/>
        <w:rPr>
          <w:rFonts w:hint="eastAsia" w:ascii="宋体" w:hAnsi="宋体" w:eastAsia="宋体" w:cs="宋体"/>
          <w:sz w:val="32"/>
          <w:szCs w:val="32"/>
        </w:rPr>
      </w:pPr>
    </w:p>
    <w:p w14:paraId="36BF6404">
      <w:pPr>
        <w:tabs>
          <w:tab w:val="left" w:pos="1260"/>
        </w:tabs>
        <w:spacing w:line="480" w:lineRule="exact"/>
        <w:jc w:val="center"/>
        <w:rPr>
          <w:rFonts w:hint="eastAsia" w:ascii="宋体" w:hAnsi="宋体" w:eastAsia="宋体" w:cs="宋体"/>
          <w:sz w:val="32"/>
          <w:szCs w:val="32"/>
        </w:rPr>
      </w:pPr>
    </w:p>
    <w:p w14:paraId="556703C0">
      <w:pPr>
        <w:tabs>
          <w:tab w:val="left" w:pos="1260"/>
        </w:tabs>
        <w:spacing w:line="480" w:lineRule="exact"/>
        <w:jc w:val="center"/>
        <w:rPr>
          <w:rFonts w:hint="eastAsia" w:ascii="宋体" w:hAnsi="宋体" w:eastAsia="宋体" w:cs="宋体"/>
          <w:sz w:val="32"/>
          <w:szCs w:val="32"/>
        </w:rPr>
      </w:pPr>
    </w:p>
    <w:p w14:paraId="247169FB">
      <w:pPr>
        <w:autoSpaceDE w:val="0"/>
        <w:autoSpaceDN w:val="0"/>
        <w:adjustRightInd w:val="0"/>
        <w:snapToGrid w:val="0"/>
        <w:spacing w:line="420" w:lineRule="exact"/>
        <w:ind w:firstLine="240" w:firstLineChars="100"/>
        <w:rPr>
          <w:rFonts w:hint="eastAsia" w:ascii="宋体" w:hAnsi="宋体" w:eastAsia="宋体" w:cs="宋体"/>
          <w:color w:val="000000" w:themeColor="text1"/>
          <w:szCs w:val="24"/>
          <w:highlight w:val="green"/>
          <w:lang w:val="zh-CN"/>
          <w14:textFill>
            <w14:solidFill>
              <w14:schemeClr w14:val="tx1"/>
            </w14:solidFill>
          </w14:textFill>
        </w:rPr>
      </w:pPr>
    </w:p>
    <w:bookmarkEnd w:id="97"/>
    <w:bookmarkEnd w:id="98"/>
    <w:bookmarkEnd w:id="99"/>
    <w:p w14:paraId="49F18247">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bookmarkStart w:id="104" w:name="_Toc13908"/>
      <w:bookmarkStart w:id="105" w:name="_Toc193187104"/>
      <w:bookmarkStart w:id="106" w:name="_Toc237"/>
      <w:bookmarkStart w:id="107" w:name="_Toc193126888"/>
      <w:bookmarkStart w:id="108" w:name="_Toc194663925"/>
      <w:bookmarkStart w:id="109" w:name="_Toc458617477"/>
      <w:bookmarkStart w:id="110" w:name="_Toc188808839"/>
    </w:p>
    <w:p w14:paraId="06CD6480">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72F30C9C">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097D89A">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A7D9F2D">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3531EA9">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7E5BC096">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612C6E48">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115F567">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782A939B">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ED1E60F">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F827BD4">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283B11D7">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20A729D9">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6422586">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3BAF120">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1D05689">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DA5BAC3">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DAC10AB">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E234E52">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30D49D1">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550767B">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D0FB4A7">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B99D637">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240A92E">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EBD5086">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1205BEC">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7EA7B318">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57632952">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C780608">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069B6B1D">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E6A2622">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32E11CCD">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r>
        <w:rPr>
          <w:rFonts w:hint="eastAsia" w:ascii="宋体" w:hAnsi="宋体" w:eastAsia="宋体" w:cs="宋体"/>
          <w:b/>
          <w:color w:val="000000" w:themeColor="text1"/>
          <w:kern w:val="0"/>
          <w:sz w:val="24"/>
          <w:szCs w:val="24"/>
          <w:lang w:val="en-US" w:eastAsia="zh-CN"/>
          <w14:textFill>
            <w14:solidFill>
              <w14:schemeClr w14:val="tx1"/>
            </w14:solidFill>
          </w14:textFill>
        </w:rPr>
        <w:t>4.磋商保证金缴纳凭证</w:t>
      </w:r>
    </w:p>
    <w:p w14:paraId="153DD2E9">
      <w:pPr>
        <w:rPr>
          <w:rFonts w:hint="eastAsia" w:ascii="宋体" w:hAnsi="宋体" w:eastAsia="宋体" w:cs="宋体"/>
          <w:b/>
          <w:color w:val="000000" w:themeColor="text1"/>
          <w:kern w:val="0"/>
          <w:sz w:val="28"/>
          <w:lang w:val="en-US" w:eastAsia="zh-CN"/>
          <w14:textFill>
            <w14:solidFill>
              <w14:schemeClr w14:val="tx1"/>
            </w14:solidFill>
          </w14:textFill>
        </w:rPr>
      </w:pPr>
    </w:p>
    <w:tbl>
      <w:tblPr>
        <w:tblStyle w:val="38"/>
        <w:tblW w:w="9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14:paraId="5EA3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9" w:hRule="atLeast"/>
        </w:trPr>
        <w:tc>
          <w:tcPr>
            <w:tcW w:w="9300" w:type="dxa"/>
          </w:tcPr>
          <w:p w14:paraId="379D2944">
            <w:pPr>
              <w:spacing w:line="520" w:lineRule="exact"/>
              <w:ind w:firstLine="524" w:firstLineChars="200"/>
              <w:rPr>
                <w:rFonts w:ascii="宋体" w:hAnsi="宋体" w:eastAsia="宋体" w:cs="宋体"/>
                <w:spacing w:val="11"/>
              </w:rPr>
            </w:pPr>
          </w:p>
          <w:p w14:paraId="06046D18">
            <w:pPr>
              <w:spacing w:line="520" w:lineRule="exact"/>
              <w:ind w:firstLine="524" w:firstLineChars="200"/>
              <w:rPr>
                <w:rFonts w:ascii="宋体" w:hAnsi="宋体" w:eastAsia="宋体" w:cs="宋体"/>
                <w:spacing w:val="11"/>
              </w:rPr>
            </w:pPr>
          </w:p>
          <w:p w14:paraId="7CEB0154">
            <w:pPr>
              <w:spacing w:line="520" w:lineRule="exact"/>
              <w:ind w:firstLine="524" w:firstLineChars="200"/>
              <w:rPr>
                <w:rFonts w:ascii="宋体" w:hAnsi="宋体" w:eastAsia="宋体" w:cs="宋体"/>
                <w:spacing w:val="11"/>
              </w:rPr>
            </w:pPr>
          </w:p>
          <w:p w14:paraId="71B3F7DE">
            <w:pPr>
              <w:spacing w:line="520" w:lineRule="exact"/>
              <w:ind w:firstLine="524" w:firstLineChars="200"/>
              <w:rPr>
                <w:rFonts w:ascii="宋体" w:hAnsi="宋体" w:eastAsia="宋体" w:cs="宋体"/>
                <w:spacing w:val="11"/>
              </w:rPr>
            </w:pPr>
          </w:p>
          <w:p w14:paraId="1178DCA6">
            <w:pPr>
              <w:spacing w:line="520" w:lineRule="exact"/>
              <w:ind w:firstLine="524" w:firstLineChars="200"/>
              <w:rPr>
                <w:rFonts w:ascii="宋体" w:hAnsi="宋体" w:eastAsia="宋体" w:cs="宋体"/>
                <w:spacing w:val="11"/>
              </w:rPr>
            </w:pPr>
          </w:p>
          <w:p w14:paraId="4D1A9246">
            <w:pPr>
              <w:spacing w:line="520" w:lineRule="exact"/>
              <w:ind w:firstLine="524" w:firstLineChars="200"/>
              <w:rPr>
                <w:rFonts w:ascii="宋体" w:hAnsi="宋体" w:eastAsia="宋体" w:cs="宋体"/>
                <w:spacing w:val="11"/>
              </w:rPr>
            </w:pPr>
          </w:p>
          <w:p w14:paraId="6989AFC2">
            <w:pPr>
              <w:spacing w:line="520" w:lineRule="exact"/>
              <w:ind w:firstLine="524" w:firstLineChars="200"/>
              <w:rPr>
                <w:rFonts w:ascii="宋体" w:hAnsi="宋体" w:eastAsia="宋体" w:cs="宋体"/>
                <w:spacing w:val="11"/>
              </w:rPr>
            </w:pPr>
          </w:p>
          <w:p w14:paraId="56D72D91">
            <w:pPr>
              <w:pStyle w:val="13"/>
              <w:jc w:val="center"/>
              <w:rPr>
                <w:rFonts w:hint="eastAsia"/>
                <w:lang w:val="zh-CN"/>
              </w:rPr>
            </w:pPr>
            <w:r>
              <w:rPr>
                <w:rFonts w:hint="eastAsia"/>
                <w:lang w:val="zh-CN"/>
              </w:rPr>
              <w:t>供应商应在此提供磋商保证金</w:t>
            </w:r>
            <w:r>
              <w:rPr>
                <w:rFonts w:hint="eastAsia"/>
                <w:lang w:val="en-US" w:eastAsia="zh-CN"/>
              </w:rPr>
              <w:t>缴纳</w:t>
            </w:r>
            <w:r>
              <w:rPr>
                <w:rFonts w:hint="eastAsia"/>
                <w:lang w:val="zh-CN"/>
              </w:rPr>
              <w:t>凭证的复印件</w:t>
            </w:r>
          </w:p>
          <w:p w14:paraId="11E7F0FB">
            <w:pPr>
              <w:pStyle w:val="13"/>
            </w:pPr>
          </w:p>
        </w:tc>
      </w:tr>
    </w:tbl>
    <w:p w14:paraId="5CFE4A45">
      <w:pPr>
        <w:rPr>
          <w:rFonts w:hint="eastAsia" w:ascii="宋体" w:hAnsi="宋体" w:eastAsia="宋体" w:cs="宋体"/>
          <w:b/>
          <w:color w:val="000000" w:themeColor="text1"/>
          <w:kern w:val="0"/>
          <w:sz w:val="28"/>
          <w:lang w:val="en-US" w:eastAsia="zh-CN"/>
          <w14:textFill>
            <w14:solidFill>
              <w14:schemeClr w14:val="tx1"/>
            </w14:solidFill>
          </w14:textFill>
        </w:rPr>
      </w:pPr>
    </w:p>
    <w:p w14:paraId="3A23E4DE">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68818EB6">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2FE675DD">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1F27D2FF">
      <w:pPr>
        <w:pStyle w:val="13"/>
        <w:jc w:val="center"/>
        <w:rPr>
          <w:rFonts w:hint="eastAsia" w:ascii="宋体" w:hAnsi="宋体" w:eastAsia="宋体" w:cs="宋体"/>
          <w:b/>
          <w:color w:val="000000" w:themeColor="text1"/>
          <w:kern w:val="0"/>
          <w:sz w:val="24"/>
          <w:szCs w:val="24"/>
          <w:lang w:val="en-US" w:eastAsia="zh-CN"/>
          <w14:textFill>
            <w14:solidFill>
              <w14:schemeClr w14:val="tx1"/>
            </w14:solidFill>
          </w14:textFill>
        </w:rPr>
      </w:pPr>
    </w:p>
    <w:p w14:paraId="46A23DA3">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p>
    <w:p w14:paraId="1B61341C">
      <w:pPr>
        <w:keepNext w:val="0"/>
        <w:keepLines w:val="0"/>
        <w:pageBreakBefore w:val="0"/>
        <w:kinsoku/>
        <w:wordWrap/>
        <w:overflowPunct/>
        <w:topLinePunct w:val="0"/>
        <w:autoSpaceDE/>
        <w:autoSpaceDN/>
        <w:bidi w:val="0"/>
        <w:adjustRightInd/>
        <w:snapToGrid/>
        <w:spacing w:line="500" w:lineRule="exact"/>
        <w:ind w:firstLine="3614" w:firstLineChars="1500"/>
        <w:jc w:val="left"/>
        <w:textAlignment w:val="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交易保证金信用承诺书</w:t>
      </w:r>
    </w:p>
    <w:p w14:paraId="5F88CED4">
      <w:pPr>
        <w:pStyle w:val="13"/>
        <w:spacing w:line="360" w:lineRule="auto"/>
        <w:rPr>
          <w:rFonts w:hint="eastAsia"/>
          <w:u w:val="single"/>
        </w:rPr>
      </w:pPr>
      <w:r>
        <w:rPr>
          <w:rFonts w:hint="eastAsia"/>
          <w:u w:val="single"/>
        </w:rPr>
        <w:t>(招标采购单位名称):</w:t>
      </w:r>
    </w:p>
    <w:p w14:paraId="7652346B">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为维护公平、公正、公开的招标采购市场秩序，树立诚实守信的投标人供应商形象，我单位自愿作出以下承诺:</w:t>
      </w:r>
    </w:p>
    <w:p w14:paraId="163A9DC5">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单位名称:</w:t>
      </w:r>
      <w:r>
        <w:rPr>
          <w:rFonts w:hint="eastAsia"/>
          <w:u w:val="single"/>
          <w:lang w:val="en-US" w:eastAsia="zh-CN"/>
        </w:rPr>
        <w:t xml:space="preserve">                                                     </w:t>
      </w:r>
    </w:p>
    <w:p w14:paraId="77977338">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统一社会信用代码:</w:t>
      </w:r>
      <w:r>
        <w:rPr>
          <w:rFonts w:hint="eastAsia"/>
          <w:u w:val="single"/>
          <w:lang w:val="en-US" w:eastAsia="zh-CN"/>
        </w:rPr>
        <w:t xml:space="preserve">                                             </w:t>
      </w:r>
    </w:p>
    <w:p w14:paraId="55B50CD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法定代表人:</w:t>
      </w:r>
      <w:r>
        <w:rPr>
          <w:rFonts w:hint="eastAsia"/>
          <w:u w:val="single"/>
          <w:lang w:val="en-US" w:eastAsia="zh-CN"/>
        </w:rPr>
        <w:t xml:space="preserve">                                                   </w:t>
      </w:r>
    </w:p>
    <w:p w14:paraId="599B2E8A">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u w:val="single"/>
          <w:lang w:val="en-US" w:eastAsia="zh-CN"/>
        </w:rPr>
      </w:pPr>
      <w:r>
        <w:rPr>
          <w:rFonts w:hint="eastAsia"/>
        </w:rPr>
        <w:t>地址和联系电话:</w:t>
      </w:r>
      <w:r>
        <w:rPr>
          <w:rFonts w:hint="eastAsia"/>
          <w:u w:val="single"/>
          <w:lang w:val="en-US" w:eastAsia="zh-CN"/>
        </w:rPr>
        <w:t xml:space="preserve">                                               </w:t>
      </w:r>
    </w:p>
    <w:p w14:paraId="4F791670">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一、我单位具备承担招标采购项目的能力，自愿参加</w:t>
      </w:r>
      <w:r>
        <w:rPr>
          <w:rFonts w:hint="eastAsia"/>
          <w:u w:val="single"/>
          <w:lang w:val="en-US" w:eastAsia="zh-CN"/>
        </w:rPr>
        <w:t xml:space="preserve">            </w:t>
      </w:r>
      <w:r>
        <w:rPr>
          <w:rFonts w:hint="eastAsia"/>
          <w:u w:val="single"/>
        </w:rPr>
        <w:t>项目名称</w:t>
      </w:r>
      <w:r>
        <w:rPr>
          <w:rFonts w:hint="eastAsia"/>
        </w:rPr>
        <w:t>)招标采购活动，严格遵守《中华人民共和国招标投标法》《中华人民共和国政府采购法》及相关法律法规，依法守信，诚信履约，自觉执行招标采购活动的各项规定。</w:t>
      </w:r>
    </w:p>
    <w:p w14:paraId="2377E209">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r>
        <w:rPr>
          <w:rFonts w:hint="eastAsia"/>
          <w:highlight w:val="none"/>
        </w:rPr>
        <w:t>二、按照国家公共信用和行业、地方、第三方信用体系建设实践，我单位属于地方公共信用(行业信用评价、第三方信用评价)(选其一打钩)评价“诚信企业”。以上信用评价结果及政策文件附后。</w:t>
      </w:r>
    </w:p>
    <w:p w14:paraId="31BE4B7D">
      <w:pPr>
        <w:pStyle w:val="1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三、我单位如有发生下述任何一种违约行为，自愿承担相关法律责任，5年内自动放弃在宝鸡市项目招标采购中使用《交易保证金信用承诺书》资格。并于收到招标人采购人书面通知7个工作日内，将文件规定的投标保证金足额缴纳至招标人指定账户予以没收，作为处罚。如若拒交，招标人采购人优先选择市公共资源交易中心认可的宝鸡商事纠纷信用调解中心进行调解或仲裁或诉讼。交易中心有权取消失信主体在宝鸡参与招标采购、进场交易等权益。</w:t>
      </w:r>
    </w:p>
    <w:p w14:paraId="78CB3EFB">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rPr>
        <w:t>(</w:t>
      </w:r>
      <w:r>
        <w:rPr>
          <w:rFonts w:hint="eastAsia"/>
          <w:lang w:val="en-US" w:eastAsia="zh-CN"/>
        </w:rPr>
        <w:t>一</w:t>
      </w:r>
      <w:r>
        <w:rPr>
          <w:rFonts w:hint="eastAsia"/>
        </w:rPr>
        <w:t>)在招标采购文件中规定的有效期内撤销投标采购文件;</w:t>
      </w:r>
    </w:p>
    <w:p w14:paraId="48A7C9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(二)中标后在规定期限内无正当理由不与招标人采购人签订合同，或者未按招标采购文件规定提交履约保证金;</w:t>
      </w:r>
    </w:p>
    <w:p w14:paraId="784B48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(三)未按照宝鸡市公共资源交易规定，及时足额缴纳进场交易服务费，或仍有拖欠交易服务费;</w:t>
      </w:r>
    </w:p>
    <w:p w14:paraId="3726AB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(四)行政监管机构认定投标采购人有串通投标或弄虚作假等违法违纪行为;</w:t>
      </w:r>
    </w:p>
    <w:p w14:paraId="5FF429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(五)法律法规规定的其他情形。</w:t>
      </w:r>
    </w:p>
    <w:p w14:paraId="63EF63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rPr>
      </w:pPr>
      <w:r>
        <w:rPr>
          <w:rFonts w:hint="eastAsia"/>
        </w:rPr>
        <w:t>四、同意将承诺和失诺信息纳入宝鸡市公共资源交易领域信用记录并归集至信用中国(陕西宝鸡)等信用平台合规应用。</w:t>
      </w:r>
    </w:p>
    <w:p w14:paraId="0B52BC10">
      <w:pPr>
        <w:widowControl w:val="0"/>
        <w:numPr>
          <w:ilvl w:val="0"/>
          <w:numId w:val="0"/>
        </w:numPr>
        <w:spacing w:line="360" w:lineRule="auto"/>
        <w:jc w:val="both"/>
        <w:rPr>
          <w:rFonts w:hint="eastAsia"/>
        </w:rPr>
      </w:pPr>
      <w:r>
        <w:rPr>
          <w:rFonts w:hint="eastAsia"/>
        </w:rPr>
        <w:t>特此承诺。</w:t>
      </w:r>
    </w:p>
    <w:p w14:paraId="0FD9C03B">
      <w:pPr>
        <w:widowControl w:val="0"/>
        <w:numPr>
          <w:ilvl w:val="0"/>
          <w:numId w:val="0"/>
        </w:numPr>
        <w:spacing w:line="360" w:lineRule="auto"/>
        <w:jc w:val="both"/>
        <w:rPr>
          <w:rFonts w:hint="eastAsia"/>
        </w:rPr>
      </w:pPr>
      <w:r>
        <w:rPr>
          <w:rFonts w:hint="eastAsia"/>
        </w:rPr>
        <w:t>附件:信用评价结果及政策依据文件</w:t>
      </w:r>
    </w:p>
    <w:p w14:paraId="301079CF">
      <w:pPr>
        <w:widowControl w:val="0"/>
        <w:numPr>
          <w:ilvl w:val="0"/>
          <w:numId w:val="0"/>
        </w:numPr>
        <w:spacing w:line="360" w:lineRule="auto"/>
        <w:ind w:firstLine="4800" w:firstLineChars="2000"/>
        <w:jc w:val="left"/>
        <w:rPr>
          <w:rFonts w:hint="eastAsia"/>
          <w:u w:val="single"/>
        </w:rPr>
      </w:pPr>
      <w:r>
        <w:rPr>
          <w:rFonts w:hint="eastAsia"/>
        </w:rPr>
        <w:t>投标人供应商单位名称:(</w:t>
      </w:r>
      <w:r>
        <w:rPr>
          <w:rFonts w:hint="eastAsia"/>
          <w:u w:val="none"/>
        </w:rPr>
        <w:t>盖章)</w:t>
      </w:r>
    </w:p>
    <w:p w14:paraId="2CAD726F">
      <w:pPr>
        <w:widowControl w:val="0"/>
        <w:numPr>
          <w:ilvl w:val="0"/>
          <w:numId w:val="0"/>
        </w:numPr>
        <w:spacing w:line="360" w:lineRule="auto"/>
        <w:ind w:firstLine="4800" w:firstLineChars="2000"/>
        <w:jc w:val="left"/>
        <w:rPr>
          <w:rFonts w:hint="eastAsia"/>
        </w:rPr>
      </w:pPr>
      <w:r>
        <w:rPr>
          <w:rFonts w:hint="eastAsia"/>
        </w:rPr>
        <w:t>法定代表人或授权代表:(签字或签章)</w:t>
      </w:r>
    </w:p>
    <w:p w14:paraId="077DDD59">
      <w:pPr>
        <w:widowControl w:val="0"/>
        <w:numPr>
          <w:ilvl w:val="0"/>
          <w:numId w:val="0"/>
        </w:numPr>
        <w:spacing w:line="360" w:lineRule="auto"/>
        <w:ind w:firstLine="5760" w:firstLineChars="2400"/>
        <w:jc w:val="left"/>
        <w:rPr>
          <w:rFonts w:hint="default"/>
          <w:lang w:val="en-US" w:eastAsia="zh-CN"/>
        </w:rPr>
        <w:sectPr>
          <w:footerReference r:id="rId12" w:type="default"/>
          <w:pgSz w:w="11907" w:h="16840"/>
          <w:pgMar w:top="1440" w:right="1080" w:bottom="1440" w:left="1080" w:header="935" w:footer="771" w:gutter="567"/>
          <w:pgNumType w:fmt="decimal"/>
          <w:cols w:space="0" w:num="1"/>
          <w:docGrid w:linePitch="312" w:charSpace="0"/>
        </w:sectPr>
      </w:pPr>
      <w:r>
        <w:rPr>
          <w:rFonts w:hint="eastAsia"/>
        </w:rPr>
        <w:t>年</w:t>
      </w:r>
      <w:r>
        <w:rPr>
          <w:rFonts w:hint="eastAsia"/>
          <w:lang w:val="en-US" w:eastAsia="zh-CN"/>
        </w:rPr>
        <w:t xml:space="preserve">   </w:t>
      </w:r>
      <w:r>
        <w:rPr>
          <w:rFonts w:hint="eastAsia"/>
        </w:rPr>
        <w:t>月</w:t>
      </w:r>
      <w:r>
        <w:rPr>
          <w:rFonts w:hint="eastAsia"/>
          <w:lang w:val="en-US" w:eastAsia="zh-CN"/>
        </w:rPr>
        <w:t xml:space="preserve">   日</w:t>
      </w:r>
    </w:p>
    <w:p w14:paraId="1581D7F1">
      <w:pPr>
        <w:pStyle w:val="13"/>
        <w:jc w:val="both"/>
        <w:rPr>
          <w:rFonts w:hint="eastAsia"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lang w:val="en-US" w:eastAsia="zh-CN"/>
          <w14:textFill>
            <w14:solidFill>
              <w14:schemeClr w14:val="tx1"/>
            </w14:solidFill>
          </w14:textFill>
        </w:rPr>
        <w:t>5</w:t>
      </w:r>
      <w:r>
        <w:rPr>
          <w:rFonts w:hint="eastAsia" w:ascii="宋体" w:hAnsi="宋体" w:eastAsia="宋体" w:cs="宋体"/>
          <w:b/>
          <w:color w:val="000000" w:themeColor="text1"/>
          <w:kern w:val="0"/>
          <w:sz w:val="24"/>
          <w:szCs w:val="24"/>
          <w14:textFill>
            <w14:solidFill>
              <w14:schemeClr w14:val="tx1"/>
            </w14:solidFill>
          </w14:textFill>
        </w:rPr>
        <w:t>.供应商承诺书</w:t>
      </w:r>
    </w:p>
    <w:p w14:paraId="3C30DCC6">
      <w:pPr>
        <w:spacing w:line="360" w:lineRule="auto"/>
        <w:jc w:val="center"/>
        <w:rPr>
          <w:rFonts w:hint="eastAsia" w:ascii="宋体" w:hAnsi="宋体" w:eastAsia="宋体" w:cs="宋体"/>
          <w:b/>
          <w:bCs/>
          <w:color w:val="000000" w:themeColor="text1"/>
          <w:szCs w:val="24"/>
          <w14:textFill>
            <w14:solidFill>
              <w14:schemeClr w14:val="tx1"/>
            </w14:solidFill>
          </w14:textFill>
        </w:rPr>
      </w:pPr>
    </w:p>
    <w:p w14:paraId="37BD915D">
      <w:pPr>
        <w:spacing w:line="720" w:lineRule="auto"/>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5</w:t>
      </w:r>
      <w:r>
        <w:rPr>
          <w:rFonts w:hint="eastAsia" w:ascii="宋体" w:hAnsi="宋体" w:eastAsia="宋体" w:cs="宋体"/>
          <w:b/>
          <w:bCs/>
          <w:color w:val="000000" w:themeColor="text1"/>
          <w:szCs w:val="24"/>
          <w14:textFill>
            <w14:solidFill>
              <w14:schemeClr w14:val="tx1"/>
            </w14:solidFill>
          </w14:textFill>
        </w:rPr>
        <w:t>.1陕西省政府采购供应商拒绝政府采购领域商业贿赂承诺书</w:t>
      </w:r>
    </w:p>
    <w:p w14:paraId="0F8746DA">
      <w:pPr>
        <w:widowControl/>
        <w:spacing w:line="480" w:lineRule="auto"/>
        <w:ind w:left="240" w:leftChars="100" w:firstLine="240" w:firstLineChars="100"/>
        <w:jc w:val="left"/>
        <w:rPr>
          <w:rFonts w:hint="eastAsia" w:ascii="宋体" w:hAnsi="宋体" w:eastAsia="宋体" w:cs="宋体"/>
        </w:rPr>
      </w:pPr>
      <w:r>
        <w:rPr>
          <w:rFonts w:hint="eastAsia" w:ascii="宋体" w:hAnsi="宋体" w:eastAsia="宋体" w:cs="宋体"/>
          <w:color w:val="000000"/>
          <w:kern w:val="0"/>
          <w:szCs w:val="24"/>
          <w:lang w:bidi="ar"/>
        </w:rPr>
        <w:t xml:space="preserve">为响应党中央、国务院关于治理政府采购领域商业贿赂行为的号召，我单位作为（项目名称）的供应商，在此庄严承诺： </w:t>
      </w:r>
    </w:p>
    <w:p w14:paraId="16A0408C">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1、在参与政府采购活动中遵纪守法、诚信经营、公平竞标。 </w:t>
      </w:r>
    </w:p>
    <w:p w14:paraId="11652F86">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2、不向采购人、采购代理机构和政府采购评审专家进行任何形式的商业贿赂以谋取交易机会。 </w:t>
      </w:r>
    </w:p>
    <w:p w14:paraId="4DE7E6E2">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3、不向政府采购采购代理机构和采购人提供虚假资质文件或采用虚假应标方式参与政府采购市场竞争并谋取中标、成交。 </w:t>
      </w:r>
    </w:p>
    <w:p w14:paraId="36EF4AD0">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4、不采取“围标、陪标”等商业欺诈手段获得政府采购定单。 </w:t>
      </w:r>
    </w:p>
    <w:p w14:paraId="07A9ECFD">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5、不采取不正当手段低毁、排挤其他供应商。 </w:t>
      </w:r>
    </w:p>
    <w:p w14:paraId="60469A20">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6、不在提供商品和服务时“偷梁换柱、以次充好”损害采购人的合法权益。 </w:t>
      </w:r>
    </w:p>
    <w:p w14:paraId="4909C79B">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7、不与采购人、采购代理机构政府采购评审专家或其它供应商恶意串通，进行 </w:t>
      </w:r>
    </w:p>
    <w:p w14:paraId="113D2E2B">
      <w:pPr>
        <w:widowControl/>
        <w:spacing w:line="480" w:lineRule="auto"/>
        <w:jc w:val="left"/>
        <w:rPr>
          <w:rFonts w:hint="eastAsia" w:ascii="宋体" w:hAnsi="宋体" w:eastAsia="宋体" w:cs="宋体"/>
        </w:rPr>
      </w:pPr>
      <w:r>
        <w:rPr>
          <w:rFonts w:hint="eastAsia" w:ascii="宋体" w:hAnsi="宋体" w:eastAsia="宋体" w:cs="宋体"/>
          <w:color w:val="000000"/>
          <w:kern w:val="0"/>
          <w:szCs w:val="24"/>
          <w:lang w:bidi="ar"/>
        </w:rPr>
        <w:t xml:space="preserve">质疑和投诉，维护政府采购市场秩序。 </w:t>
      </w:r>
    </w:p>
    <w:p w14:paraId="7C161C58">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8、尊重和接受政府采购监督管理部门的监督和政府采购代理机构招标要求，承 </w:t>
      </w:r>
    </w:p>
    <w:p w14:paraId="17636448">
      <w:pPr>
        <w:widowControl/>
        <w:spacing w:line="480" w:lineRule="auto"/>
        <w:jc w:val="left"/>
        <w:rPr>
          <w:rFonts w:hint="eastAsia" w:ascii="宋体" w:hAnsi="宋体" w:eastAsia="宋体" w:cs="宋体"/>
        </w:rPr>
      </w:pPr>
      <w:r>
        <w:rPr>
          <w:rFonts w:hint="eastAsia" w:ascii="宋体" w:hAnsi="宋体" w:eastAsia="宋体" w:cs="宋体"/>
          <w:color w:val="000000"/>
          <w:kern w:val="0"/>
          <w:szCs w:val="24"/>
          <w:lang w:bidi="ar"/>
        </w:rPr>
        <w:t xml:space="preserve">担因违约行为给采购人造成的损失。 </w:t>
      </w:r>
    </w:p>
    <w:p w14:paraId="59FCDAB8">
      <w:pPr>
        <w:widowControl/>
        <w:spacing w:line="480" w:lineRule="auto"/>
        <w:ind w:firstLine="480" w:firstLineChars="200"/>
        <w:jc w:val="left"/>
        <w:rPr>
          <w:rFonts w:hint="eastAsia" w:ascii="宋体" w:hAnsi="宋体" w:eastAsia="宋体" w:cs="宋体"/>
        </w:rPr>
      </w:pPr>
      <w:r>
        <w:rPr>
          <w:rFonts w:hint="eastAsia" w:ascii="宋体" w:hAnsi="宋体" w:eastAsia="宋体" w:cs="宋体"/>
          <w:color w:val="000000"/>
          <w:kern w:val="0"/>
          <w:szCs w:val="24"/>
          <w:lang w:bidi="ar"/>
        </w:rPr>
        <w:t xml:space="preserve">9、不发生其他有悖于政府采购公开、公平、公正和诚信原则的行为。 </w:t>
      </w:r>
    </w:p>
    <w:p w14:paraId="56C5D95E">
      <w:pPr>
        <w:widowControl/>
        <w:spacing w:line="480" w:lineRule="auto"/>
        <w:jc w:val="left"/>
        <w:rPr>
          <w:rFonts w:hint="eastAsia" w:ascii="宋体" w:hAnsi="宋体" w:eastAsia="宋体" w:cs="宋体"/>
          <w:color w:val="000000"/>
          <w:kern w:val="0"/>
          <w:szCs w:val="24"/>
          <w:lang w:bidi="ar"/>
        </w:rPr>
      </w:pPr>
    </w:p>
    <w:p w14:paraId="7BBFC4BC">
      <w:pPr>
        <w:widowControl/>
        <w:spacing w:line="480" w:lineRule="auto"/>
        <w:ind w:firstLine="4800" w:firstLineChars="2000"/>
        <w:jc w:val="lef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 xml:space="preserve">承诺单位： （盖章）    </w:t>
      </w:r>
    </w:p>
    <w:p w14:paraId="2950109E">
      <w:pPr>
        <w:widowControl/>
        <w:spacing w:line="480" w:lineRule="auto"/>
        <w:ind w:firstLine="5280" w:firstLineChars="2200"/>
        <w:jc w:val="left"/>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t>年   月   日</w:t>
      </w:r>
    </w:p>
    <w:p w14:paraId="621A78F0">
      <w:pPr>
        <w:rPr>
          <w:rFonts w:hint="eastAsia" w:ascii="宋体" w:hAnsi="宋体" w:eastAsia="宋体" w:cs="宋体"/>
          <w:color w:val="000000"/>
          <w:kern w:val="0"/>
          <w:szCs w:val="24"/>
          <w:lang w:bidi="ar"/>
        </w:rPr>
      </w:pPr>
      <w:r>
        <w:rPr>
          <w:rFonts w:hint="eastAsia" w:ascii="宋体" w:hAnsi="宋体" w:eastAsia="宋体" w:cs="宋体"/>
          <w:color w:val="000000"/>
          <w:kern w:val="0"/>
          <w:szCs w:val="24"/>
          <w:lang w:bidi="ar"/>
        </w:rPr>
        <w:br w:type="page"/>
      </w:r>
    </w:p>
    <w:p w14:paraId="578BCC7F">
      <w:pPr>
        <w:spacing w:line="360" w:lineRule="auto"/>
        <w:jc w:val="center"/>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lang w:val="en-US" w:eastAsia="zh-CN"/>
          <w14:textFill>
            <w14:solidFill>
              <w14:schemeClr w14:val="tx1"/>
            </w14:solidFill>
          </w14:textFill>
        </w:rPr>
        <w:t>5</w:t>
      </w:r>
      <w:r>
        <w:rPr>
          <w:rFonts w:hint="eastAsia" w:ascii="宋体" w:hAnsi="宋体" w:eastAsia="宋体" w:cs="宋体"/>
          <w:b/>
          <w:bCs/>
          <w:color w:val="000000" w:themeColor="text1"/>
          <w:szCs w:val="24"/>
          <w14:textFill>
            <w14:solidFill>
              <w14:schemeClr w14:val="tx1"/>
            </w14:solidFill>
          </w14:textFill>
        </w:rPr>
        <w:t>.2宝鸡市政府采购供应商诚信承诺书</w:t>
      </w:r>
    </w:p>
    <w:p w14:paraId="7DB25CD6">
      <w:pPr>
        <w:spacing w:line="360" w:lineRule="auto"/>
        <w:jc w:val="left"/>
        <w:rPr>
          <w:rFonts w:hint="eastAsia" w:ascii="宋体" w:hAnsi="宋体" w:eastAsia="宋体" w:cs="宋体"/>
          <w:color w:val="000000" w:themeColor="text1"/>
          <w:szCs w:val="24"/>
          <w:u w:val="single"/>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致：</w:t>
      </w:r>
      <w:r>
        <w:rPr>
          <w:rFonts w:hint="eastAsia" w:ascii="宋体" w:hAnsi="宋体" w:eastAsia="宋体" w:cs="宋体"/>
          <w:color w:val="000000" w:themeColor="text1"/>
          <w:szCs w:val="24"/>
          <w:u w:val="single"/>
          <w:lang w:val="zh-CN"/>
          <w14:textFill>
            <w14:solidFill>
              <w14:schemeClr w14:val="tx1"/>
            </w14:solidFill>
          </w14:textFill>
        </w:rPr>
        <w:t>（采购人或采购代理机构名称）</w:t>
      </w:r>
    </w:p>
    <w:p w14:paraId="6C59D869">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统一社会信用代码为</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的我方</w:t>
      </w:r>
      <w:r>
        <w:rPr>
          <w:rFonts w:hint="eastAsia" w:ascii="宋体" w:hAnsi="宋体" w:eastAsia="宋体" w:cs="宋体"/>
          <w:color w:val="000000" w:themeColor="text1"/>
          <w:szCs w:val="24"/>
          <w:u w:val="single"/>
          <w:lang w:val="zh-CN"/>
          <w14:textFill>
            <w14:solidFill>
              <w14:schemeClr w14:val="tx1"/>
            </w14:solidFill>
          </w14:textFill>
        </w:rPr>
        <w:t>（供应商名称）</w:t>
      </w:r>
      <w:r>
        <w:rPr>
          <w:rFonts w:hint="eastAsia" w:ascii="宋体" w:hAnsi="宋体" w:eastAsia="宋体" w:cs="宋体"/>
          <w:color w:val="000000" w:themeColor="text1"/>
          <w:szCs w:val="24"/>
          <w:lang w:val="zh-CN"/>
          <w14:textFill>
            <w14:solidFill>
              <w14:schemeClr w14:val="tx1"/>
            </w14:solidFill>
          </w14:textFill>
        </w:rPr>
        <w:t>自愿参加贵单位组织的编号为</w:t>
      </w:r>
      <w:r>
        <w:rPr>
          <w:rFonts w:hint="eastAsia" w:ascii="宋体" w:hAnsi="宋体" w:eastAsia="宋体" w:cs="宋体"/>
          <w:color w:val="000000" w:themeColor="text1"/>
          <w:szCs w:val="24"/>
          <w:u w:val="single"/>
          <w:lang w:val="zh-CN"/>
          <w14:textFill>
            <w14:solidFill>
              <w14:schemeClr w14:val="tx1"/>
            </w14:solidFill>
          </w14:textFill>
        </w:rPr>
        <w:t>（采购项目编号）</w:t>
      </w:r>
      <w:r>
        <w:rPr>
          <w:rFonts w:hint="eastAsia" w:ascii="宋体" w:hAnsi="宋体" w:eastAsia="宋体" w:cs="宋体"/>
          <w:color w:val="000000" w:themeColor="text1"/>
          <w:szCs w:val="24"/>
          <w:lang w:val="zh-CN"/>
          <w14:textFill>
            <w14:solidFill>
              <w14:schemeClr w14:val="tx1"/>
            </w14:solidFill>
          </w14:textFill>
        </w:rPr>
        <w:t>的</w:t>
      </w:r>
      <w:r>
        <w:rPr>
          <w:rFonts w:hint="eastAsia" w:ascii="宋体" w:hAnsi="宋体" w:eastAsia="宋体" w:cs="宋体"/>
          <w:color w:val="000000" w:themeColor="text1"/>
          <w:szCs w:val="24"/>
          <w:u w:val="single"/>
          <w:lang w:val="zh-CN"/>
          <w14:textFill>
            <w14:solidFill>
              <w14:schemeClr w14:val="tx1"/>
            </w14:solidFill>
          </w14:textFill>
        </w:rPr>
        <w:t xml:space="preserve">  （采购项目名称）</w:t>
      </w:r>
      <w:r>
        <w:rPr>
          <w:rFonts w:hint="eastAsia" w:ascii="宋体" w:hAnsi="宋体" w:eastAsia="宋体" w:cs="宋体"/>
          <w:color w:val="000000" w:themeColor="text1"/>
          <w:szCs w:val="24"/>
          <w:u w:val="single"/>
          <w14:textFill>
            <w14:solidFill>
              <w14:schemeClr w14:val="tx1"/>
            </w14:solidFill>
          </w14:textFill>
        </w:rPr>
        <w:t xml:space="preserve"> </w:t>
      </w:r>
      <w:r>
        <w:rPr>
          <w:rFonts w:hint="eastAsia" w:ascii="宋体" w:hAnsi="宋体" w:eastAsia="宋体" w:cs="宋体"/>
          <w:color w:val="000000" w:themeColor="text1"/>
          <w:szCs w:val="24"/>
          <w:lang w:val="zh-CN"/>
          <w14:textFill>
            <w14:solidFill>
              <w14:schemeClr w14:val="tx1"/>
            </w14:solidFill>
          </w14:textFill>
        </w:rPr>
        <w:t>的政府采购活动，我方已知悉并理解本项目</w:t>
      </w:r>
      <w:r>
        <w:rPr>
          <w:rFonts w:hint="eastAsia" w:ascii="宋体" w:hAnsi="宋体" w:eastAsia="宋体" w:cs="宋体"/>
          <w:color w:val="000000" w:themeColor="text1"/>
          <w:szCs w:val="24"/>
          <w14:textFill>
            <w14:solidFill>
              <w14:schemeClr w14:val="tx1"/>
            </w14:solidFill>
          </w14:textFill>
        </w:rPr>
        <w:t>竞争性竞争性磋商文件</w:t>
      </w:r>
      <w:r>
        <w:rPr>
          <w:rFonts w:hint="eastAsia" w:ascii="宋体" w:hAnsi="宋体" w:eastAsia="宋体" w:cs="宋体"/>
          <w:color w:val="000000" w:themeColor="text1"/>
          <w:szCs w:val="24"/>
          <w:lang w:val="zh-CN"/>
          <w14:textFill>
            <w14:solidFill>
              <w14:schemeClr w14:val="tx1"/>
            </w14:solidFill>
          </w14:textFill>
        </w:rPr>
        <w:t>的各项要求为贯彻公开、公平、公正和诚实信用的政府采购原则，共同维护宝鸡市政府采购市场良好秩序，我方郑重声明和承诺如下：</w:t>
      </w:r>
    </w:p>
    <w:p w14:paraId="25CA8FC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一、在参加本次政府采购活动中严格遵守《中</w:t>
      </w:r>
      <w:r>
        <w:rPr>
          <w:rFonts w:hint="eastAsia" w:ascii="宋体" w:hAnsi="宋体" w:eastAsia="宋体" w:cs="宋体"/>
          <w:color w:val="000000" w:themeColor="text1"/>
          <w:szCs w:val="24"/>
          <w:lang w:val="en-US" w:eastAsia="zh-CN"/>
          <w14:textFill>
            <w14:solidFill>
              <w14:schemeClr w14:val="tx1"/>
            </w14:solidFill>
          </w14:textFill>
        </w:rPr>
        <w:t>华</w:t>
      </w:r>
      <w:r>
        <w:rPr>
          <w:rFonts w:hint="eastAsia" w:ascii="宋体" w:hAnsi="宋体" w:eastAsia="宋体" w:cs="宋体"/>
          <w:color w:val="000000" w:themeColor="text1"/>
          <w:szCs w:val="24"/>
          <w:lang w:val="zh-CN"/>
          <w14:textFill>
            <w14:solidFill>
              <w14:schemeClr w14:val="tx1"/>
            </w14:solidFill>
          </w14:textFill>
        </w:rPr>
        <w:t>人民共和国政府采购法》等法律、法规、规章及宝鸡市有关规定。</w:t>
      </w:r>
    </w:p>
    <w:p w14:paraId="394A1CF6">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二、我方郑重声明，在参加本次政府采购活动前三年内，无因违法经营受到刑事处罚或者责令停产停业、吊销许可证或者执照较大数额罚款等重大违法记录。</w:t>
      </w:r>
    </w:p>
    <w:p w14:paraId="595BFD9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我方同时声明，在参加本次政府采购活动前，未被列入失信被执行人、重大税收违法案件当事人名单、政府采购严重违法失信行为记录名单，我方对以上声明的真实性负责，接受采购人、采购代理机构根据相关政策规定进行的信用记录查询。如发现以上声明不实，我方承担相应后果。</w:t>
      </w:r>
    </w:p>
    <w:p w14:paraId="1C4A3CE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三、我方郑重承诺，在参加本次政府采购活动中：</w:t>
      </w:r>
    </w:p>
    <w:p w14:paraId="07BD544D">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(1）不向采购人、采购代理机构和评审专家提供任何形式的商业贿赂或者提供其他不正当利益。对索取或接受商业贿赂的单位和个人，及时向财政部门和监察机关举报；</w:t>
      </w:r>
    </w:p>
    <w:p w14:paraId="665FD253">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(2）不与其它供应商串通采取围标、陪标等商业欺诈手段谋取中标(成交)；</w:t>
      </w:r>
    </w:p>
    <w:p w14:paraId="30812B7F">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3</w:t>
      </w:r>
      <w:r>
        <w:rPr>
          <w:rFonts w:hint="eastAsia" w:ascii="宋体" w:hAnsi="宋体" w:eastAsia="宋体" w:cs="宋体"/>
          <w:color w:val="000000" w:themeColor="text1"/>
          <w:szCs w:val="24"/>
          <w:lang w:val="zh-CN"/>
          <w14:textFill>
            <w14:solidFill>
              <w14:schemeClr w14:val="tx1"/>
            </w14:solidFill>
          </w14:textFill>
        </w:rPr>
        <w:t>）不出借或借用资质；</w:t>
      </w:r>
    </w:p>
    <w:p w14:paraId="44E01A5C">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4</w:t>
      </w:r>
      <w:r>
        <w:rPr>
          <w:rFonts w:hint="eastAsia" w:ascii="宋体" w:hAnsi="宋体" w:eastAsia="宋体" w:cs="宋体"/>
          <w:color w:val="000000" w:themeColor="text1"/>
          <w:szCs w:val="24"/>
          <w:lang w:val="zh-CN"/>
          <w14:textFill>
            <w14:solidFill>
              <w14:schemeClr w14:val="tx1"/>
            </w14:solidFill>
          </w14:textFill>
        </w:rPr>
        <w:t>）不与采购人、采购代理机构、评审专家恶意串通；</w:t>
      </w:r>
    </w:p>
    <w:p w14:paraId="12BF32F6">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5</w:t>
      </w:r>
      <w:r>
        <w:rPr>
          <w:rFonts w:hint="eastAsia" w:ascii="宋体" w:hAnsi="宋体" w:eastAsia="宋体" w:cs="宋体"/>
          <w:color w:val="000000" w:themeColor="text1"/>
          <w:szCs w:val="24"/>
          <w:lang w:val="zh-CN"/>
          <w14:textFill>
            <w14:solidFill>
              <w14:schemeClr w14:val="tx1"/>
            </w14:solidFill>
          </w14:textFill>
        </w:rPr>
        <w:t>）不采取不正当手段诋毁、排挤其他供应商；</w:t>
      </w:r>
    </w:p>
    <w:p w14:paraId="2389B792">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6</w:t>
      </w:r>
      <w:r>
        <w:rPr>
          <w:rFonts w:hint="eastAsia" w:ascii="宋体" w:hAnsi="宋体" w:eastAsia="宋体" w:cs="宋体"/>
          <w:color w:val="000000" w:themeColor="text1"/>
          <w:szCs w:val="24"/>
          <w:lang w:val="zh-CN"/>
          <w14:textFill>
            <w14:solidFill>
              <w14:schemeClr w14:val="tx1"/>
            </w14:solidFill>
          </w14:textFill>
        </w:rPr>
        <w:t>）不以虚假材料谋取中标(成交)；</w:t>
      </w:r>
    </w:p>
    <w:p w14:paraId="6ABEC32D">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7</w:t>
      </w:r>
      <w:r>
        <w:rPr>
          <w:rFonts w:hint="eastAsia" w:ascii="宋体" w:hAnsi="宋体" w:eastAsia="宋体" w:cs="宋体"/>
          <w:color w:val="000000" w:themeColor="text1"/>
          <w:szCs w:val="24"/>
          <w:lang w:val="zh-CN"/>
          <w14:textFill>
            <w14:solidFill>
              <w14:schemeClr w14:val="tx1"/>
            </w14:solidFill>
          </w14:textFill>
        </w:rPr>
        <w:t>）不以低于成本价或恶意低价竞争；</w:t>
      </w:r>
    </w:p>
    <w:p w14:paraId="16E4D168">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8</w:t>
      </w:r>
      <w:r>
        <w:rPr>
          <w:rFonts w:hint="eastAsia" w:ascii="宋体" w:hAnsi="宋体" w:eastAsia="宋体" w:cs="宋体"/>
          <w:color w:val="000000" w:themeColor="text1"/>
          <w:szCs w:val="24"/>
          <w:lang w:val="zh-CN"/>
          <w14:textFill>
            <w14:solidFill>
              <w14:schemeClr w14:val="tx1"/>
            </w14:solidFill>
          </w14:textFill>
        </w:rPr>
        <w:t>）不与采购人在招标采购过程中进行协商谈判；</w:t>
      </w:r>
    </w:p>
    <w:p w14:paraId="05869A97">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9</w:t>
      </w:r>
      <w:r>
        <w:rPr>
          <w:rFonts w:hint="eastAsia" w:ascii="宋体" w:hAnsi="宋体" w:eastAsia="宋体" w:cs="宋体"/>
          <w:color w:val="000000" w:themeColor="text1"/>
          <w:szCs w:val="24"/>
          <w:lang w:val="zh-CN"/>
          <w14:textFill>
            <w14:solidFill>
              <w14:schemeClr w14:val="tx1"/>
            </w14:solidFill>
          </w14:textFill>
        </w:rPr>
        <w:t>）中标或者成交后不得提供假冒伪劣产品；</w:t>
      </w:r>
    </w:p>
    <w:p w14:paraId="5D01369E">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10</w:t>
      </w:r>
      <w:r>
        <w:rPr>
          <w:rFonts w:hint="eastAsia" w:ascii="宋体" w:hAnsi="宋体" w:eastAsia="宋体" w:cs="宋体"/>
          <w:color w:val="000000" w:themeColor="text1"/>
          <w:szCs w:val="24"/>
          <w:lang w:val="zh-CN"/>
          <w14:textFill>
            <w14:solidFill>
              <w14:schemeClr w14:val="tx1"/>
            </w14:solidFill>
          </w14:textFill>
        </w:rPr>
        <w:t>）中标或者成交后非因不可抗力不得变更投标(响应)文件中承诺的项目管理实施人员；</w:t>
      </w:r>
    </w:p>
    <w:p w14:paraId="4AE96903">
      <w:pPr>
        <w:spacing w:line="360" w:lineRule="auto"/>
        <w:ind w:firstLine="374" w:firstLineChars="156"/>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w:t>
      </w:r>
      <w:r>
        <w:rPr>
          <w:rFonts w:hint="eastAsia" w:ascii="宋体" w:hAnsi="宋体" w:eastAsia="宋体" w:cs="宋体"/>
          <w:color w:val="000000" w:themeColor="text1"/>
          <w:szCs w:val="24"/>
          <w14:textFill>
            <w14:solidFill>
              <w14:schemeClr w14:val="tx1"/>
            </w14:solidFill>
          </w14:textFill>
        </w:rPr>
        <w:t>11</w:t>
      </w:r>
      <w:r>
        <w:rPr>
          <w:rFonts w:hint="eastAsia" w:ascii="宋体" w:hAnsi="宋体" w:eastAsia="宋体" w:cs="宋体"/>
          <w:color w:val="000000" w:themeColor="text1"/>
          <w:szCs w:val="24"/>
          <w:lang w:val="zh-CN"/>
          <w14:textFill>
            <w14:solidFill>
              <w14:schemeClr w14:val="tx1"/>
            </w14:solidFill>
          </w14:textFill>
        </w:rPr>
        <w:t>）中标或者成交后无正当理由不得拒不与采购人签订政府采购合同；</w:t>
      </w:r>
    </w:p>
    <w:p w14:paraId="3BDB672F">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(12)</w:t>
      </w:r>
      <w:r>
        <w:rPr>
          <w:rFonts w:hint="eastAsia" w:ascii="宋体" w:hAnsi="宋体" w:eastAsia="宋体" w:cs="宋体"/>
          <w:color w:val="000000" w:themeColor="text1"/>
          <w:szCs w:val="24"/>
          <w:lang w:val="zh-CN"/>
          <w14:textFill>
            <w14:solidFill>
              <w14:schemeClr w14:val="tx1"/>
            </w14:solidFill>
          </w14:textFill>
        </w:rPr>
        <w:t>不得有未按照</w:t>
      </w:r>
      <w:r>
        <w:rPr>
          <w:rFonts w:hint="eastAsia" w:ascii="宋体" w:hAnsi="宋体" w:eastAsia="宋体" w:cs="宋体"/>
          <w:color w:val="000000" w:themeColor="text1"/>
          <w:szCs w:val="24"/>
          <w14:textFill>
            <w14:solidFill>
              <w14:schemeClr w14:val="tx1"/>
            </w14:solidFill>
          </w14:textFill>
        </w:rPr>
        <w:t>竞争性竞争性磋商文件</w:t>
      </w:r>
      <w:r>
        <w:rPr>
          <w:rFonts w:hint="eastAsia" w:ascii="宋体" w:hAnsi="宋体" w:eastAsia="宋体" w:cs="宋体"/>
          <w:color w:val="000000" w:themeColor="text1"/>
          <w:szCs w:val="24"/>
          <w:lang w:val="zh-CN"/>
          <w14:textFill>
            <w14:solidFill>
              <w14:schemeClr w14:val="tx1"/>
            </w14:solidFill>
          </w14:textFill>
        </w:rPr>
        <w:t>确定的事项与采购人签订政府采购合同，或者与采购人另行订立背离合同实质性内容协议的行为；</w:t>
      </w:r>
    </w:p>
    <w:p w14:paraId="292D3BCB">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(13）不转包或违法分包政府采购合同，不擅自变更.中止或者终止政府采购合同；</w:t>
      </w:r>
    </w:p>
    <w:p w14:paraId="5A99EE12">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(14)</w:t>
      </w:r>
      <w:r>
        <w:rPr>
          <w:rFonts w:hint="eastAsia" w:ascii="宋体" w:hAnsi="宋体" w:eastAsia="宋体" w:cs="宋体"/>
          <w:color w:val="000000" w:themeColor="text1"/>
          <w:szCs w:val="24"/>
          <w:lang w:val="zh-CN"/>
          <w14:textFill>
            <w14:solidFill>
              <w14:schemeClr w14:val="tx1"/>
            </w14:solidFill>
          </w14:textFill>
        </w:rPr>
        <w:t>不捏造事实、提供虚假材料或者以非法手段取得证明材料进行质疑投诉；</w:t>
      </w:r>
    </w:p>
    <w:p w14:paraId="6DBDD377">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15</w:t>
      </w:r>
      <w:r>
        <w:rPr>
          <w:rFonts w:hint="eastAsia" w:ascii="宋体" w:hAnsi="宋体" w:eastAsia="宋体" w:cs="宋体"/>
          <w:color w:val="000000" w:themeColor="text1"/>
          <w:szCs w:val="24"/>
          <w:lang w:val="zh-CN" w:eastAsia="en-US"/>
          <w14:textFill>
            <w14:solidFill>
              <w14:schemeClr w14:val="tx1"/>
            </w14:solidFill>
          </w14:textFill>
        </w:rPr>
        <w:t>)</w:t>
      </w:r>
      <w:r>
        <w:rPr>
          <w:rFonts w:hint="eastAsia" w:ascii="宋体" w:hAnsi="宋体" w:eastAsia="宋体" w:cs="宋体"/>
          <w:color w:val="000000" w:themeColor="text1"/>
          <w:szCs w:val="24"/>
          <w:lang w:val="zh-CN"/>
          <w14:textFill>
            <w14:solidFill>
              <w14:schemeClr w14:val="tx1"/>
            </w14:solidFill>
          </w14:textFill>
        </w:rPr>
        <w:t>不得有拒绝有关部门监督检查或者提供虚假情况的行为；</w:t>
      </w:r>
    </w:p>
    <w:p w14:paraId="1ABA94D0">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eastAsia="en-US"/>
          <w14:textFill>
            <w14:solidFill>
              <w14:schemeClr w14:val="tx1"/>
            </w14:solidFill>
          </w14:textFill>
        </w:rPr>
        <w:t>(16)</w:t>
      </w:r>
      <w:r>
        <w:rPr>
          <w:rFonts w:hint="eastAsia" w:ascii="宋体" w:hAnsi="宋体" w:eastAsia="宋体" w:cs="宋体"/>
          <w:color w:val="000000" w:themeColor="text1"/>
          <w:szCs w:val="24"/>
          <w:lang w:val="zh-CN"/>
          <w14:textFill>
            <w14:solidFill>
              <w14:schemeClr w14:val="tx1"/>
            </w14:solidFill>
          </w14:textFill>
        </w:rPr>
        <w:t>不得有其他违反国家法律法规和规章要求的违法犯罪或者失信行为。</w:t>
      </w:r>
    </w:p>
    <w:p w14:paraId="27213F11">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四、如有违反以上声明或者承诺之一情形的，我方知悉并接受采购人、采购代理机构和政府采购监督管理部门等政府职能部门将采取以下一种或几种方式追究我方责任：</w:t>
      </w:r>
    </w:p>
    <w:p w14:paraId="380AA8BC">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1、投标(响应)无效；</w:t>
      </w:r>
    </w:p>
    <w:p w14:paraId="1D3B0E3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2、不予退还磋商保证金或者履约保证金；</w:t>
      </w:r>
    </w:p>
    <w:p w14:paraId="57D0BCFF">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3、约谈法人代表或者主要负责人，责令整改；</w:t>
      </w:r>
    </w:p>
    <w:p w14:paraId="705958B6">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4、中标(成交)无效；</w:t>
      </w:r>
    </w:p>
    <w:p w14:paraId="6BBE3207">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5、处以采购金额千分之五以上千分之十以下的罚款，列入不良行为记录名单，在一至三年内禁止参加政府采购活动；</w:t>
      </w:r>
    </w:p>
    <w:p w14:paraId="361E3C03">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6、没收违法得所得；</w:t>
      </w:r>
    </w:p>
    <w:p w14:paraId="14C4B6E5">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7、吊销营业执照；</w:t>
      </w:r>
    </w:p>
    <w:p w14:paraId="5A3980DD">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8、政府相关部门的联合惩戒措施；</w:t>
      </w:r>
    </w:p>
    <w:p w14:paraId="4855A2AA">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9、追究民事责任；</w:t>
      </w:r>
    </w:p>
    <w:p w14:paraId="4A701CD2">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10、追究刑事责任；</w:t>
      </w:r>
    </w:p>
    <w:p w14:paraId="6347220E">
      <w:pPr>
        <w:spacing w:line="360" w:lineRule="auto"/>
        <w:ind w:firstLine="480" w:firstLineChars="2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11、法律法规规定的其他处理处罚措施。</w:t>
      </w:r>
    </w:p>
    <w:p w14:paraId="19CD08F8">
      <w:pPr>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单位名称（公章）：</w:t>
      </w:r>
    </w:p>
    <w:p w14:paraId="5C6D7A36">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法定代表人或主要负责人（签字或盖章）：</w:t>
      </w:r>
    </w:p>
    <w:p w14:paraId="5AA25251">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法定代表人或主要负责人身份证复印件：</w:t>
      </w:r>
    </w:p>
    <w:p w14:paraId="43D97778">
      <w:pPr>
        <w:autoSpaceDE w:val="0"/>
        <w:autoSpaceDN w:val="0"/>
        <w:adjustRightInd w:val="0"/>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法定代表人或主要负责人联系电话：</w:t>
      </w:r>
    </w:p>
    <w:p w14:paraId="505EA976">
      <w:pPr>
        <w:spacing w:line="360" w:lineRule="auto"/>
        <w:ind w:firstLine="240" w:firstLineChars="100"/>
        <w:jc w:val="left"/>
        <w:rPr>
          <w:rFonts w:hint="eastAsia" w:ascii="宋体" w:hAnsi="宋体" w:eastAsia="宋体" w:cs="宋体"/>
          <w:color w:val="000000" w:themeColor="text1"/>
          <w:szCs w:val="24"/>
          <w:lang w:val="zh-CN"/>
          <w14:textFill>
            <w14:solidFill>
              <w14:schemeClr w14:val="tx1"/>
            </w14:solidFill>
          </w14:textFill>
        </w:rPr>
      </w:pPr>
      <w:r>
        <w:rPr>
          <w:rFonts w:hint="eastAsia" w:ascii="宋体" w:hAnsi="宋体" w:eastAsia="宋体" w:cs="宋体"/>
          <w:color w:val="000000" w:themeColor="text1"/>
          <w:szCs w:val="24"/>
          <w:lang w:val="zh-CN"/>
          <w14:textFill>
            <w14:solidFill>
              <w14:schemeClr w14:val="tx1"/>
            </w14:solidFill>
          </w14:textFill>
        </w:rPr>
        <w:t>法定代表人或主要负责人邮箱：</w:t>
      </w:r>
    </w:p>
    <w:p w14:paraId="5772B6F4">
      <w:pPr>
        <w:pStyle w:val="13"/>
        <w:jc w:val="center"/>
        <w:rPr>
          <w:rFonts w:hint="eastAsia" w:ascii="宋体" w:hAnsi="宋体" w:eastAsia="宋体" w:cs="宋体"/>
          <w:b/>
          <w:color w:val="000000" w:themeColor="text1"/>
          <w:kern w:val="0"/>
          <w:sz w:val="28"/>
          <w14:textFill>
            <w14:solidFill>
              <w14:schemeClr w14:val="tx1"/>
            </w14:solidFill>
          </w14:textFill>
        </w:rPr>
      </w:pPr>
    </w:p>
    <w:p w14:paraId="4B6D87C5">
      <w:pPr>
        <w:rPr>
          <w:rFonts w:hint="eastAsia" w:ascii="宋体" w:hAnsi="宋体" w:eastAsia="宋体" w:cs="宋体"/>
          <w:lang w:val="zh-CN"/>
        </w:rPr>
      </w:pPr>
      <w:r>
        <w:rPr>
          <w:rFonts w:hint="eastAsia" w:ascii="宋体" w:hAnsi="宋体" w:eastAsia="宋体" w:cs="宋体"/>
          <w:b/>
          <w:color w:val="000000" w:themeColor="text1"/>
          <w:kern w:val="0"/>
          <w:sz w:val="24"/>
          <w:szCs w:val="24"/>
          <w:lang w:val="en-US" w:eastAsia="zh-CN"/>
          <w14:textFill>
            <w14:solidFill>
              <w14:schemeClr w14:val="tx1"/>
            </w14:solidFill>
          </w14:textFill>
        </w:rPr>
        <w:t>后附：</w:t>
      </w:r>
      <w:r>
        <w:rPr>
          <w:rFonts w:hint="eastAsia" w:ascii="宋体" w:hAnsi="宋体" w:eastAsia="宋体" w:cs="宋体"/>
          <w:b/>
          <w:color w:val="000000" w:themeColor="text1"/>
          <w:kern w:val="0"/>
          <w:sz w:val="24"/>
          <w:szCs w:val="24"/>
          <w:lang w:val="zh-CN" w:eastAsia="zh-CN"/>
          <w14:textFill>
            <w14:solidFill>
              <w14:schemeClr w14:val="tx1"/>
            </w14:solidFill>
          </w14:textFill>
        </w:rPr>
        <w:t>法定代表人或主要负责人身份证复印件</w:t>
      </w:r>
    </w:p>
    <w:bookmarkEnd w:id="100"/>
    <w:bookmarkEnd w:id="101"/>
    <w:bookmarkEnd w:id="102"/>
    <w:bookmarkEnd w:id="103"/>
    <w:bookmarkEnd w:id="104"/>
    <w:bookmarkEnd w:id="105"/>
    <w:bookmarkEnd w:id="106"/>
    <w:bookmarkEnd w:id="107"/>
    <w:bookmarkEnd w:id="108"/>
    <w:bookmarkEnd w:id="109"/>
    <w:bookmarkEnd w:id="110"/>
    <w:p w14:paraId="2CDB4540">
      <w:pPr>
        <w:pStyle w:val="56"/>
        <w:spacing w:line="480" w:lineRule="auto"/>
        <w:ind w:firstLineChars="71"/>
        <w:jc w:val="center"/>
        <w:rPr>
          <w:rFonts w:hint="eastAsia" w:ascii="宋体" w:hAnsi="宋体" w:eastAsia="宋体" w:cs="宋体"/>
          <w:b/>
          <w:color w:val="000000" w:themeColor="text1"/>
          <w:lang w:val="en-US" w:eastAsia="zh-CN"/>
          <w14:textFill>
            <w14:solidFill>
              <w14:schemeClr w14:val="tx1"/>
            </w14:solidFill>
          </w14:textFill>
        </w:rPr>
      </w:pPr>
      <w:bookmarkStart w:id="111" w:name="_Toc459048317"/>
      <w:bookmarkStart w:id="112" w:name="_Toc458774257"/>
      <w:bookmarkStart w:id="113" w:name="_Toc193126905"/>
      <w:bookmarkStart w:id="114" w:name="_Toc194663942"/>
      <w:bookmarkStart w:id="115" w:name="_Toc188808855"/>
      <w:bookmarkStart w:id="116" w:name="_Toc193187111"/>
      <w:bookmarkStart w:id="117" w:name="_Toc193126891"/>
      <w:bookmarkStart w:id="118" w:name="_Toc188808842"/>
      <w:r>
        <w:rPr>
          <w:rFonts w:hint="eastAsia" w:ascii="宋体" w:hAnsi="宋体" w:eastAsia="宋体" w:cs="宋体"/>
          <w:b/>
          <w:color w:val="000000" w:themeColor="text1"/>
          <w:lang w:val="en-US" w:eastAsia="zh-CN"/>
          <w14:textFill>
            <w14:solidFill>
              <w14:schemeClr w14:val="tx1"/>
            </w14:solidFill>
          </w14:textFill>
        </w:rPr>
        <w:t>四、 响应方案</w:t>
      </w:r>
    </w:p>
    <w:bookmarkEnd w:id="111"/>
    <w:bookmarkEnd w:id="112"/>
    <w:p w14:paraId="158CBB84">
      <w:pPr>
        <w:pStyle w:val="56"/>
        <w:spacing w:line="480" w:lineRule="auto"/>
        <w:ind w:firstLine="0" w:firstLineChars="0"/>
        <w:jc w:val="center"/>
        <w:rPr>
          <w:rFonts w:asciiTheme="minorEastAsia" w:hAnsiTheme="minorEastAsia" w:cstheme="minorEastAsia"/>
          <w:b/>
          <w:color w:val="000000" w:themeColor="text1"/>
          <w:sz w:val="24"/>
          <w14:textFill>
            <w14:solidFill>
              <w14:schemeClr w14:val="tx1"/>
            </w14:solidFill>
          </w14:textFill>
        </w:rPr>
      </w:pPr>
      <w:r>
        <w:rPr>
          <w:rFonts w:hint="eastAsia" w:asciiTheme="minorEastAsia" w:hAnsiTheme="minorEastAsia" w:cstheme="minorEastAsia"/>
          <w:b/>
          <w:color w:val="000000" w:themeColor="text1"/>
          <w:sz w:val="24"/>
          <w14:textFill>
            <w14:solidFill>
              <w14:schemeClr w14:val="tx1"/>
            </w14:solidFill>
          </w14:textFill>
        </w:rPr>
        <w:t>1、供应商概况及其性质</w:t>
      </w:r>
    </w:p>
    <w:tbl>
      <w:tblPr>
        <w:tblStyle w:val="37"/>
        <w:tblW w:w="89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1022"/>
        <w:gridCol w:w="1492"/>
        <w:gridCol w:w="1184"/>
        <w:gridCol w:w="1113"/>
        <w:gridCol w:w="178"/>
        <w:gridCol w:w="2344"/>
      </w:tblGrid>
      <w:tr w14:paraId="4E621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586" w:type="dxa"/>
            <w:vAlign w:val="center"/>
          </w:tcPr>
          <w:p w14:paraId="5564D79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供应商名称</w:t>
            </w:r>
          </w:p>
        </w:tc>
        <w:tc>
          <w:tcPr>
            <w:tcW w:w="7333" w:type="dxa"/>
            <w:gridSpan w:val="6"/>
            <w:vAlign w:val="center"/>
          </w:tcPr>
          <w:p w14:paraId="6D90939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11FE9A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14" w:hRule="atLeast"/>
          <w:jc w:val="center"/>
        </w:trPr>
        <w:tc>
          <w:tcPr>
            <w:tcW w:w="1586" w:type="dxa"/>
            <w:vAlign w:val="center"/>
          </w:tcPr>
          <w:p w14:paraId="7E803D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注册地址</w:t>
            </w:r>
          </w:p>
        </w:tc>
        <w:tc>
          <w:tcPr>
            <w:tcW w:w="3698" w:type="dxa"/>
            <w:gridSpan w:val="3"/>
            <w:vAlign w:val="center"/>
          </w:tcPr>
          <w:p w14:paraId="7C18FDB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1BDA3EE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邮政编码</w:t>
            </w:r>
          </w:p>
        </w:tc>
        <w:tc>
          <w:tcPr>
            <w:tcW w:w="2344" w:type="dxa"/>
            <w:vAlign w:val="center"/>
          </w:tcPr>
          <w:p w14:paraId="4F02E68B">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2EDFC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restart"/>
            <w:vAlign w:val="center"/>
          </w:tcPr>
          <w:p w14:paraId="203CC10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联系方式</w:t>
            </w:r>
          </w:p>
        </w:tc>
        <w:tc>
          <w:tcPr>
            <w:tcW w:w="1022" w:type="dxa"/>
            <w:vAlign w:val="center"/>
          </w:tcPr>
          <w:p w14:paraId="7739138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联系人</w:t>
            </w:r>
          </w:p>
        </w:tc>
        <w:tc>
          <w:tcPr>
            <w:tcW w:w="2676" w:type="dxa"/>
            <w:gridSpan w:val="2"/>
            <w:vAlign w:val="center"/>
          </w:tcPr>
          <w:p w14:paraId="4C7E54F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76FB3E2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2344" w:type="dxa"/>
            <w:vAlign w:val="center"/>
          </w:tcPr>
          <w:p w14:paraId="2C8A9A0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027A0C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586" w:type="dxa"/>
            <w:vMerge w:val="continue"/>
            <w:vAlign w:val="center"/>
          </w:tcPr>
          <w:p w14:paraId="3AC29306">
            <w:pPr>
              <w:spacing w:line="600" w:lineRule="exact"/>
              <w:rPr>
                <w:rFonts w:asciiTheme="minorEastAsia" w:hAnsiTheme="minorEastAsia" w:cstheme="minorEastAsia"/>
                <w:color w:val="000000" w:themeColor="text1"/>
                <w:szCs w:val="24"/>
                <w14:textFill>
                  <w14:solidFill>
                    <w14:schemeClr w14:val="tx1"/>
                  </w14:solidFill>
                </w14:textFill>
              </w:rPr>
            </w:pPr>
          </w:p>
        </w:tc>
        <w:tc>
          <w:tcPr>
            <w:tcW w:w="1022" w:type="dxa"/>
            <w:vAlign w:val="center"/>
          </w:tcPr>
          <w:p w14:paraId="02AAD0ED">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传真</w:t>
            </w:r>
          </w:p>
        </w:tc>
        <w:tc>
          <w:tcPr>
            <w:tcW w:w="2676" w:type="dxa"/>
            <w:gridSpan w:val="2"/>
            <w:vAlign w:val="center"/>
          </w:tcPr>
          <w:p w14:paraId="0B6D96A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291" w:type="dxa"/>
            <w:gridSpan w:val="2"/>
            <w:vAlign w:val="center"/>
          </w:tcPr>
          <w:p w14:paraId="0F5CED4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网址</w:t>
            </w:r>
          </w:p>
        </w:tc>
        <w:tc>
          <w:tcPr>
            <w:tcW w:w="2344" w:type="dxa"/>
            <w:vAlign w:val="center"/>
          </w:tcPr>
          <w:p w14:paraId="17091F54">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4D745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586" w:type="dxa"/>
            <w:vAlign w:val="center"/>
          </w:tcPr>
          <w:p w14:paraId="730823A6">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组织结构</w:t>
            </w:r>
          </w:p>
        </w:tc>
        <w:tc>
          <w:tcPr>
            <w:tcW w:w="7333" w:type="dxa"/>
            <w:gridSpan w:val="6"/>
            <w:vAlign w:val="center"/>
          </w:tcPr>
          <w:p w14:paraId="416D66C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r>
      <w:tr w14:paraId="6EE312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586" w:type="dxa"/>
            <w:vAlign w:val="center"/>
          </w:tcPr>
          <w:p w14:paraId="05D562F5">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法定代表人</w:t>
            </w:r>
          </w:p>
        </w:tc>
        <w:tc>
          <w:tcPr>
            <w:tcW w:w="1022" w:type="dxa"/>
            <w:vAlign w:val="center"/>
          </w:tcPr>
          <w:p w14:paraId="58EC788E">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姓名</w:t>
            </w:r>
          </w:p>
        </w:tc>
        <w:tc>
          <w:tcPr>
            <w:tcW w:w="1492" w:type="dxa"/>
            <w:vAlign w:val="center"/>
          </w:tcPr>
          <w:p w14:paraId="3D20606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1184" w:type="dxa"/>
            <w:vAlign w:val="center"/>
          </w:tcPr>
          <w:p w14:paraId="31E5A6E2">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电话</w:t>
            </w:r>
          </w:p>
        </w:tc>
        <w:tc>
          <w:tcPr>
            <w:tcW w:w="3635" w:type="dxa"/>
            <w:gridSpan w:val="3"/>
            <w:vAlign w:val="center"/>
          </w:tcPr>
          <w:p w14:paraId="056D661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7752F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1586" w:type="dxa"/>
            <w:vAlign w:val="center"/>
          </w:tcPr>
          <w:p w14:paraId="39D2E74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成立时间</w:t>
            </w:r>
          </w:p>
        </w:tc>
        <w:tc>
          <w:tcPr>
            <w:tcW w:w="2514" w:type="dxa"/>
            <w:gridSpan w:val="2"/>
            <w:vAlign w:val="center"/>
          </w:tcPr>
          <w:p w14:paraId="3196D431">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p>
        </w:tc>
        <w:tc>
          <w:tcPr>
            <w:tcW w:w="2297" w:type="dxa"/>
            <w:gridSpan w:val="2"/>
            <w:vAlign w:val="center"/>
          </w:tcPr>
          <w:p w14:paraId="444D8AD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员工总人数：</w:t>
            </w:r>
          </w:p>
        </w:tc>
        <w:tc>
          <w:tcPr>
            <w:tcW w:w="2522" w:type="dxa"/>
            <w:gridSpan w:val="2"/>
            <w:vAlign w:val="center"/>
          </w:tcPr>
          <w:p w14:paraId="57D70A7B">
            <w:pPr>
              <w:autoSpaceDE w:val="0"/>
              <w:autoSpaceDN w:val="0"/>
              <w:adjustRightInd w:val="0"/>
              <w:spacing w:line="600" w:lineRule="exact"/>
              <w:rPr>
                <w:rFonts w:asciiTheme="minorEastAsia" w:hAnsiTheme="minorEastAsia" w:cstheme="minorEastAsia"/>
                <w:color w:val="000000" w:themeColor="text1"/>
                <w:szCs w:val="24"/>
                <w14:textFill>
                  <w14:solidFill>
                    <w14:schemeClr w14:val="tx1"/>
                  </w14:solidFill>
                </w14:textFill>
              </w:rPr>
            </w:pPr>
          </w:p>
        </w:tc>
      </w:tr>
      <w:tr w14:paraId="1B43A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100" w:hRule="atLeast"/>
          <w:jc w:val="center"/>
        </w:trPr>
        <w:tc>
          <w:tcPr>
            <w:tcW w:w="1586" w:type="dxa"/>
            <w:vAlign w:val="center"/>
          </w:tcPr>
          <w:p w14:paraId="7E961383">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注册资金</w:t>
            </w:r>
          </w:p>
        </w:tc>
        <w:tc>
          <w:tcPr>
            <w:tcW w:w="7333" w:type="dxa"/>
            <w:gridSpan w:val="6"/>
            <w:vAlign w:val="center"/>
          </w:tcPr>
          <w:p w14:paraId="10A255D1">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1587B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586" w:type="dxa"/>
            <w:vAlign w:val="center"/>
          </w:tcPr>
          <w:p w14:paraId="2F5B9BA8">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开户银行</w:t>
            </w:r>
          </w:p>
        </w:tc>
        <w:tc>
          <w:tcPr>
            <w:tcW w:w="7333" w:type="dxa"/>
            <w:gridSpan w:val="6"/>
            <w:vAlign w:val="center"/>
          </w:tcPr>
          <w:p w14:paraId="3B3B3006">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51E9B4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586" w:type="dxa"/>
            <w:vAlign w:val="center"/>
          </w:tcPr>
          <w:p w14:paraId="196A9AA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账号</w:t>
            </w:r>
          </w:p>
        </w:tc>
        <w:tc>
          <w:tcPr>
            <w:tcW w:w="7333" w:type="dxa"/>
            <w:gridSpan w:val="6"/>
            <w:vAlign w:val="center"/>
          </w:tcPr>
          <w:p w14:paraId="3952F343">
            <w:pPr>
              <w:autoSpaceDE w:val="0"/>
              <w:autoSpaceDN w:val="0"/>
              <w:adjustRightInd w:val="0"/>
              <w:spacing w:line="600" w:lineRule="exact"/>
              <w:jc w:val="center"/>
              <w:rPr>
                <w:rFonts w:asciiTheme="minorEastAsia" w:hAnsiTheme="minorEastAsia" w:cstheme="minorEastAsia"/>
                <w:b/>
                <w:bCs/>
                <w:color w:val="000000" w:themeColor="text1"/>
                <w:szCs w:val="24"/>
                <w14:textFill>
                  <w14:solidFill>
                    <w14:schemeClr w14:val="tx1"/>
                  </w14:solidFill>
                </w14:textFill>
              </w:rPr>
            </w:pPr>
          </w:p>
        </w:tc>
      </w:tr>
      <w:tr w14:paraId="44CB1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24" w:hRule="atLeast"/>
          <w:jc w:val="center"/>
        </w:trPr>
        <w:tc>
          <w:tcPr>
            <w:tcW w:w="1586" w:type="dxa"/>
            <w:vAlign w:val="center"/>
          </w:tcPr>
          <w:p w14:paraId="59A1AFD7">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经营范围</w:t>
            </w:r>
          </w:p>
        </w:tc>
        <w:tc>
          <w:tcPr>
            <w:tcW w:w="7333" w:type="dxa"/>
            <w:gridSpan w:val="6"/>
            <w:vAlign w:val="center"/>
          </w:tcPr>
          <w:p w14:paraId="0FAA4CFD">
            <w:pPr>
              <w:autoSpaceDE w:val="0"/>
              <w:autoSpaceDN w:val="0"/>
              <w:adjustRightInd w:val="0"/>
              <w:spacing w:line="600" w:lineRule="exact"/>
              <w:rPr>
                <w:rFonts w:asciiTheme="minorEastAsia" w:hAnsiTheme="minorEastAsia" w:cstheme="minorEastAsia"/>
                <w:b/>
                <w:bCs/>
                <w:color w:val="000000" w:themeColor="text1"/>
                <w:szCs w:val="24"/>
                <w14:textFill>
                  <w14:solidFill>
                    <w14:schemeClr w14:val="tx1"/>
                  </w14:solidFill>
                </w14:textFill>
              </w:rPr>
            </w:pPr>
          </w:p>
        </w:tc>
      </w:tr>
      <w:tr w14:paraId="10B764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54" w:hRule="atLeast"/>
          <w:jc w:val="center"/>
        </w:trPr>
        <w:tc>
          <w:tcPr>
            <w:tcW w:w="1586" w:type="dxa"/>
            <w:vAlign w:val="center"/>
          </w:tcPr>
          <w:p w14:paraId="54CCD789">
            <w:pPr>
              <w:autoSpaceDE w:val="0"/>
              <w:autoSpaceDN w:val="0"/>
              <w:adjustRightInd w:val="0"/>
              <w:spacing w:line="600" w:lineRule="exact"/>
              <w:jc w:val="cente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t>备注</w:t>
            </w:r>
          </w:p>
        </w:tc>
        <w:tc>
          <w:tcPr>
            <w:tcW w:w="7333" w:type="dxa"/>
            <w:gridSpan w:val="6"/>
          </w:tcPr>
          <w:p w14:paraId="7D57BD0E">
            <w:pPr>
              <w:autoSpaceDE w:val="0"/>
              <w:autoSpaceDN w:val="0"/>
              <w:adjustRightInd w:val="0"/>
              <w:spacing w:line="600" w:lineRule="exact"/>
              <w:jc w:val="left"/>
              <w:rPr>
                <w:rFonts w:asciiTheme="minorEastAsia" w:hAnsiTheme="minorEastAsia" w:cstheme="minorEastAsia"/>
                <w:color w:val="000000" w:themeColor="text1"/>
                <w:szCs w:val="24"/>
                <w14:textFill>
                  <w14:solidFill>
                    <w14:schemeClr w14:val="tx1"/>
                  </w14:solidFill>
                </w14:textFill>
              </w:rPr>
            </w:pPr>
          </w:p>
        </w:tc>
      </w:tr>
    </w:tbl>
    <w:p w14:paraId="686DB70C">
      <w:pPr>
        <w:rPr>
          <w:rFonts w:asciiTheme="minorEastAsia" w:hAnsiTheme="minorEastAsia" w:cstheme="minorEastAsia"/>
          <w:color w:val="000000" w:themeColor="text1"/>
          <w:szCs w:val="24"/>
          <w14:textFill>
            <w14:solidFill>
              <w14:schemeClr w14:val="tx1"/>
            </w14:solidFill>
          </w14:textFill>
        </w:rPr>
      </w:pPr>
      <w:r>
        <w:rPr>
          <w:rFonts w:hint="eastAsia" w:asciiTheme="minorEastAsia" w:hAnsiTheme="minorEastAsia" w:cstheme="minorEastAsia"/>
          <w:color w:val="000000" w:themeColor="text1"/>
          <w:szCs w:val="24"/>
          <w14:textFill>
            <w14:solidFill>
              <w14:schemeClr w14:val="tx1"/>
            </w14:solidFill>
          </w14:textFill>
        </w:rPr>
        <w:br w:type="page"/>
      </w:r>
    </w:p>
    <w:p w14:paraId="2E71FA0C">
      <w:pPr>
        <w:pStyle w:val="56"/>
        <w:spacing w:line="480" w:lineRule="auto"/>
        <w:ind w:firstLine="241" w:firstLineChars="100"/>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2、投标方案</w:t>
      </w:r>
    </w:p>
    <w:p w14:paraId="30F3E2B0">
      <w:pPr>
        <w:pStyle w:val="56"/>
        <w:spacing w:line="480" w:lineRule="auto"/>
        <w:ind w:firstLine="240" w:firstLineChars="1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包含但不限于以下内容：</w:t>
      </w:r>
    </w:p>
    <w:p w14:paraId="0A33E1D0">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项目负责人和项目部的配备</w:t>
      </w:r>
    </w:p>
    <w:p w14:paraId="49B82F7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施工方案、方法和技术措施</w:t>
      </w:r>
    </w:p>
    <w:p w14:paraId="1A608D0F">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确保工期的技术组织措施</w:t>
      </w:r>
    </w:p>
    <w:p w14:paraId="47446104">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确保工程质量的技术措施</w:t>
      </w:r>
    </w:p>
    <w:p w14:paraId="2C33CC00">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确保安全生产的技术组织措施</w:t>
      </w:r>
    </w:p>
    <w:p w14:paraId="344361A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确保文明施工的技术组织措施及环境保护措施</w:t>
      </w:r>
    </w:p>
    <w:p w14:paraId="29A9404E">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w:t>
      </w:r>
      <w:r>
        <w:rPr>
          <w:rFonts w:hint="eastAsia" w:ascii="宋体" w:hAnsi="宋体" w:eastAsia="宋体" w:cs="宋体"/>
          <w:color w:val="000000" w:themeColor="text1"/>
          <w:sz w:val="24"/>
          <w:szCs w:val="24"/>
          <w14:textFill>
            <w14:solidFill>
              <w14:schemeClr w14:val="tx1"/>
            </w14:solidFill>
          </w14:textFill>
        </w:rPr>
        <w:t>主要机具、设备和劳动力配备情况</w:t>
      </w:r>
    </w:p>
    <w:p w14:paraId="7E7F8771">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w:t>
      </w:r>
      <w:r>
        <w:rPr>
          <w:rFonts w:hint="eastAsia" w:ascii="宋体" w:hAnsi="宋体" w:eastAsia="宋体" w:cs="宋体"/>
          <w:color w:val="000000" w:themeColor="text1"/>
          <w:sz w:val="24"/>
          <w:szCs w:val="24"/>
          <w14:textFill>
            <w14:solidFill>
              <w14:schemeClr w14:val="tx1"/>
            </w14:solidFill>
          </w14:textFill>
        </w:rPr>
        <w:t>进度计划和工期目标</w:t>
      </w:r>
    </w:p>
    <w:p w14:paraId="14495E95">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9.</w:t>
      </w:r>
      <w:r>
        <w:rPr>
          <w:rFonts w:hint="eastAsia" w:ascii="宋体" w:hAnsi="宋体" w:eastAsia="宋体" w:cs="宋体"/>
          <w:color w:val="000000" w:themeColor="text1"/>
          <w:sz w:val="24"/>
          <w:szCs w:val="24"/>
          <w14:textFill>
            <w14:solidFill>
              <w14:schemeClr w14:val="tx1"/>
            </w14:solidFill>
          </w14:textFill>
        </w:rPr>
        <w:t>项目风险预测与防范，事故应急预案</w:t>
      </w:r>
    </w:p>
    <w:p w14:paraId="6659C977">
      <w:pPr>
        <w:pStyle w:val="56"/>
        <w:spacing w:line="480" w:lineRule="auto"/>
        <w:ind w:firstLine="240" w:firstLineChars="100"/>
        <w:rPr>
          <w:rFonts w:hint="default"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10.保修服务</w:t>
      </w:r>
    </w:p>
    <w:p w14:paraId="5F801622">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p>
    <w:p w14:paraId="02077AC1">
      <w:pPr>
        <w:pStyle w:val="56"/>
        <w:spacing w:line="480" w:lineRule="auto"/>
        <w:ind w:firstLine="240" w:firstLineChars="100"/>
        <w:rPr>
          <w:rFonts w:hint="eastAsia" w:ascii="宋体" w:hAnsi="宋体" w:eastAsia="宋体" w:cs="宋体"/>
          <w:color w:val="000000" w:themeColor="text1"/>
          <w:sz w:val="24"/>
          <w:szCs w:val="24"/>
          <w14:textFill>
            <w14:solidFill>
              <w14:schemeClr w14:val="tx1"/>
            </w14:solidFill>
          </w14:textFill>
        </w:rPr>
      </w:pPr>
    </w:p>
    <w:p w14:paraId="77AB6409">
      <w:pPr>
        <w:pStyle w:val="56"/>
        <w:spacing w:line="360" w:lineRule="auto"/>
        <w:ind w:firstLine="174" w:firstLineChars="62"/>
        <w:rPr>
          <w:rFonts w:hint="eastAsia" w:ascii="宋体" w:hAnsi="宋体" w:eastAsia="宋体" w:cs="宋体"/>
          <w:b/>
          <w:bCs/>
          <w:color w:val="000000" w:themeColor="text1"/>
          <w:szCs w:val="28"/>
          <w14:textFill>
            <w14:solidFill>
              <w14:schemeClr w14:val="tx1"/>
            </w14:solidFill>
          </w14:textFill>
        </w:rPr>
      </w:pPr>
      <w:r>
        <w:rPr>
          <w:rFonts w:hint="eastAsia" w:ascii="宋体" w:hAnsi="宋体" w:eastAsia="宋体" w:cs="宋体"/>
          <w:b/>
          <w:bCs/>
          <w:color w:val="000000" w:themeColor="text1"/>
          <w:szCs w:val="28"/>
          <w14:textFill>
            <w14:solidFill>
              <w14:schemeClr w14:val="tx1"/>
            </w14:solidFill>
          </w14:textFill>
        </w:rPr>
        <w:br w:type="page"/>
      </w:r>
    </w:p>
    <w:p w14:paraId="2E073964">
      <w:pPr>
        <w:pStyle w:val="56"/>
        <w:spacing w:line="480" w:lineRule="auto"/>
        <w:ind w:firstLine="241" w:firstLineChars="100"/>
        <w:jc w:val="center"/>
        <w:rPr>
          <w:rFonts w:hint="eastAsia" w:ascii="宋体" w:hAnsi="宋体" w:eastAsia="宋体" w:cs="宋体"/>
          <w:b/>
          <w:bCs/>
          <w:color w:val="000000" w:themeColor="text1"/>
          <w:sz w:val="24"/>
          <w:szCs w:val="24"/>
          <w:lang w:val="en-US" w:eastAsia="zh-CN"/>
          <w14:textFill>
            <w14:solidFill>
              <w14:schemeClr w14:val="tx1"/>
            </w14:solidFill>
          </w14:textFill>
        </w:rPr>
      </w:pPr>
      <w:bookmarkStart w:id="119" w:name="_Toc458617499"/>
      <w:bookmarkStart w:id="120" w:name="_Toc6831"/>
      <w:bookmarkStart w:id="121" w:name="_Toc31350"/>
      <w:r>
        <w:rPr>
          <w:rFonts w:hint="eastAsia" w:ascii="宋体" w:hAnsi="宋体" w:eastAsia="宋体" w:cs="宋体"/>
          <w:b/>
          <w:bCs/>
          <w:color w:val="000000" w:themeColor="text1"/>
          <w:sz w:val="24"/>
          <w:szCs w:val="24"/>
          <w:lang w:val="en-US" w:eastAsia="zh-CN"/>
          <w14:textFill>
            <w14:solidFill>
              <w14:schemeClr w14:val="tx1"/>
            </w14:solidFill>
          </w14:textFill>
        </w:rPr>
        <w:t>3、类似业绩</w:t>
      </w:r>
    </w:p>
    <w:p w14:paraId="34D495DE">
      <w:pPr>
        <w:rPr>
          <w:rFonts w:hint="eastAsia" w:ascii="宋体" w:hAnsi="宋体" w:eastAsia="宋体" w:cs="宋体"/>
          <w:b/>
          <w:bCs/>
          <w:color w:val="auto"/>
          <w:szCs w:val="28"/>
        </w:rPr>
      </w:pPr>
    </w:p>
    <w:tbl>
      <w:tblPr>
        <w:tblStyle w:val="141"/>
        <w:tblW w:w="8858" w:type="dxa"/>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10"/>
        <w:gridCol w:w="3215"/>
        <w:gridCol w:w="1870"/>
        <w:gridCol w:w="1632"/>
        <w:gridCol w:w="1131"/>
      </w:tblGrid>
      <w:tr w14:paraId="4A14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5" w:hRule="atLeast"/>
        </w:trPr>
        <w:tc>
          <w:tcPr>
            <w:tcW w:w="1010" w:type="dxa"/>
            <w:vAlign w:val="top"/>
          </w:tcPr>
          <w:p w14:paraId="1DF021BF">
            <w:pPr>
              <w:pStyle w:val="140"/>
              <w:spacing w:before="237" w:line="221" w:lineRule="auto"/>
              <w:ind w:left="281"/>
              <w:rPr>
                <w:rFonts w:hint="eastAsia" w:ascii="宋体" w:hAnsi="宋体" w:eastAsia="宋体" w:cs="宋体"/>
                <w:sz w:val="21"/>
                <w:szCs w:val="21"/>
              </w:rPr>
            </w:pPr>
            <w:r>
              <w:rPr>
                <w:rFonts w:hint="eastAsia" w:ascii="宋体" w:hAnsi="宋体" w:eastAsia="宋体" w:cs="宋体"/>
                <w:spacing w:val="-5"/>
                <w:sz w:val="21"/>
                <w:szCs w:val="21"/>
                <w14:textOutline w14:w="4358" w14:cap="sq" w14:cmpd="sng">
                  <w14:solidFill>
                    <w14:srgbClr w14:val="000000"/>
                  </w14:solidFill>
                  <w14:prstDash w14:val="solid"/>
                  <w14:bevel/>
                </w14:textOutline>
              </w:rPr>
              <w:t>序号</w:t>
            </w:r>
          </w:p>
        </w:tc>
        <w:tc>
          <w:tcPr>
            <w:tcW w:w="3215" w:type="dxa"/>
            <w:vAlign w:val="top"/>
          </w:tcPr>
          <w:p w14:paraId="169590D3">
            <w:pPr>
              <w:pStyle w:val="140"/>
              <w:spacing w:before="237" w:line="220" w:lineRule="auto"/>
              <w:ind w:left="1210"/>
              <w:rPr>
                <w:rFonts w:hint="eastAsia" w:ascii="宋体" w:hAnsi="宋体" w:eastAsia="宋体" w:cs="宋体"/>
                <w:sz w:val="21"/>
                <w:szCs w:val="21"/>
              </w:rPr>
            </w:pPr>
            <w:r>
              <w:rPr>
                <w:rFonts w:hint="eastAsia" w:ascii="宋体" w:hAnsi="宋体" w:eastAsia="宋体" w:cs="宋体"/>
                <w:spacing w:val="-3"/>
                <w:sz w:val="21"/>
                <w:szCs w:val="21"/>
                <w14:textOutline w14:w="4358" w14:cap="sq" w14:cmpd="sng">
                  <w14:solidFill>
                    <w14:srgbClr w14:val="000000"/>
                  </w14:solidFill>
                  <w14:prstDash w14:val="solid"/>
                  <w14:bevel/>
                </w14:textOutline>
              </w:rPr>
              <w:t>项目名称</w:t>
            </w:r>
          </w:p>
        </w:tc>
        <w:tc>
          <w:tcPr>
            <w:tcW w:w="1870" w:type="dxa"/>
            <w:vAlign w:val="top"/>
          </w:tcPr>
          <w:p w14:paraId="3727D2E7">
            <w:pPr>
              <w:pStyle w:val="140"/>
              <w:spacing w:before="238" w:line="219" w:lineRule="auto"/>
              <w:ind w:left="509"/>
              <w:rPr>
                <w:rFonts w:hint="eastAsia" w:ascii="宋体" w:hAnsi="宋体" w:eastAsia="宋体" w:cs="宋体"/>
                <w:sz w:val="21"/>
                <w:szCs w:val="21"/>
              </w:rPr>
            </w:pPr>
            <w:r>
              <w:rPr>
                <w:rFonts w:hint="eastAsia" w:ascii="宋体" w:hAnsi="宋体" w:eastAsia="宋体" w:cs="宋体"/>
                <w:spacing w:val="-2"/>
                <w:sz w:val="21"/>
                <w:szCs w:val="21"/>
                <w14:textOutline w14:w="4358" w14:cap="sq" w14:cmpd="sng">
                  <w14:solidFill>
                    <w14:srgbClr w14:val="000000"/>
                  </w14:solidFill>
                  <w14:prstDash w14:val="solid"/>
                  <w14:bevel/>
                </w14:textOutline>
              </w:rPr>
              <w:t>合同金额</w:t>
            </w:r>
          </w:p>
        </w:tc>
        <w:tc>
          <w:tcPr>
            <w:tcW w:w="1632" w:type="dxa"/>
            <w:vAlign w:val="top"/>
          </w:tcPr>
          <w:p w14:paraId="68E48A65">
            <w:pPr>
              <w:pStyle w:val="140"/>
              <w:spacing w:before="238" w:line="221" w:lineRule="auto"/>
              <w:ind w:left="388"/>
              <w:rPr>
                <w:rFonts w:hint="eastAsia" w:ascii="宋体" w:hAnsi="宋体" w:eastAsia="宋体" w:cs="宋体"/>
                <w:sz w:val="21"/>
                <w:szCs w:val="21"/>
              </w:rPr>
            </w:pPr>
            <w:r>
              <w:rPr>
                <w:rFonts w:hint="eastAsia" w:ascii="宋体" w:hAnsi="宋体" w:eastAsia="宋体" w:cs="宋体"/>
                <w:spacing w:val="-2"/>
                <w:sz w:val="21"/>
                <w:szCs w:val="21"/>
                <w14:textOutline w14:w="4358" w14:cap="sq" w14:cmpd="sng">
                  <w14:solidFill>
                    <w14:srgbClr w14:val="000000"/>
                  </w14:solidFill>
                  <w14:prstDash w14:val="solid"/>
                  <w14:bevel/>
                </w14:textOutline>
              </w:rPr>
              <w:t>签订时间</w:t>
            </w:r>
          </w:p>
        </w:tc>
        <w:tc>
          <w:tcPr>
            <w:tcW w:w="1131" w:type="dxa"/>
            <w:vAlign w:val="top"/>
          </w:tcPr>
          <w:p w14:paraId="773E378F">
            <w:pPr>
              <w:pStyle w:val="140"/>
              <w:spacing w:before="237" w:line="221" w:lineRule="auto"/>
              <w:ind w:left="366"/>
              <w:rPr>
                <w:rFonts w:hint="eastAsia" w:ascii="宋体" w:hAnsi="宋体" w:eastAsia="宋体" w:cs="宋体"/>
                <w:sz w:val="21"/>
                <w:szCs w:val="21"/>
              </w:rPr>
            </w:pPr>
            <w:r>
              <w:rPr>
                <w:rFonts w:hint="eastAsia" w:ascii="宋体" w:hAnsi="宋体" w:eastAsia="宋体" w:cs="宋体"/>
                <w:spacing w:val="-7"/>
                <w:sz w:val="21"/>
                <w:szCs w:val="21"/>
                <w14:textOutline w14:w="4358" w14:cap="sq" w14:cmpd="sng">
                  <w14:solidFill>
                    <w14:srgbClr w14:val="000000"/>
                  </w14:solidFill>
                  <w14:prstDash w14:val="solid"/>
                  <w14:bevel/>
                </w14:textOutline>
              </w:rPr>
              <w:t>备注</w:t>
            </w:r>
          </w:p>
        </w:tc>
      </w:tr>
      <w:tr w14:paraId="22168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1010" w:type="dxa"/>
            <w:vAlign w:val="top"/>
          </w:tcPr>
          <w:p w14:paraId="75365AAB">
            <w:pPr>
              <w:rPr>
                <w:rFonts w:hint="eastAsia" w:ascii="宋体" w:hAnsi="宋体" w:eastAsia="宋体" w:cs="宋体"/>
                <w:sz w:val="21"/>
                <w:szCs w:val="21"/>
              </w:rPr>
            </w:pPr>
          </w:p>
        </w:tc>
        <w:tc>
          <w:tcPr>
            <w:tcW w:w="3215" w:type="dxa"/>
            <w:vAlign w:val="top"/>
          </w:tcPr>
          <w:p w14:paraId="7779D8D8">
            <w:pPr>
              <w:rPr>
                <w:rFonts w:hint="eastAsia" w:ascii="宋体" w:hAnsi="宋体" w:eastAsia="宋体" w:cs="宋体"/>
                <w:sz w:val="21"/>
                <w:szCs w:val="21"/>
              </w:rPr>
            </w:pPr>
          </w:p>
        </w:tc>
        <w:tc>
          <w:tcPr>
            <w:tcW w:w="1870" w:type="dxa"/>
            <w:vAlign w:val="top"/>
          </w:tcPr>
          <w:p w14:paraId="7B216709">
            <w:pPr>
              <w:rPr>
                <w:rFonts w:hint="eastAsia" w:ascii="宋体" w:hAnsi="宋体" w:eastAsia="宋体" w:cs="宋体"/>
                <w:sz w:val="21"/>
                <w:szCs w:val="21"/>
              </w:rPr>
            </w:pPr>
          </w:p>
        </w:tc>
        <w:tc>
          <w:tcPr>
            <w:tcW w:w="1632" w:type="dxa"/>
            <w:vAlign w:val="top"/>
          </w:tcPr>
          <w:p w14:paraId="054521F3">
            <w:pPr>
              <w:rPr>
                <w:rFonts w:hint="eastAsia" w:ascii="宋体" w:hAnsi="宋体" w:eastAsia="宋体" w:cs="宋体"/>
                <w:sz w:val="21"/>
                <w:szCs w:val="21"/>
              </w:rPr>
            </w:pPr>
          </w:p>
        </w:tc>
        <w:tc>
          <w:tcPr>
            <w:tcW w:w="1131" w:type="dxa"/>
            <w:vAlign w:val="top"/>
          </w:tcPr>
          <w:p w14:paraId="0A70C1E3">
            <w:pPr>
              <w:rPr>
                <w:rFonts w:hint="eastAsia" w:ascii="宋体" w:hAnsi="宋体" w:eastAsia="宋体" w:cs="宋体"/>
                <w:sz w:val="21"/>
                <w:szCs w:val="21"/>
              </w:rPr>
            </w:pPr>
          </w:p>
        </w:tc>
      </w:tr>
      <w:tr w14:paraId="0D76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228A171E">
            <w:pPr>
              <w:rPr>
                <w:rFonts w:hint="eastAsia" w:ascii="宋体" w:hAnsi="宋体" w:eastAsia="宋体" w:cs="宋体"/>
                <w:sz w:val="21"/>
                <w:szCs w:val="21"/>
              </w:rPr>
            </w:pPr>
          </w:p>
        </w:tc>
        <w:tc>
          <w:tcPr>
            <w:tcW w:w="3215" w:type="dxa"/>
            <w:vAlign w:val="top"/>
          </w:tcPr>
          <w:p w14:paraId="0EA0ADAB">
            <w:pPr>
              <w:rPr>
                <w:rFonts w:hint="eastAsia" w:ascii="宋体" w:hAnsi="宋体" w:eastAsia="宋体" w:cs="宋体"/>
                <w:sz w:val="21"/>
                <w:szCs w:val="21"/>
              </w:rPr>
            </w:pPr>
          </w:p>
        </w:tc>
        <w:tc>
          <w:tcPr>
            <w:tcW w:w="1870" w:type="dxa"/>
            <w:vAlign w:val="top"/>
          </w:tcPr>
          <w:p w14:paraId="4FDB9C55">
            <w:pPr>
              <w:rPr>
                <w:rFonts w:hint="eastAsia" w:ascii="宋体" w:hAnsi="宋体" w:eastAsia="宋体" w:cs="宋体"/>
                <w:sz w:val="21"/>
                <w:szCs w:val="21"/>
              </w:rPr>
            </w:pPr>
          </w:p>
        </w:tc>
        <w:tc>
          <w:tcPr>
            <w:tcW w:w="1632" w:type="dxa"/>
            <w:vAlign w:val="top"/>
          </w:tcPr>
          <w:p w14:paraId="0B0F0C55">
            <w:pPr>
              <w:rPr>
                <w:rFonts w:hint="eastAsia" w:ascii="宋体" w:hAnsi="宋体" w:eastAsia="宋体" w:cs="宋体"/>
                <w:sz w:val="21"/>
                <w:szCs w:val="21"/>
              </w:rPr>
            </w:pPr>
          </w:p>
        </w:tc>
        <w:tc>
          <w:tcPr>
            <w:tcW w:w="1131" w:type="dxa"/>
            <w:vAlign w:val="top"/>
          </w:tcPr>
          <w:p w14:paraId="57BC1C4A">
            <w:pPr>
              <w:rPr>
                <w:rFonts w:hint="eastAsia" w:ascii="宋体" w:hAnsi="宋体" w:eastAsia="宋体" w:cs="宋体"/>
                <w:sz w:val="21"/>
                <w:szCs w:val="21"/>
              </w:rPr>
            </w:pPr>
          </w:p>
        </w:tc>
      </w:tr>
      <w:tr w14:paraId="6A9B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1010" w:type="dxa"/>
            <w:vAlign w:val="top"/>
          </w:tcPr>
          <w:p w14:paraId="4480F21E">
            <w:pPr>
              <w:rPr>
                <w:rFonts w:hint="eastAsia" w:ascii="宋体" w:hAnsi="宋体" w:eastAsia="宋体" w:cs="宋体"/>
                <w:sz w:val="21"/>
                <w:szCs w:val="21"/>
              </w:rPr>
            </w:pPr>
          </w:p>
        </w:tc>
        <w:tc>
          <w:tcPr>
            <w:tcW w:w="3215" w:type="dxa"/>
            <w:vAlign w:val="top"/>
          </w:tcPr>
          <w:p w14:paraId="2F3D0568">
            <w:pPr>
              <w:rPr>
                <w:rFonts w:hint="eastAsia" w:ascii="宋体" w:hAnsi="宋体" w:eastAsia="宋体" w:cs="宋体"/>
                <w:sz w:val="21"/>
                <w:szCs w:val="21"/>
              </w:rPr>
            </w:pPr>
          </w:p>
        </w:tc>
        <w:tc>
          <w:tcPr>
            <w:tcW w:w="1870" w:type="dxa"/>
            <w:vAlign w:val="top"/>
          </w:tcPr>
          <w:p w14:paraId="11705925">
            <w:pPr>
              <w:rPr>
                <w:rFonts w:hint="eastAsia" w:ascii="宋体" w:hAnsi="宋体" w:eastAsia="宋体" w:cs="宋体"/>
                <w:sz w:val="21"/>
                <w:szCs w:val="21"/>
              </w:rPr>
            </w:pPr>
          </w:p>
        </w:tc>
        <w:tc>
          <w:tcPr>
            <w:tcW w:w="1632" w:type="dxa"/>
            <w:vAlign w:val="top"/>
          </w:tcPr>
          <w:p w14:paraId="7E3CB2A7">
            <w:pPr>
              <w:rPr>
                <w:rFonts w:hint="eastAsia" w:ascii="宋体" w:hAnsi="宋体" w:eastAsia="宋体" w:cs="宋体"/>
                <w:sz w:val="21"/>
                <w:szCs w:val="21"/>
              </w:rPr>
            </w:pPr>
          </w:p>
        </w:tc>
        <w:tc>
          <w:tcPr>
            <w:tcW w:w="1131" w:type="dxa"/>
            <w:vAlign w:val="top"/>
          </w:tcPr>
          <w:p w14:paraId="7DA114A5">
            <w:pPr>
              <w:rPr>
                <w:rFonts w:hint="eastAsia" w:ascii="宋体" w:hAnsi="宋体" w:eastAsia="宋体" w:cs="宋体"/>
                <w:sz w:val="21"/>
                <w:szCs w:val="21"/>
              </w:rPr>
            </w:pPr>
          </w:p>
        </w:tc>
      </w:tr>
      <w:tr w14:paraId="1170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5C57F283">
            <w:pPr>
              <w:rPr>
                <w:rFonts w:hint="eastAsia" w:ascii="宋体" w:hAnsi="宋体" w:eastAsia="宋体" w:cs="宋体"/>
                <w:sz w:val="21"/>
                <w:szCs w:val="21"/>
              </w:rPr>
            </w:pPr>
          </w:p>
        </w:tc>
        <w:tc>
          <w:tcPr>
            <w:tcW w:w="3215" w:type="dxa"/>
            <w:vAlign w:val="top"/>
          </w:tcPr>
          <w:p w14:paraId="09971CBC">
            <w:pPr>
              <w:rPr>
                <w:rFonts w:hint="eastAsia" w:ascii="宋体" w:hAnsi="宋体" w:eastAsia="宋体" w:cs="宋体"/>
                <w:sz w:val="21"/>
                <w:szCs w:val="21"/>
              </w:rPr>
            </w:pPr>
          </w:p>
        </w:tc>
        <w:tc>
          <w:tcPr>
            <w:tcW w:w="1870" w:type="dxa"/>
            <w:vAlign w:val="top"/>
          </w:tcPr>
          <w:p w14:paraId="56D15342">
            <w:pPr>
              <w:rPr>
                <w:rFonts w:hint="eastAsia" w:ascii="宋体" w:hAnsi="宋体" w:eastAsia="宋体" w:cs="宋体"/>
                <w:sz w:val="21"/>
                <w:szCs w:val="21"/>
              </w:rPr>
            </w:pPr>
          </w:p>
        </w:tc>
        <w:tc>
          <w:tcPr>
            <w:tcW w:w="1632" w:type="dxa"/>
            <w:vAlign w:val="top"/>
          </w:tcPr>
          <w:p w14:paraId="76CD700D">
            <w:pPr>
              <w:rPr>
                <w:rFonts w:hint="eastAsia" w:ascii="宋体" w:hAnsi="宋体" w:eastAsia="宋体" w:cs="宋体"/>
                <w:sz w:val="21"/>
                <w:szCs w:val="21"/>
              </w:rPr>
            </w:pPr>
          </w:p>
        </w:tc>
        <w:tc>
          <w:tcPr>
            <w:tcW w:w="1131" w:type="dxa"/>
            <w:vAlign w:val="top"/>
          </w:tcPr>
          <w:p w14:paraId="2D99FE09">
            <w:pPr>
              <w:rPr>
                <w:rFonts w:hint="eastAsia" w:ascii="宋体" w:hAnsi="宋体" w:eastAsia="宋体" w:cs="宋体"/>
                <w:sz w:val="21"/>
                <w:szCs w:val="21"/>
              </w:rPr>
            </w:pPr>
          </w:p>
        </w:tc>
      </w:tr>
      <w:tr w14:paraId="58E8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1010" w:type="dxa"/>
            <w:vAlign w:val="top"/>
          </w:tcPr>
          <w:p w14:paraId="67D4182F">
            <w:pPr>
              <w:rPr>
                <w:rFonts w:hint="eastAsia" w:ascii="宋体" w:hAnsi="宋体" w:eastAsia="宋体" w:cs="宋体"/>
                <w:sz w:val="21"/>
                <w:szCs w:val="21"/>
              </w:rPr>
            </w:pPr>
          </w:p>
        </w:tc>
        <w:tc>
          <w:tcPr>
            <w:tcW w:w="3215" w:type="dxa"/>
            <w:vAlign w:val="top"/>
          </w:tcPr>
          <w:p w14:paraId="32C4B8C3">
            <w:pPr>
              <w:rPr>
                <w:rFonts w:hint="eastAsia" w:ascii="宋体" w:hAnsi="宋体" w:eastAsia="宋体" w:cs="宋体"/>
                <w:sz w:val="21"/>
                <w:szCs w:val="21"/>
              </w:rPr>
            </w:pPr>
          </w:p>
        </w:tc>
        <w:tc>
          <w:tcPr>
            <w:tcW w:w="1870" w:type="dxa"/>
            <w:vAlign w:val="top"/>
          </w:tcPr>
          <w:p w14:paraId="779EDCE4">
            <w:pPr>
              <w:rPr>
                <w:rFonts w:hint="eastAsia" w:ascii="宋体" w:hAnsi="宋体" w:eastAsia="宋体" w:cs="宋体"/>
                <w:sz w:val="21"/>
                <w:szCs w:val="21"/>
              </w:rPr>
            </w:pPr>
          </w:p>
        </w:tc>
        <w:tc>
          <w:tcPr>
            <w:tcW w:w="1632" w:type="dxa"/>
            <w:vAlign w:val="top"/>
          </w:tcPr>
          <w:p w14:paraId="6325CAC1">
            <w:pPr>
              <w:rPr>
                <w:rFonts w:hint="eastAsia" w:ascii="宋体" w:hAnsi="宋体" w:eastAsia="宋体" w:cs="宋体"/>
                <w:sz w:val="21"/>
                <w:szCs w:val="21"/>
              </w:rPr>
            </w:pPr>
          </w:p>
        </w:tc>
        <w:tc>
          <w:tcPr>
            <w:tcW w:w="1131" w:type="dxa"/>
            <w:vAlign w:val="top"/>
          </w:tcPr>
          <w:p w14:paraId="12F4AF1A">
            <w:pPr>
              <w:rPr>
                <w:rFonts w:hint="eastAsia" w:ascii="宋体" w:hAnsi="宋体" w:eastAsia="宋体" w:cs="宋体"/>
                <w:sz w:val="21"/>
                <w:szCs w:val="21"/>
              </w:rPr>
            </w:pPr>
          </w:p>
        </w:tc>
      </w:tr>
      <w:tr w14:paraId="4CB2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47FD1708">
            <w:pPr>
              <w:rPr>
                <w:rFonts w:hint="eastAsia" w:ascii="宋体" w:hAnsi="宋体" w:eastAsia="宋体" w:cs="宋体"/>
                <w:sz w:val="21"/>
                <w:szCs w:val="21"/>
              </w:rPr>
            </w:pPr>
          </w:p>
        </w:tc>
        <w:tc>
          <w:tcPr>
            <w:tcW w:w="3215" w:type="dxa"/>
            <w:vAlign w:val="top"/>
          </w:tcPr>
          <w:p w14:paraId="4AB31CDA">
            <w:pPr>
              <w:rPr>
                <w:rFonts w:hint="eastAsia" w:ascii="宋体" w:hAnsi="宋体" w:eastAsia="宋体" w:cs="宋体"/>
                <w:sz w:val="21"/>
                <w:szCs w:val="21"/>
              </w:rPr>
            </w:pPr>
          </w:p>
        </w:tc>
        <w:tc>
          <w:tcPr>
            <w:tcW w:w="1870" w:type="dxa"/>
            <w:vAlign w:val="top"/>
          </w:tcPr>
          <w:p w14:paraId="7F6024A3">
            <w:pPr>
              <w:rPr>
                <w:rFonts w:hint="eastAsia" w:ascii="宋体" w:hAnsi="宋体" w:eastAsia="宋体" w:cs="宋体"/>
                <w:sz w:val="21"/>
                <w:szCs w:val="21"/>
              </w:rPr>
            </w:pPr>
          </w:p>
        </w:tc>
        <w:tc>
          <w:tcPr>
            <w:tcW w:w="1632" w:type="dxa"/>
            <w:vAlign w:val="top"/>
          </w:tcPr>
          <w:p w14:paraId="26C055DF">
            <w:pPr>
              <w:rPr>
                <w:rFonts w:hint="eastAsia" w:ascii="宋体" w:hAnsi="宋体" w:eastAsia="宋体" w:cs="宋体"/>
                <w:sz w:val="21"/>
                <w:szCs w:val="21"/>
              </w:rPr>
            </w:pPr>
          </w:p>
        </w:tc>
        <w:tc>
          <w:tcPr>
            <w:tcW w:w="1131" w:type="dxa"/>
            <w:vAlign w:val="top"/>
          </w:tcPr>
          <w:p w14:paraId="3209ED30">
            <w:pPr>
              <w:rPr>
                <w:rFonts w:hint="eastAsia" w:ascii="宋体" w:hAnsi="宋体" w:eastAsia="宋体" w:cs="宋体"/>
                <w:sz w:val="21"/>
                <w:szCs w:val="21"/>
              </w:rPr>
            </w:pPr>
          </w:p>
        </w:tc>
      </w:tr>
      <w:tr w14:paraId="5B047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4" w:hRule="atLeast"/>
        </w:trPr>
        <w:tc>
          <w:tcPr>
            <w:tcW w:w="1010" w:type="dxa"/>
            <w:vAlign w:val="top"/>
          </w:tcPr>
          <w:p w14:paraId="29659A26">
            <w:pPr>
              <w:rPr>
                <w:rFonts w:hint="eastAsia" w:ascii="宋体" w:hAnsi="宋体" w:eastAsia="宋体" w:cs="宋体"/>
                <w:sz w:val="21"/>
                <w:szCs w:val="21"/>
              </w:rPr>
            </w:pPr>
          </w:p>
        </w:tc>
        <w:tc>
          <w:tcPr>
            <w:tcW w:w="3215" w:type="dxa"/>
            <w:vAlign w:val="top"/>
          </w:tcPr>
          <w:p w14:paraId="340AF02F">
            <w:pPr>
              <w:rPr>
                <w:rFonts w:hint="eastAsia" w:ascii="宋体" w:hAnsi="宋体" w:eastAsia="宋体" w:cs="宋体"/>
                <w:sz w:val="21"/>
                <w:szCs w:val="21"/>
              </w:rPr>
            </w:pPr>
          </w:p>
        </w:tc>
        <w:tc>
          <w:tcPr>
            <w:tcW w:w="1870" w:type="dxa"/>
            <w:vAlign w:val="top"/>
          </w:tcPr>
          <w:p w14:paraId="419D07BC">
            <w:pPr>
              <w:rPr>
                <w:rFonts w:hint="eastAsia" w:ascii="宋体" w:hAnsi="宋体" w:eastAsia="宋体" w:cs="宋体"/>
                <w:sz w:val="21"/>
                <w:szCs w:val="21"/>
              </w:rPr>
            </w:pPr>
          </w:p>
        </w:tc>
        <w:tc>
          <w:tcPr>
            <w:tcW w:w="1632" w:type="dxa"/>
            <w:vAlign w:val="top"/>
          </w:tcPr>
          <w:p w14:paraId="148663B9">
            <w:pPr>
              <w:rPr>
                <w:rFonts w:hint="eastAsia" w:ascii="宋体" w:hAnsi="宋体" w:eastAsia="宋体" w:cs="宋体"/>
                <w:sz w:val="21"/>
                <w:szCs w:val="21"/>
              </w:rPr>
            </w:pPr>
          </w:p>
        </w:tc>
        <w:tc>
          <w:tcPr>
            <w:tcW w:w="1131" w:type="dxa"/>
            <w:vAlign w:val="top"/>
          </w:tcPr>
          <w:p w14:paraId="0478C853">
            <w:pPr>
              <w:rPr>
                <w:rFonts w:hint="eastAsia" w:ascii="宋体" w:hAnsi="宋体" w:eastAsia="宋体" w:cs="宋体"/>
                <w:sz w:val="21"/>
                <w:szCs w:val="21"/>
              </w:rPr>
            </w:pPr>
          </w:p>
        </w:tc>
      </w:tr>
      <w:tr w14:paraId="02FF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6B21CF9C">
            <w:pPr>
              <w:rPr>
                <w:rFonts w:hint="eastAsia" w:ascii="宋体" w:hAnsi="宋体" w:eastAsia="宋体" w:cs="宋体"/>
                <w:sz w:val="21"/>
                <w:szCs w:val="21"/>
              </w:rPr>
            </w:pPr>
          </w:p>
        </w:tc>
        <w:tc>
          <w:tcPr>
            <w:tcW w:w="3215" w:type="dxa"/>
            <w:vAlign w:val="top"/>
          </w:tcPr>
          <w:p w14:paraId="0C0C5571">
            <w:pPr>
              <w:rPr>
                <w:rFonts w:hint="eastAsia" w:ascii="宋体" w:hAnsi="宋体" w:eastAsia="宋体" w:cs="宋体"/>
                <w:sz w:val="21"/>
                <w:szCs w:val="21"/>
              </w:rPr>
            </w:pPr>
          </w:p>
        </w:tc>
        <w:tc>
          <w:tcPr>
            <w:tcW w:w="1870" w:type="dxa"/>
            <w:vAlign w:val="top"/>
          </w:tcPr>
          <w:p w14:paraId="26722F5A">
            <w:pPr>
              <w:rPr>
                <w:rFonts w:hint="eastAsia" w:ascii="宋体" w:hAnsi="宋体" w:eastAsia="宋体" w:cs="宋体"/>
                <w:sz w:val="21"/>
                <w:szCs w:val="21"/>
              </w:rPr>
            </w:pPr>
          </w:p>
        </w:tc>
        <w:tc>
          <w:tcPr>
            <w:tcW w:w="1632" w:type="dxa"/>
            <w:vAlign w:val="top"/>
          </w:tcPr>
          <w:p w14:paraId="4E16904A">
            <w:pPr>
              <w:rPr>
                <w:rFonts w:hint="eastAsia" w:ascii="宋体" w:hAnsi="宋体" w:eastAsia="宋体" w:cs="宋体"/>
                <w:sz w:val="21"/>
                <w:szCs w:val="21"/>
              </w:rPr>
            </w:pPr>
          </w:p>
        </w:tc>
        <w:tc>
          <w:tcPr>
            <w:tcW w:w="1131" w:type="dxa"/>
            <w:vAlign w:val="top"/>
          </w:tcPr>
          <w:p w14:paraId="29FC3FAF">
            <w:pPr>
              <w:rPr>
                <w:rFonts w:hint="eastAsia" w:ascii="宋体" w:hAnsi="宋体" w:eastAsia="宋体" w:cs="宋体"/>
                <w:sz w:val="21"/>
                <w:szCs w:val="21"/>
              </w:rPr>
            </w:pPr>
          </w:p>
        </w:tc>
      </w:tr>
      <w:tr w14:paraId="64C20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9" w:hRule="atLeast"/>
        </w:trPr>
        <w:tc>
          <w:tcPr>
            <w:tcW w:w="1010" w:type="dxa"/>
            <w:vAlign w:val="top"/>
          </w:tcPr>
          <w:p w14:paraId="1D013696">
            <w:pPr>
              <w:rPr>
                <w:rFonts w:hint="eastAsia" w:ascii="宋体" w:hAnsi="宋体" w:eastAsia="宋体" w:cs="宋体"/>
                <w:sz w:val="21"/>
                <w:szCs w:val="21"/>
              </w:rPr>
            </w:pPr>
          </w:p>
        </w:tc>
        <w:tc>
          <w:tcPr>
            <w:tcW w:w="3215" w:type="dxa"/>
            <w:vAlign w:val="top"/>
          </w:tcPr>
          <w:p w14:paraId="59170F9E">
            <w:pPr>
              <w:rPr>
                <w:rFonts w:hint="eastAsia" w:ascii="宋体" w:hAnsi="宋体" w:eastAsia="宋体" w:cs="宋体"/>
                <w:sz w:val="21"/>
                <w:szCs w:val="21"/>
              </w:rPr>
            </w:pPr>
          </w:p>
        </w:tc>
        <w:tc>
          <w:tcPr>
            <w:tcW w:w="1870" w:type="dxa"/>
            <w:vAlign w:val="top"/>
          </w:tcPr>
          <w:p w14:paraId="6A1B75E6">
            <w:pPr>
              <w:rPr>
                <w:rFonts w:hint="eastAsia" w:ascii="宋体" w:hAnsi="宋体" w:eastAsia="宋体" w:cs="宋体"/>
                <w:sz w:val="21"/>
                <w:szCs w:val="21"/>
              </w:rPr>
            </w:pPr>
          </w:p>
        </w:tc>
        <w:tc>
          <w:tcPr>
            <w:tcW w:w="1632" w:type="dxa"/>
            <w:vAlign w:val="top"/>
          </w:tcPr>
          <w:p w14:paraId="06449324">
            <w:pPr>
              <w:rPr>
                <w:rFonts w:hint="eastAsia" w:ascii="宋体" w:hAnsi="宋体" w:eastAsia="宋体" w:cs="宋体"/>
                <w:sz w:val="21"/>
                <w:szCs w:val="21"/>
              </w:rPr>
            </w:pPr>
          </w:p>
        </w:tc>
        <w:tc>
          <w:tcPr>
            <w:tcW w:w="1131" w:type="dxa"/>
            <w:vAlign w:val="top"/>
          </w:tcPr>
          <w:p w14:paraId="72D24D47">
            <w:pPr>
              <w:rPr>
                <w:rFonts w:hint="eastAsia" w:ascii="宋体" w:hAnsi="宋体" w:eastAsia="宋体" w:cs="宋体"/>
                <w:sz w:val="21"/>
                <w:szCs w:val="21"/>
              </w:rPr>
            </w:pPr>
          </w:p>
        </w:tc>
      </w:tr>
      <w:tr w14:paraId="17E59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trPr>
        <w:tc>
          <w:tcPr>
            <w:tcW w:w="1010" w:type="dxa"/>
            <w:vAlign w:val="top"/>
          </w:tcPr>
          <w:p w14:paraId="254604BC">
            <w:pPr>
              <w:rPr>
                <w:rFonts w:hint="eastAsia" w:ascii="宋体" w:hAnsi="宋体" w:eastAsia="宋体" w:cs="宋体"/>
                <w:sz w:val="21"/>
                <w:szCs w:val="21"/>
              </w:rPr>
            </w:pPr>
          </w:p>
        </w:tc>
        <w:tc>
          <w:tcPr>
            <w:tcW w:w="3215" w:type="dxa"/>
            <w:vAlign w:val="top"/>
          </w:tcPr>
          <w:p w14:paraId="5FC0D54C">
            <w:pPr>
              <w:rPr>
                <w:rFonts w:hint="eastAsia" w:ascii="宋体" w:hAnsi="宋体" w:eastAsia="宋体" w:cs="宋体"/>
                <w:sz w:val="21"/>
                <w:szCs w:val="21"/>
              </w:rPr>
            </w:pPr>
          </w:p>
        </w:tc>
        <w:tc>
          <w:tcPr>
            <w:tcW w:w="1870" w:type="dxa"/>
            <w:vAlign w:val="top"/>
          </w:tcPr>
          <w:p w14:paraId="125CF57A">
            <w:pPr>
              <w:rPr>
                <w:rFonts w:hint="eastAsia" w:ascii="宋体" w:hAnsi="宋体" w:eastAsia="宋体" w:cs="宋体"/>
                <w:sz w:val="21"/>
                <w:szCs w:val="21"/>
              </w:rPr>
            </w:pPr>
          </w:p>
        </w:tc>
        <w:tc>
          <w:tcPr>
            <w:tcW w:w="1632" w:type="dxa"/>
            <w:vAlign w:val="top"/>
          </w:tcPr>
          <w:p w14:paraId="7EBD30ED">
            <w:pPr>
              <w:rPr>
                <w:rFonts w:hint="eastAsia" w:ascii="宋体" w:hAnsi="宋体" w:eastAsia="宋体" w:cs="宋体"/>
                <w:sz w:val="21"/>
                <w:szCs w:val="21"/>
              </w:rPr>
            </w:pPr>
          </w:p>
        </w:tc>
        <w:tc>
          <w:tcPr>
            <w:tcW w:w="1131" w:type="dxa"/>
            <w:vAlign w:val="top"/>
          </w:tcPr>
          <w:p w14:paraId="0B620230">
            <w:pPr>
              <w:rPr>
                <w:rFonts w:hint="eastAsia" w:ascii="宋体" w:hAnsi="宋体" w:eastAsia="宋体" w:cs="宋体"/>
                <w:sz w:val="21"/>
                <w:szCs w:val="21"/>
              </w:rPr>
            </w:pPr>
          </w:p>
        </w:tc>
      </w:tr>
    </w:tbl>
    <w:p w14:paraId="3595344F">
      <w:pPr>
        <w:rPr>
          <w:rFonts w:hint="eastAsia" w:ascii="宋体" w:hAnsi="宋体" w:eastAsia="宋体" w:cs="宋体"/>
          <w:color w:val="auto"/>
        </w:rPr>
      </w:pPr>
    </w:p>
    <w:p w14:paraId="151A4000">
      <w:pPr>
        <w:spacing w:before="243" w:line="219" w:lineRule="auto"/>
        <w:ind w:left="482"/>
        <w:rPr>
          <w:rFonts w:hint="eastAsia" w:ascii="宋体" w:hAnsi="宋体" w:eastAsia="宋体" w:cs="宋体"/>
          <w:b/>
          <w:bCs/>
          <w:spacing w:val="-3"/>
          <w:position w:val="19"/>
          <w:sz w:val="21"/>
          <w:szCs w:val="21"/>
          <w:highlight w:val="none"/>
        </w:rPr>
      </w:pPr>
      <w:r>
        <w:rPr>
          <w:rFonts w:hint="eastAsia" w:ascii="宋体" w:hAnsi="宋体" w:eastAsia="宋体" w:cs="宋体"/>
          <w:b/>
          <w:bCs/>
          <w:spacing w:val="-3"/>
          <w:position w:val="19"/>
          <w:sz w:val="21"/>
          <w:szCs w:val="21"/>
          <w:lang w:val="en-US" w:eastAsia="zh-CN"/>
        </w:rPr>
        <w:t>注：</w:t>
      </w:r>
      <w:r>
        <w:rPr>
          <w:rFonts w:hint="eastAsia" w:ascii="宋体" w:hAnsi="宋体" w:eastAsia="宋体" w:cs="宋体"/>
          <w:b/>
          <w:bCs/>
          <w:spacing w:val="-3"/>
          <w:position w:val="19"/>
          <w:sz w:val="21"/>
          <w:szCs w:val="21"/>
        </w:rPr>
        <w:t>本表后附</w:t>
      </w:r>
      <w:r>
        <w:rPr>
          <w:rFonts w:hint="eastAsia" w:ascii="宋体" w:hAnsi="宋体" w:eastAsia="宋体" w:cs="宋体"/>
          <w:b/>
          <w:bCs/>
          <w:spacing w:val="-3"/>
          <w:position w:val="19"/>
          <w:sz w:val="21"/>
          <w:szCs w:val="21"/>
          <w:lang w:val="en-US" w:eastAsia="zh-CN" w:bidi="ar-SA"/>
        </w:rPr>
        <w:t>近</w:t>
      </w:r>
      <w:r>
        <w:rPr>
          <w:rFonts w:hint="eastAsia" w:ascii="宋体" w:hAnsi="宋体" w:eastAsia="宋体" w:cs="宋体"/>
          <w:b/>
          <w:bCs/>
          <w:spacing w:val="-3"/>
          <w:position w:val="19"/>
          <w:sz w:val="21"/>
          <w:szCs w:val="21"/>
          <w:highlight w:val="none"/>
          <w:lang w:val="en-US" w:eastAsia="zh-CN" w:bidi="ar-SA"/>
        </w:rPr>
        <w:t>年（2023年04月至今）类</w:t>
      </w:r>
      <w:r>
        <w:rPr>
          <w:rFonts w:hint="eastAsia" w:ascii="宋体" w:hAnsi="宋体" w:eastAsia="宋体" w:cs="宋体"/>
          <w:b/>
          <w:bCs/>
          <w:spacing w:val="-3"/>
          <w:position w:val="19"/>
          <w:sz w:val="21"/>
          <w:szCs w:val="21"/>
          <w:highlight w:val="none"/>
          <w:lang w:val="en-US" w:eastAsia="zh-CN"/>
        </w:rPr>
        <w:t>似</w:t>
      </w:r>
      <w:r>
        <w:rPr>
          <w:rFonts w:hint="eastAsia" w:ascii="宋体" w:hAnsi="宋体" w:eastAsia="宋体" w:cs="宋体"/>
          <w:b/>
          <w:bCs/>
          <w:spacing w:val="-3"/>
          <w:position w:val="19"/>
          <w:sz w:val="21"/>
          <w:szCs w:val="21"/>
          <w:highlight w:val="none"/>
        </w:rPr>
        <w:t>业绩证明</w:t>
      </w:r>
      <w:r>
        <w:rPr>
          <w:rFonts w:hint="eastAsia" w:ascii="宋体" w:hAnsi="宋体" w:eastAsia="宋体" w:cs="宋体"/>
          <w:b/>
          <w:bCs/>
          <w:spacing w:val="-3"/>
          <w:position w:val="19"/>
          <w:sz w:val="21"/>
          <w:szCs w:val="21"/>
          <w:highlight w:val="none"/>
          <w:lang w:val="en-US" w:eastAsia="zh-CN"/>
        </w:rPr>
        <w:t>材料</w:t>
      </w:r>
      <w:r>
        <w:rPr>
          <w:rFonts w:hint="eastAsia" w:ascii="宋体" w:hAnsi="宋体" w:eastAsia="宋体" w:cs="宋体"/>
          <w:b/>
          <w:bCs/>
          <w:spacing w:val="-3"/>
          <w:position w:val="19"/>
          <w:sz w:val="21"/>
          <w:szCs w:val="21"/>
          <w:highlight w:val="none"/>
        </w:rPr>
        <w:t>（</w:t>
      </w:r>
      <w:r>
        <w:rPr>
          <w:rFonts w:hint="eastAsia" w:ascii="宋体" w:hAnsi="宋体" w:eastAsia="宋体" w:cs="宋体"/>
          <w:b/>
          <w:bCs/>
          <w:spacing w:val="-3"/>
          <w:position w:val="19"/>
          <w:sz w:val="21"/>
          <w:szCs w:val="21"/>
          <w:highlight w:val="none"/>
          <w:lang w:val="en-US" w:eastAsia="zh-CN"/>
        </w:rPr>
        <w:t>以</w:t>
      </w:r>
      <w:r>
        <w:rPr>
          <w:rFonts w:hint="eastAsia" w:ascii="宋体" w:hAnsi="宋体" w:eastAsia="宋体" w:cs="宋体"/>
          <w:b/>
          <w:bCs/>
          <w:spacing w:val="-3"/>
          <w:position w:val="19"/>
          <w:sz w:val="21"/>
          <w:szCs w:val="21"/>
          <w:highlight w:val="none"/>
        </w:rPr>
        <w:t>中标通知书、合同</w:t>
      </w:r>
      <w:r>
        <w:rPr>
          <w:rFonts w:hint="eastAsia" w:ascii="宋体" w:hAnsi="宋体" w:eastAsia="宋体" w:cs="宋体"/>
          <w:b/>
          <w:bCs/>
          <w:spacing w:val="-3"/>
          <w:position w:val="19"/>
          <w:sz w:val="21"/>
          <w:szCs w:val="21"/>
          <w:highlight w:val="none"/>
          <w:lang w:eastAsia="zh-CN"/>
        </w:rPr>
        <w:t>）</w:t>
      </w:r>
      <w:r>
        <w:rPr>
          <w:rFonts w:hint="eastAsia" w:ascii="宋体" w:hAnsi="宋体" w:eastAsia="宋体" w:cs="宋体"/>
          <w:b/>
          <w:bCs/>
          <w:spacing w:val="-3"/>
          <w:position w:val="19"/>
          <w:sz w:val="21"/>
          <w:szCs w:val="21"/>
          <w:highlight w:val="none"/>
        </w:rPr>
        <w:t>，加盖单位公章</w:t>
      </w:r>
      <w:r>
        <w:rPr>
          <w:rFonts w:hint="eastAsia" w:ascii="宋体" w:hAnsi="宋体" w:eastAsia="宋体" w:cs="宋体"/>
          <w:b/>
          <w:bCs/>
          <w:spacing w:val="-3"/>
          <w:position w:val="19"/>
          <w:sz w:val="21"/>
          <w:szCs w:val="21"/>
          <w:highlight w:val="none"/>
          <w:lang w:val="en-US" w:eastAsia="zh-CN"/>
        </w:rPr>
        <w:t>为准</w:t>
      </w:r>
      <w:r>
        <w:rPr>
          <w:rFonts w:hint="eastAsia" w:ascii="宋体" w:hAnsi="宋体" w:eastAsia="宋体" w:cs="宋体"/>
          <w:b/>
          <w:bCs/>
          <w:spacing w:val="-3"/>
          <w:position w:val="19"/>
          <w:sz w:val="21"/>
          <w:szCs w:val="21"/>
          <w:highlight w:val="none"/>
        </w:rPr>
        <w:t>）。</w:t>
      </w:r>
    </w:p>
    <w:p w14:paraId="6EE1F500">
      <w:pPr>
        <w:rPr>
          <w:rFonts w:hint="eastAsia" w:ascii="宋体" w:hAnsi="宋体" w:eastAsia="宋体" w:cs="宋体"/>
          <w:b/>
          <w:bCs/>
          <w:color w:val="000000" w:themeColor="text1"/>
          <w:szCs w:val="28"/>
          <w14:textFill>
            <w14:solidFill>
              <w14:schemeClr w14:val="tx1"/>
            </w14:solidFill>
          </w14:textFill>
        </w:rPr>
      </w:pPr>
    </w:p>
    <w:p w14:paraId="66F51DD3">
      <w:pPr>
        <w:rPr>
          <w:rFonts w:hint="eastAsia" w:ascii="宋体" w:hAnsi="宋体" w:eastAsia="宋体" w:cs="宋体"/>
          <w:b/>
          <w:bCs/>
          <w:color w:val="000000" w:themeColor="text1"/>
          <w:szCs w:val="28"/>
          <w14:textFill>
            <w14:solidFill>
              <w14:schemeClr w14:val="tx1"/>
            </w14:solidFill>
          </w14:textFill>
        </w:rPr>
      </w:pPr>
    </w:p>
    <w:p w14:paraId="53336991">
      <w:pPr>
        <w:rPr>
          <w:rFonts w:hint="eastAsia" w:ascii="宋体" w:hAnsi="宋体" w:eastAsia="宋体" w:cs="宋体"/>
          <w:b/>
          <w:bCs/>
          <w:color w:val="000000" w:themeColor="text1"/>
          <w:szCs w:val="28"/>
          <w14:textFill>
            <w14:solidFill>
              <w14:schemeClr w14:val="tx1"/>
            </w14:solidFill>
          </w14:textFill>
        </w:rPr>
      </w:pPr>
    </w:p>
    <w:bookmarkEnd w:id="113"/>
    <w:bookmarkEnd w:id="114"/>
    <w:bookmarkEnd w:id="115"/>
    <w:bookmarkEnd w:id="116"/>
    <w:bookmarkEnd w:id="117"/>
    <w:bookmarkEnd w:id="118"/>
    <w:bookmarkEnd w:id="119"/>
    <w:bookmarkEnd w:id="120"/>
    <w:bookmarkEnd w:id="121"/>
    <w:p w14:paraId="7F33EA03">
      <w:pPr>
        <w:pStyle w:val="13"/>
        <w:rPr>
          <w:rFonts w:hint="eastAsia" w:ascii="宋体" w:hAnsi="宋体" w:eastAsia="宋体" w:cs="宋体"/>
          <w:lang w:val="en-US" w:eastAsia="zh-CN"/>
        </w:rPr>
      </w:pPr>
      <w:r>
        <w:rPr>
          <w:rFonts w:hint="eastAsia" w:ascii="宋体" w:hAnsi="宋体" w:eastAsia="宋体" w:cs="宋体"/>
          <w:b/>
          <w:bCs/>
          <w:color w:val="000000" w:themeColor="text1"/>
          <w:szCs w:val="28"/>
          <w:lang w:val="en-US" w:eastAsia="zh-CN"/>
          <w14:textFill>
            <w14:solidFill>
              <w14:schemeClr w14:val="tx1"/>
            </w14:solidFill>
          </w14:textFill>
        </w:rPr>
        <w:t xml:space="preserve"> </w:t>
      </w:r>
    </w:p>
    <w:p w14:paraId="54F9E2B2">
      <w:pPr>
        <w:pStyle w:val="13"/>
        <w:rPr>
          <w:rFonts w:hint="eastAsia" w:ascii="宋体" w:hAnsi="宋体" w:eastAsia="宋体" w:cs="宋体"/>
        </w:rPr>
      </w:pPr>
    </w:p>
    <w:p w14:paraId="65476ACC">
      <w:pPr>
        <w:rPr>
          <w:rFonts w:hint="eastAsia" w:ascii="宋体" w:hAnsi="宋体" w:eastAsia="宋体" w:cs="宋体"/>
        </w:rPr>
      </w:pPr>
    </w:p>
    <w:p w14:paraId="67E3CCC2">
      <w:pPr>
        <w:pStyle w:val="13"/>
        <w:rPr>
          <w:rFonts w:hint="eastAsia" w:ascii="宋体" w:hAnsi="宋体" w:eastAsia="宋体" w:cs="宋体"/>
        </w:rPr>
      </w:pPr>
    </w:p>
    <w:p w14:paraId="1A9A9253">
      <w:pPr>
        <w:rPr>
          <w:rFonts w:hint="eastAsia" w:ascii="宋体" w:hAnsi="宋体" w:eastAsia="宋体" w:cs="宋体"/>
        </w:rPr>
      </w:pPr>
    </w:p>
    <w:p w14:paraId="4D8379AA">
      <w:pPr>
        <w:pStyle w:val="13"/>
        <w:rPr>
          <w:rFonts w:hint="eastAsia" w:ascii="宋体" w:hAnsi="宋体" w:eastAsia="宋体" w:cs="宋体"/>
        </w:rPr>
      </w:pPr>
    </w:p>
    <w:p w14:paraId="122ABCE1">
      <w:pPr>
        <w:pStyle w:val="13"/>
        <w:rPr>
          <w:rFonts w:hint="eastAsia" w:ascii="宋体" w:hAnsi="宋体" w:eastAsia="宋体" w:cs="宋体"/>
        </w:rPr>
      </w:pPr>
    </w:p>
    <w:p w14:paraId="5A18AC52">
      <w:pPr>
        <w:pStyle w:val="13"/>
        <w:rPr>
          <w:rFonts w:hint="eastAsia" w:ascii="宋体" w:hAnsi="宋体" w:eastAsia="宋体" w:cs="宋体"/>
        </w:rPr>
      </w:pPr>
    </w:p>
    <w:p w14:paraId="66C8D773">
      <w:pPr>
        <w:rPr>
          <w:rFonts w:hint="eastAsia" w:ascii="宋体" w:hAnsi="宋体" w:eastAsia="宋体" w:cs="宋体"/>
        </w:rPr>
      </w:pPr>
    </w:p>
    <w:p w14:paraId="3433E90C">
      <w:pPr>
        <w:pStyle w:val="13"/>
        <w:rPr>
          <w:rFonts w:hint="eastAsia" w:ascii="宋体" w:hAnsi="宋体" w:eastAsia="宋体" w:cs="宋体"/>
        </w:rPr>
      </w:pPr>
    </w:p>
    <w:p w14:paraId="28EFE0D8">
      <w:pPr>
        <w:pStyle w:val="13"/>
        <w:rPr>
          <w:rFonts w:hint="eastAsia" w:ascii="宋体" w:hAnsi="宋体" w:eastAsia="宋体" w:cs="宋体"/>
        </w:rPr>
      </w:pPr>
    </w:p>
    <w:p w14:paraId="44CE1DDB">
      <w:pPr>
        <w:spacing w:line="360" w:lineRule="auto"/>
        <w:jc w:val="center"/>
        <w:rPr>
          <w:rFonts w:hint="eastAsia" w:asciiTheme="minorEastAsia" w:hAnsiTheme="minorEastAsia" w:cstheme="minorEastAsia"/>
          <w:b/>
          <w:bCs/>
          <w:color w:val="auto"/>
          <w:szCs w:val="28"/>
          <w:highlight w:val="none"/>
          <w:lang w:val="en-US" w:eastAsia="zh-CN"/>
        </w:rPr>
      </w:pPr>
      <w:bookmarkStart w:id="122" w:name="_Toc458617748"/>
      <w:r>
        <w:rPr>
          <w:rFonts w:hint="eastAsia" w:asciiTheme="minorEastAsia" w:hAnsiTheme="minorEastAsia" w:cstheme="minorEastAsia"/>
          <w:b/>
          <w:bCs/>
          <w:color w:val="auto"/>
          <w:szCs w:val="28"/>
          <w:highlight w:val="none"/>
          <w:lang w:val="en-US" w:eastAsia="zh-CN"/>
        </w:rPr>
        <w:t>4、供应商认为有必要补充说明的事宜</w:t>
      </w:r>
    </w:p>
    <w:p w14:paraId="1F72872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258A31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671787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5F084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1C6AF5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F7E2FA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C6BF48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1ECCF93F">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648F79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AC7C058">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23B1D4C">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8C68B77">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E10EE7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729871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072137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3B268B4">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DD606A9">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9368E7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4D886BF5">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25ADD00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646E0B1">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61CD618E">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C6A9A8A">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76115222">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213A2D6">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53E357DB">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37E9B0AD">
      <w:pPr>
        <w:spacing w:line="360" w:lineRule="auto"/>
        <w:rPr>
          <w:rFonts w:hint="eastAsia" w:asciiTheme="minorEastAsia" w:hAnsiTheme="minorEastAsia" w:cstheme="minorEastAsia"/>
          <w:b/>
          <w:bCs/>
          <w:color w:val="000000" w:themeColor="text1"/>
          <w:szCs w:val="28"/>
          <w14:textFill>
            <w14:solidFill>
              <w14:schemeClr w14:val="tx1"/>
            </w14:solidFill>
          </w14:textFill>
        </w:rPr>
      </w:pPr>
    </w:p>
    <w:p w14:paraId="0BEE651D">
      <w:pPr>
        <w:spacing w:line="360" w:lineRule="auto"/>
        <w:rPr>
          <w:rFonts w:asciiTheme="minorEastAsia" w:hAnsiTheme="minorEastAsia" w:cstheme="minorEastAsia"/>
          <w:b/>
          <w:bCs/>
          <w:color w:val="000000" w:themeColor="text1"/>
          <w:kern w:val="0"/>
          <w:sz w:val="28"/>
          <w:szCs w:val="28"/>
          <w:highlight w:val="green"/>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附件一：《</w:t>
      </w:r>
      <w:r>
        <w:rPr>
          <w:rFonts w:asciiTheme="minorEastAsia" w:hAnsiTheme="minorEastAsia" w:cstheme="minorEastAsia"/>
          <w:b/>
          <w:bCs/>
          <w:color w:val="000000" w:themeColor="text1"/>
          <w:sz w:val="28"/>
          <w:szCs w:val="28"/>
          <w14:textFill>
            <w14:solidFill>
              <w14:schemeClr w14:val="tx1"/>
            </w14:solidFill>
          </w14:textFill>
        </w:rPr>
        <w:t>中小企业声明函</w:t>
      </w:r>
      <w:r>
        <w:rPr>
          <w:rFonts w:hint="eastAsia" w:asciiTheme="minorEastAsia" w:hAnsiTheme="minorEastAsia" w:cstheme="minorEastAsia"/>
          <w:b/>
          <w:bCs/>
          <w:color w:val="000000" w:themeColor="text1"/>
          <w:szCs w:val="28"/>
          <w14:textFill>
            <w14:solidFill>
              <w14:schemeClr w14:val="tx1"/>
            </w14:solidFill>
          </w14:textFill>
        </w:rPr>
        <w:t>》</w:t>
      </w:r>
      <w:bookmarkEnd w:id="122"/>
    </w:p>
    <w:p w14:paraId="49A14663">
      <w:pPr>
        <w:spacing w:line="360" w:lineRule="auto"/>
        <w:ind w:firstLine="562" w:firstLineChars="200"/>
        <w:jc w:val="center"/>
        <w:rPr>
          <w:rFonts w:asciiTheme="minorEastAsia" w:hAnsiTheme="minorEastAsia" w:cstheme="minorEastAsia"/>
          <w:b/>
          <w:bCs/>
          <w:color w:val="000000" w:themeColor="text1"/>
          <w:spacing w:val="6"/>
          <w:szCs w:val="24"/>
          <w14:textFill>
            <w14:solidFill>
              <w14:schemeClr w14:val="tx1"/>
            </w14:solidFill>
          </w14:textFill>
        </w:rPr>
      </w:pPr>
      <w:r>
        <w:rPr>
          <w:rFonts w:asciiTheme="minorEastAsia" w:hAnsiTheme="minorEastAsia" w:cstheme="minorEastAsia"/>
          <w:b/>
          <w:bCs/>
          <w:color w:val="000000" w:themeColor="text1"/>
          <w:sz w:val="28"/>
          <w:szCs w:val="28"/>
          <w14:textFill>
            <w14:solidFill>
              <w14:schemeClr w14:val="tx1"/>
            </w14:solidFill>
          </w14:textFill>
        </w:rPr>
        <w:t>中小企业声明函</w:t>
      </w:r>
    </w:p>
    <w:p w14:paraId="4D58DF57">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 xml:space="preserve">  本公司郑重声明，根据《政府采购促进中小企业发展管理办法》（财库﹝2020﹞46 号）的规定，本公司参加</w:t>
      </w:r>
      <w:r>
        <w:rPr>
          <w:rFonts w:hint="eastAsia" w:ascii="宋体" w:hAnsi="宋体" w:cs="宋体"/>
          <w:spacing w:val="11"/>
          <w:kern w:val="0"/>
          <w:sz w:val="24"/>
          <w:szCs w:val="24"/>
          <w:u w:val="single"/>
        </w:rPr>
        <w:t>（单位名称）</w:t>
      </w:r>
      <w:r>
        <w:rPr>
          <w:rFonts w:hint="eastAsia" w:ascii="宋体" w:hAnsi="宋体" w:cs="宋体"/>
          <w:spacing w:val="11"/>
          <w:kern w:val="0"/>
          <w:sz w:val="24"/>
          <w:szCs w:val="24"/>
        </w:rPr>
        <w:t>的</w:t>
      </w:r>
      <w:r>
        <w:rPr>
          <w:rFonts w:hint="eastAsia" w:ascii="宋体" w:hAnsi="宋体" w:cs="宋体"/>
          <w:spacing w:val="11"/>
          <w:kern w:val="0"/>
          <w:sz w:val="24"/>
          <w:szCs w:val="24"/>
          <w:u w:val="single"/>
        </w:rPr>
        <w:t>（项目名称）</w:t>
      </w:r>
      <w:r>
        <w:rPr>
          <w:rFonts w:hint="eastAsia" w:ascii="宋体" w:hAnsi="宋体" w:cs="宋体"/>
          <w:spacing w:val="11"/>
          <w:kern w:val="0"/>
          <w:sz w:val="24"/>
          <w:szCs w:val="24"/>
        </w:rPr>
        <w:t>采购活动，工程的施工单位全部为符合政策要求的中小企业。相关企业的具体情况如下：</w:t>
      </w:r>
    </w:p>
    <w:p w14:paraId="468C3689">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1.</w:t>
      </w:r>
      <w:r>
        <w:rPr>
          <w:rFonts w:hint="eastAsia" w:ascii="宋体" w:hAnsi="宋体" w:cs="宋体"/>
          <w:spacing w:val="11"/>
          <w:kern w:val="0"/>
          <w:sz w:val="24"/>
          <w:szCs w:val="24"/>
          <w:u w:val="single"/>
        </w:rPr>
        <w:t xml:space="preserve">（标的名称） </w:t>
      </w:r>
      <w:r>
        <w:rPr>
          <w:rFonts w:hint="eastAsia" w:ascii="宋体" w:hAnsi="宋体" w:cs="宋体"/>
          <w:spacing w:val="11"/>
          <w:kern w:val="0"/>
          <w:sz w:val="24"/>
          <w:szCs w:val="24"/>
        </w:rPr>
        <w:t>，属于</w:t>
      </w:r>
      <w:r>
        <w:rPr>
          <w:rFonts w:hint="eastAsia" w:ascii="宋体" w:hAnsi="宋体" w:cs="宋体"/>
          <w:spacing w:val="11"/>
          <w:kern w:val="0"/>
          <w:sz w:val="24"/>
          <w:szCs w:val="24"/>
          <w:u w:val="single"/>
        </w:rPr>
        <w:t>（采购文件中明确的所属行业）</w:t>
      </w:r>
      <w:r>
        <w:rPr>
          <w:rFonts w:hint="eastAsia" w:ascii="宋体" w:hAnsi="宋体" w:cs="宋体"/>
          <w:spacing w:val="11"/>
          <w:kern w:val="0"/>
          <w:sz w:val="24"/>
          <w:szCs w:val="24"/>
        </w:rPr>
        <w:t>； 承建（承接）企业为</w:t>
      </w:r>
      <w:r>
        <w:rPr>
          <w:rFonts w:hint="eastAsia" w:ascii="宋体" w:hAnsi="宋体" w:cs="宋体"/>
          <w:spacing w:val="11"/>
          <w:kern w:val="0"/>
          <w:sz w:val="24"/>
          <w:szCs w:val="24"/>
          <w:u w:val="single"/>
        </w:rPr>
        <w:t>（企业名称）</w:t>
      </w:r>
      <w:r>
        <w:rPr>
          <w:rFonts w:hint="eastAsia" w:ascii="宋体" w:hAnsi="宋体" w:cs="宋体"/>
          <w:spacing w:val="11"/>
          <w:kern w:val="0"/>
          <w:sz w:val="24"/>
          <w:szCs w:val="24"/>
        </w:rPr>
        <w:t>，从业人员</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人，营业收入为</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万元，资产总额为</w:t>
      </w:r>
      <w:r>
        <w:rPr>
          <w:rFonts w:hint="eastAsia" w:ascii="宋体" w:hAnsi="宋体" w:cs="宋体"/>
          <w:spacing w:val="11"/>
          <w:kern w:val="0"/>
          <w:sz w:val="24"/>
          <w:szCs w:val="24"/>
          <w:u w:val="single"/>
        </w:rPr>
        <w:t xml:space="preserve">   </w:t>
      </w:r>
      <w:r>
        <w:rPr>
          <w:rFonts w:hint="eastAsia" w:ascii="宋体" w:hAnsi="宋体" w:cs="宋体"/>
          <w:spacing w:val="11"/>
          <w:kern w:val="0"/>
          <w:sz w:val="24"/>
          <w:szCs w:val="24"/>
        </w:rPr>
        <w:t>万元属于</w:t>
      </w:r>
      <w:r>
        <w:rPr>
          <w:rFonts w:hint="eastAsia" w:ascii="宋体" w:hAnsi="宋体" w:cs="宋体"/>
          <w:spacing w:val="11"/>
          <w:kern w:val="0"/>
          <w:sz w:val="24"/>
          <w:szCs w:val="24"/>
          <w:u w:val="single"/>
        </w:rPr>
        <w:t>（中型企业、小型企业、微型企业）</w:t>
      </w:r>
      <w:r>
        <w:rPr>
          <w:rFonts w:hint="eastAsia" w:ascii="宋体" w:hAnsi="宋体" w:cs="宋体"/>
          <w:spacing w:val="11"/>
          <w:kern w:val="0"/>
          <w:sz w:val="24"/>
          <w:szCs w:val="24"/>
        </w:rPr>
        <w:t xml:space="preserve">； </w:t>
      </w:r>
    </w:p>
    <w:p w14:paraId="62819AE0">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w:t>
      </w:r>
    </w:p>
    <w:p w14:paraId="6E2E4712">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以上企业，不属于大企业的分支机构，不存在控股股东为大企业的情形，也不存在与大企业的负责人为同一人的情形。</w:t>
      </w:r>
    </w:p>
    <w:p w14:paraId="17F31E61">
      <w:pPr>
        <w:pStyle w:val="10"/>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 xml:space="preserve">本企业对上述声明内容的真实性负责。如有虚假，将依法承担相应责任。 </w:t>
      </w:r>
    </w:p>
    <w:p w14:paraId="61E7CBF6">
      <w:pPr>
        <w:pStyle w:val="10"/>
        <w:spacing w:line="500" w:lineRule="exact"/>
        <w:ind w:firstLine="0"/>
        <w:rPr>
          <w:rFonts w:ascii="宋体" w:hAnsi="宋体" w:cs="宋体"/>
          <w:spacing w:val="11"/>
          <w:kern w:val="0"/>
          <w:sz w:val="24"/>
          <w:szCs w:val="24"/>
        </w:rPr>
      </w:pPr>
    </w:p>
    <w:p w14:paraId="41EF39F2">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51376D5">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75235371">
      <w:pPr>
        <w:pStyle w:val="13"/>
        <w:rPr>
          <w:rFonts w:ascii="宋体" w:hAnsi="宋体" w:eastAsia="宋体" w:cstheme="minorEastAsia"/>
          <w:color w:val="000000" w:themeColor="text1"/>
          <w:kern w:val="0"/>
          <w:u w:val="single"/>
          <w14:textFill>
            <w14:solidFill>
              <w14:schemeClr w14:val="tx1"/>
            </w14:solidFill>
          </w14:textFill>
        </w:rPr>
      </w:pPr>
    </w:p>
    <w:p w14:paraId="19173ED3">
      <w:pPr>
        <w:rPr>
          <w:rFonts w:ascii="宋体" w:hAnsi="宋体" w:eastAsia="宋体" w:cstheme="minorEastAsia"/>
          <w:color w:val="000000" w:themeColor="text1"/>
          <w:kern w:val="0"/>
          <w:u w:val="single"/>
          <w14:textFill>
            <w14:solidFill>
              <w14:schemeClr w14:val="tx1"/>
            </w14:solidFill>
          </w14:textFill>
        </w:rPr>
      </w:pPr>
    </w:p>
    <w:p w14:paraId="4FD92846">
      <w:pPr>
        <w:pStyle w:val="10"/>
        <w:spacing w:line="500" w:lineRule="exact"/>
        <w:ind w:firstLine="0"/>
        <w:rPr>
          <w:rFonts w:ascii="宋体" w:hAnsi="宋体" w:cs="宋体"/>
          <w:spacing w:val="11"/>
          <w:kern w:val="0"/>
          <w:sz w:val="24"/>
          <w:szCs w:val="24"/>
        </w:rPr>
      </w:pPr>
    </w:p>
    <w:p w14:paraId="0267DFEE">
      <w:pPr>
        <w:pStyle w:val="10"/>
        <w:spacing w:line="500" w:lineRule="exact"/>
        <w:ind w:firstLine="0"/>
        <w:rPr>
          <w:rFonts w:ascii="宋体" w:hAnsi="宋体" w:cs="宋体"/>
          <w:spacing w:val="11"/>
          <w:kern w:val="0"/>
          <w:sz w:val="24"/>
          <w:szCs w:val="24"/>
        </w:rPr>
      </w:pPr>
      <w:r>
        <w:rPr>
          <w:rFonts w:hint="eastAsia" w:ascii="宋体" w:hAnsi="宋体" w:cs="宋体"/>
          <w:spacing w:val="11"/>
          <w:kern w:val="0"/>
          <w:sz w:val="24"/>
          <w:szCs w:val="24"/>
        </w:rPr>
        <w:t>备注：1、中小企业参加政府采购活动，应当按照《政府采购促进中小企业发展管理办法》（财库〔2020〕46号）规定和《中小企业划型标准规定》（工信部联企业〔2011〕300号），如实填写并提交本《中小企业声明函》。</w:t>
      </w:r>
    </w:p>
    <w:p w14:paraId="50F282C1">
      <w:pPr>
        <w:pStyle w:val="10"/>
        <w:numPr>
          <w:ilvl w:val="0"/>
          <w:numId w:val="5"/>
        </w:numPr>
        <w:spacing w:line="500" w:lineRule="exact"/>
        <w:ind w:firstLine="524"/>
        <w:rPr>
          <w:rFonts w:ascii="宋体" w:hAnsi="宋体" w:cs="宋体"/>
          <w:spacing w:val="11"/>
          <w:kern w:val="0"/>
          <w:sz w:val="24"/>
          <w:szCs w:val="24"/>
        </w:rPr>
      </w:pPr>
      <w:r>
        <w:rPr>
          <w:rFonts w:hint="eastAsia" w:ascii="宋体" w:hAnsi="宋体" w:cs="宋体"/>
          <w:spacing w:val="11"/>
          <w:kern w:val="0"/>
          <w:sz w:val="24"/>
          <w:szCs w:val="24"/>
        </w:rPr>
        <w:t>从业人员、营业收入、资产总额填报上一年度数据，无上一年度数据的新成立企业可不填报。</w:t>
      </w:r>
    </w:p>
    <w:p w14:paraId="5351DC80">
      <w:pPr>
        <w:pStyle w:val="10"/>
        <w:numPr>
          <w:ilvl w:val="0"/>
          <w:numId w:val="0"/>
        </w:numPr>
        <w:spacing w:line="500" w:lineRule="exact"/>
        <w:rPr>
          <w:rFonts w:ascii="宋体" w:hAnsi="宋体" w:cstheme="minorEastAsia"/>
          <w:spacing w:val="6"/>
          <w:sz w:val="24"/>
        </w:rPr>
        <w:sectPr>
          <w:headerReference r:id="rId13" w:type="default"/>
          <w:footerReference r:id="rId14" w:type="default"/>
          <w:pgSz w:w="11910" w:h="16840"/>
          <w:pgMar w:top="1500" w:right="1380" w:bottom="1780" w:left="1580" w:header="0" w:footer="1595" w:gutter="0"/>
          <w:pgNumType w:fmt="decimal"/>
          <w:cols w:space="720" w:num="1"/>
        </w:sectPr>
      </w:pPr>
      <w:r>
        <w:rPr>
          <w:rFonts w:hint="eastAsia" w:ascii="宋体" w:hAnsi="宋体" w:cs="宋体"/>
          <w:b/>
          <w:bCs/>
          <w:spacing w:val="11"/>
          <w:sz w:val="24"/>
        </w:rPr>
        <w:br w:type="page"/>
      </w:r>
    </w:p>
    <w:p w14:paraId="69D45EBD">
      <w:pPr>
        <w:tabs>
          <w:tab w:val="left" w:pos="2340"/>
        </w:tabs>
        <w:rPr>
          <w:rFonts w:asciiTheme="minorEastAsia" w:hAnsiTheme="minorEastAsia" w:cstheme="minorEastAsia"/>
          <w:b/>
          <w:color w:val="000000" w:themeColor="text1"/>
          <w:spacing w:val="6"/>
          <w:szCs w:val="24"/>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附件二：《残疾人福利性单位声明函》</w:t>
      </w:r>
      <w:bookmarkStart w:id="123" w:name="OLE_LINK14"/>
    </w:p>
    <w:p w14:paraId="292CBDDF">
      <w:pPr>
        <w:spacing w:line="360" w:lineRule="auto"/>
        <w:jc w:val="center"/>
        <w:rPr>
          <w:rFonts w:asciiTheme="minorEastAsia" w:hAnsiTheme="minorEastAsia" w:cstheme="minorEastAsia"/>
          <w:b/>
          <w:color w:val="000000" w:themeColor="text1"/>
          <w:spacing w:val="6"/>
          <w:szCs w:val="24"/>
          <w14:textFill>
            <w14:solidFill>
              <w14:schemeClr w14:val="tx1"/>
            </w14:solidFill>
          </w14:textFill>
        </w:rPr>
      </w:pPr>
      <w:bookmarkStart w:id="124" w:name="_Toc8261"/>
      <w:bookmarkStart w:id="125" w:name="_Toc957"/>
    </w:p>
    <w:p w14:paraId="73B3EEDD">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残疾人福利性单位声明函</w:t>
      </w:r>
      <w:bookmarkEnd w:id="123"/>
      <w:bookmarkEnd w:id="124"/>
      <w:bookmarkEnd w:id="125"/>
    </w:p>
    <w:p w14:paraId="39C7FDD2">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348BE6D3">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本单位郑重声明，根据《财政部 民政部 中国残疾人联合会关于促进残疾人就业政府采购政策的通知》（财库</w:t>
      </w:r>
      <w:r>
        <w:rPr>
          <w:rFonts w:hint="eastAsia" w:asciiTheme="minorEastAsia" w:hAnsiTheme="minorEastAsia" w:cstheme="minorEastAsia"/>
          <w:color w:val="000000" w:themeColor="text1"/>
          <w:szCs w:val="24"/>
          <w14:textFill>
            <w14:solidFill>
              <w14:schemeClr w14:val="tx1"/>
            </w14:solidFill>
          </w14:textFill>
        </w:rPr>
        <w:t>〔2017〕 141</w:t>
      </w:r>
      <w:r>
        <w:rPr>
          <w:rFonts w:hint="eastAsia" w:asciiTheme="minorEastAsia" w:hAnsiTheme="minorEastAsia" w:cstheme="minorEastAsia"/>
          <w:color w:val="000000" w:themeColor="text1"/>
          <w:spacing w:val="6"/>
          <w:szCs w:val="24"/>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BBBB876">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Theme="minorEastAsia" w:hAnsiTheme="minorEastAsia" w:cstheme="minorEastAsia"/>
          <w:color w:val="000000" w:themeColor="text1"/>
          <w:spacing w:val="6"/>
          <w:szCs w:val="24"/>
          <w14:textFill>
            <w14:solidFill>
              <w14:schemeClr w14:val="tx1"/>
            </w14:solidFill>
          </w14:textFill>
        </w:rPr>
        <w:t>本单位对上述声明的真实性负责。如有虚假，将依法承担相应责任。</w:t>
      </w:r>
    </w:p>
    <w:p w14:paraId="08A48E3D">
      <w:pPr>
        <w:spacing w:line="360" w:lineRule="auto"/>
        <w:ind w:firstLine="504" w:firstLineChars="200"/>
        <w:rPr>
          <w:rFonts w:asciiTheme="minorEastAsia" w:hAnsiTheme="minorEastAsia" w:cstheme="minorEastAsia"/>
          <w:color w:val="000000" w:themeColor="text1"/>
          <w:spacing w:val="6"/>
          <w:szCs w:val="24"/>
          <w14:textFill>
            <w14:solidFill>
              <w14:schemeClr w14:val="tx1"/>
            </w14:solidFill>
          </w14:textFill>
        </w:rPr>
      </w:pPr>
    </w:p>
    <w:p w14:paraId="2F6C6980">
      <w:pPr>
        <w:spacing w:line="360" w:lineRule="auto"/>
        <w:ind w:firstLine="524" w:firstLineChars="200"/>
        <w:rPr>
          <w:rFonts w:asciiTheme="minorEastAsia" w:hAnsiTheme="minorEastAsia" w:cstheme="minorEastAsia"/>
          <w:color w:val="000000" w:themeColor="text1"/>
          <w:spacing w:val="6"/>
          <w:szCs w:val="24"/>
          <w14:textFill>
            <w14:solidFill>
              <w14:schemeClr w14:val="tx1"/>
            </w14:solidFill>
          </w14:textFill>
        </w:rPr>
      </w:pPr>
      <w:r>
        <w:rPr>
          <w:rFonts w:hint="eastAsia" w:ascii="宋体" w:hAnsi="宋体" w:eastAsia="宋体" w:cs="宋体"/>
          <w:spacing w:val="11"/>
          <w:kern w:val="0"/>
          <w:szCs w:val="24"/>
        </w:rPr>
        <w:t>备注</w:t>
      </w:r>
      <w:r>
        <w:rPr>
          <w:rFonts w:hint="eastAsia" w:asciiTheme="minorEastAsia" w:hAnsiTheme="minorEastAsia" w:cstheme="minorEastAsia"/>
          <w:color w:val="000000" w:themeColor="text1"/>
          <w:spacing w:val="6"/>
          <w:szCs w:val="24"/>
          <w14:textFill>
            <w14:solidFill>
              <w14:schemeClr w14:val="tx1"/>
            </w14:solidFill>
          </w14:textFill>
        </w:rPr>
        <w:t>：非残疾人企业可以不提供本声明函。</w:t>
      </w:r>
    </w:p>
    <w:p w14:paraId="0B75ABFB">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F9BD736">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39C24598">
      <w:pPr>
        <w:pStyle w:val="36"/>
        <w:ind w:firstLine="664"/>
        <w:rPr>
          <w:rFonts w:asciiTheme="minorEastAsia" w:hAnsiTheme="minorEastAsia" w:eastAsiaTheme="minorEastAsia" w:cstheme="minorEastAsia"/>
          <w:color w:val="000000" w:themeColor="text1"/>
          <w:spacing w:val="6"/>
          <w:szCs w:val="24"/>
          <w14:textFill>
            <w14:solidFill>
              <w14:schemeClr w14:val="tx1"/>
            </w14:solidFill>
          </w14:textFill>
        </w:rPr>
      </w:pPr>
    </w:p>
    <w:p w14:paraId="548F90B2">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71269889">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010281D4">
      <w:pPr>
        <w:tabs>
          <w:tab w:val="left" w:pos="4860"/>
        </w:tabs>
        <w:spacing w:line="360" w:lineRule="auto"/>
        <w:ind w:right="1560" w:firstLine="883" w:firstLineChars="200"/>
        <w:jc w:val="center"/>
        <w:rPr>
          <w:rFonts w:asciiTheme="minorEastAsia" w:hAnsiTheme="minorEastAsia" w:cstheme="minorEastAsia"/>
          <w:b/>
          <w:color w:val="000000" w:themeColor="text1"/>
          <w:sz w:val="44"/>
          <w:szCs w:val="44"/>
          <w14:textFill>
            <w14:solidFill>
              <w14:schemeClr w14:val="tx1"/>
            </w14:solidFill>
          </w14:textFill>
        </w:rPr>
      </w:pPr>
    </w:p>
    <w:p w14:paraId="49B9C6D3">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48645A2A">
      <w:pPr>
        <w:spacing w:line="360" w:lineRule="auto"/>
        <w:rPr>
          <w:rFonts w:asciiTheme="minorEastAsia" w:hAnsiTheme="minorEastAsia" w:cstheme="minorEastAsia"/>
          <w:b/>
          <w:color w:val="000000" w:themeColor="text1"/>
          <w:sz w:val="44"/>
          <w:szCs w:val="44"/>
          <w14:textFill>
            <w14:solidFill>
              <w14:schemeClr w14:val="tx1"/>
            </w14:solidFill>
          </w14:textFill>
        </w:rPr>
      </w:pPr>
    </w:p>
    <w:p w14:paraId="193E07F3">
      <w:pPr>
        <w:rPr>
          <w:rFonts w:asciiTheme="minorEastAsia" w:hAnsiTheme="minorEastAsia" w:cstheme="minorEastAsia"/>
          <w:b/>
          <w:bCs/>
          <w:color w:val="000000" w:themeColor="text1"/>
          <w:szCs w:val="28"/>
          <w14:textFill>
            <w14:solidFill>
              <w14:schemeClr w14:val="tx1"/>
            </w14:solidFill>
          </w14:textFill>
        </w:rPr>
      </w:pPr>
      <w:bookmarkStart w:id="126" w:name="_Toc32293_WPSOffice_Level1"/>
      <w:r>
        <w:rPr>
          <w:rFonts w:hint="eastAsia" w:asciiTheme="minorEastAsia" w:hAnsiTheme="minorEastAsia" w:cstheme="minorEastAsia"/>
          <w:b/>
          <w:bCs/>
          <w:color w:val="000000" w:themeColor="text1"/>
          <w:szCs w:val="28"/>
          <w14:textFill>
            <w14:solidFill>
              <w14:schemeClr w14:val="tx1"/>
            </w14:solidFill>
          </w14:textFill>
        </w:rPr>
        <w:br w:type="page"/>
      </w:r>
    </w:p>
    <w:p w14:paraId="1284DC11">
      <w:pPr>
        <w:spacing w:line="360" w:lineRule="auto"/>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附件三：《监狱企业证明材料》</w:t>
      </w:r>
    </w:p>
    <w:p w14:paraId="46A819CF">
      <w:pPr>
        <w:pStyle w:val="36"/>
        <w:ind w:firstLine="640"/>
        <w:rPr>
          <w:color w:val="000000" w:themeColor="text1"/>
          <w14:textFill>
            <w14:solidFill>
              <w14:schemeClr w14:val="tx1"/>
            </w14:solidFill>
          </w14:textFill>
        </w:rPr>
      </w:pPr>
    </w:p>
    <w:p w14:paraId="65A96848">
      <w:pPr>
        <w:spacing w:line="360" w:lineRule="auto"/>
        <w:jc w:val="center"/>
        <w:rPr>
          <w:rFonts w:asciiTheme="minorEastAsia" w:hAnsiTheme="minorEastAsia" w:cstheme="minorEastAsia"/>
          <w:b/>
          <w:bCs/>
          <w:color w:val="000000" w:themeColor="text1"/>
          <w:kern w:val="0"/>
          <w:sz w:val="28"/>
          <w:szCs w:val="28"/>
          <w14:textFill>
            <w14:solidFill>
              <w14:schemeClr w14:val="tx1"/>
            </w14:solidFill>
          </w14:textFill>
        </w:rPr>
      </w:pPr>
      <w:r>
        <w:rPr>
          <w:rFonts w:hint="eastAsia" w:asciiTheme="minorEastAsia" w:hAnsiTheme="minorEastAsia" w:cstheme="minorEastAsia"/>
          <w:b/>
          <w:bCs/>
          <w:color w:val="000000" w:themeColor="text1"/>
          <w:kern w:val="0"/>
          <w:sz w:val="28"/>
          <w:szCs w:val="28"/>
          <w14:textFill>
            <w14:solidFill>
              <w14:schemeClr w14:val="tx1"/>
            </w14:solidFill>
          </w14:textFill>
        </w:rPr>
        <w:t xml:space="preserve"> 监狱企业证明材料</w:t>
      </w:r>
      <w:bookmarkEnd w:id="126"/>
    </w:p>
    <w:p w14:paraId="565D6052">
      <w:pPr>
        <w:spacing w:line="360" w:lineRule="auto"/>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b/>
          <w:color w:val="000000" w:themeColor="text1"/>
          <w:spacing w:val="6"/>
          <w14:textFill>
            <w14:solidFill>
              <w14:schemeClr w14:val="tx1"/>
            </w14:solidFill>
          </w14:textFill>
        </w:rPr>
        <w:t>说明</w:t>
      </w:r>
    </w:p>
    <w:p w14:paraId="672277EA">
      <w:pPr>
        <w:spacing w:line="360" w:lineRule="auto"/>
        <w:ind w:firstLine="480" w:firstLineChars="200"/>
        <w:rPr>
          <w:rFonts w:ascii="宋体" w:hAnsi="宋体" w:eastAsia="宋体" w:cs="宋体"/>
          <w:b/>
          <w:color w:val="000000" w:themeColor="text1"/>
          <w:spacing w:val="6"/>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1.监狱企业参加政府采购活动时，应当提供由省级以上监狱管理局、戒毒管理局(含新疆生产建设兵团)出具的属于监狱企业的证明文件。监狱企业参加政府采购活动时，视同小型、微型企业。</w:t>
      </w:r>
    </w:p>
    <w:p w14:paraId="4F7035A6">
      <w:pPr>
        <w:spacing w:line="360" w:lineRule="auto"/>
        <w:ind w:firstLine="42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pacing w:val="6"/>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如未提供证明材料的，则其不能享受竞争性磋商文件规定的价格扣减，但不影响供应商</w:t>
      </w:r>
      <w:r>
        <w:rPr>
          <w:rFonts w:hint="eastAsia" w:ascii="宋体" w:hAnsi="宋体" w:eastAsia="宋体" w:cs="宋体"/>
          <w:bCs/>
          <w:color w:val="000000" w:themeColor="text1"/>
          <w:lang w:val="zh-CN"/>
          <w14:textFill>
            <w14:solidFill>
              <w14:schemeClr w14:val="tx1"/>
            </w14:solidFill>
          </w14:textFill>
        </w:rPr>
        <w:t>磋商响应文件</w:t>
      </w:r>
      <w:r>
        <w:rPr>
          <w:rFonts w:hint="eastAsia" w:ascii="宋体" w:hAnsi="宋体" w:eastAsia="宋体" w:cs="宋体"/>
          <w:color w:val="000000" w:themeColor="text1"/>
          <w14:textFill>
            <w14:solidFill>
              <w14:schemeClr w14:val="tx1"/>
            </w14:solidFill>
          </w14:textFill>
        </w:rPr>
        <w:t>的有效性。</w:t>
      </w:r>
    </w:p>
    <w:p w14:paraId="4F24E8A8">
      <w:pPr>
        <w:spacing w:line="3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ab/>
      </w:r>
      <w:r>
        <w:rPr>
          <w:rFonts w:hint="eastAsia" w:ascii="宋体" w:hAnsi="宋体" w:eastAsia="宋体" w:cs="宋体"/>
          <w:color w:val="000000" w:themeColor="text1"/>
          <w14:textFill>
            <w14:solidFill>
              <w14:schemeClr w14:val="tx1"/>
            </w14:solidFill>
          </w14:textFill>
        </w:rPr>
        <w:t>3.非监狱企业可以不提供本材料。</w:t>
      </w:r>
    </w:p>
    <w:p w14:paraId="7A216D3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57231797">
      <w:pPr>
        <w:spacing w:line="520" w:lineRule="exact"/>
        <w:jc w:val="center"/>
        <w:rPr>
          <w:rFonts w:ascii="宋体" w:hAnsi="宋体" w:eastAsia="宋体" w:cs="宋体"/>
          <w:b/>
          <w:bCs/>
          <w:color w:val="000000" w:themeColor="text1"/>
          <w:sz w:val="32"/>
          <w:szCs w:val="32"/>
          <w14:textFill>
            <w14:solidFill>
              <w14:schemeClr w14:val="tx1"/>
            </w14:solidFill>
          </w14:textFill>
        </w:rPr>
      </w:pPr>
    </w:p>
    <w:p w14:paraId="79FA12C1">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4741EEC">
      <w:pPr>
        <w:pStyle w:val="10"/>
        <w:spacing w:line="500" w:lineRule="exact"/>
        <w:ind w:firstLine="3078" w:firstLineChars="1175"/>
        <w:rPr>
          <w:rFonts w:ascii="宋体" w:hAnsi="宋体" w:cs="宋体"/>
          <w:spacing w:val="11"/>
          <w:kern w:val="0"/>
          <w:sz w:val="24"/>
          <w:szCs w:val="24"/>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日</w:t>
      </w:r>
    </w:p>
    <w:p w14:paraId="5175BA6E">
      <w:pPr>
        <w:tabs>
          <w:tab w:val="left" w:pos="4860"/>
        </w:tabs>
        <w:spacing w:line="360" w:lineRule="auto"/>
        <w:ind w:right="1560" w:firstLine="504" w:firstLineChars="200"/>
        <w:jc w:val="center"/>
        <w:rPr>
          <w:rFonts w:asciiTheme="minorEastAsia" w:hAnsiTheme="minorEastAsia" w:cstheme="minorEastAsia"/>
          <w:color w:val="000000" w:themeColor="text1"/>
          <w:spacing w:val="6"/>
          <w:szCs w:val="24"/>
          <w14:textFill>
            <w14:solidFill>
              <w14:schemeClr w14:val="tx1"/>
            </w14:solidFill>
          </w14:textFill>
        </w:rPr>
      </w:pPr>
    </w:p>
    <w:p w14:paraId="6BBB9149">
      <w:pPr>
        <w:rPr>
          <w:rFonts w:asciiTheme="minorEastAsia" w:hAnsiTheme="minorEastAsia" w:cstheme="minorEastAsia"/>
          <w:b/>
          <w:color w:val="000000" w:themeColor="text1"/>
          <w:sz w:val="44"/>
          <w:szCs w:val="44"/>
          <w14:textFill>
            <w14:solidFill>
              <w14:schemeClr w14:val="tx1"/>
            </w14:solidFill>
          </w14:textFill>
        </w:rPr>
      </w:pPr>
    </w:p>
    <w:p w14:paraId="1BD0EDF2">
      <w:pPr>
        <w:pStyle w:val="13"/>
        <w:rPr>
          <w:rFonts w:asciiTheme="minorEastAsia" w:hAnsiTheme="minorEastAsia" w:cstheme="minorEastAsia"/>
          <w:b/>
          <w:color w:val="000000" w:themeColor="text1"/>
          <w:sz w:val="44"/>
          <w:szCs w:val="44"/>
          <w14:textFill>
            <w14:solidFill>
              <w14:schemeClr w14:val="tx1"/>
            </w14:solidFill>
          </w14:textFill>
        </w:rPr>
      </w:pPr>
    </w:p>
    <w:p w14:paraId="52D4D5C5">
      <w:pPr>
        <w:rPr>
          <w:rFonts w:asciiTheme="minorEastAsia" w:hAnsiTheme="minorEastAsia" w:cstheme="minorEastAsia"/>
          <w:b/>
          <w:color w:val="000000" w:themeColor="text1"/>
          <w:sz w:val="44"/>
          <w:szCs w:val="44"/>
          <w14:textFill>
            <w14:solidFill>
              <w14:schemeClr w14:val="tx1"/>
            </w14:solidFill>
          </w14:textFill>
        </w:rPr>
      </w:pPr>
    </w:p>
    <w:p w14:paraId="2168CCBB">
      <w:pPr>
        <w:pStyle w:val="13"/>
        <w:rPr>
          <w:rFonts w:asciiTheme="minorEastAsia" w:hAnsiTheme="minorEastAsia" w:cstheme="minorEastAsia"/>
          <w:b/>
          <w:color w:val="000000" w:themeColor="text1"/>
          <w:sz w:val="44"/>
          <w:szCs w:val="44"/>
          <w14:textFill>
            <w14:solidFill>
              <w14:schemeClr w14:val="tx1"/>
            </w14:solidFill>
          </w14:textFill>
        </w:rPr>
      </w:pPr>
    </w:p>
    <w:p w14:paraId="169B9F3F">
      <w:pPr>
        <w:rPr>
          <w:rFonts w:asciiTheme="minorEastAsia" w:hAnsiTheme="minorEastAsia" w:cstheme="minorEastAsia"/>
          <w:b/>
          <w:color w:val="000000" w:themeColor="text1"/>
          <w:sz w:val="44"/>
          <w:szCs w:val="44"/>
          <w14:textFill>
            <w14:solidFill>
              <w14:schemeClr w14:val="tx1"/>
            </w14:solidFill>
          </w14:textFill>
        </w:rPr>
      </w:pPr>
    </w:p>
    <w:p w14:paraId="28A6FEFA">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41B6FF5">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6AF46630">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330D2F6B">
      <w:pPr>
        <w:pStyle w:val="36"/>
        <w:ind w:firstLine="883"/>
        <w:rPr>
          <w:rFonts w:asciiTheme="minorEastAsia" w:hAnsiTheme="minorEastAsia" w:cstheme="minorEastAsia"/>
          <w:b/>
          <w:color w:val="000000" w:themeColor="text1"/>
          <w:sz w:val="44"/>
          <w:szCs w:val="44"/>
          <w14:textFill>
            <w14:solidFill>
              <w14:schemeClr w14:val="tx1"/>
            </w14:solidFill>
          </w14:textFill>
        </w:rPr>
      </w:pPr>
    </w:p>
    <w:p w14:paraId="23E93DDD">
      <w:pPr>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br w:type="page"/>
      </w:r>
    </w:p>
    <w:p w14:paraId="4F3F7103">
      <w:pPr>
        <w:spacing w:line="600" w:lineRule="auto"/>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附件四：《“节能产品”“环境标志产品”说明》</w:t>
      </w:r>
    </w:p>
    <w:p w14:paraId="290B21AA">
      <w:pPr>
        <w:spacing w:line="600" w:lineRule="auto"/>
        <w:jc w:val="center"/>
        <w:rPr>
          <w:rFonts w:asciiTheme="minorEastAsia" w:hAnsiTheme="minorEastAsia" w:cstheme="minorEastAsia"/>
          <w:b/>
          <w:bCs/>
          <w:color w:val="000000" w:themeColor="text1"/>
          <w:szCs w:val="28"/>
          <w14:textFill>
            <w14:solidFill>
              <w14:schemeClr w14:val="tx1"/>
            </w14:solidFill>
          </w14:textFill>
        </w:rPr>
      </w:pPr>
      <w:r>
        <w:rPr>
          <w:rFonts w:hint="eastAsia" w:asciiTheme="minorEastAsia" w:hAnsiTheme="minorEastAsia" w:cstheme="minorEastAsia"/>
          <w:b/>
          <w:bCs/>
          <w:color w:val="000000" w:themeColor="text1"/>
          <w:szCs w:val="28"/>
          <w14:textFill>
            <w14:solidFill>
              <w14:schemeClr w14:val="tx1"/>
            </w14:solidFill>
          </w14:textFill>
        </w:rPr>
        <w:t>“节能产品”“环境标志产品”说明（若有）</w:t>
      </w:r>
    </w:p>
    <w:p w14:paraId="368E1B85">
      <w:pPr>
        <w:pStyle w:val="13"/>
      </w:pPr>
    </w:p>
    <w:p w14:paraId="0F7C40D9">
      <w:pPr>
        <w:pStyle w:val="13"/>
        <w:rPr>
          <w:rFonts w:hint="eastAsia" w:ascii="宋体" w:hAnsi="宋体" w:eastAsia="宋体" w:cs="宋体"/>
          <w:b/>
          <w:bCs/>
          <w:lang w:val="en-US" w:eastAsia="zh-CN"/>
        </w:rPr>
      </w:pPr>
      <w:r>
        <w:rPr>
          <w:rFonts w:hint="eastAsia" w:ascii="宋体" w:hAnsi="宋体" w:eastAsia="宋体" w:cs="宋体"/>
          <w:b/>
          <w:bCs/>
          <w:lang w:val="en-US" w:eastAsia="zh-CN"/>
        </w:rPr>
        <w:t>说明</w:t>
      </w:r>
    </w:p>
    <w:p w14:paraId="12A5708D">
      <w:pPr>
        <w:pStyle w:val="14"/>
        <w:rPr>
          <w:rFonts w:hint="default"/>
          <w:lang w:val="en-US" w:eastAsia="zh-CN"/>
        </w:rPr>
      </w:pPr>
    </w:p>
    <w:p w14:paraId="47311FCE">
      <w:pPr>
        <w:spacing w:line="48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供应商</w:t>
      </w:r>
      <w:r>
        <w:rPr>
          <w:rFonts w:hint="eastAsia" w:ascii="宋体" w:hAnsi="宋体" w:eastAsia="宋体" w:cs="宋体"/>
          <w:color w:val="000000" w:themeColor="text1"/>
          <w14:textFill>
            <w14:solidFill>
              <w14:schemeClr w14:val="tx1"/>
            </w14:solidFill>
          </w14:textFill>
        </w:rPr>
        <w:t>应当提供国家确定的认证机构出具的、处于有效期之内的节能产品、环境标志产品认证证书。</w:t>
      </w:r>
    </w:p>
    <w:p w14:paraId="707FBB10">
      <w:pPr>
        <w:spacing w:line="480" w:lineRule="auto"/>
        <w:ind w:firstLine="48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2.非“节能产品”“环境标志产品”可以不提供本材料。</w:t>
      </w:r>
    </w:p>
    <w:p w14:paraId="30719BEA">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企业名称（盖章）：</w:t>
      </w:r>
      <w:r>
        <w:rPr>
          <w:rFonts w:hint="eastAsia" w:ascii="宋体" w:hAnsi="宋体" w:cs="宋体"/>
          <w:spacing w:val="11"/>
          <w:kern w:val="0"/>
          <w:sz w:val="24"/>
          <w:szCs w:val="24"/>
          <w:u w:val="single"/>
        </w:rPr>
        <w:t xml:space="preserve"> </w:t>
      </w:r>
      <w:r>
        <w:rPr>
          <w:rFonts w:ascii="宋体" w:hAnsi="宋体" w:cs="宋体"/>
          <w:spacing w:val="11"/>
          <w:kern w:val="0"/>
          <w:sz w:val="24"/>
          <w:szCs w:val="24"/>
          <w:u w:val="single"/>
        </w:rPr>
        <w:t xml:space="preserve">                 </w:t>
      </w:r>
    </w:p>
    <w:p w14:paraId="17688B90">
      <w:pPr>
        <w:pStyle w:val="10"/>
        <w:spacing w:line="500" w:lineRule="exact"/>
        <w:ind w:firstLine="3078" w:firstLineChars="1175"/>
        <w:rPr>
          <w:rFonts w:ascii="宋体" w:hAnsi="宋体" w:cs="宋体"/>
          <w:spacing w:val="11"/>
          <w:kern w:val="0"/>
          <w:sz w:val="24"/>
          <w:szCs w:val="24"/>
          <w:u w:val="single"/>
        </w:rPr>
      </w:pPr>
      <w:r>
        <w:rPr>
          <w:rFonts w:hint="eastAsia" w:ascii="宋体" w:hAnsi="宋体" w:cs="宋体"/>
          <w:spacing w:val="11"/>
          <w:kern w:val="0"/>
          <w:sz w:val="24"/>
          <w:szCs w:val="24"/>
        </w:rPr>
        <w:t>日   期：</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年</w:t>
      </w:r>
      <w:r>
        <w:rPr>
          <w:rFonts w:ascii="宋体" w:hAnsi="宋体" w:cs="宋体"/>
          <w:spacing w:val="11"/>
          <w:kern w:val="0"/>
          <w:sz w:val="24"/>
          <w:szCs w:val="24"/>
          <w:u w:val="single"/>
        </w:rPr>
        <w:t xml:space="preserve">      </w:t>
      </w:r>
      <w:r>
        <w:rPr>
          <w:rFonts w:hint="eastAsia" w:ascii="宋体" w:hAnsi="宋体" w:cs="宋体"/>
          <w:spacing w:val="11"/>
          <w:kern w:val="0"/>
          <w:sz w:val="24"/>
          <w:szCs w:val="24"/>
        </w:rPr>
        <w:t>月</w:t>
      </w:r>
      <w:r>
        <w:rPr>
          <w:rFonts w:ascii="宋体" w:hAnsi="宋体" w:cs="宋体"/>
          <w:spacing w:val="11"/>
          <w:kern w:val="0"/>
          <w:sz w:val="24"/>
          <w:szCs w:val="24"/>
          <w:u w:val="single"/>
        </w:rPr>
        <w:t xml:space="preserve">      </w:t>
      </w:r>
    </w:p>
    <w:p w14:paraId="7BF2F7E7">
      <w:pPr>
        <w:pStyle w:val="10"/>
        <w:spacing w:line="500" w:lineRule="exact"/>
        <w:ind w:firstLine="3078" w:firstLineChars="1175"/>
        <w:rPr>
          <w:rFonts w:ascii="宋体" w:hAnsi="宋体" w:cs="宋体"/>
          <w:spacing w:val="11"/>
          <w:kern w:val="0"/>
          <w:sz w:val="24"/>
          <w:szCs w:val="24"/>
          <w:u w:val="single"/>
        </w:rPr>
      </w:pPr>
    </w:p>
    <w:p w14:paraId="3666AA7E">
      <w:pPr>
        <w:pStyle w:val="10"/>
        <w:spacing w:line="500" w:lineRule="exact"/>
        <w:ind w:firstLine="3078" w:firstLineChars="1175"/>
        <w:rPr>
          <w:rFonts w:ascii="宋体" w:hAnsi="宋体" w:cs="宋体"/>
          <w:spacing w:val="11"/>
          <w:kern w:val="0"/>
          <w:sz w:val="24"/>
          <w:szCs w:val="24"/>
          <w:u w:val="single"/>
        </w:rPr>
      </w:pPr>
    </w:p>
    <w:p w14:paraId="28DA6381">
      <w:pPr>
        <w:pStyle w:val="10"/>
        <w:spacing w:line="500" w:lineRule="exact"/>
        <w:ind w:firstLine="3078" w:firstLineChars="1175"/>
        <w:rPr>
          <w:rFonts w:ascii="宋体" w:hAnsi="宋体" w:cs="宋体"/>
          <w:spacing w:val="11"/>
          <w:kern w:val="0"/>
          <w:sz w:val="24"/>
          <w:szCs w:val="24"/>
          <w:u w:val="single"/>
        </w:rPr>
      </w:pPr>
    </w:p>
    <w:p w14:paraId="2DF7FC4C">
      <w:pPr>
        <w:pStyle w:val="10"/>
        <w:spacing w:line="500" w:lineRule="exact"/>
        <w:ind w:firstLine="3078" w:firstLineChars="1175"/>
        <w:rPr>
          <w:rFonts w:ascii="宋体" w:hAnsi="宋体" w:cs="宋体"/>
          <w:spacing w:val="11"/>
          <w:kern w:val="0"/>
          <w:sz w:val="24"/>
          <w:szCs w:val="24"/>
          <w:u w:val="single"/>
        </w:rPr>
      </w:pPr>
    </w:p>
    <w:p w14:paraId="2AECE63A">
      <w:pPr>
        <w:pStyle w:val="10"/>
        <w:spacing w:line="500" w:lineRule="exact"/>
        <w:ind w:firstLine="3078" w:firstLineChars="1175"/>
        <w:rPr>
          <w:rFonts w:ascii="宋体" w:hAnsi="宋体" w:cs="宋体"/>
          <w:spacing w:val="11"/>
          <w:kern w:val="0"/>
          <w:sz w:val="24"/>
          <w:szCs w:val="24"/>
          <w:u w:val="single"/>
        </w:rPr>
      </w:pPr>
    </w:p>
    <w:p w14:paraId="31E7EE22">
      <w:pPr>
        <w:pStyle w:val="10"/>
        <w:spacing w:line="500" w:lineRule="exact"/>
        <w:ind w:firstLine="3078" w:firstLineChars="1175"/>
        <w:rPr>
          <w:rFonts w:ascii="宋体" w:hAnsi="宋体" w:cs="宋体"/>
          <w:spacing w:val="11"/>
          <w:kern w:val="0"/>
          <w:sz w:val="24"/>
          <w:szCs w:val="24"/>
          <w:u w:val="single"/>
        </w:rPr>
      </w:pPr>
    </w:p>
    <w:p w14:paraId="5056120F">
      <w:pPr>
        <w:pStyle w:val="10"/>
        <w:spacing w:line="500" w:lineRule="exact"/>
        <w:ind w:firstLine="3078" w:firstLineChars="1175"/>
        <w:rPr>
          <w:rFonts w:ascii="宋体" w:hAnsi="宋体" w:cs="宋体"/>
          <w:spacing w:val="11"/>
          <w:kern w:val="0"/>
          <w:sz w:val="24"/>
          <w:szCs w:val="24"/>
          <w:u w:val="single"/>
        </w:rPr>
      </w:pPr>
    </w:p>
    <w:p w14:paraId="7DE35E2A"/>
    <w:p w14:paraId="033BCD0F"/>
    <w:p w14:paraId="49B7AFFB"/>
    <w:p w14:paraId="794913E8"/>
    <w:p w14:paraId="0FF66CBB"/>
    <w:p w14:paraId="770FA2B1"/>
    <w:p w14:paraId="51463E98"/>
    <w:p w14:paraId="169EDD20"/>
    <w:p w14:paraId="1DE8A473"/>
    <w:p w14:paraId="1A72FAC8"/>
    <w:p w14:paraId="638B1D53"/>
    <w:p w14:paraId="1F45740D"/>
    <w:p w14:paraId="662387FB"/>
    <w:p w14:paraId="38B9DCC3"/>
    <w:p w14:paraId="1493B96A">
      <w:pPr>
        <w:rPr>
          <w:rFonts w:hint="eastAsia" w:ascii="宋体" w:hAnsi="宋体" w:eastAsia="宋体" w:cs="宋体"/>
        </w:rPr>
      </w:pPr>
    </w:p>
    <w:p w14:paraId="7E3207B7">
      <w:pPr>
        <w:numPr>
          <w:ilvl w:val="0"/>
          <w:numId w:val="6"/>
        </w:numPr>
        <w:spacing w:line="480" w:lineRule="auto"/>
        <w:jc w:val="center"/>
        <w:outlineLvl w:val="0"/>
        <w:rPr>
          <w:rFonts w:hint="eastAsia" w:ascii="宋体" w:hAnsi="宋体" w:eastAsia="宋体" w:cs="宋体"/>
          <w:b/>
          <w:bCs/>
          <w:color w:val="000000" w:themeColor="text1"/>
          <w:kern w:val="0"/>
          <w:sz w:val="36"/>
          <w:szCs w:val="36"/>
          <w:lang w:val="en-US" w:eastAsia="zh-CN"/>
          <w14:textFill>
            <w14:solidFill>
              <w14:schemeClr w14:val="tx1"/>
            </w14:solidFill>
          </w14:textFill>
        </w:rPr>
      </w:pPr>
      <w:bookmarkStart w:id="127" w:name="_Toc19431"/>
      <w:r>
        <w:rPr>
          <w:rFonts w:hint="eastAsia" w:ascii="宋体" w:hAnsi="宋体" w:eastAsia="宋体" w:cs="宋体"/>
          <w:b/>
          <w:bCs/>
          <w:color w:val="000000" w:themeColor="text1"/>
          <w:kern w:val="0"/>
          <w:sz w:val="36"/>
          <w:szCs w:val="36"/>
          <w:lang w:val="en-US" w:eastAsia="zh-CN"/>
          <w14:textFill>
            <w14:solidFill>
              <w14:schemeClr w14:val="tx1"/>
            </w14:solidFill>
          </w14:textFill>
        </w:rPr>
        <w:t>图纸</w:t>
      </w:r>
      <w:bookmarkEnd w:id="127"/>
    </w:p>
    <w:p w14:paraId="23107D1D">
      <w:pPr>
        <w:numPr>
          <w:ilvl w:val="0"/>
          <w:numId w:val="0"/>
        </w:numPr>
        <w:spacing w:line="480" w:lineRule="auto"/>
        <w:jc w:val="both"/>
        <w:rPr>
          <w:rFonts w:hint="default" w:ascii="宋体" w:hAnsi="宋体" w:eastAsia="宋体" w:cs="宋体"/>
          <w:b/>
          <w:bCs/>
          <w:color w:val="000000" w:themeColor="text1"/>
          <w:kern w:val="0"/>
          <w:sz w:val="36"/>
          <w:szCs w:val="36"/>
          <w:lang w:val="en-US" w:eastAsia="zh-CN"/>
          <w14:textFill>
            <w14:solidFill>
              <w14:schemeClr w14:val="tx1"/>
            </w14:solidFill>
          </w14:textFill>
        </w:rPr>
      </w:pPr>
      <w:r>
        <w:rPr>
          <w:rFonts w:hint="eastAsia" w:ascii="宋体" w:hAnsi="宋体" w:eastAsia="宋体" w:cs="宋体"/>
          <w:b/>
          <w:bCs/>
          <w:color w:val="000000" w:themeColor="text1"/>
          <w:kern w:val="0"/>
          <w:sz w:val="36"/>
          <w:szCs w:val="36"/>
          <w:lang w:val="en-US" w:eastAsia="zh-CN"/>
          <w14:textFill>
            <w14:solidFill>
              <w14:schemeClr w14:val="tx1"/>
            </w14:solidFill>
          </w14:textFill>
        </w:rPr>
        <w:t xml:space="preserve">                       </w:t>
      </w:r>
      <w:r>
        <w:rPr>
          <w:rFonts w:hint="eastAsia" w:ascii="宋体" w:hAnsi="宋体" w:eastAsia="宋体" w:cs="宋体"/>
          <w:b/>
          <w:bCs/>
          <w:color w:val="000000" w:themeColor="text1"/>
          <w:kern w:val="0"/>
          <w:sz w:val="32"/>
          <w:szCs w:val="32"/>
          <w:lang w:val="en-US" w:eastAsia="zh-CN"/>
          <w14:textFill>
            <w14:solidFill>
              <w14:schemeClr w14:val="tx1"/>
            </w14:solidFill>
          </w14:textFill>
        </w:rPr>
        <w:t>另册</w:t>
      </w:r>
    </w:p>
    <w:sectPr>
      <w:headerReference r:id="rId15" w:type="default"/>
      <w:footerReference r:id="rId16" w:type="default"/>
      <w:pgSz w:w="11907" w:h="16840"/>
      <w:pgMar w:top="1440" w:right="1080" w:bottom="1440" w:left="1080" w:header="935" w:footer="771" w:gutter="567"/>
      <w:pgNumType w:fmt="decimal"/>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altName w:val="Malgun Gothic Semilight"/>
    <w:panose1 w:val="00000000000000000000"/>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enlo">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font-weight : 400">
    <w:altName w:val="Courier New"/>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408EC">
    <w:pPr>
      <w:pStyle w:val="2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33DC">
                          <w:pPr>
                            <w:pStyle w:val="2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4C833DC">
                    <w:pPr>
                      <w:pStyle w:val="2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5A668">
    <w:pPr>
      <w:pStyle w:val="2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D2037">
                          <w:pPr>
                            <w:pStyle w:val="2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3CD2037">
                    <w:pPr>
                      <w:pStyle w:val="2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74867">
    <w:pPr>
      <w:pStyle w:val="2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F26B5">
                          <w:pPr>
                            <w:pStyle w:val="2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BAF26B5">
                    <w:pPr>
                      <w:pStyle w:val="2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4099B">
    <w:pPr>
      <w:pStyle w:val="2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6F885">
                          <w:pPr>
                            <w:pStyle w:val="23"/>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1A86F885">
                    <w:pPr>
                      <w:pStyle w:val="23"/>
                    </w:pPr>
                    <w:r>
                      <w:fldChar w:fldCharType="begin"/>
                    </w:r>
                    <w:r>
                      <w:instrText xml:space="preserve"> PAGE  \* MERGEFORMAT </w:instrText>
                    </w:r>
                    <w:r>
                      <w:fldChar w:fldCharType="separate"/>
                    </w:r>
                    <w:r>
                      <w:t>- 96 -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80266">
    <w:pPr>
      <w:pStyle w:val="2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C87D8">
                          <w:pPr>
                            <w:pStyle w:val="23"/>
                          </w:pPr>
                          <w:r>
                            <w:fldChar w:fldCharType="begin"/>
                          </w:r>
                          <w:r>
                            <w:instrText xml:space="preserve"> PAGE  \* MERGEFORMAT </w:instrText>
                          </w:r>
                          <w:r>
                            <w:fldChar w:fldCharType="separate"/>
                          </w:r>
                          <w:r>
                            <w:t>- 95 -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8EC87D8">
                    <w:pPr>
                      <w:pStyle w:val="23"/>
                    </w:pPr>
                    <w:r>
                      <w:fldChar w:fldCharType="begin"/>
                    </w:r>
                    <w:r>
                      <w:instrText xml:space="preserve"> PAGE  \* MERGEFORMAT </w:instrText>
                    </w:r>
                    <w:r>
                      <w:fldChar w:fldCharType="separate"/>
                    </w:r>
                    <w:r>
                      <w:t>- 95 -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6C622">
    <w:pPr>
      <w:spacing w:line="179" w:lineRule="auto"/>
      <w:ind w:left="7768"/>
      <w:rPr>
        <w:rFonts w:ascii="宋体" w:hAnsi="宋体" w:eastAsia="宋体" w:cs="宋体"/>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D3D09">
                          <w:pPr>
                            <w:pStyle w:val="2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B4D3D09">
                    <w:pPr>
                      <w:pStyle w:val="2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4408">
    <w:pPr>
      <w:pStyle w:val="23"/>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8CBFC">
                          <w:pPr>
                            <w:pStyle w:val="23"/>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B98CBFC">
                    <w:pPr>
                      <w:pStyle w:val="23"/>
                    </w:pPr>
                    <w:r>
                      <w:fldChar w:fldCharType="begin"/>
                    </w:r>
                    <w:r>
                      <w:instrText xml:space="preserve"> PAGE  \* MERGEFORMAT </w:instrText>
                    </w:r>
                    <w:r>
                      <w:fldChar w:fldCharType="separate"/>
                    </w:r>
                    <w:r>
                      <w:t>- 105 -</w:t>
                    </w:r>
                    <w:r>
                      <w:fldChar w:fldCharType="end"/>
                    </w:r>
                  </w:p>
                </w:txbxContent>
              </v:textbox>
            </v:shape>
          </w:pict>
        </mc:Fallback>
      </mc:AlternateContent>
    </w:r>
  </w:p>
  <w:p w14:paraId="777A076B">
    <w:pPr>
      <w:pStyle w:val="2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65915">
    <w:pPr>
      <w:pStyle w:val="13"/>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141D7">
                          <w:pPr>
                            <w:pStyle w:val="23"/>
                          </w:pPr>
                          <w:r>
                            <w:fldChar w:fldCharType="begin"/>
                          </w:r>
                          <w:r>
                            <w:instrText xml:space="preserve"> PAGE  \* MERGEFORMAT </w:instrText>
                          </w:r>
                          <w:r>
                            <w:fldChar w:fldCharType="separate"/>
                          </w:r>
                          <w:r>
                            <w:t>- 116 -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8F141D7">
                    <w:pPr>
                      <w:pStyle w:val="23"/>
                    </w:pPr>
                    <w:r>
                      <w:fldChar w:fldCharType="begin"/>
                    </w:r>
                    <w:r>
                      <w:instrText xml:space="preserve"> PAGE  \* MERGEFORMAT </w:instrText>
                    </w:r>
                    <w:r>
                      <w:fldChar w:fldCharType="separate"/>
                    </w:r>
                    <w:r>
                      <w:t>- 116 -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8A435">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10FC4">
    <w:pPr>
      <w:pStyle w:val="2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E977">
    <w:pPr>
      <w:pStyle w:val="2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32E1A">
    <w:pPr>
      <w:pStyle w:val="24"/>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59FE">
    <w:pPr>
      <w:pStyle w:val="24"/>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36991">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AEC66"/>
    <w:multiLevelType w:val="singleLevel"/>
    <w:tmpl w:val="DB3AEC66"/>
    <w:lvl w:ilvl="0" w:tentative="0">
      <w:start w:val="6"/>
      <w:numFmt w:val="chineseCounting"/>
      <w:suff w:val="space"/>
      <w:lvlText w:val="第%1章"/>
      <w:lvlJc w:val="left"/>
      <w:rPr>
        <w:rFonts w:hint="eastAsia"/>
      </w:rPr>
    </w:lvl>
  </w:abstractNum>
  <w:abstractNum w:abstractNumId="1">
    <w:nsid w:val="DB860BB7"/>
    <w:multiLevelType w:val="singleLevel"/>
    <w:tmpl w:val="DB860BB7"/>
    <w:lvl w:ilvl="0" w:tentative="0">
      <w:start w:val="2"/>
      <w:numFmt w:val="decimal"/>
      <w:suff w:val="nothing"/>
      <w:lvlText w:val="%1、"/>
      <w:lvlJc w:val="left"/>
    </w:lvl>
  </w:abstractNum>
  <w:abstractNum w:abstractNumId="2">
    <w:nsid w:val="0000000B"/>
    <w:multiLevelType w:val="multilevel"/>
    <w:tmpl w:val="0000000B"/>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23175427"/>
    <w:multiLevelType w:val="multilevel"/>
    <w:tmpl w:val="23175427"/>
    <w:lvl w:ilvl="0" w:tentative="0">
      <w:start w:val="1"/>
      <w:numFmt w:val="decimal"/>
      <w:isLgl/>
      <w:suff w:val="space"/>
      <w:lvlText w:val="第%1章"/>
      <w:lvlJc w:val="left"/>
      <w:pPr>
        <w:ind w:left="0" w:firstLine="0"/>
      </w:pPr>
      <w:rPr>
        <w:rFonts w:hint="default" w:ascii="Times New Roman" w:hAnsi="Times New Roman" w:eastAsia="宋体" w:cs="Times New Roman"/>
        <w:b/>
        <w:bCs w:val="0"/>
        <w:i w:val="0"/>
        <w:iCs w:val="0"/>
        <w:caps w:val="0"/>
        <w:strike w:val="0"/>
        <w:dstrike w:val="0"/>
        <w:vanish w:val="0"/>
        <w:color w:val="000000"/>
        <w:spacing w:val="0"/>
        <w:position w:val="0"/>
        <w:sz w:val="44"/>
        <w:u w:val="none"/>
        <w:vertAlign w:val="baseline"/>
      </w:rPr>
    </w:lvl>
    <w:lvl w:ilvl="1" w:tentative="0">
      <w:start w:val="1"/>
      <w:numFmt w:val="decimal"/>
      <w:isLgl/>
      <w:suff w:val="space"/>
      <w:lvlText w:val="%1.%2"/>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lang w:val="zh-CN" w:eastAsia="zh-CN"/>
      </w:rPr>
    </w:lvl>
    <w:lvl w:ilvl="2" w:tentative="0">
      <w:start w:val="1"/>
      <w:numFmt w:val="decimal"/>
      <w:pStyle w:val="4"/>
      <w:isLgl/>
      <w:suff w:val="space"/>
      <w:lvlText w:val="%1.%2.%3"/>
      <w:lvlJc w:val="left"/>
      <w:pPr>
        <w:ind w:left="0" w:firstLine="0"/>
      </w:pPr>
      <w:rPr>
        <w:rFonts w:hint="default" w:ascii="Times New Roman" w:hAnsi="Times New Roman" w:eastAsia="宋体" w:cs="Times New Roman"/>
        <w:b/>
        <w:bCs w:val="0"/>
        <w:i w:val="0"/>
        <w:iCs w:val="0"/>
        <w:caps w:val="0"/>
        <w:smallCaps w:val="0"/>
        <w:strike w:val="0"/>
        <w:dstrike w:val="0"/>
        <w:vanish w:val="0"/>
        <w:color w:val="000000"/>
        <w:spacing w:val="0"/>
        <w:position w:val="0"/>
        <w:sz w:val="28"/>
        <w:u w:val="none"/>
        <w:vertAlign w:val="baseline"/>
      </w:rPr>
    </w:lvl>
    <w:lvl w:ilvl="3" w:tentative="0">
      <w:start w:val="1"/>
      <w:numFmt w:val="decimal"/>
      <w:pStyle w:val="5"/>
      <w:isLgl/>
      <w:suff w:val="space"/>
      <w:lvlText w:val="%1.%2.%3.%4"/>
      <w:lvlJc w:val="left"/>
      <w:pPr>
        <w:ind w:left="0" w:firstLine="0"/>
      </w:pPr>
      <w:rPr>
        <w:rFonts w:hint="default" w:ascii="Times New Roman" w:hAnsi="Times New Roman" w:eastAsia="宋体" w:cs="Times New Roman"/>
        <w:b/>
        <w:bCs w:val="0"/>
        <w:i w:val="0"/>
        <w:iCs w:val="0"/>
        <w:caps w:val="0"/>
        <w:smallCaps w:val="0"/>
        <w:strike w:val="0"/>
        <w:dstrike w:val="0"/>
        <w:vanish w:val="0"/>
        <w:color w:val="auto"/>
        <w:spacing w:val="0"/>
        <w:position w:val="0"/>
        <w:sz w:val="30"/>
        <w:u w:val="none"/>
        <w:vertAlign w:val="baseline"/>
      </w:rPr>
    </w:lvl>
    <w:lvl w:ilvl="4" w:tentative="0">
      <w:start w:val="1"/>
      <w:numFmt w:val="decimal"/>
      <w:isLgl/>
      <w:suff w:val="space"/>
      <w:lvlText w:val="%1.%2.%3.%4.%5"/>
      <w:lvlJc w:val="center"/>
      <w:pPr>
        <w:ind w:left="1134" w:firstLine="0"/>
      </w:pPr>
      <w:rPr>
        <w:rFonts w:hint="eastAsia" w:cs="Times New Roman"/>
        <w:b/>
        <w:bCs w:val="0"/>
        <w:i w:val="0"/>
        <w:iCs w:val="0"/>
        <w:caps w:val="0"/>
        <w:smallCaps w:val="0"/>
        <w:strike w:val="0"/>
        <w:dstrike w:val="0"/>
        <w:vanish w:val="0"/>
        <w:color w:val="000000"/>
        <w:spacing w:val="0"/>
        <w:position w:val="0"/>
        <w:u w:val="none"/>
        <w:vertAlign w:val="baseline"/>
      </w:rPr>
    </w:lvl>
    <w:lvl w:ilvl="5" w:tentative="0">
      <w:start w:val="1"/>
      <w:numFmt w:val="decimal"/>
      <w:isLgl/>
      <w:suff w:val="space"/>
      <w:lvlText w:val="%1.%2.%3.%4.%5.%6"/>
      <w:lvlJc w:val="center"/>
      <w:pPr>
        <w:ind w:left="624" w:firstLine="794"/>
      </w:pPr>
      <w:rPr>
        <w:rFonts w:hint="default" w:ascii="Times New Roman" w:hAnsi="Times New Roman" w:eastAsia="宋体"/>
        <w:b/>
        <w:i w:val="0"/>
        <w:sz w:val="24"/>
      </w:rPr>
    </w:lvl>
    <w:lvl w:ilvl="6" w:tentative="0">
      <w:start w:val="1"/>
      <w:numFmt w:val="decimal"/>
      <w:isLgl/>
      <w:lvlText w:val="%1.%2.%3.%4.%5.%6.%7"/>
      <w:lvlJc w:val="left"/>
      <w:pPr>
        <w:tabs>
          <w:tab w:val="left" w:pos="1134"/>
        </w:tabs>
        <w:ind w:left="1134" w:hanging="283"/>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4">
    <w:nsid w:val="3A4593CD"/>
    <w:multiLevelType w:val="singleLevel"/>
    <w:tmpl w:val="3A4593CD"/>
    <w:lvl w:ilvl="0" w:tentative="0">
      <w:start w:val="3"/>
      <w:numFmt w:val="chineseCounting"/>
      <w:suff w:val="space"/>
      <w:lvlText w:val="第%1章"/>
      <w:lvlJc w:val="left"/>
      <w:rPr>
        <w:rFonts w:hint="eastAsia"/>
        <w:b/>
        <w:bCs/>
        <w:sz w:val="36"/>
        <w:szCs w:val="36"/>
      </w:rPr>
    </w:lvl>
  </w:abstractNum>
  <w:abstractNum w:abstractNumId="5">
    <w:nsid w:val="576A36EB"/>
    <w:multiLevelType w:val="singleLevel"/>
    <w:tmpl w:val="576A36EB"/>
    <w:lvl w:ilvl="0" w:tentative="0">
      <w:start w:val="1"/>
      <w:numFmt w:val="decimal"/>
      <w:suff w:val="nothing"/>
      <w:lvlText w:val="（%1）"/>
      <w:lvlJc w:val="left"/>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dit="forms" w:formatting="1"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lmMTYxODcwYTA5ZmFjMzUwZDc0YTQwMDk4NWEyYTAifQ=="/>
  </w:docVars>
  <w:rsids>
    <w:rsidRoot w:val="41465FC8"/>
    <w:rsid w:val="00003426"/>
    <w:rsid w:val="00006FA1"/>
    <w:rsid w:val="00022236"/>
    <w:rsid w:val="0002408A"/>
    <w:rsid w:val="00036FC1"/>
    <w:rsid w:val="00043E20"/>
    <w:rsid w:val="0004523C"/>
    <w:rsid w:val="00052451"/>
    <w:rsid w:val="00063415"/>
    <w:rsid w:val="000710E4"/>
    <w:rsid w:val="00074089"/>
    <w:rsid w:val="000745EA"/>
    <w:rsid w:val="00080B79"/>
    <w:rsid w:val="00087371"/>
    <w:rsid w:val="00095FBD"/>
    <w:rsid w:val="000A2883"/>
    <w:rsid w:val="000A6D46"/>
    <w:rsid w:val="000A781D"/>
    <w:rsid w:val="000B0DC4"/>
    <w:rsid w:val="000B3D41"/>
    <w:rsid w:val="000B42F1"/>
    <w:rsid w:val="000B4395"/>
    <w:rsid w:val="000B5F4B"/>
    <w:rsid w:val="000B639E"/>
    <w:rsid w:val="000C58D2"/>
    <w:rsid w:val="000C5F95"/>
    <w:rsid w:val="000E3F51"/>
    <w:rsid w:val="000F0940"/>
    <w:rsid w:val="000F3171"/>
    <w:rsid w:val="000F5EF9"/>
    <w:rsid w:val="00104386"/>
    <w:rsid w:val="0010649D"/>
    <w:rsid w:val="001077DC"/>
    <w:rsid w:val="0011052E"/>
    <w:rsid w:val="0011163A"/>
    <w:rsid w:val="00125AAB"/>
    <w:rsid w:val="001339BF"/>
    <w:rsid w:val="001628A6"/>
    <w:rsid w:val="00164B0E"/>
    <w:rsid w:val="0017021E"/>
    <w:rsid w:val="00173405"/>
    <w:rsid w:val="001925D9"/>
    <w:rsid w:val="00194343"/>
    <w:rsid w:val="001A713F"/>
    <w:rsid w:val="001B1285"/>
    <w:rsid w:val="001B5312"/>
    <w:rsid w:val="001B5F2A"/>
    <w:rsid w:val="001D7251"/>
    <w:rsid w:val="001F436E"/>
    <w:rsid w:val="001F6EAC"/>
    <w:rsid w:val="00205593"/>
    <w:rsid w:val="00210ACE"/>
    <w:rsid w:val="00221372"/>
    <w:rsid w:val="00223B5F"/>
    <w:rsid w:val="00240CC9"/>
    <w:rsid w:val="002413C2"/>
    <w:rsid w:val="00243FFC"/>
    <w:rsid w:val="0024780A"/>
    <w:rsid w:val="00251F4A"/>
    <w:rsid w:val="00254B37"/>
    <w:rsid w:val="002615D5"/>
    <w:rsid w:val="002702A9"/>
    <w:rsid w:val="002914A5"/>
    <w:rsid w:val="002A0102"/>
    <w:rsid w:val="002A14F9"/>
    <w:rsid w:val="002A3E1E"/>
    <w:rsid w:val="002B00F6"/>
    <w:rsid w:val="002C138B"/>
    <w:rsid w:val="002C3078"/>
    <w:rsid w:val="002D12CD"/>
    <w:rsid w:val="002D478D"/>
    <w:rsid w:val="003144C7"/>
    <w:rsid w:val="00321DB7"/>
    <w:rsid w:val="003236B2"/>
    <w:rsid w:val="00326E49"/>
    <w:rsid w:val="003375D5"/>
    <w:rsid w:val="00354D74"/>
    <w:rsid w:val="00361B18"/>
    <w:rsid w:val="0036229A"/>
    <w:rsid w:val="00373096"/>
    <w:rsid w:val="00387E0C"/>
    <w:rsid w:val="003923C1"/>
    <w:rsid w:val="003A525C"/>
    <w:rsid w:val="003B599E"/>
    <w:rsid w:val="003C133E"/>
    <w:rsid w:val="003C2E65"/>
    <w:rsid w:val="003C5166"/>
    <w:rsid w:val="003D6DF0"/>
    <w:rsid w:val="003F1588"/>
    <w:rsid w:val="003F2227"/>
    <w:rsid w:val="003F25AC"/>
    <w:rsid w:val="00402C0F"/>
    <w:rsid w:val="004038A4"/>
    <w:rsid w:val="00405BC2"/>
    <w:rsid w:val="004127A6"/>
    <w:rsid w:val="00412931"/>
    <w:rsid w:val="00413C8B"/>
    <w:rsid w:val="004318F1"/>
    <w:rsid w:val="00440FC6"/>
    <w:rsid w:val="00441ACA"/>
    <w:rsid w:val="0044501A"/>
    <w:rsid w:val="00445EE2"/>
    <w:rsid w:val="00446139"/>
    <w:rsid w:val="00453050"/>
    <w:rsid w:val="00457797"/>
    <w:rsid w:val="00457CC4"/>
    <w:rsid w:val="00460062"/>
    <w:rsid w:val="0047413C"/>
    <w:rsid w:val="00476F70"/>
    <w:rsid w:val="00485062"/>
    <w:rsid w:val="00486CB6"/>
    <w:rsid w:val="004A6797"/>
    <w:rsid w:val="004D0132"/>
    <w:rsid w:val="004D4A1B"/>
    <w:rsid w:val="004E4253"/>
    <w:rsid w:val="004E54F3"/>
    <w:rsid w:val="0051051A"/>
    <w:rsid w:val="00520765"/>
    <w:rsid w:val="005221E3"/>
    <w:rsid w:val="00532A4C"/>
    <w:rsid w:val="00533556"/>
    <w:rsid w:val="00545181"/>
    <w:rsid w:val="00553147"/>
    <w:rsid w:val="00572B97"/>
    <w:rsid w:val="00575BA0"/>
    <w:rsid w:val="0057675F"/>
    <w:rsid w:val="00590C69"/>
    <w:rsid w:val="005918EA"/>
    <w:rsid w:val="005B45BD"/>
    <w:rsid w:val="005C6F6A"/>
    <w:rsid w:val="005D07E1"/>
    <w:rsid w:val="005D1853"/>
    <w:rsid w:val="005E034A"/>
    <w:rsid w:val="005E0FB5"/>
    <w:rsid w:val="005E5ADA"/>
    <w:rsid w:val="005E6D4F"/>
    <w:rsid w:val="005E705B"/>
    <w:rsid w:val="005F3C74"/>
    <w:rsid w:val="00617766"/>
    <w:rsid w:val="00622BD1"/>
    <w:rsid w:val="006272B9"/>
    <w:rsid w:val="006277AE"/>
    <w:rsid w:val="00631178"/>
    <w:rsid w:val="006322E7"/>
    <w:rsid w:val="00635354"/>
    <w:rsid w:val="006367EA"/>
    <w:rsid w:val="00650084"/>
    <w:rsid w:val="006538C4"/>
    <w:rsid w:val="0065785F"/>
    <w:rsid w:val="00660821"/>
    <w:rsid w:val="00665735"/>
    <w:rsid w:val="006750CF"/>
    <w:rsid w:val="006754F5"/>
    <w:rsid w:val="00675555"/>
    <w:rsid w:val="00681211"/>
    <w:rsid w:val="006A1431"/>
    <w:rsid w:val="006B0903"/>
    <w:rsid w:val="006B23F5"/>
    <w:rsid w:val="006B5229"/>
    <w:rsid w:val="006E2733"/>
    <w:rsid w:val="006F3A8C"/>
    <w:rsid w:val="006F435D"/>
    <w:rsid w:val="007059A5"/>
    <w:rsid w:val="0071166B"/>
    <w:rsid w:val="007152F2"/>
    <w:rsid w:val="00717F63"/>
    <w:rsid w:val="007234F4"/>
    <w:rsid w:val="007246FD"/>
    <w:rsid w:val="00725323"/>
    <w:rsid w:val="00732078"/>
    <w:rsid w:val="007333EF"/>
    <w:rsid w:val="00733B83"/>
    <w:rsid w:val="007348A8"/>
    <w:rsid w:val="00734B15"/>
    <w:rsid w:val="007449E8"/>
    <w:rsid w:val="00751883"/>
    <w:rsid w:val="00754ED5"/>
    <w:rsid w:val="00793377"/>
    <w:rsid w:val="007A09C0"/>
    <w:rsid w:val="007A1935"/>
    <w:rsid w:val="007B1294"/>
    <w:rsid w:val="007B4E4D"/>
    <w:rsid w:val="007C2913"/>
    <w:rsid w:val="007C6EE9"/>
    <w:rsid w:val="007C7DB0"/>
    <w:rsid w:val="007D0822"/>
    <w:rsid w:val="007D3391"/>
    <w:rsid w:val="007D37BD"/>
    <w:rsid w:val="007E6225"/>
    <w:rsid w:val="007E748C"/>
    <w:rsid w:val="007F3947"/>
    <w:rsid w:val="00805906"/>
    <w:rsid w:val="00813E51"/>
    <w:rsid w:val="00817200"/>
    <w:rsid w:val="0081788C"/>
    <w:rsid w:val="00821643"/>
    <w:rsid w:val="008227E9"/>
    <w:rsid w:val="00823C8D"/>
    <w:rsid w:val="00826CD6"/>
    <w:rsid w:val="008431FB"/>
    <w:rsid w:val="00854B3F"/>
    <w:rsid w:val="008619F6"/>
    <w:rsid w:val="008741B5"/>
    <w:rsid w:val="0087716F"/>
    <w:rsid w:val="008934AD"/>
    <w:rsid w:val="0089410F"/>
    <w:rsid w:val="008977B6"/>
    <w:rsid w:val="00897869"/>
    <w:rsid w:val="008B5752"/>
    <w:rsid w:val="008C372B"/>
    <w:rsid w:val="008C4294"/>
    <w:rsid w:val="008E0CAF"/>
    <w:rsid w:val="008E6809"/>
    <w:rsid w:val="008E7317"/>
    <w:rsid w:val="008E7386"/>
    <w:rsid w:val="008F4B51"/>
    <w:rsid w:val="008F5A15"/>
    <w:rsid w:val="00904E30"/>
    <w:rsid w:val="009060C2"/>
    <w:rsid w:val="00913454"/>
    <w:rsid w:val="00913F6B"/>
    <w:rsid w:val="00935CF6"/>
    <w:rsid w:val="00937917"/>
    <w:rsid w:val="009430A2"/>
    <w:rsid w:val="00951C0F"/>
    <w:rsid w:val="00951FEE"/>
    <w:rsid w:val="00954C7D"/>
    <w:rsid w:val="00966178"/>
    <w:rsid w:val="00966F7F"/>
    <w:rsid w:val="009839B6"/>
    <w:rsid w:val="00983A6A"/>
    <w:rsid w:val="00983DB6"/>
    <w:rsid w:val="00987C65"/>
    <w:rsid w:val="00996A70"/>
    <w:rsid w:val="00996BBB"/>
    <w:rsid w:val="009A0D95"/>
    <w:rsid w:val="009A5F53"/>
    <w:rsid w:val="009A7A5E"/>
    <w:rsid w:val="009B0DAF"/>
    <w:rsid w:val="009B5996"/>
    <w:rsid w:val="009C05E0"/>
    <w:rsid w:val="009D5F76"/>
    <w:rsid w:val="009E5DAF"/>
    <w:rsid w:val="009E7B32"/>
    <w:rsid w:val="00A10976"/>
    <w:rsid w:val="00A1326E"/>
    <w:rsid w:val="00A14176"/>
    <w:rsid w:val="00A222E3"/>
    <w:rsid w:val="00A23A8C"/>
    <w:rsid w:val="00A3397D"/>
    <w:rsid w:val="00A364AB"/>
    <w:rsid w:val="00A411D9"/>
    <w:rsid w:val="00A57AC2"/>
    <w:rsid w:val="00A61B80"/>
    <w:rsid w:val="00A711D1"/>
    <w:rsid w:val="00A760B8"/>
    <w:rsid w:val="00A765C7"/>
    <w:rsid w:val="00A925D3"/>
    <w:rsid w:val="00AA602E"/>
    <w:rsid w:val="00AB26D6"/>
    <w:rsid w:val="00AB669E"/>
    <w:rsid w:val="00AD5220"/>
    <w:rsid w:val="00AD5554"/>
    <w:rsid w:val="00AE462C"/>
    <w:rsid w:val="00AF32B5"/>
    <w:rsid w:val="00AF39A2"/>
    <w:rsid w:val="00AF57B7"/>
    <w:rsid w:val="00AF69BB"/>
    <w:rsid w:val="00AF7ACC"/>
    <w:rsid w:val="00B03138"/>
    <w:rsid w:val="00B22942"/>
    <w:rsid w:val="00B355AA"/>
    <w:rsid w:val="00B36BA3"/>
    <w:rsid w:val="00B67B37"/>
    <w:rsid w:val="00B829AA"/>
    <w:rsid w:val="00B9365B"/>
    <w:rsid w:val="00BA0AC3"/>
    <w:rsid w:val="00BA5FFB"/>
    <w:rsid w:val="00BA72D1"/>
    <w:rsid w:val="00BC4CE7"/>
    <w:rsid w:val="00BD06E9"/>
    <w:rsid w:val="00BD1E89"/>
    <w:rsid w:val="00BD4FCF"/>
    <w:rsid w:val="00BD6B55"/>
    <w:rsid w:val="00BE2F90"/>
    <w:rsid w:val="00BF3102"/>
    <w:rsid w:val="00C12ED0"/>
    <w:rsid w:val="00C13099"/>
    <w:rsid w:val="00C13128"/>
    <w:rsid w:val="00C1394E"/>
    <w:rsid w:val="00C215B2"/>
    <w:rsid w:val="00C24BC9"/>
    <w:rsid w:val="00C46B77"/>
    <w:rsid w:val="00C46C4E"/>
    <w:rsid w:val="00C62DF9"/>
    <w:rsid w:val="00C67409"/>
    <w:rsid w:val="00C81EE7"/>
    <w:rsid w:val="00C83C4F"/>
    <w:rsid w:val="00C84D2B"/>
    <w:rsid w:val="00C91471"/>
    <w:rsid w:val="00C96B44"/>
    <w:rsid w:val="00CA7421"/>
    <w:rsid w:val="00CB086E"/>
    <w:rsid w:val="00CB6B97"/>
    <w:rsid w:val="00CC36DA"/>
    <w:rsid w:val="00CD40AB"/>
    <w:rsid w:val="00CE1722"/>
    <w:rsid w:val="00CE3A03"/>
    <w:rsid w:val="00CE3ECD"/>
    <w:rsid w:val="00CE5983"/>
    <w:rsid w:val="00CF5D91"/>
    <w:rsid w:val="00CF7E16"/>
    <w:rsid w:val="00D00AC9"/>
    <w:rsid w:val="00D03EFF"/>
    <w:rsid w:val="00D04056"/>
    <w:rsid w:val="00D158FC"/>
    <w:rsid w:val="00D210E0"/>
    <w:rsid w:val="00D22716"/>
    <w:rsid w:val="00D368E8"/>
    <w:rsid w:val="00D40848"/>
    <w:rsid w:val="00D40FF3"/>
    <w:rsid w:val="00D41DA0"/>
    <w:rsid w:val="00D4554D"/>
    <w:rsid w:val="00D6403C"/>
    <w:rsid w:val="00D667A9"/>
    <w:rsid w:val="00D84E9E"/>
    <w:rsid w:val="00D90D0F"/>
    <w:rsid w:val="00D91D99"/>
    <w:rsid w:val="00DD1949"/>
    <w:rsid w:val="00DE1CE7"/>
    <w:rsid w:val="00DF021D"/>
    <w:rsid w:val="00DF2CA1"/>
    <w:rsid w:val="00E149C3"/>
    <w:rsid w:val="00E214D4"/>
    <w:rsid w:val="00E31357"/>
    <w:rsid w:val="00E37CC6"/>
    <w:rsid w:val="00E51FF1"/>
    <w:rsid w:val="00E557F5"/>
    <w:rsid w:val="00E64850"/>
    <w:rsid w:val="00E75123"/>
    <w:rsid w:val="00E822D5"/>
    <w:rsid w:val="00EA1129"/>
    <w:rsid w:val="00EA5363"/>
    <w:rsid w:val="00EA5D6B"/>
    <w:rsid w:val="00EB3114"/>
    <w:rsid w:val="00EB551E"/>
    <w:rsid w:val="00EC12EF"/>
    <w:rsid w:val="00EC4BE3"/>
    <w:rsid w:val="00EC57DC"/>
    <w:rsid w:val="00ED5D56"/>
    <w:rsid w:val="00EE02E4"/>
    <w:rsid w:val="00F056E9"/>
    <w:rsid w:val="00F16351"/>
    <w:rsid w:val="00F40693"/>
    <w:rsid w:val="00F6497D"/>
    <w:rsid w:val="00F64FB6"/>
    <w:rsid w:val="00F672E7"/>
    <w:rsid w:val="00F719C0"/>
    <w:rsid w:val="00F74DFC"/>
    <w:rsid w:val="00F848CB"/>
    <w:rsid w:val="00F93834"/>
    <w:rsid w:val="00FA0673"/>
    <w:rsid w:val="00FA7F71"/>
    <w:rsid w:val="00FD2953"/>
    <w:rsid w:val="00FD2AAA"/>
    <w:rsid w:val="00FD3E36"/>
    <w:rsid w:val="00FD5940"/>
    <w:rsid w:val="00FE3C37"/>
    <w:rsid w:val="00FE647B"/>
    <w:rsid w:val="00FF6BD6"/>
    <w:rsid w:val="010A41B4"/>
    <w:rsid w:val="010A62F5"/>
    <w:rsid w:val="011C4FD6"/>
    <w:rsid w:val="012359E3"/>
    <w:rsid w:val="01373F65"/>
    <w:rsid w:val="01456ACF"/>
    <w:rsid w:val="014A06FC"/>
    <w:rsid w:val="015E6471"/>
    <w:rsid w:val="01604C89"/>
    <w:rsid w:val="017B707A"/>
    <w:rsid w:val="017F0C28"/>
    <w:rsid w:val="01815B04"/>
    <w:rsid w:val="0190275B"/>
    <w:rsid w:val="01BF07E9"/>
    <w:rsid w:val="01EA6E6D"/>
    <w:rsid w:val="01EC7898"/>
    <w:rsid w:val="01F02992"/>
    <w:rsid w:val="01F24136"/>
    <w:rsid w:val="021043CC"/>
    <w:rsid w:val="02154C6B"/>
    <w:rsid w:val="02244A3B"/>
    <w:rsid w:val="0232197C"/>
    <w:rsid w:val="02473F0D"/>
    <w:rsid w:val="02544B31"/>
    <w:rsid w:val="025D4F22"/>
    <w:rsid w:val="0273481D"/>
    <w:rsid w:val="02760A5F"/>
    <w:rsid w:val="02781BC8"/>
    <w:rsid w:val="027B5DA6"/>
    <w:rsid w:val="029105D0"/>
    <w:rsid w:val="0292073E"/>
    <w:rsid w:val="029626D1"/>
    <w:rsid w:val="02B20C9A"/>
    <w:rsid w:val="02B76D6F"/>
    <w:rsid w:val="02CE1B85"/>
    <w:rsid w:val="02D037B2"/>
    <w:rsid w:val="02DA22C9"/>
    <w:rsid w:val="02F47D05"/>
    <w:rsid w:val="02FA082F"/>
    <w:rsid w:val="0311784E"/>
    <w:rsid w:val="03120B70"/>
    <w:rsid w:val="0315776F"/>
    <w:rsid w:val="031F0E2B"/>
    <w:rsid w:val="0327600A"/>
    <w:rsid w:val="03622363"/>
    <w:rsid w:val="03644243"/>
    <w:rsid w:val="038434C9"/>
    <w:rsid w:val="0398153A"/>
    <w:rsid w:val="039A4AFB"/>
    <w:rsid w:val="03C50289"/>
    <w:rsid w:val="03CB7D99"/>
    <w:rsid w:val="03CC3FA5"/>
    <w:rsid w:val="03D46F51"/>
    <w:rsid w:val="03D8544B"/>
    <w:rsid w:val="03E24F0D"/>
    <w:rsid w:val="03F37EA5"/>
    <w:rsid w:val="03F941A8"/>
    <w:rsid w:val="03FA3274"/>
    <w:rsid w:val="03FE1482"/>
    <w:rsid w:val="03FF2FBF"/>
    <w:rsid w:val="040030CF"/>
    <w:rsid w:val="040B2CF6"/>
    <w:rsid w:val="042E0A14"/>
    <w:rsid w:val="043D18BC"/>
    <w:rsid w:val="044C0703"/>
    <w:rsid w:val="04682A17"/>
    <w:rsid w:val="046F77FB"/>
    <w:rsid w:val="047B4C8E"/>
    <w:rsid w:val="047F019F"/>
    <w:rsid w:val="047F0B0C"/>
    <w:rsid w:val="047F3631"/>
    <w:rsid w:val="049C1B9D"/>
    <w:rsid w:val="049E2FB6"/>
    <w:rsid w:val="04A821C0"/>
    <w:rsid w:val="04AF4801"/>
    <w:rsid w:val="04BC0FEC"/>
    <w:rsid w:val="04C404B5"/>
    <w:rsid w:val="04CD069D"/>
    <w:rsid w:val="04D13C82"/>
    <w:rsid w:val="04EA2B3F"/>
    <w:rsid w:val="04EF59D1"/>
    <w:rsid w:val="050C0C8F"/>
    <w:rsid w:val="050D67D9"/>
    <w:rsid w:val="05145FDB"/>
    <w:rsid w:val="051C00DD"/>
    <w:rsid w:val="05490568"/>
    <w:rsid w:val="0556567A"/>
    <w:rsid w:val="05670BDC"/>
    <w:rsid w:val="056944A2"/>
    <w:rsid w:val="056B402B"/>
    <w:rsid w:val="056D5A4B"/>
    <w:rsid w:val="05766F51"/>
    <w:rsid w:val="05922FA0"/>
    <w:rsid w:val="05B51F34"/>
    <w:rsid w:val="05B601BA"/>
    <w:rsid w:val="05B969B3"/>
    <w:rsid w:val="05BF32E3"/>
    <w:rsid w:val="05C62704"/>
    <w:rsid w:val="05DC0A20"/>
    <w:rsid w:val="05EE1E9D"/>
    <w:rsid w:val="05FA24A8"/>
    <w:rsid w:val="060B57E8"/>
    <w:rsid w:val="060D1658"/>
    <w:rsid w:val="061522D0"/>
    <w:rsid w:val="06195A58"/>
    <w:rsid w:val="061E1135"/>
    <w:rsid w:val="06253FFB"/>
    <w:rsid w:val="06294CB0"/>
    <w:rsid w:val="062E77CC"/>
    <w:rsid w:val="062F3622"/>
    <w:rsid w:val="06321829"/>
    <w:rsid w:val="064D4F0C"/>
    <w:rsid w:val="06505B4F"/>
    <w:rsid w:val="065C6CFD"/>
    <w:rsid w:val="06610220"/>
    <w:rsid w:val="06613BC7"/>
    <w:rsid w:val="066652C1"/>
    <w:rsid w:val="066661FB"/>
    <w:rsid w:val="06682785"/>
    <w:rsid w:val="067609CA"/>
    <w:rsid w:val="06B85CB1"/>
    <w:rsid w:val="06C2041E"/>
    <w:rsid w:val="06C373FB"/>
    <w:rsid w:val="06C41534"/>
    <w:rsid w:val="06C901C6"/>
    <w:rsid w:val="06CF2587"/>
    <w:rsid w:val="06D624A9"/>
    <w:rsid w:val="06E213BE"/>
    <w:rsid w:val="06E75DDC"/>
    <w:rsid w:val="06E874A0"/>
    <w:rsid w:val="06F75A98"/>
    <w:rsid w:val="06F77C5C"/>
    <w:rsid w:val="06F84A18"/>
    <w:rsid w:val="06F91994"/>
    <w:rsid w:val="06FA5DF6"/>
    <w:rsid w:val="07053883"/>
    <w:rsid w:val="070857B2"/>
    <w:rsid w:val="07275FD5"/>
    <w:rsid w:val="07467382"/>
    <w:rsid w:val="077C2F3E"/>
    <w:rsid w:val="077E3528"/>
    <w:rsid w:val="07814B81"/>
    <w:rsid w:val="078564E6"/>
    <w:rsid w:val="078A35CC"/>
    <w:rsid w:val="07907A7C"/>
    <w:rsid w:val="0791212F"/>
    <w:rsid w:val="07914CA8"/>
    <w:rsid w:val="07963FC8"/>
    <w:rsid w:val="07987194"/>
    <w:rsid w:val="079C558D"/>
    <w:rsid w:val="07A1260A"/>
    <w:rsid w:val="07A5753F"/>
    <w:rsid w:val="07A7570B"/>
    <w:rsid w:val="07A86BC0"/>
    <w:rsid w:val="07B375B1"/>
    <w:rsid w:val="07BE57AE"/>
    <w:rsid w:val="07C93DFF"/>
    <w:rsid w:val="07CC6C08"/>
    <w:rsid w:val="07E33854"/>
    <w:rsid w:val="07F34EFC"/>
    <w:rsid w:val="07F37DB7"/>
    <w:rsid w:val="07F74555"/>
    <w:rsid w:val="07F759E9"/>
    <w:rsid w:val="081662E1"/>
    <w:rsid w:val="081D7650"/>
    <w:rsid w:val="0834758E"/>
    <w:rsid w:val="084F4BE5"/>
    <w:rsid w:val="08564D7A"/>
    <w:rsid w:val="086075AB"/>
    <w:rsid w:val="08831FE4"/>
    <w:rsid w:val="088F6915"/>
    <w:rsid w:val="089305EA"/>
    <w:rsid w:val="08947CF3"/>
    <w:rsid w:val="08A3442D"/>
    <w:rsid w:val="08A41151"/>
    <w:rsid w:val="08AB2748"/>
    <w:rsid w:val="08B54F4E"/>
    <w:rsid w:val="08D21EBF"/>
    <w:rsid w:val="08D25283"/>
    <w:rsid w:val="08D86F1C"/>
    <w:rsid w:val="08E314A2"/>
    <w:rsid w:val="08E63620"/>
    <w:rsid w:val="08EC2CB0"/>
    <w:rsid w:val="08F16FBA"/>
    <w:rsid w:val="0909178E"/>
    <w:rsid w:val="09256C4A"/>
    <w:rsid w:val="09277427"/>
    <w:rsid w:val="09366956"/>
    <w:rsid w:val="09394134"/>
    <w:rsid w:val="09394DFF"/>
    <w:rsid w:val="094D79CF"/>
    <w:rsid w:val="094E512E"/>
    <w:rsid w:val="096E224D"/>
    <w:rsid w:val="0972320A"/>
    <w:rsid w:val="098C0F2F"/>
    <w:rsid w:val="09B55A7D"/>
    <w:rsid w:val="09CC0691"/>
    <w:rsid w:val="09CD2EA4"/>
    <w:rsid w:val="09DF22A7"/>
    <w:rsid w:val="09F204B1"/>
    <w:rsid w:val="0A0A56B9"/>
    <w:rsid w:val="0A0F55BD"/>
    <w:rsid w:val="0A120A90"/>
    <w:rsid w:val="0A22052E"/>
    <w:rsid w:val="0A263447"/>
    <w:rsid w:val="0A2978C1"/>
    <w:rsid w:val="0A2A79DC"/>
    <w:rsid w:val="0A3775C3"/>
    <w:rsid w:val="0A4757E5"/>
    <w:rsid w:val="0A481E6C"/>
    <w:rsid w:val="0A4B08DB"/>
    <w:rsid w:val="0A4B6101"/>
    <w:rsid w:val="0A593AED"/>
    <w:rsid w:val="0A6413E8"/>
    <w:rsid w:val="0A70503F"/>
    <w:rsid w:val="0A7E42F6"/>
    <w:rsid w:val="0A8F0586"/>
    <w:rsid w:val="0AA3646B"/>
    <w:rsid w:val="0AAC5B9D"/>
    <w:rsid w:val="0ACE1B7A"/>
    <w:rsid w:val="0ADD0FD7"/>
    <w:rsid w:val="0AF7350B"/>
    <w:rsid w:val="0B0A1E4D"/>
    <w:rsid w:val="0B0C442B"/>
    <w:rsid w:val="0B172C94"/>
    <w:rsid w:val="0B183238"/>
    <w:rsid w:val="0B1C65EC"/>
    <w:rsid w:val="0B1F62F5"/>
    <w:rsid w:val="0B2A0E40"/>
    <w:rsid w:val="0B3F2834"/>
    <w:rsid w:val="0B472C45"/>
    <w:rsid w:val="0B4B7DDB"/>
    <w:rsid w:val="0B553400"/>
    <w:rsid w:val="0B602BA6"/>
    <w:rsid w:val="0B671DE2"/>
    <w:rsid w:val="0B71069A"/>
    <w:rsid w:val="0B724F34"/>
    <w:rsid w:val="0B7B039F"/>
    <w:rsid w:val="0B897D72"/>
    <w:rsid w:val="0B8A524B"/>
    <w:rsid w:val="0BB93731"/>
    <w:rsid w:val="0BBB0906"/>
    <w:rsid w:val="0BC20E34"/>
    <w:rsid w:val="0BC8754C"/>
    <w:rsid w:val="0BD0267A"/>
    <w:rsid w:val="0BD127F4"/>
    <w:rsid w:val="0BD13387"/>
    <w:rsid w:val="0BD437D5"/>
    <w:rsid w:val="0BEF70DB"/>
    <w:rsid w:val="0C086302"/>
    <w:rsid w:val="0C14604F"/>
    <w:rsid w:val="0C14781D"/>
    <w:rsid w:val="0C2273F1"/>
    <w:rsid w:val="0C2C42C9"/>
    <w:rsid w:val="0C2F759E"/>
    <w:rsid w:val="0C363C81"/>
    <w:rsid w:val="0C376A52"/>
    <w:rsid w:val="0C3F78BD"/>
    <w:rsid w:val="0C55263E"/>
    <w:rsid w:val="0C5C7CC1"/>
    <w:rsid w:val="0C666A81"/>
    <w:rsid w:val="0C7A644B"/>
    <w:rsid w:val="0C804F56"/>
    <w:rsid w:val="0C877047"/>
    <w:rsid w:val="0C91279F"/>
    <w:rsid w:val="0C934C9B"/>
    <w:rsid w:val="0CA70EFB"/>
    <w:rsid w:val="0CA76FA4"/>
    <w:rsid w:val="0CAE385B"/>
    <w:rsid w:val="0CB54732"/>
    <w:rsid w:val="0CE05B5E"/>
    <w:rsid w:val="0CE559BF"/>
    <w:rsid w:val="0D01122B"/>
    <w:rsid w:val="0D0C188A"/>
    <w:rsid w:val="0D0F5438"/>
    <w:rsid w:val="0D296DE3"/>
    <w:rsid w:val="0D29725D"/>
    <w:rsid w:val="0D386CEC"/>
    <w:rsid w:val="0D4044EA"/>
    <w:rsid w:val="0D504F8D"/>
    <w:rsid w:val="0D5E76E7"/>
    <w:rsid w:val="0D611B52"/>
    <w:rsid w:val="0D7D62E4"/>
    <w:rsid w:val="0D881FBD"/>
    <w:rsid w:val="0D8E4412"/>
    <w:rsid w:val="0D9C5D6F"/>
    <w:rsid w:val="0DAF6E65"/>
    <w:rsid w:val="0DB31912"/>
    <w:rsid w:val="0DBA74FE"/>
    <w:rsid w:val="0DBD4CB1"/>
    <w:rsid w:val="0DD35CCD"/>
    <w:rsid w:val="0DD82466"/>
    <w:rsid w:val="0DDA128B"/>
    <w:rsid w:val="0DEB4616"/>
    <w:rsid w:val="0DF72FBD"/>
    <w:rsid w:val="0DF937EC"/>
    <w:rsid w:val="0E046C74"/>
    <w:rsid w:val="0E1A1283"/>
    <w:rsid w:val="0E297CB4"/>
    <w:rsid w:val="0E4814D4"/>
    <w:rsid w:val="0E821E91"/>
    <w:rsid w:val="0E8D4754"/>
    <w:rsid w:val="0EA031ED"/>
    <w:rsid w:val="0EA82E8B"/>
    <w:rsid w:val="0EAF2AA1"/>
    <w:rsid w:val="0EBA3B6D"/>
    <w:rsid w:val="0EC0305B"/>
    <w:rsid w:val="0EC046DA"/>
    <w:rsid w:val="0EC93824"/>
    <w:rsid w:val="0EC940EA"/>
    <w:rsid w:val="0ECD1BF9"/>
    <w:rsid w:val="0EEF03F1"/>
    <w:rsid w:val="0EEF1AF7"/>
    <w:rsid w:val="0EF5771B"/>
    <w:rsid w:val="0F0F5004"/>
    <w:rsid w:val="0F13637F"/>
    <w:rsid w:val="0F150A42"/>
    <w:rsid w:val="0F234F40"/>
    <w:rsid w:val="0F274E5E"/>
    <w:rsid w:val="0F291F9D"/>
    <w:rsid w:val="0F2C3286"/>
    <w:rsid w:val="0F322F5B"/>
    <w:rsid w:val="0F3C1252"/>
    <w:rsid w:val="0F532FCC"/>
    <w:rsid w:val="0F5849DF"/>
    <w:rsid w:val="0F5F6EDC"/>
    <w:rsid w:val="0F651EF5"/>
    <w:rsid w:val="0F86619D"/>
    <w:rsid w:val="0F97082B"/>
    <w:rsid w:val="0F9F45DB"/>
    <w:rsid w:val="0FA32E66"/>
    <w:rsid w:val="0FA738E2"/>
    <w:rsid w:val="0FA73BCD"/>
    <w:rsid w:val="0FAD7FC0"/>
    <w:rsid w:val="0FB354FC"/>
    <w:rsid w:val="0FB82BBC"/>
    <w:rsid w:val="0FBE54C5"/>
    <w:rsid w:val="0FBF39ED"/>
    <w:rsid w:val="0FC3693C"/>
    <w:rsid w:val="0FC864B4"/>
    <w:rsid w:val="0FD96A03"/>
    <w:rsid w:val="0FDB1178"/>
    <w:rsid w:val="0FE7260A"/>
    <w:rsid w:val="0FEF1BB8"/>
    <w:rsid w:val="10034DC1"/>
    <w:rsid w:val="10107606"/>
    <w:rsid w:val="103A5D24"/>
    <w:rsid w:val="10467E0F"/>
    <w:rsid w:val="105109E4"/>
    <w:rsid w:val="105C6A52"/>
    <w:rsid w:val="1065133F"/>
    <w:rsid w:val="10682D61"/>
    <w:rsid w:val="106854F4"/>
    <w:rsid w:val="106949B6"/>
    <w:rsid w:val="108B4D1B"/>
    <w:rsid w:val="108C3290"/>
    <w:rsid w:val="109A6E42"/>
    <w:rsid w:val="10B17381"/>
    <w:rsid w:val="10BE2475"/>
    <w:rsid w:val="10D54286"/>
    <w:rsid w:val="10F72C0A"/>
    <w:rsid w:val="10F75982"/>
    <w:rsid w:val="11034887"/>
    <w:rsid w:val="110E79F6"/>
    <w:rsid w:val="110F305C"/>
    <w:rsid w:val="112144A5"/>
    <w:rsid w:val="11256A5D"/>
    <w:rsid w:val="112F2BFA"/>
    <w:rsid w:val="11465790"/>
    <w:rsid w:val="1148711D"/>
    <w:rsid w:val="114C4A69"/>
    <w:rsid w:val="11686CB0"/>
    <w:rsid w:val="116D31B3"/>
    <w:rsid w:val="117A14B8"/>
    <w:rsid w:val="11A8752B"/>
    <w:rsid w:val="11AA69C6"/>
    <w:rsid w:val="11AF064D"/>
    <w:rsid w:val="11B75427"/>
    <w:rsid w:val="11C80FB9"/>
    <w:rsid w:val="11CC4559"/>
    <w:rsid w:val="11CD7198"/>
    <w:rsid w:val="11CF4EA5"/>
    <w:rsid w:val="11E14C17"/>
    <w:rsid w:val="11E206A3"/>
    <w:rsid w:val="11F567B8"/>
    <w:rsid w:val="11FB2E27"/>
    <w:rsid w:val="120002D4"/>
    <w:rsid w:val="120B3D07"/>
    <w:rsid w:val="120E4F34"/>
    <w:rsid w:val="1225075E"/>
    <w:rsid w:val="124D47B3"/>
    <w:rsid w:val="124F0F9F"/>
    <w:rsid w:val="125E4D1C"/>
    <w:rsid w:val="12630024"/>
    <w:rsid w:val="126819FE"/>
    <w:rsid w:val="126E6705"/>
    <w:rsid w:val="1289767B"/>
    <w:rsid w:val="129F60B5"/>
    <w:rsid w:val="12A74B49"/>
    <w:rsid w:val="12AE298A"/>
    <w:rsid w:val="12C06B14"/>
    <w:rsid w:val="12CD1380"/>
    <w:rsid w:val="12D75456"/>
    <w:rsid w:val="12D96B0C"/>
    <w:rsid w:val="12E17784"/>
    <w:rsid w:val="12F809D3"/>
    <w:rsid w:val="12FE2782"/>
    <w:rsid w:val="13051AF0"/>
    <w:rsid w:val="130B524C"/>
    <w:rsid w:val="1310261B"/>
    <w:rsid w:val="13356C83"/>
    <w:rsid w:val="13385187"/>
    <w:rsid w:val="13510D35"/>
    <w:rsid w:val="135A55E4"/>
    <w:rsid w:val="135D3812"/>
    <w:rsid w:val="13666D9F"/>
    <w:rsid w:val="1372198F"/>
    <w:rsid w:val="13726BB1"/>
    <w:rsid w:val="13737182"/>
    <w:rsid w:val="138435FC"/>
    <w:rsid w:val="13883D82"/>
    <w:rsid w:val="138D4D76"/>
    <w:rsid w:val="13A61647"/>
    <w:rsid w:val="13AD0EAD"/>
    <w:rsid w:val="13BE0279"/>
    <w:rsid w:val="13C4099B"/>
    <w:rsid w:val="13D03886"/>
    <w:rsid w:val="13DF2212"/>
    <w:rsid w:val="13E558A2"/>
    <w:rsid w:val="13F96773"/>
    <w:rsid w:val="13FC365D"/>
    <w:rsid w:val="14025AF6"/>
    <w:rsid w:val="140D0901"/>
    <w:rsid w:val="140E1E82"/>
    <w:rsid w:val="142467C0"/>
    <w:rsid w:val="144548A9"/>
    <w:rsid w:val="145062BE"/>
    <w:rsid w:val="145406BB"/>
    <w:rsid w:val="14543A5E"/>
    <w:rsid w:val="14584F97"/>
    <w:rsid w:val="14693BA6"/>
    <w:rsid w:val="146C66CF"/>
    <w:rsid w:val="14814826"/>
    <w:rsid w:val="148A06AB"/>
    <w:rsid w:val="148E3DCA"/>
    <w:rsid w:val="14911DBB"/>
    <w:rsid w:val="1494325A"/>
    <w:rsid w:val="14985C4C"/>
    <w:rsid w:val="149941A7"/>
    <w:rsid w:val="14AA2EBA"/>
    <w:rsid w:val="14C6405B"/>
    <w:rsid w:val="14DE54D6"/>
    <w:rsid w:val="150712A2"/>
    <w:rsid w:val="150B55AF"/>
    <w:rsid w:val="151C2287"/>
    <w:rsid w:val="154C266A"/>
    <w:rsid w:val="154F16D2"/>
    <w:rsid w:val="15585CD3"/>
    <w:rsid w:val="1559542C"/>
    <w:rsid w:val="156216BA"/>
    <w:rsid w:val="15682E2B"/>
    <w:rsid w:val="15716CC5"/>
    <w:rsid w:val="15810BB7"/>
    <w:rsid w:val="158225A3"/>
    <w:rsid w:val="158F1BFB"/>
    <w:rsid w:val="15AE2033"/>
    <w:rsid w:val="15B50D11"/>
    <w:rsid w:val="15BD216B"/>
    <w:rsid w:val="15C07E07"/>
    <w:rsid w:val="15C138F3"/>
    <w:rsid w:val="15D33DE7"/>
    <w:rsid w:val="15D45D7C"/>
    <w:rsid w:val="15D73E0F"/>
    <w:rsid w:val="15E46F4D"/>
    <w:rsid w:val="16096967"/>
    <w:rsid w:val="161E1E16"/>
    <w:rsid w:val="162968AC"/>
    <w:rsid w:val="162D5E38"/>
    <w:rsid w:val="16405EF7"/>
    <w:rsid w:val="164262C1"/>
    <w:rsid w:val="16437554"/>
    <w:rsid w:val="164C117E"/>
    <w:rsid w:val="164E7AFA"/>
    <w:rsid w:val="16617E54"/>
    <w:rsid w:val="16651CC9"/>
    <w:rsid w:val="16A26B83"/>
    <w:rsid w:val="16B55648"/>
    <w:rsid w:val="16B73F4F"/>
    <w:rsid w:val="16C53D60"/>
    <w:rsid w:val="16CE1290"/>
    <w:rsid w:val="16D65B82"/>
    <w:rsid w:val="16E83D0F"/>
    <w:rsid w:val="16EA41E3"/>
    <w:rsid w:val="16EC5272"/>
    <w:rsid w:val="16EE2F79"/>
    <w:rsid w:val="17083CF6"/>
    <w:rsid w:val="17147EFE"/>
    <w:rsid w:val="17170465"/>
    <w:rsid w:val="17173695"/>
    <w:rsid w:val="171E10AD"/>
    <w:rsid w:val="1723341E"/>
    <w:rsid w:val="17371BC8"/>
    <w:rsid w:val="173C7946"/>
    <w:rsid w:val="173F122D"/>
    <w:rsid w:val="17473317"/>
    <w:rsid w:val="174F2CC4"/>
    <w:rsid w:val="175C4D41"/>
    <w:rsid w:val="177158CC"/>
    <w:rsid w:val="17A62C54"/>
    <w:rsid w:val="17BE16DC"/>
    <w:rsid w:val="17C86D05"/>
    <w:rsid w:val="17F35B20"/>
    <w:rsid w:val="180C2EE7"/>
    <w:rsid w:val="180F15B7"/>
    <w:rsid w:val="183E6574"/>
    <w:rsid w:val="185F1F32"/>
    <w:rsid w:val="18653EFB"/>
    <w:rsid w:val="18720945"/>
    <w:rsid w:val="18726510"/>
    <w:rsid w:val="18881CB4"/>
    <w:rsid w:val="188E3C2D"/>
    <w:rsid w:val="189A445D"/>
    <w:rsid w:val="18A23164"/>
    <w:rsid w:val="18A6233A"/>
    <w:rsid w:val="18A65CA4"/>
    <w:rsid w:val="18B61EEB"/>
    <w:rsid w:val="18C04D27"/>
    <w:rsid w:val="18C81E6B"/>
    <w:rsid w:val="18CF1610"/>
    <w:rsid w:val="18CF4AC4"/>
    <w:rsid w:val="18E50310"/>
    <w:rsid w:val="18EC57E2"/>
    <w:rsid w:val="18F20AFB"/>
    <w:rsid w:val="18FD51E2"/>
    <w:rsid w:val="19047C5B"/>
    <w:rsid w:val="1919478F"/>
    <w:rsid w:val="191B3081"/>
    <w:rsid w:val="192B246C"/>
    <w:rsid w:val="193308D1"/>
    <w:rsid w:val="193364D7"/>
    <w:rsid w:val="19354D41"/>
    <w:rsid w:val="19383276"/>
    <w:rsid w:val="193D3C08"/>
    <w:rsid w:val="19465B85"/>
    <w:rsid w:val="19514FA7"/>
    <w:rsid w:val="19530509"/>
    <w:rsid w:val="19556FD1"/>
    <w:rsid w:val="195B67D0"/>
    <w:rsid w:val="196E7061"/>
    <w:rsid w:val="19783399"/>
    <w:rsid w:val="197A5200"/>
    <w:rsid w:val="1986763E"/>
    <w:rsid w:val="198F0870"/>
    <w:rsid w:val="19935CDA"/>
    <w:rsid w:val="199E4C13"/>
    <w:rsid w:val="19CA10B0"/>
    <w:rsid w:val="19D871FC"/>
    <w:rsid w:val="19D90D82"/>
    <w:rsid w:val="19E44DA8"/>
    <w:rsid w:val="19EF0DA4"/>
    <w:rsid w:val="19F82CEA"/>
    <w:rsid w:val="19F83300"/>
    <w:rsid w:val="19FC45C1"/>
    <w:rsid w:val="1A013E26"/>
    <w:rsid w:val="1A01531B"/>
    <w:rsid w:val="1A0A4C6F"/>
    <w:rsid w:val="1A146AFB"/>
    <w:rsid w:val="1A167A73"/>
    <w:rsid w:val="1A1B71D7"/>
    <w:rsid w:val="1A2F0D7C"/>
    <w:rsid w:val="1A3F6C39"/>
    <w:rsid w:val="1A441B18"/>
    <w:rsid w:val="1A543B91"/>
    <w:rsid w:val="1A5617AE"/>
    <w:rsid w:val="1A5B314C"/>
    <w:rsid w:val="1A6125F2"/>
    <w:rsid w:val="1A63665D"/>
    <w:rsid w:val="1A6B202F"/>
    <w:rsid w:val="1A7179A8"/>
    <w:rsid w:val="1A7D58C7"/>
    <w:rsid w:val="1A8233A5"/>
    <w:rsid w:val="1A9A78E6"/>
    <w:rsid w:val="1A9D03C0"/>
    <w:rsid w:val="1AA07998"/>
    <w:rsid w:val="1AA7739A"/>
    <w:rsid w:val="1ABC3B6D"/>
    <w:rsid w:val="1AE75CC4"/>
    <w:rsid w:val="1AFB749D"/>
    <w:rsid w:val="1B020733"/>
    <w:rsid w:val="1B200468"/>
    <w:rsid w:val="1B351F7A"/>
    <w:rsid w:val="1B3863DF"/>
    <w:rsid w:val="1B4C0D69"/>
    <w:rsid w:val="1B5C3CD8"/>
    <w:rsid w:val="1B730FBA"/>
    <w:rsid w:val="1B861FC4"/>
    <w:rsid w:val="1B8A15CD"/>
    <w:rsid w:val="1B92166F"/>
    <w:rsid w:val="1BC23D87"/>
    <w:rsid w:val="1BC241D7"/>
    <w:rsid w:val="1BD729CF"/>
    <w:rsid w:val="1BDC0F1D"/>
    <w:rsid w:val="1BE07C46"/>
    <w:rsid w:val="1BE465A3"/>
    <w:rsid w:val="1BE660DB"/>
    <w:rsid w:val="1C122EBF"/>
    <w:rsid w:val="1C155D54"/>
    <w:rsid w:val="1C1B7408"/>
    <w:rsid w:val="1C1D5E4D"/>
    <w:rsid w:val="1C2B4F24"/>
    <w:rsid w:val="1C4F703E"/>
    <w:rsid w:val="1C6F79AD"/>
    <w:rsid w:val="1C7C28FE"/>
    <w:rsid w:val="1C89674D"/>
    <w:rsid w:val="1C9E2CAC"/>
    <w:rsid w:val="1CA24B83"/>
    <w:rsid w:val="1CA25785"/>
    <w:rsid w:val="1CB81B8B"/>
    <w:rsid w:val="1CBF1719"/>
    <w:rsid w:val="1CD50946"/>
    <w:rsid w:val="1CD53CB6"/>
    <w:rsid w:val="1CDA4ACD"/>
    <w:rsid w:val="1CEC1F81"/>
    <w:rsid w:val="1D15588E"/>
    <w:rsid w:val="1D1F5764"/>
    <w:rsid w:val="1D323E43"/>
    <w:rsid w:val="1D345826"/>
    <w:rsid w:val="1D51399B"/>
    <w:rsid w:val="1D6B03E8"/>
    <w:rsid w:val="1D6C7C52"/>
    <w:rsid w:val="1D7806E8"/>
    <w:rsid w:val="1D786AD1"/>
    <w:rsid w:val="1D7D03C5"/>
    <w:rsid w:val="1D8009CF"/>
    <w:rsid w:val="1D896015"/>
    <w:rsid w:val="1D9474D1"/>
    <w:rsid w:val="1D9A488B"/>
    <w:rsid w:val="1DB765A6"/>
    <w:rsid w:val="1DC03242"/>
    <w:rsid w:val="1DCA7B9C"/>
    <w:rsid w:val="1DCE2818"/>
    <w:rsid w:val="1DD66728"/>
    <w:rsid w:val="1DD957B9"/>
    <w:rsid w:val="1DDA37AA"/>
    <w:rsid w:val="1DE422F7"/>
    <w:rsid w:val="1DE71D9C"/>
    <w:rsid w:val="1DEB4F1D"/>
    <w:rsid w:val="1E0C3054"/>
    <w:rsid w:val="1E113FF4"/>
    <w:rsid w:val="1E1E6C36"/>
    <w:rsid w:val="1E201AE4"/>
    <w:rsid w:val="1E27054B"/>
    <w:rsid w:val="1E585851"/>
    <w:rsid w:val="1E614F5E"/>
    <w:rsid w:val="1E6A0646"/>
    <w:rsid w:val="1E755A64"/>
    <w:rsid w:val="1E7F4C6A"/>
    <w:rsid w:val="1E8A46AA"/>
    <w:rsid w:val="1E8B33E4"/>
    <w:rsid w:val="1E964B22"/>
    <w:rsid w:val="1E985748"/>
    <w:rsid w:val="1E9A6CF6"/>
    <w:rsid w:val="1EA3650A"/>
    <w:rsid w:val="1EA81771"/>
    <w:rsid w:val="1EA83E44"/>
    <w:rsid w:val="1EA9518B"/>
    <w:rsid w:val="1EAB55AA"/>
    <w:rsid w:val="1EB15448"/>
    <w:rsid w:val="1ECD6798"/>
    <w:rsid w:val="1ED542CB"/>
    <w:rsid w:val="1EE2508D"/>
    <w:rsid w:val="1F0105B5"/>
    <w:rsid w:val="1F074C09"/>
    <w:rsid w:val="1F1172AC"/>
    <w:rsid w:val="1F22514C"/>
    <w:rsid w:val="1F2A5406"/>
    <w:rsid w:val="1F32241A"/>
    <w:rsid w:val="1F3429E4"/>
    <w:rsid w:val="1F3C36BC"/>
    <w:rsid w:val="1F4769C7"/>
    <w:rsid w:val="1F4E43E0"/>
    <w:rsid w:val="1F96022A"/>
    <w:rsid w:val="1F983C12"/>
    <w:rsid w:val="1FA726C4"/>
    <w:rsid w:val="1FAF2BA0"/>
    <w:rsid w:val="1FC977F4"/>
    <w:rsid w:val="1FD9140F"/>
    <w:rsid w:val="1FDE6AE9"/>
    <w:rsid w:val="1FE673A2"/>
    <w:rsid w:val="1FEA66A3"/>
    <w:rsid w:val="1FEC65AF"/>
    <w:rsid w:val="20003F00"/>
    <w:rsid w:val="200D0260"/>
    <w:rsid w:val="200F6363"/>
    <w:rsid w:val="201B735F"/>
    <w:rsid w:val="201C2597"/>
    <w:rsid w:val="20287777"/>
    <w:rsid w:val="202C43A0"/>
    <w:rsid w:val="20362166"/>
    <w:rsid w:val="20487AEE"/>
    <w:rsid w:val="20513A3C"/>
    <w:rsid w:val="205C29FA"/>
    <w:rsid w:val="205D2162"/>
    <w:rsid w:val="20653333"/>
    <w:rsid w:val="206E0C88"/>
    <w:rsid w:val="209A3718"/>
    <w:rsid w:val="209C5B5A"/>
    <w:rsid w:val="209E40FF"/>
    <w:rsid w:val="20BD5652"/>
    <w:rsid w:val="20C46B00"/>
    <w:rsid w:val="20D36237"/>
    <w:rsid w:val="20F14BC7"/>
    <w:rsid w:val="20F81C87"/>
    <w:rsid w:val="20F97957"/>
    <w:rsid w:val="20FA58EE"/>
    <w:rsid w:val="2103015E"/>
    <w:rsid w:val="211D4B0E"/>
    <w:rsid w:val="214B6678"/>
    <w:rsid w:val="215320F3"/>
    <w:rsid w:val="2161529A"/>
    <w:rsid w:val="216C1BC5"/>
    <w:rsid w:val="21A01E72"/>
    <w:rsid w:val="21A539A5"/>
    <w:rsid w:val="21B67E74"/>
    <w:rsid w:val="21BF6370"/>
    <w:rsid w:val="21C27D71"/>
    <w:rsid w:val="21D135A3"/>
    <w:rsid w:val="21D61CDB"/>
    <w:rsid w:val="21DE51C9"/>
    <w:rsid w:val="21E8152C"/>
    <w:rsid w:val="21E84BC1"/>
    <w:rsid w:val="21F254C0"/>
    <w:rsid w:val="21F53216"/>
    <w:rsid w:val="21F629AE"/>
    <w:rsid w:val="220A72DE"/>
    <w:rsid w:val="220C1678"/>
    <w:rsid w:val="22157549"/>
    <w:rsid w:val="22245910"/>
    <w:rsid w:val="22384D9E"/>
    <w:rsid w:val="223961BB"/>
    <w:rsid w:val="223D2961"/>
    <w:rsid w:val="223F55D0"/>
    <w:rsid w:val="22423423"/>
    <w:rsid w:val="224616BF"/>
    <w:rsid w:val="22463475"/>
    <w:rsid w:val="22464D78"/>
    <w:rsid w:val="2248360A"/>
    <w:rsid w:val="224A7372"/>
    <w:rsid w:val="224B72C0"/>
    <w:rsid w:val="224D3DE7"/>
    <w:rsid w:val="225853AF"/>
    <w:rsid w:val="22682C67"/>
    <w:rsid w:val="226A60D7"/>
    <w:rsid w:val="226C1C4E"/>
    <w:rsid w:val="22801AB1"/>
    <w:rsid w:val="22927225"/>
    <w:rsid w:val="22996AC6"/>
    <w:rsid w:val="22A9206B"/>
    <w:rsid w:val="22B6619A"/>
    <w:rsid w:val="22B75B50"/>
    <w:rsid w:val="22BD2D0D"/>
    <w:rsid w:val="22C7293A"/>
    <w:rsid w:val="22CC2A26"/>
    <w:rsid w:val="22CD3B55"/>
    <w:rsid w:val="22CD7181"/>
    <w:rsid w:val="22D00DD8"/>
    <w:rsid w:val="22D909D3"/>
    <w:rsid w:val="22E67C42"/>
    <w:rsid w:val="22E94841"/>
    <w:rsid w:val="22EC53FC"/>
    <w:rsid w:val="22F240AB"/>
    <w:rsid w:val="22FD1184"/>
    <w:rsid w:val="230936A9"/>
    <w:rsid w:val="23101F2E"/>
    <w:rsid w:val="231337FF"/>
    <w:rsid w:val="231C73B4"/>
    <w:rsid w:val="232A7F7E"/>
    <w:rsid w:val="23350A38"/>
    <w:rsid w:val="23361412"/>
    <w:rsid w:val="23476D20"/>
    <w:rsid w:val="23526931"/>
    <w:rsid w:val="236D3854"/>
    <w:rsid w:val="236F21C0"/>
    <w:rsid w:val="237A36E0"/>
    <w:rsid w:val="237D0148"/>
    <w:rsid w:val="23854AFC"/>
    <w:rsid w:val="23981364"/>
    <w:rsid w:val="239C6EE1"/>
    <w:rsid w:val="23A21A79"/>
    <w:rsid w:val="23A71858"/>
    <w:rsid w:val="23AF2E12"/>
    <w:rsid w:val="23B10B00"/>
    <w:rsid w:val="23C140F6"/>
    <w:rsid w:val="23C674EE"/>
    <w:rsid w:val="23CE702F"/>
    <w:rsid w:val="23CE7505"/>
    <w:rsid w:val="23E9373D"/>
    <w:rsid w:val="23EA6275"/>
    <w:rsid w:val="23EA7843"/>
    <w:rsid w:val="2434488F"/>
    <w:rsid w:val="243C50C4"/>
    <w:rsid w:val="24407957"/>
    <w:rsid w:val="244138C4"/>
    <w:rsid w:val="24425C82"/>
    <w:rsid w:val="244E0FB2"/>
    <w:rsid w:val="24523E6B"/>
    <w:rsid w:val="245E6479"/>
    <w:rsid w:val="246F1DB3"/>
    <w:rsid w:val="2480514C"/>
    <w:rsid w:val="248435BC"/>
    <w:rsid w:val="24956D61"/>
    <w:rsid w:val="24A37E04"/>
    <w:rsid w:val="24D94A47"/>
    <w:rsid w:val="24DD6C4E"/>
    <w:rsid w:val="24E73701"/>
    <w:rsid w:val="24EB2CD2"/>
    <w:rsid w:val="24F03545"/>
    <w:rsid w:val="24F15593"/>
    <w:rsid w:val="24FE1255"/>
    <w:rsid w:val="25053CCD"/>
    <w:rsid w:val="250A7F60"/>
    <w:rsid w:val="250F69F1"/>
    <w:rsid w:val="25190627"/>
    <w:rsid w:val="253C76F2"/>
    <w:rsid w:val="254231BE"/>
    <w:rsid w:val="25460CF9"/>
    <w:rsid w:val="25726B45"/>
    <w:rsid w:val="257A57B5"/>
    <w:rsid w:val="2589162E"/>
    <w:rsid w:val="258C2C77"/>
    <w:rsid w:val="25915BD8"/>
    <w:rsid w:val="25952570"/>
    <w:rsid w:val="259C7C27"/>
    <w:rsid w:val="25A51CCF"/>
    <w:rsid w:val="25A742AA"/>
    <w:rsid w:val="25A920B4"/>
    <w:rsid w:val="25BB3B94"/>
    <w:rsid w:val="25C00206"/>
    <w:rsid w:val="25C3341F"/>
    <w:rsid w:val="25E60285"/>
    <w:rsid w:val="25E633D7"/>
    <w:rsid w:val="25E85FA3"/>
    <w:rsid w:val="25EE45FD"/>
    <w:rsid w:val="25F612C0"/>
    <w:rsid w:val="26013250"/>
    <w:rsid w:val="26026C80"/>
    <w:rsid w:val="260C5268"/>
    <w:rsid w:val="263A2BE3"/>
    <w:rsid w:val="26426DD4"/>
    <w:rsid w:val="26500DC0"/>
    <w:rsid w:val="265718CC"/>
    <w:rsid w:val="267C53DA"/>
    <w:rsid w:val="268259B2"/>
    <w:rsid w:val="268338B6"/>
    <w:rsid w:val="269362E3"/>
    <w:rsid w:val="26AC6AD0"/>
    <w:rsid w:val="26B52555"/>
    <w:rsid w:val="26C363B3"/>
    <w:rsid w:val="26DD199C"/>
    <w:rsid w:val="26F50BDB"/>
    <w:rsid w:val="26F91001"/>
    <w:rsid w:val="26F96584"/>
    <w:rsid w:val="27130ACE"/>
    <w:rsid w:val="272677BC"/>
    <w:rsid w:val="27283C0A"/>
    <w:rsid w:val="27294289"/>
    <w:rsid w:val="272D723C"/>
    <w:rsid w:val="27381365"/>
    <w:rsid w:val="273D098C"/>
    <w:rsid w:val="274029CA"/>
    <w:rsid w:val="274953D9"/>
    <w:rsid w:val="2750794F"/>
    <w:rsid w:val="275C55BF"/>
    <w:rsid w:val="27726551"/>
    <w:rsid w:val="27731FE6"/>
    <w:rsid w:val="278E13C2"/>
    <w:rsid w:val="279E5CA6"/>
    <w:rsid w:val="27B83B5E"/>
    <w:rsid w:val="27CB6037"/>
    <w:rsid w:val="27DC1D02"/>
    <w:rsid w:val="27E31ACD"/>
    <w:rsid w:val="27EF2E91"/>
    <w:rsid w:val="27F10606"/>
    <w:rsid w:val="2817062E"/>
    <w:rsid w:val="28190C37"/>
    <w:rsid w:val="282A72D4"/>
    <w:rsid w:val="283E1AF3"/>
    <w:rsid w:val="283E697F"/>
    <w:rsid w:val="285939A0"/>
    <w:rsid w:val="285C01E4"/>
    <w:rsid w:val="285F5E42"/>
    <w:rsid w:val="28640DDD"/>
    <w:rsid w:val="28672C1E"/>
    <w:rsid w:val="287445E5"/>
    <w:rsid w:val="28841CCC"/>
    <w:rsid w:val="288D3879"/>
    <w:rsid w:val="28925E9C"/>
    <w:rsid w:val="28936E10"/>
    <w:rsid w:val="28970403"/>
    <w:rsid w:val="28AA11B7"/>
    <w:rsid w:val="28AE0412"/>
    <w:rsid w:val="28B50B6A"/>
    <w:rsid w:val="28BA4E63"/>
    <w:rsid w:val="28CC2809"/>
    <w:rsid w:val="28DD37F9"/>
    <w:rsid w:val="28FE2638"/>
    <w:rsid w:val="29024666"/>
    <w:rsid w:val="290B259E"/>
    <w:rsid w:val="290B409D"/>
    <w:rsid w:val="291120B3"/>
    <w:rsid w:val="29133087"/>
    <w:rsid w:val="29184623"/>
    <w:rsid w:val="291B2276"/>
    <w:rsid w:val="29215C3E"/>
    <w:rsid w:val="292A740A"/>
    <w:rsid w:val="29361EFE"/>
    <w:rsid w:val="294A4A32"/>
    <w:rsid w:val="295770E6"/>
    <w:rsid w:val="295D6C8D"/>
    <w:rsid w:val="29662D3F"/>
    <w:rsid w:val="29671C51"/>
    <w:rsid w:val="29706DC9"/>
    <w:rsid w:val="298F16C2"/>
    <w:rsid w:val="299834A6"/>
    <w:rsid w:val="29A814C5"/>
    <w:rsid w:val="29B9630B"/>
    <w:rsid w:val="29D72731"/>
    <w:rsid w:val="29DE6035"/>
    <w:rsid w:val="29E5333C"/>
    <w:rsid w:val="29E84DD3"/>
    <w:rsid w:val="29ED66B9"/>
    <w:rsid w:val="29EE44E0"/>
    <w:rsid w:val="29FD77D4"/>
    <w:rsid w:val="2A007439"/>
    <w:rsid w:val="2A0A1487"/>
    <w:rsid w:val="2A1A15CE"/>
    <w:rsid w:val="2A1F5A9F"/>
    <w:rsid w:val="2A2361E0"/>
    <w:rsid w:val="2A263200"/>
    <w:rsid w:val="2A27688E"/>
    <w:rsid w:val="2A28537C"/>
    <w:rsid w:val="2A2F0351"/>
    <w:rsid w:val="2A301C46"/>
    <w:rsid w:val="2A7C0ECC"/>
    <w:rsid w:val="2A912EF5"/>
    <w:rsid w:val="2A9B2140"/>
    <w:rsid w:val="2AAF30C4"/>
    <w:rsid w:val="2AB17355"/>
    <w:rsid w:val="2ABB0DF3"/>
    <w:rsid w:val="2AC70190"/>
    <w:rsid w:val="2ACD779E"/>
    <w:rsid w:val="2ADB0919"/>
    <w:rsid w:val="2AE50552"/>
    <w:rsid w:val="2AE609AE"/>
    <w:rsid w:val="2AEA4971"/>
    <w:rsid w:val="2AF145C3"/>
    <w:rsid w:val="2AFE125D"/>
    <w:rsid w:val="2B1674E5"/>
    <w:rsid w:val="2B1B4127"/>
    <w:rsid w:val="2B2D2C6E"/>
    <w:rsid w:val="2B4735F7"/>
    <w:rsid w:val="2B494D28"/>
    <w:rsid w:val="2B7905C4"/>
    <w:rsid w:val="2B8B2D9D"/>
    <w:rsid w:val="2B8C6632"/>
    <w:rsid w:val="2B8C71D0"/>
    <w:rsid w:val="2BA5776D"/>
    <w:rsid w:val="2BA61383"/>
    <w:rsid w:val="2BB138D1"/>
    <w:rsid w:val="2BB2177A"/>
    <w:rsid w:val="2BC20C47"/>
    <w:rsid w:val="2BD47DFD"/>
    <w:rsid w:val="2BD66439"/>
    <w:rsid w:val="2BE152B9"/>
    <w:rsid w:val="2BF74C87"/>
    <w:rsid w:val="2C082F54"/>
    <w:rsid w:val="2C183B08"/>
    <w:rsid w:val="2C2B420A"/>
    <w:rsid w:val="2C335A95"/>
    <w:rsid w:val="2C360FD5"/>
    <w:rsid w:val="2C361043"/>
    <w:rsid w:val="2C385980"/>
    <w:rsid w:val="2C410F70"/>
    <w:rsid w:val="2C4A2ACB"/>
    <w:rsid w:val="2C5746C9"/>
    <w:rsid w:val="2C633E88"/>
    <w:rsid w:val="2C6C21CC"/>
    <w:rsid w:val="2C8D5247"/>
    <w:rsid w:val="2CD36631"/>
    <w:rsid w:val="2CD413B1"/>
    <w:rsid w:val="2CD836F5"/>
    <w:rsid w:val="2CDF7AEC"/>
    <w:rsid w:val="2CE268D4"/>
    <w:rsid w:val="2CE629A3"/>
    <w:rsid w:val="2CE6307D"/>
    <w:rsid w:val="2CFD2773"/>
    <w:rsid w:val="2D07785C"/>
    <w:rsid w:val="2D0D31CA"/>
    <w:rsid w:val="2D1648BC"/>
    <w:rsid w:val="2D2E17A1"/>
    <w:rsid w:val="2D302386"/>
    <w:rsid w:val="2D3505E2"/>
    <w:rsid w:val="2D37677A"/>
    <w:rsid w:val="2D386FD2"/>
    <w:rsid w:val="2D3D1758"/>
    <w:rsid w:val="2D3F7EF7"/>
    <w:rsid w:val="2D4164B4"/>
    <w:rsid w:val="2D502BAC"/>
    <w:rsid w:val="2D5D67C7"/>
    <w:rsid w:val="2D626812"/>
    <w:rsid w:val="2D697037"/>
    <w:rsid w:val="2D6B46F9"/>
    <w:rsid w:val="2D727875"/>
    <w:rsid w:val="2D7A3E58"/>
    <w:rsid w:val="2D7B4BF1"/>
    <w:rsid w:val="2D907BEE"/>
    <w:rsid w:val="2D962520"/>
    <w:rsid w:val="2D9D1F27"/>
    <w:rsid w:val="2DA94D16"/>
    <w:rsid w:val="2DAE7161"/>
    <w:rsid w:val="2DB04A93"/>
    <w:rsid w:val="2DBB6F83"/>
    <w:rsid w:val="2DD06EFD"/>
    <w:rsid w:val="2DE105AF"/>
    <w:rsid w:val="2DE71A16"/>
    <w:rsid w:val="2DF919BD"/>
    <w:rsid w:val="2E096771"/>
    <w:rsid w:val="2E105BDC"/>
    <w:rsid w:val="2E3A108B"/>
    <w:rsid w:val="2E4C2F79"/>
    <w:rsid w:val="2E5670D0"/>
    <w:rsid w:val="2E5E2AFC"/>
    <w:rsid w:val="2E633EB6"/>
    <w:rsid w:val="2E654070"/>
    <w:rsid w:val="2E68639B"/>
    <w:rsid w:val="2E6E3215"/>
    <w:rsid w:val="2E793111"/>
    <w:rsid w:val="2E832FE3"/>
    <w:rsid w:val="2E8D5C99"/>
    <w:rsid w:val="2E974C20"/>
    <w:rsid w:val="2E9E012E"/>
    <w:rsid w:val="2EA241A8"/>
    <w:rsid w:val="2EA47AA6"/>
    <w:rsid w:val="2EA878B4"/>
    <w:rsid w:val="2EAA206D"/>
    <w:rsid w:val="2ED72E29"/>
    <w:rsid w:val="2EDD5109"/>
    <w:rsid w:val="2EE1504A"/>
    <w:rsid w:val="2EE32100"/>
    <w:rsid w:val="2EEA7478"/>
    <w:rsid w:val="2F2B5E57"/>
    <w:rsid w:val="2F3204BB"/>
    <w:rsid w:val="2F3A5294"/>
    <w:rsid w:val="2F5129FD"/>
    <w:rsid w:val="2F8F5372"/>
    <w:rsid w:val="2F904A8B"/>
    <w:rsid w:val="2FA02A24"/>
    <w:rsid w:val="2FAC4547"/>
    <w:rsid w:val="2FC41EBA"/>
    <w:rsid w:val="2FCC6ADC"/>
    <w:rsid w:val="2FD56C51"/>
    <w:rsid w:val="2FD61EC4"/>
    <w:rsid w:val="2FE34C37"/>
    <w:rsid w:val="2FE7202C"/>
    <w:rsid w:val="2FF742A1"/>
    <w:rsid w:val="300027A9"/>
    <w:rsid w:val="30142680"/>
    <w:rsid w:val="302A453E"/>
    <w:rsid w:val="304B504C"/>
    <w:rsid w:val="304D76D1"/>
    <w:rsid w:val="30A57328"/>
    <w:rsid w:val="30AD0929"/>
    <w:rsid w:val="30CD67C6"/>
    <w:rsid w:val="30F502F1"/>
    <w:rsid w:val="310865CC"/>
    <w:rsid w:val="310C54B7"/>
    <w:rsid w:val="311143C8"/>
    <w:rsid w:val="31196F5D"/>
    <w:rsid w:val="31237BC2"/>
    <w:rsid w:val="313B4EF9"/>
    <w:rsid w:val="313D2178"/>
    <w:rsid w:val="313E6208"/>
    <w:rsid w:val="315157EB"/>
    <w:rsid w:val="316267D4"/>
    <w:rsid w:val="316D0B31"/>
    <w:rsid w:val="316F0E5B"/>
    <w:rsid w:val="317613FF"/>
    <w:rsid w:val="31763D43"/>
    <w:rsid w:val="317D017E"/>
    <w:rsid w:val="31826C49"/>
    <w:rsid w:val="318305DF"/>
    <w:rsid w:val="318F0264"/>
    <w:rsid w:val="31A16C2A"/>
    <w:rsid w:val="31A93C46"/>
    <w:rsid w:val="31AB71D2"/>
    <w:rsid w:val="31BE5FB1"/>
    <w:rsid w:val="31C362CB"/>
    <w:rsid w:val="31CB6091"/>
    <w:rsid w:val="31CD1C13"/>
    <w:rsid w:val="31D1694B"/>
    <w:rsid w:val="31DC5155"/>
    <w:rsid w:val="31E12333"/>
    <w:rsid w:val="31F63317"/>
    <w:rsid w:val="3210115D"/>
    <w:rsid w:val="32153495"/>
    <w:rsid w:val="3220243A"/>
    <w:rsid w:val="322F301F"/>
    <w:rsid w:val="3233348B"/>
    <w:rsid w:val="32362F74"/>
    <w:rsid w:val="32393EFC"/>
    <w:rsid w:val="325F0F0C"/>
    <w:rsid w:val="32644486"/>
    <w:rsid w:val="326B722B"/>
    <w:rsid w:val="327422B7"/>
    <w:rsid w:val="32A603EB"/>
    <w:rsid w:val="32B949EA"/>
    <w:rsid w:val="32C049D2"/>
    <w:rsid w:val="32CE7207"/>
    <w:rsid w:val="32DD302D"/>
    <w:rsid w:val="32E27942"/>
    <w:rsid w:val="32E327F8"/>
    <w:rsid w:val="33196106"/>
    <w:rsid w:val="332F054D"/>
    <w:rsid w:val="33516BCC"/>
    <w:rsid w:val="33643835"/>
    <w:rsid w:val="33647E1B"/>
    <w:rsid w:val="337B485B"/>
    <w:rsid w:val="337C5F73"/>
    <w:rsid w:val="3385067B"/>
    <w:rsid w:val="33883E73"/>
    <w:rsid w:val="33A54DD3"/>
    <w:rsid w:val="33A61A0B"/>
    <w:rsid w:val="33AD4194"/>
    <w:rsid w:val="33B15795"/>
    <w:rsid w:val="33B675FB"/>
    <w:rsid w:val="33B87C7B"/>
    <w:rsid w:val="33CE5227"/>
    <w:rsid w:val="33CF3C73"/>
    <w:rsid w:val="33D96789"/>
    <w:rsid w:val="33DB2276"/>
    <w:rsid w:val="33DD3B07"/>
    <w:rsid w:val="33EF6B5D"/>
    <w:rsid w:val="33F87CBC"/>
    <w:rsid w:val="33FA57F3"/>
    <w:rsid w:val="340F2987"/>
    <w:rsid w:val="34155000"/>
    <w:rsid w:val="34241E5A"/>
    <w:rsid w:val="3425464E"/>
    <w:rsid w:val="342A4534"/>
    <w:rsid w:val="342B2748"/>
    <w:rsid w:val="34347613"/>
    <w:rsid w:val="344545A1"/>
    <w:rsid w:val="344A2F2E"/>
    <w:rsid w:val="344F3B16"/>
    <w:rsid w:val="34503AE0"/>
    <w:rsid w:val="345F3CA4"/>
    <w:rsid w:val="34706D7C"/>
    <w:rsid w:val="349A226E"/>
    <w:rsid w:val="34A12CA4"/>
    <w:rsid w:val="34A74049"/>
    <w:rsid w:val="34A87C0A"/>
    <w:rsid w:val="34B46996"/>
    <w:rsid w:val="34BE17F8"/>
    <w:rsid w:val="34BE1A18"/>
    <w:rsid w:val="34C916CF"/>
    <w:rsid w:val="34CD06DF"/>
    <w:rsid w:val="34D83B42"/>
    <w:rsid w:val="34E631BA"/>
    <w:rsid w:val="34EA4FFE"/>
    <w:rsid w:val="3500401D"/>
    <w:rsid w:val="35014893"/>
    <w:rsid w:val="350A38BC"/>
    <w:rsid w:val="3535049D"/>
    <w:rsid w:val="353A2AD5"/>
    <w:rsid w:val="354A2E9C"/>
    <w:rsid w:val="355B097B"/>
    <w:rsid w:val="355D7E48"/>
    <w:rsid w:val="35640AA7"/>
    <w:rsid w:val="358A1ACA"/>
    <w:rsid w:val="358A4254"/>
    <w:rsid w:val="359965F5"/>
    <w:rsid w:val="359D0D29"/>
    <w:rsid w:val="35A64B1C"/>
    <w:rsid w:val="35A85E7F"/>
    <w:rsid w:val="35DA1C16"/>
    <w:rsid w:val="35E20AB3"/>
    <w:rsid w:val="35E40AAF"/>
    <w:rsid w:val="35E9447C"/>
    <w:rsid w:val="35ED0684"/>
    <w:rsid w:val="3607629B"/>
    <w:rsid w:val="360D7BDD"/>
    <w:rsid w:val="3616733E"/>
    <w:rsid w:val="362048E7"/>
    <w:rsid w:val="36280C33"/>
    <w:rsid w:val="362B7385"/>
    <w:rsid w:val="362D624A"/>
    <w:rsid w:val="363C7A26"/>
    <w:rsid w:val="36572238"/>
    <w:rsid w:val="36596AF4"/>
    <w:rsid w:val="367A081A"/>
    <w:rsid w:val="367B525F"/>
    <w:rsid w:val="3689263B"/>
    <w:rsid w:val="36897924"/>
    <w:rsid w:val="368B3923"/>
    <w:rsid w:val="368E2129"/>
    <w:rsid w:val="369F146B"/>
    <w:rsid w:val="36A2338A"/>
    <w:rsid w:val="36A43E63"/>
    <w:rsid w:val="36AB765E"/>
    <w:rsid w:val="36AF3A1C"/>
    <w:rsid w:val="36B74AF6"/>
    <w:rsid w:val="36BF5033"/>
    <w:rsid w:val="36CC4E8E"/>
    <w:rsid w:val="36D33498"/>
    <w:rsid w:val="36D910F2"/>
    <w:rsid w:val="36E24857"/>
    <w:rsid w:val="36F016CA"/>
    <w:rsid w:val="37021E57"/>
    <w:rsid w:val="37101C5F"/>
    <w:rsid w:val="37134EED"/>
    <w:rsid w:val="372F673B"/>
    <w:rsid w:val="3735060F"/>
    <w:rsid w:val="37400CBA"/>
    <w:rsid w:val="37462B6D"/>
    <w:rsid w:val="3749211E"/>
    <w:rsid w:val="376D1BAD"/>
    <w:rsid w:val="37725E4D"/>
    <w:rsid w:val="377E0A45"/>
    <w:rsid w:val="37811EE8"/>
    <w:rsid w:val="3788047A"/>
    <w:rsid w:val="378F690C"/>
    <w:rsid w:val="37970291"/>
    <w:rsid w:val="37971ED7"/>
    <w:rsid w:val="37A10B19"/>
    <w:rsid w:val="37A7676C"/>
    <w:rsid w:val="37AF1490"/>
    <w:rsid w:val="37B00DA3"/>
    <w:rsid w:val="37B652C5"/>
    <w:rsid w:val="37BC3DC7"/>
    <w:rsid w:val="37E04929"/>
    <w:rsid w:val="37F24D21"/>
    <w:rsid w:val="38054756"/>
    <w:rsid w:val="38136DB1"/>
    <w:rsid w:val="38551131"/>
    <w:rsid w:val="38622165"/>
    <w:rsid w:val="386776ED"/>
    <w:rsid w:val="386C2AA2"/>
    <w:rsid w:val="38760DB8"/>
    <w:rsid w:val="387741B4"/>
    <w:rsid w:val="387A0C66"/>
    <w:rsid w:val="38896326"/>
    <w:rsid w:val="3891704B"/>
    <w:rsid w:val="3894652D"/>
    <w:rsid w:val="38A61205"/>
    <w:rsid w:val="38BB64B8"/>
    <w:rsid w:val="38BD6FDF"/>
    <w:rsid w:val="38C33371"/>
    <w:rsid w:val="38C35764"/>
    <w:rsid w:val="38CC57E4"/>
    <w:rsid w:val="38DB7B5F"/>
    <w:rsid w:val="38EF5842"/>
    <w:rsid w:val="38F8510D"/>
    <w:rsid w:val="391725C0"/>
    <w:rsid w:val="3925374E"/>
    <w:rsid w:val="392628AE"/>
    <w:rsid w:val="3928085A"/>
    <w:rsid w:val="39472CE8"/>
    <w:rsid w:val="394C0BF2"/>
    <w:rsid w:val="395C1022"/>
    <w:rsid w:val="39750C67"/>
    <w:rsid w:val="397A53E5"/>
    <w:rsid w:val="399D5A5C"/>
    <w:rsid w:val="39A40668"/>
    <w:rsid w:val="39B42D34"/>
    <w:rsid w:val="39D649E4"/>
    <w:rsid w:val="39DA16C3"/>
    <w:rsid w:val="39E87E59"/>
    <w:rsid w:val="39F31D94"/>
    <w:rsid w:val="39F70DCD"/>
    <w:rsid w:val="39F84C79"/>
    <w:rsid w:val="39F91C7C"/>
    <w:rsid w:val="3A325D3E"/>
    <w:rsid w:val="3A3D49B0"/>
    <w:rsid w:val="3A4B6265"/>
    <w:rsid w:val="3A507E77"/>
    <w:rsid w:val="3A616EB5"/>
    <w:rsid w:val="3A692B81"/>
    <w:rsid w:val="3A744447"/>
    <w:rsid w:val="3A820EB6"/>
    <w:rsid w:val="3A8446A7"/>
    <w:rsid w:val="3A8A70C9"/>
    <w:rsid w:val="3A8D6CA0"/>
    <w:rsid w:val="3A8F0928"/>
    <w:rsid w:val="3AB7512D"/>
    <w:rsid w:val="3ABE537A"/>
    <w:rsid w:val="3AC258E1"/>
    <w:rsid w:val="3AD763D7"/>
    <w:rsid w:val="3AD830F6"/>
    <w:rsid w:val="3AE30C5D"/>
    <w:rsid w:val="3AE75FB6"/>
    <w:rsid w:val="3AF4133D"/>
    <w:rsid w:val="3B0637B0"/>
    <w:rsid w:val="3B252B5B"/>
    <w:rsid w:val="3B345F96"/>
    <w:rsid w:val="3B3F6E6E"/>
    <w:rsid w:val="3B4C70F8"/>
    <w:rsid w:val="3B4F435D"/>
    <w:rsid w:val="3B595FBE"/>
    <w:rsid w:val="3B637ABB"/>
    <w:rsid w:val="3B695B7C"/>
    <w:rsid w:val="3B6E6EEA"/>
    <w:rsid w:val="3B7C2027"/>
    <w:rsid w:val="3B802CBB"/>
    <w:rsid w:val="3B960214"/>
    <w:rsid w:val="3BA30F1D"/>
    <w:rsid w:val="3BA66333"/>
    <w:rsid w:val="3BA81FCB"/>
    <w:rsid w:val="3BBA7883"/>
    <w:rsid w:val="3BBE4987"/>
    <w:rsid w:val="3BC12100"/>
    <w:rsid w:val="3BC37EF8"/>
    <w:rsid w:val="3BC66F24"/>
    <w:rsid w:val="3BDC202D"/>
    <w:rsid w:val="3BE43074"/>
    <w:rsid w:val="3C017F5D"/>
    <w:rsid w:val="3C050D4E"/>
    <w:rsid w:val="3C0A2EB1"/>
    <w:rsid w:val="3C1C08F2"/>
    <w:rsid w:val="3C2553AA"/>
    <w:rsid w:val="3C3632D4"/>
    <w:rsid w:val="3C387660"/>
    <w:rsid w:val="3C481407"/>
    <w:rsid w:val="3C5C1C3E"/>
    <w:rsid w:val="3C5D0868"/>
    <w:rsid w:val="3C612AFF"/>
    <w:rsid w:val="3C6D0F69"/>
    <w:rsid w:val="3C753B5A"/>
    <w:rsid w:val="3C764EAA"/>
    <w:rsid w:val="3C77514B"/>
    <w:rsid w:val="3C7F1FC2"/>
    <w:rsid w:val="3CAF7102"/>
    <w:rsid w:val="3CC26CB2"/>
    <w:rsid w:val="3CCE362B"/>
    <w:rsid w:val="3CD2211B"/>
    <w:rsid w:val="3CE23269"/>
    <w:rsid w:val="3CF05A1E"/>
    <w:rsid w:val="3CF7064B"/>
    <w:rsid w:val="3CFA4BFF"/>
    <w:rsid w:val="3CFD5C00"/>
    <w:rsid w:val="3CFF03D0"/>
    <w:rsid w:val="3CFF3CB7"/>
    <w:rsid w:val="3D01076F"/>
    <w:rsid w:val="3D034535"/>
    <w:rsid w:val="3D062B25"/>
    <w:rsid w:val="3D0A6D1E"/>
    <w:rsid w:val="3D0B0988"/>
    <w:rsid w:val="3D1507F8"/>
    <w:rsid w:val="3D2D2171"/>
    <w:rsid w:val="3D37326B"/>
    <w:rsid w:val="3D3E0A5C"/>
    <w:rsid w:val="3D7549B1"/>
    <w:rsid w:val="3D883836"/>
    <w:rsid w:val="3D93073E"/>
    <w:rsid w:val="3DC60A63"/>
    <w:rsid w:val="3DCA5152"/>
    <w:rsid w:val="3DDF6088"/>
    <w:rsid w:val="3DE65872"/>
    <w:rsid w:val="3DE9790D"/>
    <w:rsid w:val="3E12266C"/>
    <w:rsid w:val="3E132A9A"/>
    <w:rsid w:val="3E1A70B4"/>
    <w:rsid w:val="3E201DAF"/>
    <w:rsid w:val="3E2024DC"/>
    <w:rsid w:val="3E24274D"/>
    <w:rsid w:val="3E29376A"/>
    <w:rsid w:val="3E2D1E59"/>
    <w:rsid w:val="3E5B0C66"/>
    <w:rsid w:val="3E645CC4"/>
    <w:rsid w:val="3E8653F4"/>
    <w:rsid w:val="3E8F6E78"/>
    <w:rsid w:val="3EAB2402"/>
    <w:rsid w:val="3EAD5FE8"/>
    <w:rsid w:val="3EC92287"/>
    <w:rsid w:val="3ECC154D"/>
    <w:rsid w:val="3ED21DD7"/>
    <w:rsid w:val="3ED8061F"/>
    <w:rsid w:val="3EDA230E"/>
    <w:rsid w:val="3EDD3236"/>
    <w:rsid w:val="3EE718C4"/>
    <w:rsid w:val="3EEF7821"/>
    <w:rsid w:val="3EFE69D5"/>
    <w:rsid w:val="3F024488"/>
    <w:rsid w:val="3F0522D9"/>
    <w:rsid w:val="3F177461"/>
    <w:rsid w:val="3F1C3A5A"/>
    <w:rsid w:val="3F210EC9"/>
    <w:rsid w:val="3F212C5E"/>
    <w:rsid w:val="3F2E13B9"/>
    <w:rsid w:val="3F2F4457"/>
    <w:rsid w:val="3F5901D1"/>
    <w:rsid w:val="3F6317DC"/>
    <w:rsid w:val="3F684CF1"/>
    <w:rsid w:val="3F7F2379"/>
    <w:rsid w:val="3F950288"/>
    <w:rsid w:val="3F9C135A"/>
    <w:rsid w:val="3FB55A94"/>
    <w:rsid w:val="3FBF628A"/>
    <w:rsid w:val="3FC43688"/>
    <w:rsid w:val="3FD84D6B"/>
    <w:rsid w:val="3FF417AD"/>
    <w:rsid w:val="3FFB27AD"/>
    <w:rsid w:val="3FFF0560"/>
    <w:rsid w:val="40043612"/>
    <w:rsid w:val="40156BD0"/>
    <w:rsid w:val="401F0D61"/>
    <w:rsid w:val="402970A9"/>
    <w:rsid w:val="40442E5C"/>
    <w:rsid w:val="404D19E3"/>
    <w:rsid w:val="407F19EA"/>
    <w:rsid w:val="409D0293"/>
    <w:rsid w:val="409F3FEA"/>
    <w:rsid w:val="40A43286"/>
    <w:rsid w:val="40AA575C"/>
    <w:rsid w:val="40AB23C9"/>
    <w:rsid w:val="40BB3548"/>
    <w:rsid w:val="40BB4E1B"/>
    <w:rsid w:val="40C00455"/>
    <w:rsid w:val="40C034E9"/>
    <w:rsid w:val="40E8106F"/>
    <w:rsid w:val="40F05854"/>
    <w:rsid w:val="40F534E0"/>
    <w:rsid w:val="40FD16DC"/>
    <w:rsid w:val="40FF65CA"/>
    <w:rsid w:val="411519BE"/>
    <w:rsid w:val="412532AA"/>
    <w:rsid w:val="41305F73"/>
    <w:rsid w:val="41380753"/>
    <w:rsid w:val="413D4A79"/>
    <w:rsid w:val="41465FC8"/>
    <w:rsid w:val="41585B81"/>
    <w:rsid w:val="415A0ADF"/>
    <w:rsid w:val="415E1B31"/>
    <w:rsid w:val="416B3891"/>
    <w:rsid w:val="416D2617"/>
    <w:rsid w:val="41731CFD"/>
    <w:rsid w:val="417D6B2C"/>
    <w:rsid w:val="417E53B0"/>
    <w:rsid w:val="41883195"/>
    <w:rsid w:val="41A11496"/>
    <w:rsid w:val="41D40C2D"/>
    <w:rsid w:val="41DF7674"/>
    <w:rsid w:val="41F714FD"/>
    <w:rsid w:val="42096245"/>
    <w:rsid w:val="42146B7B"/>
    <w:rsid w:val="4226687E"/>
    <w:rsid w:val="422B058C"/>
    <w:rsid w:val="426041E0"/>
    <w:rsid w:val="4288048F"/>
    <w:rsid w:val="4294373D"/>
    <w:rsid w:val="42946A25"/>
    <w:rsid w:val="42A77076"/>
    <w:rsid w:val="42AA41A6"/>
    <w:rsid w:val="42BD5934"/>
    <w:rsid w:val="42CE1F9A"/>
    <w:rsid w:val="42DD2357"/>
    <w:rsid w:val="42E378EA"/>
    <w:rsid w:val="42EC17C5"/>
    <w:rsid w:val="43090999"/>
    <w:rsid w:val="430E3EED"/>
    <w:rsid w:val="431B423D"/>
    <w:rsid w:val="431B4361"/>
    <w:rsid w:val="431D6275"/>
    <w:rsid w:val="43217641"/>
    <w:rsid w:val="432B1975"/>
    <w:rsid w:val="43477D8A"/>
    <w:rsid w:val="435158BC"/>
    <w:rsid w:val="435D368B"/>
    <w:rsid w:val="435D631C"/>
    <w:rsid w:val="43731B2F"/>
    <w:rsid w:val="43A710EC"/>
    <w:rsid w:val="43B8455A"/>
    <w:rsid w:val="43CF44D3"/>
    <w:rsid w:val="43D17A46"/>
    <w:rsid w:val="43DA01EC"/>
    <w:rsid w:val="43E72F86"/>
    <w:rsid w:val="43F74887"/>
    <w:rsid w:val="43FE2137"/>
    <w:rsid w:val="44003E36"/>
    <w:rsid w:val="44215C82"/>
    <w:rsid w:val="44216069"/>
    <w:rsid w:val="44305BBA"/>
    <w:rsid w:val="4435624A"/>
    <w:rsid w:val="444875B7"/>
    <w:rsid w:val="446A76C8"/>
    <w:rsid w:val="447B7426"/>
    <w:rsid w:val="447F42ED"/>
    <w:rsid w:val="449E617E"/>
    <w:rsid w:val="44A12CDA"/>
    <w:rsid w:val="44B16DF1"/>
    <w:rsid w:val="44B406F7"/>
    <w:rsid w:val="44B44CFB"/>
    <w:rsid w:val="44C126F2"/>
    <w:rsid w:val="44D101A3"/>
    <w:rsid w:val="44D8211A"/>
    <w:rsid w:val="44E11D12"/>
    <w:rsid w:val="44E74D70"/>
    <w:rsid w:val="44ED10CE"/>
    <w:rsid w:val="451134DD"/>
    <w:rsid w:val="45263CFA"/>
    <w:rsid w:val="452D3499"/>
    <w:rsid w:val="45476C96"/>
    <w:rsid w:val="454E63B1"/>
    <w:rsid w:val="455635D1"/>
    <w:rsid w:val="455723CE"/>
    <w:rsid w:val="45760A45"/>
    <w:rsid w:val="457A5299"/>
    <w:rsid w:val="457A56BB"/>
    <w:rsid w:val="457E3416"/>
    <w:rsid w:val="4588352A"/>
    <w:rsid w:val="458D6DD8"/>
    <w:rsid w:val="459109F4"/>
    <w:rsid w:val="45921A05"/>
    <w:rsid w:val="45976EFE"/>
    <w:rsid w:val="45B62896"/>
    <w:rsid w:val="45B75173"/>
    <w:rsid w:val="45B775A4"/>
    <w:rsid w:val="45BC20BA"/>
    <w:rsid w:val="45BD1FBC"/>
    <w:rsid w:val="45C72681"/>
    <w:rsid w:val="45C9503B"/>
    <w:rsid w:val="45CB5808"/>
    <w:rsid w:val="45CF6667"/>
    <w:rsid w:val="45DE6F05"/>
    <w:rsid w:val="45E73B78"/>
    <w:rsid w:val="46205C76"/>
    <w:rsid w:val="46225F8A"/>
    <w:rsid w:val="46243831"/>
    <w:rsid w:val="462B53C0"/>
    <w:rsid w:val="463C6DC2"/>
    <w:rsid w:val="46424D8A"/>
    <w:rsid w:val="46445FEE"/>
    <w:rsid w:val="46521E10"/>
    <w:rsid w:val="4660799F"/>
    <w:rsid w:val="4664205E"/>
    <w:rsid w:val="466A68DA"/>
    <w:rsid w:val="466B6068"/>
    <w:rsid w:val="466B67B6"/>
    <w:rsid w:val="46790CB6"/>
    <w:rsid w:val="468F05A2"/>
    <w:rsid w:val="468F4494"/>
    <w:rsid w:val="46A36F52"/>
    <w:rsid w:val="46B63E85"/>
    <w:rsid w:val="46B74038"/>
    <w:rsid w:val="46BB24AD"/>
    <w:rsid w:val="46F7142F"/>
    <w:rsid w:val="46F860E9"/>
    <w:rsid w:val="47043CD6"/>
    <w:rsid w:val="470D1525"/>
    <w:rsid w:val="4715552F"/>
    <w:rsid w:val="4719426E"/>
    <w:rsid w:val="472231A4"/>
    <w:rsid w:val="472D2E17"/>
    <w:rsid w:val="473B747B"/>
    <w:rsid w:val="47444C90"/>
    <w:rsid w:val="474835E3"/>
    <w:rsid w:val="4751797E"/>
    <w:rsid w:val="47547272"/>
    <w:rsid w:val="475E0161"/>
    <w:rsid w:val="476426E8"/>
    <w:rsid w:val="476C55A2"/>
    <w:rsid w:val="477015B5"/>
    <w:rsid w:val="47712DC1"/>
    <w:rsid w:val="47726B9D"/>
    <w:rsid w:val="479A2ACC"/>
    <w:rsid w:val="47AE6B40"/>
    <w:rsid w:val="47B20776"/>
    <w:rsid w:val="47B224EA"/>
    <w:rsid w:val="47CF01F6"/>
    <w:rsid w:val="47EC6BDD"/>
    <w:rsid w:val="47F44B89"/>
    <w:rsid w:val="47F6589D"/>
    <w:rsid w:val="480C04F6"/>
    <w:rsid w:val="48242C98"/>
    <w:rsid w:val="48277895"/>
    <w:rsid w:val="482E0AF1"/>
    <w:rsid w:val="483F0CB0"/>
    <w:rsid w:val="48636DA4"/>
    <w:rsid w:val="48652F19"/>
    <w:rsid w:val="4875742B"/>
    <w:rsid w:val="487F476B"/>
    <w:rsid w:val="489D1D0E"/>
    <w:rsid w:val="489E1AD2"/>
    <w:rsid w:val="48AA1C07"/>
    <w:rsid w:val="48AC0CEC"/>
    <w:rsid w:val="48AE76E2"/>
    <w:rsid w:val="48C83DC4"/>
    <w:rsid w:val="48D6431A"/>
    <w:rsid w:val="48DB0957"/>
    <w:rsid w:val="48DE25AB"/>
    <w:rsid w:val="48DF0E6B"/>
    <w:rsid w:val="48E43E8C"/>
    <w:rsid w:val="48ED73F7"/>
    <w:rsid w:val="48F40773"/>
    <w:rsid w:val="48F43409"/>
    <w:rsid w:val="49094029"/>
    <w:rsid w:val="491907A2"/>
    <w:rsid w:val="491A2D45"/>
    <w:rsid w:val="492571D2"/>
    <w:rsid w:val="49332C49"/>
    <w:rsid w:val="49334494"/>
    <w:rsid w:val="495507F4"/>
    <w:rsid w:val="495F6BCD"/>
    <w:rsid w:val="496170E9"/>
    <w:rsid w:val="49693CBF"/>
    <w:rsid w:val="49696074"/>
    <w:rsid w:val="497A1A45"/>
    <w:rsid w:val="4989655A"/>
    <w:rsid w:val="499C4175"/>
    <w:rsid w:val="49B72443"/>
    <w:rsid w:val="49C918F6"/>
    <w:rsid w:val="49CF7183"/>
    <w:rsid w:val="49F829C1"/>
    <w:rsid w:val="4A154D6E"/>
    <w:rsid w:val="4A1A00BE"/>
    <w:rsid w:val="4A1B0D47"/>
    <w:rsid w:val="4A1B668D"/>
    <w:rsid w:val="4A215A8B"/>
    <w:rsid w:val="4A2A133D"/>
    <w:rsid w:val="4A527036"/>
    <w:rsid w:val="4A533A5F"/>
    <w:rsid w:val="4A6D4D52"/>
    <w:rsid w:val="4A7C6152"/>
    <w:rsid w:val="4A7C66F4"/>
    <w:rsid w:val="4A864A1E"/>
    <w:rsid w:val="4A8B7CD1"/>
    <w:rsid w:val="4A907987"/>
    <w:rsid w:val="4A9549CB"/>
    <w:rsid w:val="4AAD4265"/>
    <w:rsid w:val="4AB45111"/>
    <w:rsid w:val="4AB51B19"/>
    <w:rsid w:val="4AB73080"/>
    <w:rsid w:val="4AD13110"/>
    <w:rsid w:val="4AD84510"/>
    <w:rsid w:val="4AEF6D40"/>
    <w:rsid w:val="4AFE38F0"/>
    <w:rsid w:val="4B0327C6"/>
    <w:rsid w:val="4B054B6A"/>
    <w:rsid w:val="4B0B2CAF"/>
    <w:rsid w:val="4B47309E"/>
    <w:rsid w:val="4B4D5052"/>
    <w:rsid w:val="4B5B4729"/>
    <w:rsid w:val="4B5C6083"/>
    <w:rsid w:val="4B6C6682"/>
    <w:rsid w:val="4B8207B7"/>
    <w:rsid w:val="4B871B8C"/>
    <w:rsid w:val="4B8B4FDA"/>
    <w:rsid w:val="4BA00DA0"/>
    <w:rsid w:val="4BC411C0"/>
    <w:rsid w:val="4BD6757B"/>
    <w:rsid w:val="4BF11F9C"/>
    <w:rsid w:val="4BF45471"/>
    <w:rsid w:val="4BF90C8A"/>
    <w:rsid w:val="4BFA7DD8"/>
    <w:rsid w:val="4BFE2089"/>
    <w:rsid w:val="4C0759BC"/>
    <w:rsid w:val="4C1764B9"/>
    <w:rsid w:val="4C2D0433"/>
    <w:rsid w:val="4C366B27"/>
    <w:rsid w:val="4C411F63"/>
    <w:rsid w:val="4C443C1D"/>
    <w:rsid w:val="4C461C95"/>
    <w:rsid w:val="4C5550A0"/>
    <w:rsid w:val="4C573346"/>
    <w:rsid w:val="4C784F99"/>
    <w:rsid w:val="4C7D4775"/>
    <w:rsid w:val="4C853ECF"/>
    <w:rsid w:val="4C920781"/>
    <w:rsid w:val="4C9B13D5"/>
    <w:rsid w:val="4C9D7D81"/>
    <w:rsid w:val="4CBB6E45"/>
    <w:rsid w:val="4CBF156E"/>
    <w:rsid w:val="4CD5093F"/>
    <w:rsid w:val="4CF655AF"/>
    <w:rsid w:val="4CFB1DA6"/>
    <w:rsid w:val="4D0F4FDC"/>
    <w:rsid w:val="4D1331BE"/>
    <w:rsid w:val="4D1A5453"/>
    <w:rsid w:val="4D2D4A55"/>
    <w:rsid w:val="4D323FCE"/>
    <w:rsid w:val="4D3B5D17"/>
    <w:rsid w:val="4D6F1B11"/>
    <w:rsid w:val="4D7E1F03"/>
    <w:rsid w:val="4D9B41AB"/>
    <w:rsid w:val="4D9D5288"/>
    <w:rsid w:val="4DA53F28"/>
    <w:rsid w:val="4DAE0862"/>
    <w:rsid w:val="4DB36F88"/>
    <w:rsid w:val="4DBA01B6"/>
    <w:rsid w:val="4DBD730F"/>
    <w:rsid w:val="4DC94A5D"/>
    <w:rsid w:val="4DD12FC8"/>
    <w:rsid w:val="4DDF01A5"/>
    <w:rsid w:val="4DEB1BDC"/>
    <w:rsid w:val="4DEE6881"/>
    <w:rsid w:val="4DFA21DB"/>
    <w:rsid w:val="4E0A1298"/>
    <w:rsid w:val="4E0E47B1"/>
    <w:rsid w:val="4E1943D3"/>
    <w:rsid w:val="4E1952D9"/>
    <w:rsid w:val="4E1C7875"/>
    <w:rsid w:val="4E2435B5"/>
    <w:rsid w:val="4E2A71F3"/>
    <w:rsid w:val="4E335D9E"/>
    <w:rsid w:val="4E3E7320"/>
    <w:rsid w:val="4E3F0E77"/>
    <w:rsid w:val="4E3F4FB5"/>
    <w:rsid w:val="4E444AD8"/>
    <w:rsid w:val="4E4752CB"/>
    <w:rsid w:val="4E57476D"/>
    <w:rsid w:val="4E5C36E5"/>
    <w:rsid w:val="4E6E7A73"/>
    <w:rsid w:val="4E756529"/>
    <w:rsid w:val="4E7D3EFC"/>
    <w:rsid w:val="4E8011B5"/>
    <w:rsid w:val="4E812762"/>
    <w:rsid w:val="4E824A53"/>
    <w:rsid w:val="4E9065C5"/>
    <w:rsid w:val="4E9638DC"/>
    <w:rsid w:val="4EA560D8"/>
    <w:rsid w:val="4EAA0C27"/>
    <w:rsid w:val="4EB7664B"/>
    <w:rsid w:val="4EC103FE"/>
    <w:rsid w:val="4ED37BF8"/>
    <w:rsid w:val="4F0B412E"/>
    <w:rsid w:val="4F2664C5"/>
    <w:rsid w:val="4F2A308B"/>
    <w:rsid w:val="4F2B18A9"/>
    <w:rsid w:val="4F2C130B"/>
    <w:rsid w:val="4F480AF8"/>
    <w:rsid w:val="4F4A629B"/>
    <w:rsid w:val="4F574F21"/>
    <w:rsid w:val="4F736EB5"/>
    <w:rsid w:val="4F762AE3"/>
    <w:rsid w:val="4F7B2712"/>
    <w:rsid w:val="4F835C08"/>
    <w:rsid w:val="4F856E26"/>
    <w:rsid w:val="4F8B2BDA"/>
    <w:rsid w:val="4FA03AE4"/>
    <w:rsid w:val="4FA42B08"/>
    <w:rsid w:val="4FB003DA"/>
    <w:rsid w:val="4FB84C92"/>
    <w:rsid w:val="4FBB25EF"/>
    <w:rsid w:val="4FBD0615"/>
    <w:rsid w:val="4FC74511"/>
    <w:rsid w:val="4FD03A76"/>
    <w:rsid w:val="4FDE23E2"/>
    <w:rsid w:val="4FF40C0C"/>
    <w:rsid w:val="500572CF"/>
    <w:rsid w:val="500C7C07"/>
    <w:rsid w:val="500C7F61"/>
    <w:rsid w:val="500E0695"/>
    <w:rsid w:val="502D35F8"/>
    <w:rsid w:val="502D4E79"/>
    <w:rsid w:val="504D48EB"/>
    <w:rsid w:val="5050362F"/>
    <w:rsid w:val="50516936"/>
    <w:rsid w:val="505D19B3"/>
    <w:rsid w:val="5060569F"/>
    <w:rsid w:val="506177CB"/>
    <w:rsid w:val="507537B4"/>
    <w:rsid w:val="50822D4B"/>
    <w:rsid w:val="50831075"/>
    <w:rsid w:val="508D1ABF"/>
    <w:rsid w:val="508D1F6C"/>
    <w:rsid w:val="509B550B"/>
    <w:rsid w:val="50B74320"/>
    <w:rsid w:val="50EA1682"/>
    <w:rsid w:val="50EB790F"/>
    <w:rsid w:val="5109692F"/>
    <w:rsid w:val="51134FF1"/>
    <w:rsid w:val="511734F5"/>
    <w:rsid w:val="511A6B4E"/>
    <w:rsid w:val="515900C3"/>
    <w:rsid w:val="515E21E2"/>
    <w:rsid w:val="51694C99"/>
    <w:rsid w:val="51765ED6"/>
    <w:rsid w:val="517D3193"/>
    <w:rsid w:val="51895B58"/>
    <w:rsid w:val="51976BBD"/>
    <w:rsid w:val="519B42B6"/>
    <w:rsid w:val="51A94FAF"/>
    <w:rsid w:val="51AA45E6"/>
    <w:rsid w:val="51B06BB0"/>
    <w:rsid w:val="51B35153"/>
    <w:rsid w:val="51B960DF"/>
    <w:rsid w:val="51BA5215"/>
    <w:rsid w:val="51C83469"/>
    <w:rsid w:val="51CC2572"/>
    <w:rsid w:val="51F7641D"/>
    <w:rsid w:val="523227C6"/>
    <w:rsid w:val="5243500C"/>
    <w:rsid w:val="525E64A2"/>
    <w:rsid w:val="52766942"/>
    <w:rsid w:val="527A3337"/>
    <w:rsid w:val="52870F1B"/>
    <w:rsid w:val="52955B33"/>
    <w:rsid w:val="5295708B"/>
    <w:rsid w:val="529E05A8"/>
    <w:rsid w:val="52A34C1C"/>
    <w:rsid w:val="52A71D2E"/>
    <w:rsid w:val="52CB2C66"/>
    <w:rsid w:val="52E60507"/>
    <w:rsid w:val="5307218F"/>
    <w:rsid w:val="530D5C51"/>
    <w:rsid w:val="530F77CB"/>
    <w:rsid w:val="53366588"/>
    <w:rsid w:val="53477523"/>
    <w:rsid w:val="537068FD"/>
    <w:rsid w:val="53772DF3"/>
    <w:rsid w:val="53773330"/>
    <w:rsid w:val="537B58DB"/>
    <w:rsid w:val="53806DA0"/>
    <w:rsid w:val="53842D58"/>
    <w:rsid w:val="53C51223"/>
    <w:rsid w:val="53C70CE0"/>
    <w:rsid w:val="53D975FE"/>
    <w:rsid w:val="53E97C3F"/>
    <w:rsid w:val="53EF128C"/>
    <w:rsid w:val="53FE3ED8"/>
    <w:rsid w:val="542515FA"/>
    <w:rsid w:val="54291F5D"/>
    <w:rsid w:val="54507947"/>
    <w:rsid w:val="5455791B"/>
    <w:rsid w:val="54626680"/>
    <w:rsid w:val="546E5B6B"/>
    <w:rsid w:val="546F428E"/>
    <w:rsid w:val="54737B83"/>
    <w:rsid w:val="54746421"/>
    <w:rsid w:val="547678FE"/>
    <w:rsid w:val="548F0B4E"/>
    <w:rsid w:val="54AC055B"/>
    <w:rsid w:val="54BA230C"/>
    <w:rsid w:val="54CF3CBA"/>
    <w:rsid w:val="54D4224E"/>
    <w:rsid w:val="54E079B3"/>
    <w:rsid w:val="54F93A8A"/>
    <w:rsid w:val="54FF4DC0"/>
    <w:rsid w:val="55083814"/>
    <w:rsid w:val="550841F9"/>
    <w:rsid w:val="550B200F"/>
    <w:rsid w:val="552D28FC"/>
    <w:rsid w:val="553B028C"/>
    <w:rsid w:val="553D10EB"/>
    <w:rsid w:val="554B67CF"/>
    <w:rsid w:val="55561A0A"/>
    <w:rsid w:val="555834D6"/>
    <w:rsid w:val="556B105B"/>
    <w:rsid w:val="557B767C"/>
    <w:rsid w:val="557D56A4"/>
    <w:rsid w:val="558B0EC4"/>
    <w:rsid w:val="55AB1667"/>
    <w:rsid w:val="55D43ED1"/>
    <w:rsid w:val="55E33570"/>
    <w:rsid w:val="55E772EC"/>
    <w:rsid w:val="55EB0093"/>
    <w:rsid w:val="560F15A0"/>
    <w:rsid w:val="561F2FA4"/>
    <w:rsid w:val="565E3DB3"/>
    <w:rsid w:val="566677FF"/>
    <w:rsid w:val="566A31A2"/>
    <w:rsid w:val="566C3B73"/>
    <w:rsid w:val="567216B7"/>
    <w:rsid w:val="5678104D"/>
    <w:rsid w:val="56980EFA"/>
    <w:rsid w:val="56A057BD"/>
    <w:rsid w:val="56BC478D"/>
    <w:rsid w:val="56BD39C0"/>
    <w:rsid w:val="56CE4AD7"/>
    <w:rsid w:val="56D8443A"/>
    <w:rsid w:val="56E04515"/>
    <w:rsid w:val="56F73FA5"/>
    <w:rsid w:val="56FE29DB"/>
    <w:rsid w:val="57131C90"/>
    <w:rsid w:val="57161CE9"/>
    <w:rsid w:val="57233025"/>
    <w:rsid w:val="572C0895"/>
    <w:rsid w:val="572C1D0F"/>
    <w:rsid w:val="57345F1A"/>
    <w:rsid w:val="573667EE"/>
    <w:rsid w:val="573D2468"/>
    <w:rsid w:val="575262F4"/>
    <w:rsid w:val="575906B0"/>
    <w:rsid w:val="575952DA"/>
    <w:rsid w:val="575C3DBD"/>
    <w:rsid w:val="575D72D8"/>
    <w:rsid w:val="575F73B8"/>
    <w:rsid w:val="57686C8A"/>
    <w:rsid w:val="57715B28"/>
    <w:rsid w:val="577D0761"/>
    <w:rsid w:val="577F24C2"/>
    <w:rsid w:val="57814EED"/>
    <w:rsid w:val="5787168B"/>
    <w:rsid w:val="578E351F"/>
    <w:rsid w:val="578F5AA1"/>
    <w:rsid w:val="5791474D"/>
    <w:rsid w:val="579F6187"/>
    <w:rsid w:val="57A148DE"/>
    <w:rsid w:val="57A321D8"/>
    <w:rsid w:val="57A91AD8"/>
    <w:rsid w:val="57AE549A"/>
    <w:rsid w:val="57AE5A0A"/>
    <w:rsid w:val="57AE698C"/>
    <w:rsid w:val="57C76914"/>
    <w:rsid w:val="57C961A6"/>
    <w:rsid w:val="57F33ADD"/>
    <w:rsid w:val="57F442D8"/>
    <w:rsid w:val="57F515C0"/>
    <w:rsid w:val="58052683"/>
    <w:rsid w:val="58207ADF"/>
    <w:rsid w:val="58236909"/>
    <w:rsid w:val="58277B25"/>
    <w:rsid w:val="583F611D"/>
    <w:rsid w:val="58741C7B"/>
    <w:rsid w:val="588102E0"/>
    <w:rsid w:val="5892105F"/>
    <w:rsid w:val="589A6EED"/>
    <w:rsid w:val="58A10814"/>
    <w:rsid w:val="58AF72BE"/>
    <w:rsid w:val="58BB045B"/>
    <w:rsid w:val="58BC739B"/>
    <w:rsid w:val="58E46C5F"/>
    <w:rsid w:val="58F0512B"/>
    <w:rsid w:val="58F34DEE"/>
    <w:rsid w:val="5907190E"/>
    <w:rsid w:val="5909312A"/>
    <w:rsid w:val="590C46F5"/>
    <w:rsid w:val="59160468"/>
    <w:rsid w:val="593605A4"/>
    <w:rsid w:val="593B0A7C"/>
    <w:rsid w:val="59496717"/>
    <w:rsid w:val="59585546"/>
    <w:rsid w:val="596F4893"/>
    <w:rsid w:val="59760363"/>
    <w:rsid w:val="597A3254"/>
    <w:rsid w:val="59A16D65"/>
    <w:rsid w:val="59A557B0"/>
    <w:rsid w:val="59B26314"/>
    <w:rsid w:val="59C25606"/>
    <w:rsid w:val="59EA24F4"/>
    <w:rsid w:val="59F66FCC"/>
    <w:rsid w:val="5A0F0891"/>
    <w:rsid w:val="5A277941"/>
    <w:rsid w:val="5A2B4D8B"/>
    <w:rsid w:val="5A440600"/>
    <w:rsid w:val="5A44578C"/>
    <w:rsid w:val="5A4F05F4"/>
    <w:rsid w:val="5A57607D"/>
    <w:rsid w:val="5A5B6C38"/>
    <w:rsid w:val="5A603EA1"/>
    <w:rsid w:val="5A6742B8"/>
    <w:rsid w:val="5A763DC4"/>
    <w:rsid w:val="5A7A69E7"/>
    <w:rsid w:val="5A876CBE"/>
    <w:rsid w:val="5A920FA8"/>
    <w:rsid w:val="5A926BAB"/>
    <w:rsid w:val="5A953CA8"/>
    <w:rsid w:val="5AA75ACA"/>
    <w:rsid w:val="5AA92C7E"/>
    <w:rsid w:val="5ACD57CD"/>
    <w:rsid w:val="5ACF2A3C"/>
    <w:rsid w:val="5AE71287"/>
    <w:rsid w:val="5AEA25E6"/>
    <w:rsid w:val="5AEE3DE9"/>
    <w:rsid w:val="5AEE6532"/>
    <w:rsid w:val="5B0C3C62"/>
    <w:rsid w:val="5B14558A"/>
    <w:rsid w:val="5B3C0ABF"/>
    <w:rsid w:val="5B432563"/>
    <w:rsid w:val="5B4E005F"/>
    <w:rsid w:val="5B58691B"/>
    <w:rsid w:val="5B5E7175"/>
    <w:rsid w:val="5B61055E"/>
    <w:rsid w:val="5B8C74FF"/>
    <w:rsid w:val="5B9F5DBE"/>
    <w:rsid w:val="5BBC7770"/>
    <w:rsid w:val="5BC327A1"/>
    <w:rsid w:val="5BCF73FD"/>
    <w:rsid w:val="5BDF67CB"/>
    <w:rsid w:val="5C0F20F7"/>
    <w:rsid w:val="5C1368B3"/>
    <w:rsid w:val="5C1C5861"/>
    <w:rsid w:val="5C25169C"/>
    <w:rsid w:val="5C2C28A8"/>
    <w:rsid w:val="5C4D66CC"/>
    <w:rsid w:val="5C554FE4"/>
    <w:rsid w:val="5C652610"/>
    <w:rsid w:val="5C6E2C97"/>
    <w:rsid w:val="5C9B57A1"/>
    <w:rsid w:val="5CB04DA7"/>
    <w:rsid w:val="5CB331A1"/>
    <w:rsid w:val="5CC25B3F"/>
    <w:rsid w:val="5CDB2F49"/>
    <w:rsid w:val="5CE56340"/>
    <w:rsid w:val="5CF15E07"/>
    <w:rsid w:val="5CFD3334"/>
    <w:rsid w:val="5CFD5E03"/>
    <w:rsid w:val="5D024210"/>
    <w:rsid w:val="5D1610E5"/>
    <w:rsid w:val="5D1E43B1"/>
    <w:rsid w:val="5D285F06"/>
    <w:rsid w:val="5D2C7F79"/>
    <w:rsid w:val="5D3C01EC"/>
    <w:rsid w:val="5D4E27B8"/>
    <w:rsid w:val="5D4E503C"/>
    <w:rsid w:val="5D5618FB"/>
    <w:rsid w:val="5D7F230C"/>
    <w:rsid w:val="5D841899"/>
    <w:rsid w:val="5D9D6107"/>
    <w:rsid w:val="5DA344BD"/>
    <w:rsid w:val="5DA648F4"/>
    <w:rsid w:val="5DB269C5"/>
    <w:rsid w:val="5DC55312"/>
    <w:rsid w:val="5DCF17A7"/>
    <w:rsid w:val="5DDD6E1B"/>
    <w:rsid w:val="5DEE37E1"/>
    <w:rsid w:val="5DEF3C61"/>
    <w:rsid w:val="5DFB5441"/>
    <w:rsid w:val="5E1A011C"/>
    <w:rsid w:val="5E231915"/>
    <w:rsid w:val="5E2E263F"/>
    <w:rsid w:val="5E314CA3"/>
    <w:rsid w:val="5E473E2B"/>
    <w:rsid w:val="5E4E362E"/>
    <w:rsid w:val="5E4F4705"/>
    <w:rsid w:val="5E5E6979"/>
    <w:rsid w:val="5E634E8C"/>
    <w:rsid w:val="5E6737F7"/>
    <w:rsid w:val="5E6C5149"/>
    <w:rsid w:val="5E860710"/>
    <w:rsid w:val="5E8716EA"/>
    <w:rsid w:val="5E872DA8"/>
    <w:rsid w:val="5E8F7EF9"/>
    <w:rsid w:val="5EA7453C"/>
    <w:rsid w:val="5EBD6A5F"/>
    <w:rsid w:val="5EBD7F90"/>
    <w:rsid w:val="5EFB01B0"/>
    <w:rsid w:val="5F082AF3"/>
    <w:rsid w:val="5F093102"/>
    <w:rsid w:val="5F233AEF"/>
    <w:rsid w:val="5F324950"/>
    <w:rsid w:val="5F393465"/>
    <w:rsid w:val="5F437CD0"/>
    <w:rsid w:val="5F454D59"/>
    <w:rsid w:val="5F5105CE"/>
    <w:rsid w:val="5F77100B"/>
    <w:rsid w:val="5F791BE7"/>
    <w:rsid w:val="5F8B4BF8"/>
    <w:rsid w:val="5F936274"/>
    <w:rsid w:val="5F955A34"/>
    <w:rsid w:val="5F996D6B"/>
    <w:rsid w:val="5FAB0817"/>
    <w:rsid w:val="5FAD16DE"/>
    <w:rsid w:val="5FBC2E55"/>
    <w:rsid w:val="5FBC6276"/>
    <w:rsid w:val="5FC344E2"/>
    <w:rsid w:val="5FC37FED"/>
    <w:rsid w:val="5FDD1E49"/>
    <w:rsid w:val="5FE53E1B"/>
    <w:rsid w:val="5FF35CD6"/>
    <w:rsid w:val="5FF76655"/>
    <w:rsid w:val="600747A3"/>
    <w:rsid w:val="60091233"/>
    <w:rsid w:val="6009184F"/>
    <w:rsid w:val="60127746"/>
    <w:rsid w:val="601C0C74"/>
    <w:rsid w:val="601E7DC7"/>
    <w:rsid w:val="603A6C4E"/>
    <w:rsid w:val="603B75C3"/>
    <w:rsid w:val="6043091E"/>
    <w:rsid w:val="60480A4C"/>
    <w:rsid w:val="604D16A4"/>
    <w:rsid w:val="606730C1"/>
    <w:rsid w:val="60910A76"/>
    <w:rsid w:val="60924859"/>
    <w:rsid w:val="60A526A8"/>
    <w:rsid w:val="60A562A3"/>
    <w:rsid w:val="60AB5B56"/>
    <w:rsid w:val="60AF790C"/>
    <w:rsid w:val="60B779A8"/>
    <w:rsid w:val="60C831F4"/>
    <w:rsid w:val="60DA5C59"/>
    <w:rsid w:val="60DB4D7D"/>
    <w:rsid w:val="60FF45EF"/>
    <w:rsid w:val="61090DC1"/>
    <w:rsid w:val="610D46BD"/>
    <w:rsid w:val="611267E4"/>
    <w:rsid w:val="6119753D"/>
    <w:rsid w:val="61204775"/>
    <w:rsid w:val="61286AAD"/>
    <w:rsid w:val="61313EBC"/>
    <w:rsid w:val="61337AFD"/>
    <w:rsid w:val="613442FF"/>
    <w:rsid w:val="613822EB"/>
    <w:rsid w:val="6139218F"/>
    <w:rsid w:val="614C05AA"/>
    <w:rsid w:val="61580810"/>
    <w:rsid w:val="61767EA4"/>
    <w:rsid w:val="61787C40"/>
    <w:rsid w:val="61882FBB"/>
    <w:rsid w:val="618A58A7"/>
    <w:rsid w:val="618D4564"/>
    <w:rsid w:val="619204E3"/>
    <w:rsid w:val="61937468"/>
    <w:rsid w:val="619D0AAF"/>
    <w:rsid w:val="61AA6B9E"/>
    <w:rsid w:val="61B44472"/>
    <w:rsid w:val="61B8608C"/>
    <w:rsid w:val="61BD3ED0"/>
    <w:rsid w:val="61D411F3"/>
    <w:rsid w:val="61E55B51"/>
    <w:rsid w:val="61E6404C"/>
    <w:rsid w:val="61E873B8"/>
    <w:rsid w:val="61EC4C74"/>
    <w:rsid w:val="61FC40A6"/>
    <w:rsid w:val="62000EFA"/>
    <w:rsid w:val="620F4D53"/>
    <w:rsid w:val="621057B3"/>
    <w:rsid w:val="62134383"/>
    <w:rsid w:val="621513B2"/>
    <w:rsid w:val="62156DDB"/>
    <w:rsid w:val="6217031D"/>
    <w:rsid w:val="62331E6C"/>
    <w:rsid w:val="623D7CE4"/>
    <w:rsid w:val="62467568"/>
    <w:rsid w:val="62501EA0"/>
    <w:rsid w:val="625F1D02"/>
    <w:rsid w:val="6262026E"/>
    <w:rsid w:val="62662A38"/>
    <w:rsid w:val="62761878"/>
    <w:rsid w:val="6278504E"/>
    <w:rsid w:val="627C659E"/>
    <w:rsid w:val="628721B5"/>
    <w:rsid w:val="628B688F"/>
    <w:rsid w:val="629A65D4"/>
    <w:rsid w:val="62A621CE"/>
    <w:rsid w:val="62BA6FBB"/>
    <w:rsid w:val="62D37D4A"/>
    <w:rsid w:val="62E2630E"/>
    <w:rsid w:val="62F4664A"/>
    <w:rsid w:val="62F85057"/>
    <w:rsid w:val="62FA262E"/>
    <w:rsid w:val="62FA297A"/>
    <w:rsid w:val="62FA7805"/>
    <w:rsid w:val="62FB6C99"/>
    <w:rsid w:val="62FE02AD"/>
    <w:rsid w:val="63265FFC"/>
    <w:rsid w:val="632E494D"/>
    <w:rsid w:val="6334245F"/>
    <w:rsid w:val="634B5A85"/>
    <w:rsid w:val="63522F87"/>
    <w:rsid w:val="635B7C9E"/>
    <w:rsid w:val="6365336E"/>
    <w:rsid w:val="637667B6"/>
    <w:rsid w:val="63817EB2"/>
    <w:rsid w:val="638A4608"/>
    <w:rsid w:val="638A60C5"/>
    <w:rsid w:val="6392725E"/>
    <w:rsid w:val="63A63954"/>
    <w:rsid w:val="63A826DC"/>
    <w:rsid w:val="63AB4BBD"/>
    <w:rsid w:val="63BA62C8"/>
    <w:rsid w:val="63CA0FEC"/>
    <w:rsid w:val="63D32595"/>
    <w:rsid w:val="63D37B19"/>
    <w:rsid w:val="63E12A82"/>
    <w:rsid w:val="63E37587"/>
    <w:rsid w:val="63E76842"/>
    <w:rsid w:val="63EE2B01"/>
    <w:rsid w:val="63FF4117"/>
    <w:rsid w:val="642A77F6"/>
    <w:rsid w:val="64351970"/>
    <w:rsid w:val="64414CB3"/>
    <w:rsid w:val="64465CCB"/>
    <w:rsid w:val="64490A76"/>
    <w:rsid w:val="644D4739"/>
    <w:rsid w:val="644E0701"/>
    <w:rsid w:val="645B6400"/>
    <w:rsid w:val="64693E07"/>
    <w:rsid w:val="64727B57"/>
    <w:rsid w:val="64945019"/>
    <w:rsid w:val="64964F85"/>
    <w:rsid w:val="64A200D2"/>
    <w:rsid w:val="64C31649"/>
    <w:rsid w:val="64C774FB"/>
    <w:rsid w:val="64D27385"/>
    <w:rsid w:val="64D70E77"/>
    <w:rsid w:val="64E108F7"/>
    <w:rsid w:val="64E4430E"/>
    <w:rsid w:val="64E51E17"/>
    <w:rsid w:val="64F5116B"/>
    <w:rsid w:val="64F63B6A"/>
    <w:rsid w:val="64FB485A"/>
    <w:rsid w:val="6501434F"/>
    <w:rsid w:val="6509767F"/>
    <w:rsid w:val="65176B78"/>
    <w:rsid w:val="6552510A"/>
    <w:rsid w:val="655345F8"/>
    <w:rsid w:val="65614C68"/>
    <w:rsid w:val="656E7B61"/>
    <w:rsid w:val="6574089B"/>
    <w:rsid w:val="65921CC9"/>
    <w:rsid w:val="659249F3"/>
    <w:rsid w:val="65941128"/>
    <w:rsid w:val="65A42D5D"/>
    <w:rsid w:val="65D50B3A"/>
    <w:rsid w:val="65DD0DB0"/>
    <w:rsid w:val="65E309BA"/>
    <w:rsid w:val="65E5064A"/>
    <w:rsid w:val="65E92BD3"/>
    <w:rsid w:val="65F84280"/>
    <w:rsid w:val="65F90CC0"/>
    <w:rsid w:val="66054DA2"/>
    <w:rsid w:val="660821AD"/>
    <w:rsid w:val="66086DC4"/>
    <w:rsid w:val="660D5E07"/>
    <w:rsid w:val="66363795"/>
    <w:rsid w:val="6641669D"/>
    <w:rsid w:val="664A412A"/>
    <w:rsid w:val="664F05D4"/>
    <w:rsid w:val="6651027F"/>
    <w:rsid w:val="66595958"/>
    <w:rsid w:val="66680388"/>
    <w:rsid w:val="66743C40"/>
    <w:rsid w:val="667851A8"/>
    <w:rsid w:val="66865B8F"/>
    <w:rsid w:val="668673D7"/>
    <w:rsid w:val="66882C3A"/>
    <w:rsid w:val="669725E5"/>
    <w:rsid w:val="669F27A2"/>
    <w:rsid w:val="66C764F3"/>
    <w:rsid w:val="66CB53B8"/>
    <w:rsid w:val="66FC5136"/>
    <w:rsid w:val="670855CA"/>
    <w:rsid w:val="670901AC"/>
    <w:rsid w:val="670E0A26"/>
    <w:rsid w:val="67182B4E"/>
    <w:rsid w:val="673368A4"/>
    <w:rsid w:val="673945BE"/>
    <w:rsid w:val="673A3B0C"/>
    <w:rsid w:val="673B7A98"/>
    <w:rsid w:val="675F072A"/>
    <w:rsid w:val="67614492"/>
    <w:rsid w:val="676A30F0"/>
    <w:rsid w:val="677906BC"/>
    <w:rsid w:val="677B3BB8"/>
    <w:rsid w:val="67862556"/>
    <w:rsid w:val="67921A29"/>
    <w:rsid w:val="67CE499C"/>
    <w:rsid w:val="68120826"/>
    <w:rsid w:val="68143178"/>
    <w:rsid w:val="68191CEE"/>
    <w:rsid w:val="681C4219"/>
    <w:rsid w:val="6830403E"/>
    <w:rsid w:val="6838512B"/>
    <w:rsid w:val="68494C73"/>
    <w:rsid w:val="68662D72"/>
    <w:rsid w:val="686F54F7"/>
    <w:rsid w:val="68703A89"/>
    <w:rsid w:val="68736734"/>
    <w:rsid w:val="687A0832"/>
    <w:rsid w:val="68886988"/>
    <w:rsid w:val="688E68BE"/>
    <w:rsid w:val="68A92F07"/>
    <w:rsid w:val="68AB7900"/>
    <w:rsid w:val="68B825F5"/>
    <w:rsid w:val="68BE568E"/>
    <w:rsid w:val="68D40505"/>
    <w:rsid w:val="68E3675F"/>
    <w:rsid w:val="68EF35D7"/>
    <w:rsid w:val="68F901AD"/>
    <w:rsid w:val="69296E90"/>
    <w:rsid w:val="69410B2F"/>
    <w:rsid w:val="694E761A"/>
    <w:rsid w:val="69596F9E"/>
    <w:rsid w:val="695D5033"/>
    <w:rsid w:val="696B483B"/>
    <w:rsid w:val="696E6CD6"/>
    <w:rsid w:val="698060B5"/>
    <w:rsid w:val="69810522"/>
    <w:rsid w:val="69855794"/>
    <w:rsid w:val="699A135A"/>
    <w:rsid w:val="699E6028"/>
    <w:rsid w:val="69A436E2"/>
    <w:rsid w:val="69C42502"/>
    <w:rsid w:val="69D55F6C"/>
    <w:rsid w:val="69D9209B"/>
    <w:rsid w:val="69E3448F"/>
    <w:rsid w:val="69F26749"/>
    <w:rsid w:val="69FF2EAC"/>
    <w:rsid w:val="6A0A7C37"/>
    <w:rsid w:val="6A18300E"/>
    <w:rsid w:val="6A1914E1"/>
    <w:rsid w:val="6A1A0B0D"/>
    <w:rsid w:val="6A1D5557"/>
    <w:rsid w:val="6A290E39"/>
    <w:rsid w:val="6A410F3E"/>
    <w:rsid w:val="6A622155"/>
    <w:rsid w:val="6A683E40"/>
    <w:rsid w:val="6A7C687C"/>
    <w:rsid w:val="6A81438B"/>
    <w:rsid w:val="6A837A50"/>
    <w:rsid w:val="6A8F6CF6"/>
    <w:rsid w:val="6A9B7513"/>
    <w:rsid w:val="6AA676AB"/>
    <w:rsid w:val="6AB61964"/>
    <w:rsid w:val="6AE0238F"/>
    <w:rsid w:val="6AEB7D56"/>
    <w:rsid w:val="6AEE4AA1"/>
    <w:rsid w:val="6AF528C8"/>
    <w:rsid w:val="6B022560"/>
    <w:rsid w:val="6B166CD1"/>
    <w:rsid w:val="6B1C3291"/>
    <w:rsid w:val="6B247DDB"/>
    <w:rsid w:val="6B3C171C"/>
    <w:rsid w:val="6B4362DF"/>
    <w:rsid w:val="6B4A4137"/>
    <w:rsid w:val="6B4A4702"/>
    <w:rsid w:val="6B50030B"/>
    <w:rsid w:val="6B504EF3"/>
    <w:rsid w:val="6B531325"/>
    <w:rsid w:val="6B546F14"/>
    <w:rsid w:val="6B5C2455"/>
    <w:rsid w:val="6B604690"/>
    <w:rsid w:val="6B662A89"/>
    <w:rsid w:val="6B7F320A"/>
    <w:rsid w:val="6B816D1B"/>
    <w:rsid w:val="6B821DD1"/>
    <w:rsid w:val="6B886ACB"/>
    <w:rsid w:val="6B99149D"/>
    <w:rsid w:val="6B9E618F"/>
    <w:rsid w:val="6BC70F58"/>
    <w:rsid w:val="6BD356DA"/>
    <w:rsid w:val="6BFD2F22"/>
    <w:rsid w:val="6BFD4879"/>
    <w:rsid w:val="6C085419"/>
    <w:rsid w:val="6C2E4DB2"/>
    <w:rsid w:val="6C307D28"/>
    <w:rsid w:val="6C31397A"/>
    <w:rsid w:val="6C353285"/>
    <w:rsid w:val="6C4775B2"/>
    <w:rsid w:val="6C4F3A3C"/>
    <w:rsid w:val="6C6F424F"/>
    <w:rsid w:val="6C733D3D"/>
    <w:rsid w:val="6C7635B9"/>
    <w:rsid w:val="6C897464"/>
    <w:rsid w:val="6C994030"/>
    <w:rsid w:val="6CA40752"/>
    <w:rsid w:val="6CC6045D"/>
    <w:rsid w:val="6CCF41D4"/>
    <w:rsid w:val="6CCF7352"/>
    <w:rsid w:val="6D1E0AEF"/>
    <w:rsid w:val="6D26511D"/>
    <w:rsid w:val="6D2E2793"/>
    <w:rsid w:val="6D330EFF"/>
    <w:rsid w:val="6D33231B"/>
    <w:rsid w:val="6D535020"/>
    <w:rsid w:val="6D5F6DC8"/>
    <w:rsid w:val="6D6B753F"/>
    <w:rsid w:val="6D912CFE"/>
    <w:rsid w:val="6D926710"/>
    <w:rsid w:val="6DA24504"/>
    <w:rsid w:val="6DA80C31"/>
    <w:rsid w:val="6DAE5EBE"/>
    <w:rsid w:val="6DBB21F2"/>
    <w:rsid w:val="6DC44E36"/>
    <w:rsid w:val="6DD23840"/>
    <w:rsid w:val="6DD47517"/>
    <w:rsid w:val="6DD512ED"/>
    <w:rsid w:val="6DF82737"/>
    <w:rsid w:val="6E3E0D3C"/>
    <w:rsid w:val="6E4362FC"/>
    <w:rsid w:val="6E4C15D8"/>
    <w:rsid w:val="6E5F2C6D"/>
    <w:rsid w:val="6E61463C"/>
    <w:rsid w:val="6E6D64F0"/>
    <w:rsid w:val="6E793AB8"/>
    <w:rsid w:val="6E9F295B"/>
    <w:rsid w:val="6EA37EE9"/>
    <w:rsid w:val="6EAA36A7"/>
    <w:rsid w:val="6EAA7659"/>
    <w:rsid w:val="6EB24F70"/>
    <w:rsid w:val="6ECC5BE4"/>
    <w:rsid w:val="6ED25178"/>
    <w:rsid w:val="6ED54693"/>
    <w:rsid w:val="6EE7024D"/>
    <w:rsid w:val="6EEB6BAB"/>
    <w:rsid w:val="6EED4691"/>
    <w:rsid w:val="6EFB6BC6"/>
    <w:rsid w:val="6EFE0309"/>
    <w:rsid w:val="6F02395E"/>
    <w:rsid w:val="6F0E6C06"/>
    <w:rsid w:val="6F0F1BC7"/>
    <w:rsid w:val="6F131AF7"/>
    <w:rsid w:val="6F1B215E"/>
    <w:rsid w:val="6F202F41"/>
    <w:rsid w:val="6F224150"/>
    <w:rsid w:val="6F2F5CAC"/>
    <w:rsid w:val="6F3E28EB"/>
    <w:rsid w:val="6F433D24"/>
    <w:rsid w:val="6F4A418F"/>
    <w:rsid w:val="6F61159C"/>
    <w:rsid w:val="6F741428"/>
    <w:rsid w:val="6F764476"/>
    <w:rsid w:val="6F77567F"/>
    <w:rsid w:val="6F7C2B68"/>
    <w:rsid w:val="6F7D3647"/>
    <w:rsid w:val="6F7E5639"/>
    <w:rsid w:val="6F8153D5"/>
    <w:rsid w:val="6F834759"/>
    <w:rsid w:val="6F8C4DB9"/>
    <w:rsid w:val="6F8D1193"/>
    <w:rsid w:val="6F9A54FE"/>
    <w:rsid w:val="6F9F709B"/>
    <w:rsid w:val="6FA420E7"/>
    <w:rsid w:val="6FBB4E5C"/>
    <w:rsid w:val="6FE535B7"/>
    <w:rsid w:val="6FF23F3A"/>
    <w:rsid w:val="6FF7031F"/>
    <w:rsid w:val="6FFD3769"/>
    <w:rsid w:val="6FFE5C40"/>
    <w:rsid w:val="70065186"/>
    <w:rsid w:val="700779BA"/>
    <w:rsid w:val="701B627A"/>
    <w:rsid w:val="701E425E"/>
    <w:rsid w:val="70307113"/>
    <w:rsid w:val="70344DC9"/>
    <w:rsid w:val="703534E1"/>
    <w:rsid w:val="703A4681"/>
    <w:rsid w:val="70633451"/>
    <w:rsid w:val="707178DB"/>
    <w:rsid w:val="70890A7A"/>
    <w:rsid w:val="70A40957"/>
    <w:rsid w:val="70A87FE7"/>
    <w:rsid w:val="70A95865"/>
    <w:rsid w:val="70B05D9A"/>
    <w:rsid w:val="70B51446"/>
    <w:rsid w:val="70D22C67"/>
    <w:rsid w:val="70D82AED"/>
    <w:rsid w:val="70E54E73"/>
    <w:rsid w:val="70E9466C"/>
    <w:rsid w:val="70FC350F"/>
    <w:rsid w:val="70FE2B8F"/>
    <w:rsid w:val="71013EEA"/>
    <w:rsid w:val="71157051"/>
    <w:rsid w:val="711B7489"/>
    <w:rsid w:val="71215709"/>
    <w:rsid w:val="712835BB"/>
    <w:rsid w:val="71436554"/>
    <w:rsid w:val="714C3681"/>
    <w:rsid w:val="717F325B"/>
    <w:rsid w:val="7180098A"/>
    <w:rsid w:val="7182183A"/>
    <w:rsid w:val="71952CF0"/>
    <w:rsid w:val="7197059F"/>
    <w:rsid w:val="71A8173F"/>
    <w:rsid w:val="71B11D56"/>
    <w:rsid w:val="71C2657D"/>
    <w:rsid w:val="71C85D97"/>
    <w:rsid w:val="71CD32A7"/>
    <w:rsid w:val="71D01F2E"/>
    <w:rsid w:val="71FC6FDA"/>
    <w:rsid w:val="71FE77E7"/>
    <w:rsid w:val="722B2AC5"/>
    <w:rsid w:val="722D7C29"/>
    <w:rsid w:val="723C30FC"/>
    <w:rsid w:val="72415C6E"/>
    <w:rsid w:val="72456FFE"/>
    <w:rsid w:val="725919A2"/>
    <w:rsid w:val="72603ACB"/>
    <w:rsid w:val="72610A66"/>
    <w:rsid w:val="72634AE5"/>
    <w:rsid w:val="72691324"/>
    <w:rsid w:val="726B5B54"/>
    <w:rsid w:val="7274361A"/>
    <w:rsid w:val="72A4498D"/>
    <w:rsid w:val="72A77D1E"/>
    <w:rsid w:val="72AE0FB2"/>
    <w:rsid w:val="72D517CB"/>
    <w:rsid w:val="72D925C4"/>
    <w:rsid w:val="72F47C18"/>
    <w:rsid w:val="72F51376"/>
    <w:rsid w:val="730A746E"/>
    <w:rsid w:val="73242CE1"/>
    <w:rsid w:val="73292FAE"/>
    <w:rsid w:val="73317C87"/>
    <w:rsid w:val="735A3288"/>
    <w:rsid w:val="736410F2"/>
    <w:rsid w:val="7379550F"/>
    <w:rsid w:val="737D689B"/>
    <w:rsid w:val="73A53CE8"/>
    <w:rsid w:val="73A6170B"/>
    <w:rsid w:val="73B033FC"/>
    <w:rsid w:val="73B579E7"/>
    <w:rsid w:val="73BD2DE2"/>
    <w:rsid w:val="73C146FD"/>
    <w:rsid w:val="73C7103D"/>
    <w:rsid w:val="73DE5F7B"/>
    <w:rsid w:val="73E87BB6"/>
    <w:rsid w:val="73F21654"/>
    <w:rsid w:val="73FA6050"/>
    <w:rsid w:val="74121AB7"/>
    <w:rsid w:val="74137EFF"/>
    <w:rsid w:val="741A726A"/>
    <w:rsid w:val="742817A0"/>
    <w:rsid w:val="7434789C"/>
    <w:rsid w:val="743620AB"/>
    <w:rsid w:val="744A0F12"/>
    <w:rsid w:val="744D5A84"/>
    <w:rsid w:val="7451650B"/>
    <w:rsid w:val="74685DA9"/>
    <w:rsid w:val="746B2E35"/>
    <w:rsid w:val="74763712"/>
    <w:rsid w:val="748B254E"/>
    <w:rsid w:val="748F74EF"/>
    <w:rsid w:val="74925631"/>
    <w:rsid w:val="74BA2FC6"/>
    <w:rsid w:val="74C13C80"/>
    <w:rsid w:val="74C168CD"/>
    <w:rsid w:val="74C567ED"/>
    <w:rsid w:val="74DE754D"/>
    <w:rsid w:val="74E34D95"/>
    <w:rsid w:val="74E55A60"/>
    <w:rsid w:val="74F619EA"/>
    <w:rsid w:val="750A47B1"/>
    <w:rsid w:val="750F15BE"/>
    <w:rsid w:val="75130F44"/>
    <w:rsid w:val="751D6D4F"/>
    <w:rsid w:val="75340035"/>
    <w:rsid w:val="7559062E"/>
    <w:rsid w:val="757A019B"/>
    <w:rsid w:val="75802507"/>
    <w:rsid w:val="758B2E14"/>
    <w:rsid w:val="75905155"/>
    <w:rsid w:val="75907680"/>
    <w:rsid w:val="7592615B"/>
    <w:rsid w:val="759F7ACB"/>
    <w:rsid w:val="75E47832"/>
    <w:rsid w:val="75F263DE"/>
    <w:rsid w:val="75FA240A"/>
    <w:rsid w:val="75FF7929"/>
    <w:rsid w:val="760D2474"/>
    <w:rsid w:val="760E686D"/>
    <w:rsid w:val="76204CD2"/>
    <w:rsid w:val="76441071"/>
    <w:rsid w:val="76535E73"/>
    <w:rsid w:val="766672B0"/>
    <w:rsid w:val="766C65C4"/>
    <w:rsid w:val="76702304"/>
    <w:rsid w:val="76723CFA"/>
    <w:rsid w:val="76730F51"/>
    <w:rsid w:val="76B03A42"/>
    <w:rsid w:val="76BF5471"/>
    <w:rsid w:val="76CD1140"/>
    <w:rsid w:val="76CE0ED1"/>
    <w:rsid w:val="76CE1C6F"/>
    <w:rsid w:val="76CF00C8"/>
    <w:rsid w:val="77042E25"/>
    <w:rsid w:val="771677B0"/>
    <w:rsid w:val="77173EAC"/>
    <w:rsid w:val="77183344"/>
    <w:rsid w:val="773641E5"/>
    <w:rsid w:val="774D3E2D"/>
    <w:rsid w:val="774F4FD9"/>
    <w:rsid w:val="7756042F"/>
    <w:rsid w:val="775F37AE"/>
    <w:rsid w:val="77611B60"/>
    <w:rsid w:val="7761204D"/>
    <w:rsid w:val="77766032"/>
    <w:rsid w:val="77A30E07"/>
    <w:rsid w:val="77B330D5"/>
    <w:rsid w:val="77B56A42"/>
    <w:rsid w:val="77C17FEB"/>
    <w:rsid w:val="77C74C2C"/>
    <w:rsid w:val="77CE5BE1"/>
    <w:rsid w:val="77F03FDA"/>
    <w:rsid w:val="77F061DD"/>
    <w:rsid w:val="780254D2"/>
    <w:rsid w:val="781667CA"/>
    <w:rsid w:val="781D3DAA"/>
    <w:rsid w:val="783171B5"/>
    <w:rsid w:val="78416A70"/>
    <w:rsid w:val="784D29EB"/>
    <w:rsid w:val="78690E08"/>
    <w:rsid w:val="786F6665"/>
    <w:rsid w:val="787E7C64"/>
    <w:rsid w:val="78810460"/>
    <w:rsid w:val="78844251"/>
    <w:rsid w:val="789712D3"/>
    <w:rsid w:val="789B25C4"/>
    <w:rsid w:val="78A10E53"/>
    <w:rsid w:val="78A4249C"/>
    <w:rsid w:val="78B06154"/>
    <w:rsid w:val="78B77E15"/>
    <w:rsid w:val="78C14516"/>
    <w:rsid w:val="78F22D42"/>
    <w:rsid w:val="78F86174"/>
    <w:rsid w:val="78FE16EA"/>
    <w:rsid w:val="792755DC"/>
    <w:rsid w:val="792A7CC8"/>
    <w:rsid w:val="792D5B7C"/>
    <w:rsid w:val="79402E8A"/>
    <w:rsid w:val="796A6A56"/>
    <w:rsid w:val="79A0094C"/>
    <w:rsid w:val="79A9019E"/>
    <w:rsid w:val="79B747EC"/>
    <w:rsid w:val="79BD4970"/>
    <w:rsid w:val="79BD656A"/>
    <w:rsid w:val="79BD717A"/>
    <w:rsid w:val="79C75C56"/>
    <w:rsid w:val="79CC4773"/>
    <w:rsid w:val="79DF2B83"/>
    <w:rsid w:val="79F1574D"/>
    <w:rsid w:val="79F560D5"/>
    <w:rsid w:val="7A0C5059"/>
    <w:rsid w:val="7A1523EA"/>
    <w:rsid w:val="7A1F42F7"/>
    <w:rsid w:val="7A360B8B"/>
    <w:rsid w:val="7A3D67BD"/>
    <w:rsid w:val="7A3E4994"/>
    <w:rsid w:val="7A500745"/>
    <w:rsid w:val="7A724452"/>
    <w:rsid w:val="7A784587"/>
    <w:rsid w:val="7A7A2514"/>
    <w:rsid w:val="7A7E01F8"/>
    <w:rsid w:val="7A847AAD"/>
    <w:rsid w:val="7A8578A6"/>
    <w:rsid w:val="7A86136F"/>
    <w:rsid w:val="7A931A00"/>
    <w:rsid w:val="7AAF24B0"/>
    <w:rsid w:val="7AB979D1"/>
    <w:rsid w:val="7AC31AD3"/>
    <w:rsid w:val="7AE279DE"/>
    <w:rsid w:val="7AF3048C"/>
    <w:rsid w:val="7B066428"/>
    <w:rsid w:val="7B117CCD"/>
    <w:rsid w:val="7B133142"/>
    <w:rsid w:val="7B134300"/>
    <w:rsid w:val="7B263D55"/>
    <w:rsid w:val="7B281992"/>
    <w:rsid w:val="7B4612E8"/>
    <w:rsid w:val="7B480A80"/>
    <w:rsid w:val="7B486D67"/>
    <w:rsid w:val="7B5D09C5"/>
    <w:rsid w:val="7B6B35D6"/>
    <w:rsid w:val="7B6B5909"/>
    <w:rsid w:val="7B847A30"/>
    <w:rsid w:val="7B9A7DF7"/>
    <w:rsid w:val="7B9E7B03"/>
    <w:rsid w:val="7BA175B6"/>
    <w:rsid w:val="7BB4200A"/>
    <w:rsid w:val="7BBD0C0A"/>
    <w:rsid w:val="7BBE572A"/>
    <w:rsid w:val="7BC96BBE"/>
    <w:rsid w:val="7BCF3BA5"/>
    <w:rsid w:val="7BE53837"/>
    <w:rsid w:val="7BE60AE4"/>
    <w:rsid w:val="7BE9311A"/>
    <w:rsid w:val="7BF37C8D"/>
    <w:rsid w:val="7C17700E"/>
    <w:rsid w:val="7C1872B1"/>
    <w:rsid w:val="7C1B1AB2"/>
    <w:rsid w:val="7C1E2225"/>
    <w:rsid w:val="7C226BFC"/>
    <w:rsid w:val="7C2720BC"/>
    <w:rsid w:val="7C2C76B2"/>
    <w:rsid w:val="7C2E7930"/>
    <w:rsid w:val="7C3537CC"/>
    <w:rsid w:val="7C455F5C"/>
    <w:rsid w:val="7C504E5F"/>
    <w:rsid w:val="7C7F149A"/>
    <w:rsid w:val="7C7F6464"/>
    <w:rsid w:val="7C856D5C"/>
    <w:rsid w:val="7CA507B1"/>
    <w:rsid w:val="7CB64F9C"/>
    <w:rsid w:val="7CC16FF5"/>
    <w:rsid w:val="7CC47560"/>
    <w:rsid w:val="7CCC2DCC"/>
    <w:rsid w:val="7CCE614A"/>
    <w:rsid w:val="7CD460A4"/>
    <w:rsid w:val="7CD60093"/>
    <w:rsid w:val="7CDA5697"/>
    <w:rsid w:val="7CE264F3"/>
    <w:rsid w:val="7CE64029"/>
    <w:rsid w:val="7CE72722"/>
    <w:rsid w:val="7CF03A1E"/>
    <w:rsid w:val="7CF85C26"/>
    <w:rsid w:val="7CFA4D3A"/>
    <w:rsid w:val="7D004E05"/>
    <w:rsid w:val="7D352620"/>
    <w:rsid w:val="7D3C2DD6"/>
    <w:rsid w:val="7D3E56FD"/>
    <w:rsid w:val="7D4E5163"/>
    <w:rsid w:val="7D7B2DE3"/>
    <w:rsid w:val="7D93256E"/>
    <w:rsid w:val="7D96482C"/>
    <w:rsid w:val="7DBC2289"/>
    <w:rsid w:val="7DE96758"/>
    <w:rsid w:val="7DEF0D9B"/>
    <w:rsid w:val="7E0624AF"/>
    <w:rsid w:val="7E0761C6"/>
    <w:rsid w:val="7E0B2A9C"/>
    <w:rsid w:val="7E0B4774"/>
    <w:rsid w:val="7E160002"/>
    <w:rsid w:val="7E3A400A"/>
    <w:rsid w:val="7E3B6107"/>
    <w:rsid w:val="7E4037BC"/>
    <w:rsid w:val="7E450600"/>
    <w:rsid w:val="7E480A69"/>
    <w:rsid w:val="7E5704FB"/>
    <w:rsid w:val="7E6C3360"/>
    <w:rsid w:val="7E7933A7"/>
    <w:rsid w:val="7E7F3C3C"/>
    <w:rsid w:val="7E8340C9"/>
    <w:rsid w:val="7E8E1568"/>
    <w:rsid w:val="7E9830DA"/>
    <w:rsid w:val="7EBA0464"/>
    <w:rsid w:val="7EC81F3C"/>
    <w:rsid w:val="7EC93614"/>
    <w:rsid w:val="7ECF3225"/>
    <w:rsid w:val="7EE277FD"/>
    <w:rsid w:val="7EE45760"/>
    <w:rsid w:val="7EEA2E2A"/>
    <w:rsid w:val="7F100CBD"/>
    <w:rsid w:val="7F166366"/>
    <w:rsid w:val="7F277D80"/>
    <w:rsid w:val="7F343335"/>
    <w:rsid w:val="7F363FF9"/>
    <w:rsid w:val="7F38386B"/>
    <w:rsid w:val="7F3B19CE"/>
    <w:rsid w:val="7F421ABF"/>
    <w:rsid w:val="7F4A5C9B"/>
    <w:rsid w:val="7F501C36"/>
    <w:rsid w:val="7F5D46B5"/>
    <w:rsid w:val="7F6455AA"/>
    <w:rsid w:val="7F853B09"/>
    <w:rsid w:val="7F8D0664"/>
    <w:rsid w:val="7FA624BA"/>
    <w:rsid w:val="7FB126CD"/>
    <w:rsid w:val="7FB46A34"/>
    <w:rsid w:val="7FB46B49"/>
    <w:rsid w:val="7FE42AB6"/>
    <w:rsid w:val="7FF61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2">
    <w:name w:val="heading 1"/>
    <w:basedOn w:val="1"/>
    <w:next w:val="1"/>
    <w:link w:val="105"/>
    <w:autoRedefine/>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32"/>
    <w:autoRedefine/>
    <w:unhideWhenUsed/>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link w:val="119"/>
    <w:autoRedefine/>
    <w:qFormat/>
    <w:uiPriority w:val="0"/>
    <w:pPr>
      <w:numPr>
        <w:ilvl w:val="2"/>
        <w:numId w:val="1"/>
      </w:numPr>
      <w:adjustRightInd w:val="0"/>
      <w:spacing w:beforeLines="50" w:afterLines="50"/>
      <w:jc w:val="left"/>
      <w:outlineLvl w:val="2"/>
    </w:pPr>
    <w:rPr>
      <w:rFonts w:ascii="Times New Roman" w:hAnsi="Times New Roman"/>
      <w:b/>
      <w:bCs/>
      <w:sz w:val="32"/>
      <w:szCs w:val="32"/>
    </w:rPr>
  </w:style>
  <w:style w:type="paragraph" w:styleId="5">
    <w:name w:val="heading 4"/>
    <w:basedOn w:val="1"/>
    <w:next w:val="1"/>
    <w:autoRedefine/>
    <w:qFormat/>
    <w:uiPriority w:val="0"/>
    <w:pPr>
      <w:keepNext/>
      <w:keepLines/>
      <w:widowControl/>
      <w:numPr>
        <w:ilvl w:val="3"/>
        <w:numId w:val="1"/>
      </w:numPr>
      <w:adjustRightInd w:val="0"/>
      <w:spacing w:before="120" w:after="120"/>
      <w:jc w:val="left"/>
      <w:outlineLvl w:val="3"/>
    </w:pPr>
    <w:rPr>
      <w:rFonts w:ascii="Arial" w:hAnsi="Arial"/>
      <w:b/>
      <w:bCs/>
      <w:sz w:val="30"/>
      <w:szCs w:val="28"/>
    </w:rPr>
  </w:style>
  <w:style w:type="paragraph" w:styleId="6">
    <w:name w:val="heading 5"/>
    <w:basedOn w:val="1"/>
    <w:next w:val="1"/>
    <w:link w:val="101"/>
    <w:autoRedefine/>
    <w:unhideWhenUsed/>
    <w:qFormat/>
    <w:uiPriority w:val="0"/>
    <w:pPr>
      <w:keepNext/>
      <w:keepLines/>
      <w:widowControl/>
      <w:spacing w:before="120" w:after="120" w:line="360" w:lineRule="auto"/>
      <w:ind w:firstLine="499"/>
      <w:jc w:val="left"/>
      <w:outlineLvl w:val="4"/>
    </w:pPr>
    <w:rPr>
      <w:rFonts w:ascii="宋体" w:hAnsi="宋体"/>
      <w:b/>
      <w:kern w:val="0"/>
      <w:szCs w:val="20"/>
    </w:rPr>
  </w:style>
  <w:style w:type="paragraph" w:styleId="7">
    <w:name w:val="heading 6"/>
    <w:basedOn w:val="1"/>
    <w:next w:val="1"/>
    <w:autoRedefine/>
    <w:semiHidden/>
    <w:unhideWhenUsed/>
    <w:qFormat/>
    <w:uiPriority w:val="0"/>
    <w:pPr>
      <w:spacing w:beforeAutospacing="1" w:afterAutospacing="1"/>
      <w:jc w:val="left"/>
      <w:outlineLvl w:val="5"/>
    </w:pPr>
    <w:rPr>
      <w:rFonts w:hint="eastAsia" w:ascii="宋体" w:hAnsi="宋体" w:eastAsia="宋体" w:cs="Times New Roman"/>
      <w:b/>
      <w:bCs/>
      <w:kern w:val="0"/>
      <w:sz w:val="15"/>
      <w:szCs w:val="15"/>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8">
    <w:name w:val="toc 7"/>
    <w:basedOn w:val="1"/>
    <w:next w:val="1"/>
    <w:autoRedefine/>
    <w:unhideWhenUsed/>
    <w:qFormat/>
    <w:uiPriority w:val="39"/>
    <w:pPr>
      <w:ind w:left="2520" w:leftChars="1200"/>
    </w:pPr>
    <w:rPr>
      <w:rFonts w:ascii="Calibri" w:hAnsi="Calibri" w:eastAsia="宋体" w:cs="Times New Roman"/>
      <w:sz w:val="21"/>
    </w:rPr>
  </w:style>
  <w:style w:type="paragraph" w:styleId="9">
    <w:name w:val="table of authorities"/>
    <w:basedOn w:val="1"/>
    <w:next w:val="1"/>
    <w:autoRedefine/>
    <w:qFormat/>
    <w:uiPriority w:val="0"/>
    <w:pPr>
      <w:ind w:left="420" w:leftChars="100"/>
    </w:pPr>
  </w:style>
  <w:style w:type="paragraph" w:styleId="10">
    <w:name w:val="Normal Indent"/>
    <w:basedOn w:val="1"/>
    <w:autoRedefine/>
    <w:qFormat/>
    <w:uiPriority w:val="0"/>
    <w:pPr>
      <w:ind w:firstLine="420"/>
    </w:pPr>
    <w:rPr>
      <w:rFonts w:eastAsia="宋体"/>
      <w:sz w:val="21"/>
      <w:szCs w:val="20"/>
    </w:rPr>
  </w:style>
  <w:style w:type="paragraph" w:styleId="11">
    <w:name w:val="annotation text"/>
    <w:basedOn w:val="1"/>
    <w:link w:val="90"/>
    <w:autoRedefine/>
    <w:qFormat/>
    <w:uiPriority w:val="0"/>
    <w:pPr>
      <w:jc w:val="left"/>
    </w:pPr>
  </w:style>
  <w:style w:type="paragraph" w:styleId="12">
    <w:name w:val="Body Text 3"/>
    <w:basedOn w:val="1"/>
    <w:link w:val="122"/>
    <w:autoRedefine/>
    <w:qFormat/>
    <w:uiPriority w:val="0"/>
    <w:rPr>
      <w:rFonts w:ascii="宋体" w:hAnsi="Times New Roman" w:eastAsia="宋体" w:cs="Times New Roman"/>
      <w:kern w:val="0"/>
      <w:szCs w:val="20"/>
    </w:rPr>
  </w:style>
  <w:style w:type="paragraph" w:styleId="13">
    <w:name w:val="Body Text"/>
    <w:basedOn w:val="1"/>
    <w:next w:val="14"/>
    <w:link w:val="114"/>
    <w:autoRedefine/>
    <w:qFormat/>
    <w:uiPriority w:val="0"/>
  </w:style>
  <w:style w:type="paragraph" w:styleId="14">
    <w:name w:val="Body Text 2"/>
    <w:basedOn w:val="1"/>
    <w:link w:val="93"/>
    <w:autoRedefine/>
    <w:qFormat/>
    <w:uiPriority w:val="0"/>
    <w:pPr>
      <w:spacing w:after="120" w:line="480" w:lineRule="auto"/>
    </w:pPr>
  </w:style>
  <w:style w:type="paragraph" w:styleId="15">
    <w:name w:val="Body Text Indent"/>
    <w:basedOn w:val="1"/>
    <w:autoRedefine/>
    <w:qFormat/>
    <w:uiPriority w:val="0"/>
    <w:pPr>
      <w:spacing w:line="640" w:lineRule="exact"/>
      <w:ind w:firstLine="585"/>
    </w:pPr>
    <w:rPr>
      <w:rFonts w:ascii="楷体_GB2312" w:eastAsia="楷体_GB2312"/>
      <w:sz w:val="32"/>
    </w:rPr>
  </w:style>
  <w:style w:type="paragraph" w:styleId="16">
    <w:name w:val="toc 5"/>
    <w:basedOn w:val="1"/>
    <w:next w:val="1"/>
    <w:autoRedefine/>
    <w:unhideWhenUsed/>
    <w:qFormat/>
    <w:uiPriority w:val="39"/>
    <w:pPr>
      <w:ind w:left="1680" w:leftChars="800"/>
    </w:pPr>
    <w:rPr>
      <w:rFonts w:ascii="Calibri" w:hAnsi="Calibri" w:eastAsia="宋体" w:cs="Times New Roman"/>
      <w:sz w:val="21"/>
    </w:rPr>
  </w:style>
  <w:style w:type="paragraph" w:styleId="17">
    <w:name w:val="toc 3"/>
    <w:basedOn w:val="1"/>
    <w:next w:val="1"/>
    <w:autoRedefine/>
    <w:qFormat/>
    <w:uiPriority w:val="39"/>
    <w:pPr>
      <w:jc w:val="left"/>
    </w:pPr>
    <w:rPr>
      <w:rFonts w:ascii="Times New Roman" w:hAnsi="Times New Roman" w:eastAsia="华文细黑" w:cs="Times New Roman"/>
      <w:iCs/>
      <w:sz w:val="22"/>
      <w:szCs w:val="20"/>
    </w:rPr>
  </w:style>
  <w:style w:type="paragraph" w:styleId="18">
    <w:name w:val="Plain Text"/>
    <w:basedOn w:val="1"/>
    <w:autoRedefine/>
    <w:qFormat/>
    <w:uiPriority w:val="0"/>
    <w:rPr>
      <w:rFonts w:ascii="宋体" w:hAnsi="Courier New" w:cs="Courier New"/>
      <w:szCs w:val="21"/>
    </w:rPr>
  </w:style>
  <w:style w:type="paragraph" w:styleId="19">
    <w:name w:val="toc 8"/>
    <w:basedOn w:val="1"/>
    <w:next w:val="1"/>
    <w:autoRedefine/>
    <w:unhideWhenUsed/>
    <w:qFormat/>
    <w:uiPriority w:val="39"/>
    <w:pPr>
      <w:ind w:left="2940" w:leftChars="1400"/>
    </w:pPr>
    <w:rPr>
      <w:rFonts w:ascii="Calibri" w:hAnsi="Calibri" w:eastAsia="宋体" w:cs="Times New Roman"/>
      <w:sz w:val="21"/>
    </w:rPr>
  </w:style>
  <w:style w:type="paragraph" w:styleId="20">
    <w:name w:val="Date"/>
    <w:basedOn w:val="1"/>
    <w:next w:val="1"/>
    <w:link w:val="138"/>
    <w:autoRedefine/>
    <w:qFormat/>
    <w:uiPriority w:val="0"/>
    <w:rPr>
      <w:rFonts w:ascii="Times New Roman"/>
      <w:sz w:val="28"/>
    </w:rPr>
  </w:style>
  <w:style w:type="paragraph" w:styleId="21">
    <w:name w:val="Body Text Indent 2"/>
    <w:basedOn w:val="1"/>
    <w:link w:val="102"/>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Cs w:val="20"/>
    </w:rPr>
  </w:style>
  <w:style w:type="paragraph" w:styleId="22">
    <w:name w:val="Balloon Text"/>
    <w:basedOn w:val="1"/>
    <w:link w:val="82"/>
    <w:autoRedefine/>
    <w:qFormat/>
    <w:uiPriority w:val="0"/>
    <w:rPr>
      <w:sz w:val="18"/>
      <w:szCs w:val="18"/>
    </w:rPr>
  </w:style>
  <w:style w:type="paragraph" w:styleId="23">
    <w:name w:val="footer"/>
    <w:basedOn w:val="1"/>
    <w:link w:val="95"/>
    <w:autoRedefine/>
    <w:qFormat/>
    <w:uiPriority w:val="99"/>
    <w:pPr>
      <w:tabs>
        <w:tab w:val="center" w:pos="4153"/>
        <w:tab w:val="right" w:pos="8306"/>
      </w:tabs>
      <w:snapToGrid w:val="0"/>
      <w:jc w:val="left"/>
    </w:pPr>
    <w:rPr>
      <w:rFonts w:eastAsia="宋体"/>
      <w:sz w:val="18"/>
      <w:szCs w:val="18"/>
    </w:rPr>
  </w:style>
  <w:style w:type="paragraph" w:styleId="24">
    <w:name w:val="header"/>
    <w:basedOn w:val="1"/>
    <w:link w:val="118"/>
    <w:autoRedefine/>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39"/>
    <w:rPr>
      <w:sz w:val="21"/>
      <w:szCs w:val="24"/>
    </w:rPr>
  </w:style>
  <w:style w:type="paragraph" w:styleId="26">
    <w:name w:val="toc 4"/>
    <w:basedOn w:val="1"/>
    <w:next w:val="1"/>
    <w:autoRedefine/>
    <w:unhideWhenUsed/>
    <w:qFormat/>
    <w:uiPriority w:val="39"/>
    <w:pPr>
      <w:ind w:left="1260" w:leftChars="600"/>
    </w:pPr>
    <w:rPr>
      <w:rFonts w:ascii="Calibri" w:hAnsi="Calibri" w:eastAsia="宋体" w:cs="Times New Roman"/>
      <w:sz w:val="21"/>
    </w:rPr>
  </w:style>
  <w:style w:type="paragraph" w:styleId="27">
    <w:name w:val="toc 6"/>
    <w:basedOn w:val="1"/>
    <w:next w:val="1"/>
    <w:autoRedefine/>
    <w:unhideWhenUsed/>
    <w:qFormat/>
    <w:uiPriority w:val="39"/>
    <w:pPr>
      <w:ind w:left="2100" w:leftChars="1000"/>
    </w:pPr>
    <w:rPr>
      <w:rFonts w:ascii="Calibri" w:hAnsi="Calibri" w:eastAsia="宋体" w:cs="Times New Roman"/>
      <w:sz w:val="21"/>
    </w:rPr>
  </w:style>
  <w:style w:type="paragraph" w:styleId="28">
    <w:name w:val="Body Text Indent 3"/>
    <w:basedOn w:val="1"/>
    <w:link w:val="103"/>
    <w:autoRedefine/>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Cs w:val="20"/>
    </w:rPr>
  </w:style>
  <w:style w:type="paragraph" w:styleId="29">
    <w:name w:val="table of figures"/>
    <w:basedOn w:val="1"/>
    <w:next w:val="1"/>
    <w:autoRedefine/>
    <w:unhideWhenUsed/>
    <w:qFormat/>
    <w:uiPriority w:val="99"/>
    <w:pPr>
      <w:ind w:left="200" w:leftChars="200" w:hanging="200" w:hangingChars="200"/>
    </w:pPr>
  </w:style>
  <w:style w:type="paragraph" w:styleId="30">
    <w:name w:val="toc 2"/>
    <w:basedOn w:val="1"/>
    <w:next w:val="1"/>
    <w:autoRedefine/>
    <w:qFormat/>
    <w:uiPriority w:val="39"/>
    <w:pPr>
      <w:ind w:left="420" w:leftChars="200"/>
    </w:pPr>
    <w:rPr>
      <w:sz w:val="21"/>
      <w:szCs w:val="24"/>
    </w:rPr>
  </w:style>
  <w:style w:type="paragraph" w:styleId="31">
    <w:name w:val="toc 9"/>
    <w:basedOn w:val="1"/>
    <w:next w:val="1"/>
    <w:autoRedefine/>
    <w:unhideWhenUsed/>
    <w:qFormat/>
    <w:uiPriority w:val="39"/>
    <w:pPr>
      <w:ind w:left="3360" w:leftChars="1600"/>
    </w:pPr>
    <w:rPr>
      <w:rFonts w:ascii="Calibri" w:hAnsi="Calibri" w:eastAsia="宋体" w:cs="Times New Roman"/>
      <w:sz w:val="21"/>
    </w:rPr>
  </w:style>
  <w:style w:type="paragraph" w:styleId="32">
    <w:name w:val="Normal (Web)"/>
    <w:basedOn w:val="1"/>
    <w:autoRedefine/>
    <w:qFormat/>
    <w:uiPriority w:val="0"/>
    <w:pPr>
      <w:jc w:val="left"/>
    </w:pPr>
    <w:rPr>
      <w:rFonts w:cs="Times New Roman"/>
      <w:kern w:val="0"/>
    </w:rPr>
  </w:style>
  <w:style w:type="paragraph" w:styleId="33">
    <w:name w:val="Title"/>
    <w:basedOn w:val="1"/>
    <w:next w:val="1"/>
    <w:link w:val="130"/>
    <w:autoRedefine/>
    <w:qFormat/>
    <w:uiPriority w:val="0"/>
    <w:pPr>
      <w:jc w:val="center"/>
    </w:pPr>
    <w:rPr>
      <w:rFonts w:ascii="Tahoma" w:hAnsi="Tahoma" w:eastAsia="宋体" w:cs="Times New Roman"/>
      <w:b/>
      <w:spacing w:val="8"/>
      <w:sz w:val="28"/>
      <w:szCs w:val="24"/>
    </w:rPr>
  </w:style>
  <w:style w:type="paragraph" w:styleId="34">
    <w:name w:val="annotation subject"/>
    <w:basedOn w:val="11"/>
    <w:next w:val="11"/>
    <w:link w:val="91"/>
    <w:autoRedefine/>
    <w:qFormat/>
    <w:uiPriority w:val="0"/>
    <w:rPr>
      <w:b/>
      <w:bCs/>
    </w:rPr>
  </w:style>
  <w:style w:type="paragraph" w:styleId="35">
    <w:name w:val="Body Text First Indent"/>
    <w:basedOn w:val="13"/>
    <w:next w:val="36"/>
    <w:autoRedefine/>
    <w:qFormat/>
    <w:uiPriority w:val="0"/>
    <w:pPr>
      <w:ind w:firstLine="420" w:firstLineChars="100"/>
    </w:pPr>
    <w:rPr>
      <w:rFonts w:eastAsia="仿宋_GB2312"/>
      <w:sz w:val="28"/>
    </w:rPr>
  </w:style>
  <w:style w:type="paragraph" w:styleId="36">
    <w:name w:val="Body Text First Indent 2"/>
    <w:basedOn w:val="15"/>
    <w:next w:val="13"/>
    <w:autoRedefine/>
    <w:qFormat/>
    <w:uiPriority w:val="0"/>
    <w:pPr>
      <w:ind w:firstLine="420" w:firstLineChars="200"/>
    </w:pPr>
  </w:style>
  <w:style w:type="table" w:styleId="38">
    <w:name w:val="Table Grid"/>
    <w:basedOn w:val="3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qFormat/>
    <w:uiPriority w:val="0"/>
    <w:rPr>
      <w:color w:val="333333"/>
      <w:u w:val="none"/>
    </w:rPr>
  </w:style>
  <w:style w:type="character" w:styleId="43">
    <w:name w:val="Emphasis"/>
    <w:basedOn w:val="39"/>
    <w:autoRedefine/>
    <w:qFormat/>
    <w:uiPriority w:val="0"/>
  </w:style>
  <w:style w:type="character" w:styleId="44">
    <w:name w:val="HTML Definition"/>
    <w:basedOn w:val="39"/>
    <w:autoRedefine/>
    <w:qFormat/>
    <w:uiPriority w:val="0"/>
  </w:style>
  <w:style w:type="character" w:styleId="45">
    <w:name w:val="HTML Typewriter"/>
    <w:basedOn w:val="39"/>
    <w:autoRedefine/>
    <w:qFormat/>
    <w:uiPriority w:val="0"/>
    <w:rPr>
      <w:rFonts w:ascii="monospace" w:hAnsi="monospace" w:eastAsia="monospace" w:cs="monospace"/>
      <w:sz w:val="20"/>
    </w:rPr>
  </w:style>
  <w:style w:type="character" w:styleId="46">
    <w:name w:val="HTML Acronym"/>
    <w:basedOn w:val="39"/>
    <w:autoRedefine/>
    <w:qFormat/>
    <w:uiPriority w:val="0"/>
    <w:rPr>
      <w:bdr w:val="single" w:color="999999" w:sz="2" w:space="0"/>
      <w:shd w:val="clear" w:fill="FFFFFF"/>
    </w:rPr>
  </w:style>
  <w:style w:type="character" w:styleId="47">
    <w:name w:val="HTML Variable"/>
    <w:basedOn w:val="39"/>
    <w:autoRedefine/>
    <w:qFormat/>
    <w:uiPriority w:val="0"/>
    <w:rPr>
      <w:bdr w:val="single" w:color="BDBEC1" w:sz="6" w:space="0"/>
      <w:shd w:val="clear" w:color="auto" w:fill="FFFFFF"/>
    </w:rPr>
  </w:style>
  <w:style w:type="character" w:styleId="48">
    <w:name w:val="Hyperlink"/>
    <w:basedOn w:val="39"/>
    <w:autoRedefine/>
    <w:qFormat/>
    <w:uiPriority w:val="99"/>
    <w:rPr>
      <w:rFonts w:ascii="宋体" w:hAnsi="宋体" w:eastAsia="宋体"/>
      <w:b/>
      <w:color w:val="0000FF"/>
      <w:kern w:val="2"/>
      <w:sz w:val="24"/>
      <w:szCs w:val="24"/>
      <w:u w:val="single"/>
      <w:lang w:val="en-US" w:eastAsia="zh-CN" w:bidi="ar-SA"/>
    </w:rPr>
  </w:style>
  <w:style w:type="character" w:styleId="49">
    <w:name w:val="HTML Code"/>
    <w:basedOn w:val="39"/>
    <w:autoRedefine/>
    <w:qFormat/>
    <w:uiPriority w:val="0"/>
    <w:rPr>
      <w:rFonts w:hint="default" w:ascii="Menlo" w:hAnsi="Menlo" w:eastAsia="Menlo" w:cs="Menlo"/>
      <w:color w:val="C7254E"/>
      <w:sz w:val="21"/>
      <w:szCs w:val="21"/>
      <w:shd w:val="clear" w:color="auto" w:fill="F9F2F4"/>
    </w:rPr>
  </w:style>
  <w:style w:type="character" w:styleId="50">
    <w:name w:val="annotation reference"/>
    <w:basedOn w:val="39"/>
    <w:autoRedefine/>
    <w:qFormat/>
    <w:uiPriority w:val="0"/>
    <w:rPr>
      <w:sz w:val="21"/>
      <w:szCs w:val="21"/>
    </w:rPr>
  </w:style>
  <w:style w:type="character" w:styleId="51">
    <w:name w:val="HTML Cite"/>
    <w:basedOn w:val="39"/>
    <w:autoRedefine/>
    <w:qFormat/>
    <w:uiPriority w:val="0"/>
  </w:style>
  <w:style w:type="character" w:styleId="52">
    <w:name w:val="HTML Keyboard"/>
    <w:basedOn w:val="39"/>
    <w:autoRedefine/>
    <w:qFormat/>
    <w:uiPriority w:val="0"/>
    <w:rPr>
      <w:rFonts w:ascii="Menlo" w:hAnsi="Menlo" w:eastAsia="Menlo" w:cs="Menlo"/>
      <w:color w:val="FFFFFF"/>
      <w:sz w:val="21"/>
      <w:szCs w:val="21"/>
      <w:shd w:val="clear" w:color="auto" w:fill="333333"/>
    </w:rPr>
  </w:style>
  <w:style w:type="character" w:styleId="53">
    <w:name w:val="HTML Sample"/>
    <w:basedOn w:val="39"/>
    <w:autoRedefine/>
    <w:qFormat/>
    <w:uiPriority w:val="0"/>
    <w:rPr>
      <w:rFonts w:hint="default" w:ascii="Menlo" w:hAnsi="Menlo" w:eastAsia="Menlo" w:cs="Menlo"/>
      <w:sz w:val="21"/>
      <w:szCs w:val="21"/>
    </w:rPr>
  </w:style>
  <w:style w:type="paragraph" w:customStyle="1" w:styleId="54">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55">
    <w:name w:val="_Style 5"/>
    <w:basedOn w:val="2"/>
    <w:next w:val="1"/>
    <w:autoRedefine/>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56">
    <w:name w:val="09正文_wh"/>
    <w:autoRedefine/>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57">
    <w:name w:val="p15"/>
    <w:basedOn w:val="1"/>
    <w:autoRedefine/>
    <w:qFormat/>
    <w:uiPriority w:val="99"/>
    <w:pPr>
      <w:widowControl/>
    </w:pPr>
    <w:rPr>
      <w:kern w:val="0"/>
      <w:sz w:val="21"/>
      <w:szCs w:val="21"/>
    </w:rPr>
  </w:style>
  <w:style w:type="paragraph" w:customStyle="1" w:styleId="58">
    <w:name w:val="正文 New"/>
    <w:autoRedefine/>
    <w:qFormat/>
    <w:uiPriority w:val="99"/>
    <w:pPr>
      <w:widowControl w:val="0"/>
      <w:jc w:val="both"/>
    </w:pPr>
    <w:rPr>
      <w:rFonts w:ascii="Calibri" w:hAnsi="Calibri" w:eastAsiaTheme="minorEastAsia" w:cstheme="minorBidi"/>
      <w:sz w:val="21"/>
      <w:szCs w:val="22"/>
      <w:lang w:val="en-US" w:eastAsia="zh-CN" w:bidi="ar-SA"/>
    </w:rPr>
  </w:style>
  <w:style w:type="character" w:customStyle="1" w:styleId="59">
    <w:name w:val="old"/>
    <w:basedOn w:val="39"/>
    <w:autoRedefine/>
    <w:qFormat/>
    <w:uiPriority w:val="0"/>
    <w:rPr>
      <w:color w:val="999999"/>
    </w:rPr>
  </w:style>
  <w:style w:type="character" w:customStyle="1" w:styleId="60">
    <w:name w:val="hover3"/>
    <w:basedOn w:val="39"/>
    <w:autoRedefine/>
    <w:qFormat/>
    <w:uiPriority w:val="0"/>
    <w:rPr>
      <w:shd w:val="clear" w:color="auto" w:fill="EEEEEE"/>
    </w:rPr>
  </w:style>
  <w:style w:type="character" w:customStyle="1" w:styleId="61">
    <w:name w:val="glyphicon4"/>
    <w:basedOn w:val="39"/>
    <w:autoRedefine/>
    <w:qFormat/>
    <w:uiPriority w:val="0"/>
  </w:style>
  <w:style w:type="character" w:customStyle="1" w:styleId="62">
    <w:name w:val="hour_am"/>
    <w:basedOn w:val="39"/>
    <w:autoRedefine/>
    <w:qFormat/>
    <w:uiPriority w:val="0"/>
  </w:style>
  <w:style w:type="character" w:customStyle="1" w:styleId="63">
    <w:name w:val="hour_pm"/>
    <w:basedOn w:val="39"/>
    <w:autoRedefine/>
    <w:qFormat/>
    <w:uiPriority w:val="0"/>
  </w:style>
  <w:style w:type="character" w:customStyle="1" w:styleId="64">
    <w:name w:val="button"/>
    <w:basedOn w:val="39"/>
    <w:autoRedefine/>
    <w:qFormat/>
    <w:uiPriority w:val="0"/>
  </w:style>
  <w:style w:type="character" w:customStyle="1" w:styleId="65">
    <w:name w:val="tmpztreemove_arrow"/>
    <w:basedOn w:val="39"/>
    <w:autoRedefine/>
    <w:qFormat/>
    <w:uiPriority w:val="0"/>
    <w:rPr>
      <w:shd w:val="clear" w:color="auto" w:fill="FFFFFF"/>
    </w:rPr>
  </w:style>
  <w:style w:type="paragraph" w:customStyle="1" w:styleId="66">
    <w:name w:val="正文文本1"/>
    <w:basedOn w:val="1"/>
    <w:autoRedefine/>
    <w:unhideWhenUsed/>
    <w:qFormat/>
    <w:uiPriority w:val="0"/>
    <w:pPr>
      <w:shd w:val="clear" w:color="auto" w:fill="FFFFFF"/>
      <w:spacing w:line="240" w:lineRule="atLeast"/>
      <w:jc w:val="left"/>
    </w:pPr>
    <w:rPr>
      <w:rFonts w:ascii="Times New Roman" w:hAnsi="Times New Roman" w:eastAsia="Times New Roman"/>
      <w:kern w:val="0"/>
      <w:sz w:val="11"/>
      <w:szCs w:val="20"/>
    </w:rPr>
  </w:style>
  <w:style w:type="paragraph" w:customStyle="1" w:styleId="67">
    <w:name w:val="列出段落1"/>
    <w:basedOn w:val="1"/>
    <w:autoRedefine/>
    <w:qFormat/>
    <w:uiPriority w:val="0"/>
    <w:pPr>
      <w:ind w:firstLine="420" w:firstLineChars="200"/>
    </w:pPr>
  </w:style>
  <w:style w:type="paragraph" w:customStyle="1" w:styleId="68">
    <w:name w:val="标准文本"/>
    <w:basedOn w:val="1"/>
    <w:autoRedefine/>
    <w:qFormat/>
    <w:uiPriority w:val="0"/>
    <w:pPr>
      <w:widowControl/>
      <w:ind w:firstLine="480"/>
      <w:jc w:val="left"/>
    </w:pPr>
    <w:rPr>
      <w:rFonts w:ascii="Times New Roman" w:hAnsi="Times New Roman"/>
      <w:szCs w:val="20"/>
    </w:rPr>
  </w:style>
  <w:style w:type="paragraph" w:customStyle="1" w:styleId="69">
    <w:name w:val="_正文段落"/>
    <w:basedOn w:val="1"/>
    <w:autoRedefine/>
    <w:qFormat/>
    <w:uiPriority w:val="0"/>
    <w:pPr>
      <w:spacing w:beforeLines="15" w:afterLines="15"/>
    </w:pPr>
    <w:rPr>
      <w:rFonts w:ascii="Times New Roman" w:hAnsi="Times New Roman"/>
      <w:szCs w:val="24"/>
    </w:rPr>
  </w:style>
  <w:style w:type="paragraph" w:customStyle="1" w:styleId="70">
    <w:name w:val="表格内容"/>
    <w:basedOn w:val="1"/>
    <w:autoRedefine/>
    <w:qFormat/>
    <w:uiPriority w:val="0"/>
    <w:pPr>
      <w:jc w:val="left"/>
    </w:pPr>
  </w:style>
  <w:style w:type="character" w:customStyle="1" w:styleId="71">
    <w:name w:val="proollist"/>
    <w:basedOn w:val="39"/>
    <w:autoRedefine/>
    <w:qFormat/>
    <w:uiPriority w:val="0"/>
  </w:style>
  <w:style w:type="character" w:customStyle="1" w:styleId="72">
    <w:name w:val="beforeinfotext"/>
    <w:basedOn w:val="39"/>
    <w:autoRedefine/>
    <w:qFormat/>
    <w:uiPriority w:val="0"/>
    <w:rPr>
      <w:color w:val="666666"/>
    </w:rPr>
  </w:style>
  <w:style w:type="character" w:customStyle="1" w:styleId="73">
    <w:name w:val="number"/>
    <w:basedOn w:val="39"/>
    <w:autoRedefine/>
    <w:qFormat/>
    <w:uiPriority w:val="0"/>
    <w:rPr>
      <w:color w:val="FF8833"/>
      <w:sz w:val="18"/>
      <w:szCs w:val="18"/>
    </w:rPr>
  </w:style>
  <w:style w:type="character" w:customStyle="1" w:styleId="74">
    <w:name w:val="stclosebtn"/>
    <w:basedOn w:val="39"/>
    <w:autoRedefine/>
    <w:qFormat/>
    <w:uiPriority w:val="0"/>
  </w:style>
  <w:style w:type="character" w:customStyle="1" w:styleId="75">
    <w:name w:val="phone"/>
    <w:basedOn w:val="39"/>
    <w:autoRedefine/>
    <w:qFormat/>
    <w:uiPriority w:val="0"/>
    <w:rPr>
      <w:color w:val="FF8833"/>
      <w:sz w:val="18"/>
      <w:szCs w:val="18"/>
    </w:rPr>
  </w:style>
  <w:style w:type="paragraph" w:customStyle="1" w:styleId="76">
    <w:name w:val="title11"/>
    <w:basedOn w:val="1"/>
    <w:autoRedefine/>
    <w:qFormat/>
    <w:uiPriority w:val="0"/>
    <w:pPr>
      <w:spacing w:before="150"/>
      <w:jc w:val="left"/>
    </w:pPr>
    <w:rPr>
      <w:rFonts w:cs="Times New Roman"/>
      <w:b/>
      <w:kern w:val="0"/>
      <w:sz w:val="22"/>
    </w:rPr>
  </w:style>
  <w:style w:type="paragraph" w:customStyle="1" w:styleId="77">
    <w:name w:val="WPSOffice手动目录 1"/>
    <w:autoRedefine/>
    <w:qFormat/>
    <w:uiPriority w:val="0"/>
    <w:rPr>
      <w:rFonts w:ascii="Times New Roman" w:hAnsi="Times New Roman" w:eastAsia="宋体" w:cs="Times New Roman"/>
      <w:lang w:val="en-US" w:eastAsia="zh-CN" w:bidi="ar-SA"/>
    </w:rPr>
  </w:style>
  <w:style w:type="paragraph" w:customStyle="1" w:styleId="78">
    <w:name w:val="xl36"/>
    <w:basedOn w:val="1"/>
    <w:autoRedefine/>
    <w:qFormat/>
    <w:uiPriority w:val="0"/>
    <w:pPr>
      <w:widowControl/>
      <w:jc w:val="center"/>
    </w:pPr>
    <w:rPr>
      <w:rFonts w:hint="eastAsia" w:ascii="宋体" w:hAnsi="宋体"/>
      <w:kern w:val="0"/>
    </w:rPr>
  </w:style>
  <w:style w:type="paragraph" w:customStyle="1" w:styleId="79">
    <w:name w:val="Table Paragraph"/>
    <w:basedOn w:val="1"/>
    <w:autoRedefine/>
    <w:qFormat/>
    <w:uiPriority w:val="0"/>
    <w:rPr>
      <w:rFonts w:ascii="宋体" w:hAnsi="宋体" w:eastAsia="宋体" w:cs="宋体"/>
      <w:lang w:val="zh-CN" w:bidi="zh-CN"/>
    </w:rPr>
  </w:style>
  <w:style w:type="paragraph" w:customStyle="1" w:styleId="80">
    <w:name w:val="List Paragraph1"/>
    <w:basedOn w:val="1"/>
    <w:autoRedefine/>
    <w:qFormat/>
    <w:uiPriority w:val="0"/>
    <w:pPr>
      <w:ind w:firstLine="420" w:firstLineChars="200"/>
    </w:pPr>
    <w:rPr>
      <w:rFonts w:hint="eastAsia" w:ascii="宋体" w:hAnsi="Times New Roman" w:eastAsia="宋体" w:cs="Times New Roman"/>
      <w:kern w:val="0"/>
      <w:szCs w:val="20"/>
    </w:rPr>
  </w:style>
  <w:style w:type="paragraph" w:customStyle="1" w:styleId="81">
    <w:name w:val="title1"/>
    <w:basedOn w:val="1"/>
    <w:autoRedefine/>
    <w:qFormat/>
    <w:uiPriority w:val="0"/>
    <w:pPr>
      <w:spacing w:before="150"/>
      <w:jc w:val="left"/>
    </w:pPr>
    <w:rPr>
      <w:rFonts w:cs="Times New Roman"/>
      <w:b/>
      <w:kern w:val="0"/>
      <w:sz w:val="22"/>
    </w:rPr>
  </w:style>
  <w:style w:type="character" w:customStyle="1" w:styleId="82">
    <w:name w:val="批注框文本 字符"/>
    <w:basedOn w:val="39"/>
    <w:link w:val="22"/>
    <w:autoRedefine/>
    <w:qFormat/>
    <w:uiPriority w:val="0"/>
    <w:rPr>
      <w:rFonts w:asciiTheme="minorHAnsi" w:hAnsiTheme="minorHAnsi" w:eastAsiaTheme="minorEastAsia" w:cstheme="minorBidi"/>
      <w:kern w:val="2"/>
      <w:sz w:val="18"/>
      <w:szCs w:val="18"/>
    </w:rPr>
  </w:style>
  <w:style w:type="paragraph" w:styleId="83">
    <w:name w:val="List Paragraph"/>
    <w:basedOn w:val="1"/>
    <w:autoRedefine/>
    <w:qFormat/>
    <w:uiPriority w:val="99"/>
    <w:pPr>
      <w:ind w:firstLine="420" w:firstLineChars="200"/>
    </w:pPr>
  </w:style>
  <w:style w:type="paragraph" w:customStyle="1" w:styleId="84">
    <w:name w:val="_Style 8"/>
    <w:basedOn w:val="1"/>
    <w:next w:val="1"/>
    <w:autoRedefine/>
    <w:unhideWhenUsed/>
    <w:qFormat/>
    <w:uiPriority w:val="39"/>
    <w:rPr>
      <w:rFonts w:ascii="Times New Roman" w:hAnsi="Times New Roman" w:eastAsia="宋体" w:cs="Times New Roman"/>
      <w:szCs w:val="24"/>
    </w:rPr>
  </w:style>
  <w:style w:type="character" w:customStyle="1" w:styleId="85">
    <w:name w:val="font111"/>
    <w:basedOn w:val="39"/>
    <w:autoRedefine/>
    <w:qFormat/>
    <w:uiPriority w:val="0"/>
    <w:rPr>
      <w:rFonts w:hint="eastAsia" w:ascii="宋体" w:hAnsi="宋体" w:eastAsia="宋体" w:cs="宋体"/>
      <w:color w:val="000000"/>
      <w:sz w:val="20"/>
      <w:szCs w:val="20"/>
      <w:u w:val="none"/>
    </w:rPr>
  </w:style>
  <w:style w:type="character" w:customStyle="1" w:styleId="86">
    <w:name w:val="font01"/>
    <w:basedOn w:val="39"/>
    <w:autoRedefine/>
    <w:qFormat/>
    <w:uiPriority w:val="0"/>
    <w:rPr>
      <w:rFonts w:hint="eastAsia" w:ascii="宋体" w:hAnsi="宋体" w:eastAsia="宋体" w:cs="宋体"/>
      <w:b/>
      <w:color w:val="FF0000"/>
      <w:sz w:val="20"/>
      <w:szCs w:val="20"/>
      <w:u w:val="none"/>
    </w:rPr>
  </w:style>
  <w:style w:type="character" w:customStyle="1" w:styleId="87">
    <w:name w:val="font122"/>
    <w:basedOn w:val="39"/>
    <w:autoRedefine/>
    <w:qFormat/>
    <w:uiPriority w:val="0"/>
    <w:rPr>
      <w:rFonts w:hint="eastAsia" w:ascii="宋体" w:hAnsi="宋体" w:eastAsia="宋体" w:cs="宋体"/>
      <w:color w:val="000000"/>
      <w:sz w:val="20"/>
      <w:szCs w:val="20"/>
      <w:u w:val="none"/>
    </w:rPr>
  </w:style>
  <w:style w:type="character" w:customStyle="1" w:styleId="88">
    <w:name w:val="font101"/>
    <w:basedOn w:val="39"/>
    <w:autoRedefine/>
    <w:qFormat/>
    <w:uiPriority w:val="0"/>
    <w:rPr>
      <w:rFonts w:hint="eastAsia" w:ascii="宋体" w:hAnsi="宋体" w:eastAsia="宋体" w:cs="宋体"/>
      <w:color w:val="000000"/>
      <w:sz w:val="20"/>
      <w:szCs w:val="20"/>
      <w:u w:val="none"/>
    </w:rPr>
  </w:style>
  <w:style w:type="character" w:customStyle="1" w:styleId="89">
    <w:name w:val="font71"/>
    <w:basedOn w:val="39"/>
    <w:autoRedefine/>
    <w:qFormat/>
    <w:uiPriority w:val="0"/>
    <w:rPr>
      <w:rFonts w:ascii="宋体" w:hAnsi="宋体" w:eastAsia="宋体" w:cs="宋体"/>
      <w:color w:val="000000"/>
      <w:sz w:val="20"/>
      <w:szCs w:val="20"/>
      <w:u w:val="none"/>
    </w:rPr>
  </w:style>
  <w:style w:type="character" w:customStyle="1" w:styleId="90">
    <w:name w:val="批注文字 字符"/>
    <w:basedOn w:val="39"/>
    <w:link w:val="11"/>
    <w:autoRedefine/>
    <w:qFormat/>
    <w:uiPriority w:val="0"/>
    <w:rPr>
      <w:rFonts w:asciiTheme="minorHAnsi" w:hAnsiTheme="minorHAnsi" w:eastAsiaTheme="minorEastAsia" w:cstheme="minorBidi"/>
      <w:kern w:val="2"/>
      <w:sz w:val="24"/>
      <w:szCs w:val="22"/>
    </w:rPr>
  </w:style>
  <w:style w:type="character" w:customStyle="1" w:styleId="91">
    <w:name w:val="批注主题 字符"/>
    <w:basedOn w:val="90"/>
    <w:link w:val="34"/>
    <w:autoRedefine/>
    <w:qFormat/>
    <w:uiPriority w:val="0"/>
    <w:rPr>
      <w:rFonts w:asciiTheme="minorHAnsi" w:hAnsiTheme="minorHAnsi" w:eastAsiaTheme="minorEastAsia" w:cstheme="minorBidi"/>
      <w:b/>
      <w:bCs/>
      <w:kern w:val="2"/>
      <w:sz w:val="24"/>
      <w:szCs w:val="22"/>
    </w:rPr>
  </w:style>
  <w:style w:type="character" w:customStyle="1" w:styleId="92">
    <w:name w:val="indent"/>
    <w:basedOn w:val="39"/>
    <w:autoRedefine/>
    <w:qFormat/>
    <w:uiPriority w:val="0"/>
  </w:style>
  <w:style w:type="character" w:customStyle="1" w:styleId="93">
    <w:name w:val="正文文本 2 字符"/>
    <w:basedOn w:val="39"/>
    <w:link w:val="14"/>
    <w:autoRedefine/>
    <w:qFormat/>
    <w:uiPriority w:val="0"/>
    <w:rPr>
      <w:rFonts w:asciiTheme="minorHAnsi" w:hAnsiTheme="minorHAnsi" w:eastAsiaTheme="minorEastAsia" w:cstheme="minorBidi"/>
      <w:kern w:val="2"/>
      <w:sz w:val="24"/>
      <w:szCs w:val="22"/>
    </w:rPr>
  </w:style>
  <w:style w:type="paragraph" w:customStyle="1" w:styleId="94">
    <w:name w:val="Char Char1 Char"/>
    <w:basedOn w:val="1"/>
    <w:autoRedefine/>
    <w:qFormat/>
    <w:uiPriority w:val="0"/>
    <w:rPr>
      <w:rFonts w:ascii="Times New Roman" w:hAnsi="Times New Roman" w:eastAsia="宋体" w:cs="Times New Roman"/>
      <w:sz w:val="21"/>
      <w:szCs w:val="20"/>
    </w:rPr>
  </w:style>
  <w:style w:type="character" w:customStyle="1" w:styleId="95">
    <w:name w:val="页脚 字符"/>
    <w:basedOn w:val="39"/>
    <w:link w:val="23"/>
    <w:autoRedefine/>
    <w:qFormat/>
    <w:uiPriority w:val="99"/>
    <w:rPr>
      <w:rFonts w:asciiTheme="minorHAnsi" w:hAnsiTheme="minorHAnsi" w:cstheme="minorBidi"/>
      <w:kern w:val="2"/>
      <w:sz w:val="18"/>
      <w:szCs w:val="18"/>
    </w:rPr>
  </w:style>
  <w:style w:type="character" w:customStyle="1" w:styleId="96">
    <w:name w:val="noticebidtime-bidaddress"/>
    <w:basedOn w:val="39"/>
    <w:autoRedefine/>
    <w:qFormat/>
    <w:uiPriority w:val="0"/>
  </w:style>
  <w:style w:type="paragraph" w:customStyle="1" w:styleId="97">
    <w:name w:val="_Style 80"/>
    <w:basedOn w:val="1"/>
    <w:next w:val="1"/>
    <w:autoRedefine/>
    <w:qFormat/>
    <w:uiPriority w:val="0"/>
    <w:pPr>
      <w:pBdr>
        <w:bottom w:val="single" w:color="auto" w:sz="6" w:space="1"/>
      </w:pBdr>
      <w:jc w:val="center"/>
    </w:pPr>
    <w:rPr>
      <w:rFonts w:ascii="Arial" w:eastAsia="宋体"/>
      <w:vanish/>
      <w:sz w:val="16"/>
    </w:rPr>
  </w:style>
  <w:style w:type="paragraph" w:customStyle="1" w:styleId="98">
    <w:name w:val="_Style 81"/>
    <w:basedOn w:val="1"/>
    <w:next w:val="1"/>
    <w:autoRedefine/>
    <w:qFormat/>
    <w:uiPriority w:val="0"/>
    <w:pPr>
      <w:pBdr>
        <w:top w:val="single" w:color="auto" w:sz="6" w:space="1"/>
      </w:pBdr>
      <w:jc w:val="center"/>
    </w:pPr>
    <w:rPr>
      <w:rFonts w:ascii="Arial" w:eastAsia="宋体"/>
      <w:vanish/>
      <w:sz w:val="16"/>
    </w:rPr>
  </w:style>
  <w:style w:type="character" w:customStyle="1" w:styleId="99">
    <w:name w:val="mini-tree-nodetext3"/>
    <w:basedOn w:val="39"/>
    <w:autoRedefine/>
    <w:qFormat/>
    <w:uiPriority w:val="0"/>
  </w:style>
  <w:style w:type="character" w:customStyle="1" w:styleId="100">
    <w:name w:val="MSG_EN_FONT_STYLE_NAME_TEMPLATE_ROLE_LEVEL MSG_EN_FONT_STYLE_NAME_BY_ROLE_HEADING 7 + MSG_EN_FONT_STYLE_MODIFER_SPACING 0"/>
    <w:autoRedefine/>
    <w:qFormat/>
    <w:uiPriority w:val="0"/>
    <w:rPr>
      <w:rFonts w:ascii="PMingLiU" w:hAnsi="PMingLiU" w:eastAsia="PMingLiU" w:cs="PMingLiU"/>
      <w:color w:val="000000"/>
      <w:spacing w:val="0"/>
      <w:w w:val="100"/>
      <w:position w:val="0"/>
      <w:sz w:val="22"/>
      <w:szCs w:val="22"/>
      <w:u w:val="none"/>
      <w:lang w:val="zh-CN" w:eastAsia="zh-CN" w:bidi="zh-CN"/>
    </w:rPr>
  </w:style>
  <w:style w:type="character" w:customStyle="1" w:styleId="101">
    <w:name w:val="标题 5 字符"/>
    <w:basedOn w:val="39"/>
    <w:link w:val="6"/>
    <w:autoRedefine/>
    <w:qFormat/>
    <w:uiPriority w:val="0"/>
    <w:rPr>
      <w:rFonts w:ascii="宋体" w:hAnsi="宋体" w:eastAsiaTheme="minorEastAsia" w:cstheme="minorBidi"/>
      <w:b/>
      <w:sz w:val="24"/>
    </w:rPr>
  </w:style>
  <w:style w:type="character" w:customStyle="1" w:styleId="102">
    <w:name w:val="正文文本缩进 2 字符"/>
    <w:basedOn w:val="39"/>
    <w:link w:val="21"/>
    <w:autoRedefine/>
    <w:qFormat/>
    <w:uiPriority w:val="0"/>
    <w:rPr>
      <w:rFonts w:ascii="宋体" w:hAnsi="MS Sans Serif" w:eastAsiaTheme="minorEastAsia" w:cstheme="minorBidi"/>
      <w:spacing w:val="12"/>
      <w:sz w:val="24"/>
    </w:rPr>
  </w:style>
  <w:style w:type="character" w:customStyle="1" w:styleId="103">
    <w:name w:val="正文文本缩进 3 字符"/>
    <w:basedOn w:val="39"/>
    <w:link w:val="28"/>
    <w:autoRedefine/>
    <w:qFormat/>
    <w:uiPriority w:val="0"/>
    <w:rPr>
      <w:rFonts w:ascii="宋体" w:hAnsi="MS Sans Serif" w:eastAsiaTheme="minorEastAsia" w:cstheme="minorBidi"/>
      <w:color w:val="000000"/>
      <w:sz w:val="24"/>
    </w:rPr>
  </w:style>
  <w:style w:type="paragraph" w:customStyle="1" w:styleId="104">
    <w:name w:val="目录"/>
    <w:basedOn w:val="1"/>
    <w:autoRedefine/>
    <w:qFormat/>
    <w:uiPriority w:val="0"/>
    <w:pPr>
      <w:widowControl/>
      <w:jc w:val="center"/>
    </w:pPr>
    <w:rPr>
      <w:rFonts w:ascii="宋体" w:hAnsi="Times New Roman"/>
      <w:b/>
      <w:kern w:val="0"/>
      <w:sz w:val="36"/>
    </w:rPr>
  </w:style>
  <w:style w:type="character" w:customStyle="1" w:styleId="105">
    <w:name w:val="标题 1 字符"/>
    <w:link w:val="2"/>
    <w:autoRedefine/>
    <w:qFormat/>
    <w:uiPriority w:val="0"/>
    <w:rPr>
      <w:rFonts w:asciiTheme="minorHAnsi" w:hAnsiTheme="minorHAnsi" w:cstheme="minorBidi"/>
      <w:b/>
      <w:bCs/>
      <w:kern w:val="44"/>
      <w:sz w:val="44"/>
      <w:szCs w:val="44"/>
    </w:rPr>
  </w:style>
  <w:style w:type="character" w:customStyle="1" w:styleId="106">
    <w:name w:val="MSG_EN_FONT_STYLE_NAME_TEMPLATE_ROLE_NUMBER MSG_EN_FONT_STYLE_NAME_BY_ROLE_TEXT 11_"/>
    <w:link w:val="107"/>
    <w:autoRedefine/>
    <w:qFormat/>
    <w:uiPriority w:val="0"/>
    <w:rPr>
      <w:rFonts w:ascii="PMingLiU" w:hAnsi="PMingLiU" w:eastAsia="PMingLiU" w:cs="PMingLiU"/>
      <w:sz w:val="17"/>
      <w:szCs w:val="17"/>
      <w:shd w:val="clear" w:color="auto" w:fill="FFFFFF"/>
    </w:rPr>
  </w:style>
  <w:style w:type="paragraph" w:customStyle="1" w:styleId="107">
    <w:name w:val="MSG_EN_FONT_STYLE_NAME_TEMPLATE_ROLE_NUMBER MSG_EN_FONT_STYLE_NAME_BY_ROLE_TEXT 11"/>
    <w:basedOn w:val="1"/>
    <w:link w:val="106"/>
    <w:autoRedefine/>
    <w:qFormat/>
    <w:uiPriority w:val="0"/>
    <w:pPr>
      <w:shd w:val="clear" w:color="auto" w:fill="FFFFFF"/>
      <w:spacing w:before="320" w:line="293" w:lineRule="exact"/>
      <w:ind w:hanging="220"/>
      <w:jc w:val="distribute"/>
    </w:pPr>
    <w:rPr>
      <w:rFonts w:ascii="PMingLiU" w:hAnsi="PMingLiU" w:eastAsia="PMingLiU" w:cs="PMingLiU"/>
      <w:kern w:val="0"/>
      <w:sz w:val="17"/>
      <w:szCs w:val="17"/>
    </w:rPr>
  </w:style>
  <w:style w:type="character" w:customStyle="1" w:styleId="108">
    <w:name w:val="MSG_EN_FONT_STYLE_NAME_TEMPLATE_ROLE_NUMBER MSG_EN_FONT_STYLE_NAME_BY_ROLE_TEXT 7_"/>
    <w:link w:val="109"/>
    <w:autoRedefine/>
    <w:qFormat/>
    <w:uiPriority w:val="0"/>
    <w:rPr>
      <w:rFonts w:ascii="PMingLiU" w:hAnsi="PMingLiU" w:eastAsia="PMingLiU" w:cs="PMingLiU"/>
      <w:spacing w:val="20"/>
      <w:sz w:val="21"/>
      <w:szCs w:val="21"/>
      <w:shd w:val="clear" w:color="auto" w:fill="FFFFFF"/>
    </w:rPr>
  </w:style>
  <w:style w:type="paragraph" w:customStyle="1" w:styleId="109">
    <w:name w:val="MSG_EN_FONT_STYLE_NAME_TEMPLATE_ROLE_NUMBER MSG_EN_FONT_STYLE_NAME_BY_ROLE_TEXT 7"/>
    <w:basedOn w:val="1"/>
    <w:link w:val="108"/>
    <w:autoRedefine/>
    <w:qFormat/>
    <w:uiPriority w:val="0"/>
    <w:pPr>
      <w:shd w:val="clear" w:color="auto" w:fill="FFFFFF"/>
      <w:spacing w:before="140" w:after="300" w:line="210" w:lineRule="exact"/>
      <w:jc w:val="center"/>
    </w:pPr>
    <w:rPr>
      <w:rFonts w:ascii="PMingLiU" w:hAnsi="PMingLiU" w:eastAsia="PMingLiU" w:cs="PMingLiU"/>
      <w:spacing w:val="20"/>
      <w:kern w:val="0"/>
      <w:sz w:val="21"/>
      <w:szCs w:val="21"/>
    </w:rPr>
  </w:style>
  <w:style w:type="character" w:customStyle="1" w:styleId="110">
    <w:name w:val="MSG_EN_FONT_STYLE_NAME_TEMPLATE_ROLE_NUMBER MSG_EN_FONT_STYLE_NAME_BY_ROLE_TEXT 2 + MSG_EN_FONT_STYLE_MODIFER_NAME Times New Roman"/>
    <w:autoRedefine/>
    <w:qFormat/>
    <w:uiPriority w:val="0"/>
    <w:rPr>
      <w:rFonts w:ascii="Times New Roman" w:hAnsi="Times New Roman" w:eastAsia="Times New Roman" w:cs="Times New Roman"/>
      <w:color w:val="000000"/>
      <w:spacing w:val="0"/>
      <w:w w:val="100"/>
      <w:position w:val="0"/>
      <w:sz w:val="22"/>
      <w:szCs w:val="22"/>
      <w:u w:val="none"/>
      <w:shd w:val="clear" w:color="auto" w:fill="FFFFFF"/>
      <w:lang w:val="en-US" w:eastAsia="en-US" w:bidi="en-US"/>
    </w:rPr>
  </w:style>
  <w:style w:type="character" w:customStyle="1" w:styleId="111">
    <w:name w:val="页脚 Char"/>
    <w:autoRedefine/>
    <w:qFormat/>
    <w:locked/>
    <w:uiPriority w:val="99"/>
    <w:rPr>
      <w:rFonts w:eastAsia="宋体"/>
      <w:kern w:val="2"/>
      <w:sz w:val="18"/>
      <w:szCs w:val="18"/>
      <w:lang w:val="en-US" w:eastAsia="zh-CN" w:bidi="ar-SA"/>
    </w:rPr>
  </w:style>
  <w:style w:type="character" w:customStyle="1" w:styleId="112">
    <w:name w:val="MSG_EN_FONT_STYLE_NAME_TEMPLATE_ROLE_LEVEL MSG_EN_FONT_STYLE_NAME_BY_ROLE_HEADING 7_"/>
    <w:link w:val="113"/>
    <w:autoRedefine/>
    <w:qFormat/>
    <w:uiPriority w:val="0"/>
    <w:rPr>
      <w:rFonts w:ascii="PMingLiU" w:hAnsi="PMingLiU" w:eastAsia="PMingLiU" w:cs="PMingLiU"/>
      <w:spacing w:val="20"/>
      <w:sz w:val="22"/>
      <w:szCs w:val="22"/>
      <w:shd w:val="clear" w:color="auto" w:fill="FFFFFF"/>
    </w:rPr>
  </w:style>
  <w:style w:type="paragraph" w:customStyle="1" w:styleId="113">
    <w:name w:val="MSG_EN_FONT_STYLE_NAME_TEMPLATE_ROLE_LEVEL MSG_EN_FONT_STYLE_NAME_BY_ROLE_HEADING 7"/>
    <w:basedOn w:val="1"/>
    <w:link w:val="112"/>
    <w:autoRedefine/>
    <w:qFormat/>
    <w:uiPriority w:val="0"/>
    <w:pPr>
      <w:shd w:val="clear" w:color="auto" w:fill="FFFFFF"/>
      <w:spacing w:line="562" w:lineRule="exact"/>
      <w:jc w:val="left"/>
      <w:outlineLvl w:val="6"/>
    </w:pPr>
    <w:rPr>
      <w:rFonts w:ascii="PMingLiU" w:hAnsi="PMingLiU" w:eastAsia="PMingLiU" w:cs="PMingLiU"/>
      <w:spacing w:val="20"/>
      <w:kern w:val="0"/>
      <w:sz w:val="22"/>
    </w:rPr>
  </w:style>
  <w:style w:type="character" w:customStyle="1" w:styleId="114">
    <w:name w:val="正文文本 字符"/>
    <w:link w:val="13"/>
    <w:autoRedefine/>
    <w:qFormat/>
    <w:locked/>
    <w:uiPriority w:val="0"/>
    <w:rPr>
      <w:rFonts w:asciiTheme="minorHAnsi" w:hAnsiTheme="minorHAnsi" w:eastAsiaTheme="minorEastAsia" w:cstheme="minorBidi"/>
      <w:kern w:val="2"/>
      <w:sz w:val="24"/>
      <w:szCs w:val="22"/>
    </w:rPr>
  </w:style>
  <w:style w:type="character" w:customStyle="1" w:styleId="115">
    <w:name w:val="MSG_EN_FONT_STYLE_NAME_TEMPLATE_ROLE_NUMBER MSG_EN_FONT_STYLE_NAME_BY_ROLE_TEXT 2 + MSG_EN_FONT_STYLE_MODIFER_NAME SimSun"/>
    <w:autoRedefine/>
    <w:qFormat/>
    <w:uiPriority w:val="0"/>
    <w:rPr>
      <w:rFonts w:ascii="宋体" w:hAnsi="宋体" w:eastAsia="宋体" w:cs="宋体"/>
      <w:color w:val="000000"/>
      <w:spacing w:val="0"/>
      <w:w w:val="100"/>
      <w:position w:val="0"/>
      <w:sz w:val="22"/>
      <w:szCs w:val="22"/>
      <w:u w:val="none"/>
      <w:shd w:val="clear" w:color="auto" w:fill="FFFFFF"/>
      <w:lang w:val="zh-CN" w:eastAsia="zh-CN" w:bidi="zh-CN"/>
    </w:rPr>
  </w:style>
  <w:style w:type="character" w:customStyle="1" w:styleId="116">
    <w:name w:val="MSG_EN_FONT_STYLE_NAME_TEMPLATE_ROLE_NUMBER MSG_EN_FONT_STYLE_NAME_BY_ROLE_TEXT 2_"/>
    <w:link w:val="117"/>
    <w:autoRedefine/>
    <w:qFormat/>
    <w:uiPriority w:val="0"/>
    <w:rPr>
      <w:rFonts w:ascii="PMingLiU" w:hAnsi="PMingLiU" w:eastAsia="PMingLiU" w:cs="PMingLiU"/>
      <w:sz w:val="22"/>
      <w:szCs w:val="22"/>
      <w:shd w:val="clear" w:color="auto" w:fill="FFFFFF"/>
    </w:rPr>
  </w:style>
  <w:style w:type="paragraph" w:customStyle="1" w:styleId="117">
    <w:name w:val="MSG_EN_FONT_STYLE_NAME_TEMPLATE_ROLE_NUMBER MSG_EN_FONT_STYLE_NAME_BY_ROLE_TEXT 2"/>
    <w:basedOn w:val="1"/>
    <w:link w:val="116"/>
    <w:autoRedefine/>
    <w:qFormat/>
    <w:uiPriority w:val="0"/>
    <w:pPr>
      <w:shd w:val="clear" w:color="auto" w:fill="FFFFFF"/>
      <w:spacing w:before="300" w:line="451" w:lineRule="exact"/>
      <w:jc w:val="distribute"/>
    </w:pPr>
    <w:rPr>
      <w:rFonts w:ascii="PMingLiU" w:hAnsi="PMingLiU" w:eastAsia="PMingLiU" w:cs="PMingLiU"/>
      <w:kern w:val="0"/>
      <w:sz w:val="22"/>
    </w:rPr>
  </w:style>
  <w:style w:type="character" w:customStyle="1" w:styleId="118">
    <w:name w:val="页眉 字符"/>
    <w:link w:val="24"/>
    <w:autoRedefine/>
    <w:qFormat/>
    <w:locked/>
    <w:uiPriority w:val="0"/>
    <w:rPr>
      <w:rFonts w:asciiTheme="minorHAnsi" w:hAnsiTheme="minorHAnsi" w:eastAsiaTheme="minorEastAsia" w:cstheme="minorBidi"/>
      <w:kern w:val="2"/>
      <w:sz w:val="18"/>
      <w:szCs w:val="18"/>
    </w:rPr>
  </w:style>
  <w:style w:type="character" w:customStyle="1" w:styleId="119">
    <w:name w:val="标题 3 字符"/>
    <w:link w:val="4"/>
    <w:autoRedefine/>
    <w:qFormat/>
    <w:locked/>
    <w:uiPriority w:val="0"/>
    <w:rPr>
      <w:rFonts w:eastAsiaTheme="minorEastAsia" w:cstheme="minorBidi"/>
      <w:b/>
      <w:bCs/>
      <w:kern w:val="2"/>
      <w:sz w:val="32"/>
      <w:szCs w:val="32"/>
    </w:rPr>
  </w:style>
  <w:style w:type="character" w:customStyle="1" w:styleId="120">
    <w:name w:val="MSG_EN_FONT_STYLE_NAME_TEMPLATE_ROLE_LEVEL_NUMBER MSG_EN_FONT_STYLE_NAME_BY_ROLE_HEADING 6 2_"/>
    <w:link w:val="121"/>
    <w:autoRedefine/>
    <w:qFormat/>
    <w:uiPriority w:val="0"/>
    <w:rPr>
      <w:rFonts w:ascii="PMingLiU" w:hAnsi="PMingLiU" w:eastAsia="PMingLiU" w:cs="PMingLiU"/>
      <w:sz w:val="22"/>
      <w:szCs w:val="22"/>
      <w:shd w:val="clear" w:color="auto" w:fill="FFFFFF"/>
    </w:rPr>
  </w:style>
  <w:style w:type="paragraph" w:customStyle="1" w:styleId="121">
    <w:name w:val="MSG_EN_FONT_STYLE_NAME_TEMPLATE_ROLE_LEVEL_NUMBER MSG_EN_FONT_STYLE_NAME_BY_ROLE_HEADING 6 2"/>
    <w:basedOn w:val="1"/>
    <w:link w:val="120"/>
    <w:autoRedefine/>
    <w:qFormat/>
    <w:uiPriority w:val="0"/>
    <w:pPr>
      <w:shd w:val="clear" w:color="auto" w:fill="FFFFFF"/>
      <w:spacing w:before="420" w:after="620" w:line="220" w:lineRule="exact"/>
      <w:jc w:val="distribute"/>
      <w:outlineLvl w:val="5"/>
    </w:pPr>
    <w:rPr>
      <w:rFonts w:ascii="PMingLiU" w:hAnsi="PMingLiU" w:eastAsia="PMingLiU" w:cs="PMingLiU"/>
      <w:kern w:val="0"/>
      <w:sz w:val="22"/>
    </w:rPr>
  </w:style>
  <w:style w:type="character" w:customStyle="1" w:styleId="122">
    <w:name w:val="正文文本 3 字符1"/>
    <w:link w:val="12"/>
    <w:autoRedefine/>
    <w:qFormat/>
    <w:locked/>
    <w:uiPriority w:val="0"/>
    <w:rPr>
      <w:rFonts w:ascii="宋体"/>
      <w:sz w:val="24"/>
    </w:rPr>
  </w:style>
  <w:style w:type="character" w:customStyle="1" w:styleId="123">
    <w:name w:val="font21"/>
    <w:autoRedefine/>
    <w:qFormat/>
    <w:uiPriority w:val="0"/>
    <w:rPr>
      <w:rFonts w:ascii="宋体" w:hAnsi="宋体" w:eastAsia="宋体" w:cs="宋体"/>
      <w:color w:val="000000"/>
      <w:sz w:val="22"/>
      <w:szCs w:val="22"/>
      <w:u w:val="none"/>
    </w:rPr>
  </w:style>
  <w:style w:type="character" w:customStyle="1" w:styleId="124">
    <w:name w:val="MSG_EN_FONT_STYLE_NAME_TEMPLATE_ROLE_NUMBER MSG_EN_FONT_STYLE_NAME_BY_ROLE_TEXT 7 + MSG_EN_FONT_STYLE_MODIFER_NAME Arial"/>
    <w:autoRedefine/>
    <w:qFormat/>
    <w:uiPriority w:val="0"/>
    <w:rPr>
      <w:rFonts w:ascii="Arial" w:hAnsi="Arial" w:eastAsia="Arial" w:cs="Arial"/>
      <w:color w:val="000000"/>
      <w:spacing w:val="0"/>
      <w:w w:val="100"/>
      <w:position w:val="0"/>
      <w:sz w:val="24"/>
      <w:szCs w:val="24"/>
      <w:u w:val="none"/>
      <w:lang w:val="en-US" w:eastAsia="en-US" w:bidi="en-US"/>
    </w:rPr>
  </w:style>
  <w:style w:type="character" w:customStyle="1" w:styleId="125">
    <w:name w:val="MSG_EN_FONT_STYLE_NAME_TEMPLATE_ROLE_NUMBER MSG_EN_FONT_STYLE_NAME_BY_ROLE_TEXT 2 + MSG_EN_FONT_STYLE_MODIFER_SIZE 21"/>
    <w:autoRedefine/>
    <w:qFormat/>
    <w:uiPriority w:val="0"/>
    <w:rPr>
      <w:rFonts w:ascii="PMingLiU" w:hAnsi="PMingLiU" w:eastAsia="PMingLiU" w:cs="PMingLiU"/>
      <w:color w:val="000000"/>
      <w:spacing w:val="0"/>
      <w:w w:val="100"/>
      <w:position w:val="0"/>
      <w:sz w:val="42"/>
      <w:szCs w:val="42"/>
      <w:u w:val="none"/>
      <w:shd w:val="clear" w:color="auto" w:fill="FFFFFF"/>
      <w:lang w:val="zh-CN" w:eastAsia="zh-CN" w:bidi="zh-CN"/>
    </w:rPr>
  </w:style>
  <w:style w:type="character" w:customStyle="1" w:styleId="126">
    <w:name w:val="MSG_EN_FONT_STYLE_NAME_TEMPLATE_ROLE_NUMBER MSG_EN_FONT_STYLE_NAME_BY_ROLE_TEXT 2 + MSG_EN_FONT_STYLE_MODIFER_SIZE 10.5"/>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27">
    <w:name w:val="批注框文本 Char"/>
    <w:autoRedefine/>
    <w:qFormat/>
    <w:locked/>
    <w:uiPriority w:val="0"/>
    <w:rPr>
      <w:rFonts w:eastAsia="宋体"/>
      <w:kern w:val="2"/>
      <w:sz w:val="18"/>
      <w:szCs w:val="18"/>
      <w:lang w:val="en-US" w:eastAsia="zh-CN" w:bidi="ar-SA"/>
    </w:rPr>
  </w:style>
  <w:style w:type="character" w:customStyle="1" w:styleId="128">
    <w:name w:val="font31"/>
    <w:autoRedefine/>
    <w:qFormat/>
    <w:uiPriority w:val="0"/>
    <w:rPr>
      <w:rFonts w:ascii="font-weight : 400" w:hAnsi="font-weight : 400" w:cs="font-weight : 400"/>
      <w:color w:val="000000"/>
      <w:sz w:val="22"/>
      <w:szCs w:val="22"/>
      <w:u w:val="none"/>
    </w:rPr>
  </w:style>
  <w:style w:type="character" w:customStyle="1" w:styleId="129">
    <w:name w:val="标题 1 Char"/>
    <w:autoRedefine/>
    <w:qFormat/>
    <w:locked/>
    <w:uiPriority w:val="0"/>
    <w:rPr>
      <w:rFonts w:eastAsia="宋体"/>
      <w:b/>
      <w:bCs/>
      <w:kern w:val="44"/>
      <w:sz w:val="44"/>
      <w:szCs w:val="44"/>
      <w:lang w:val="en-US" w:eastAsia="zh-CN" w:bidi="ar-SA"/>
    </w:rPr>
  </w:style>
  <w:style w:type="character" w:customStyle="1" w:styleId="130">
    <w:name w:val="标题 字符1"/>
    <w:link w:val="33"/>
    <w:autoRedefine/>
    <w:qFormat/>
    <w:locked/>
    <w:uiPriority w:val="0"/>
    <w:rPr>
      <w:rFonts w:ascii="Tahoma" w:hAnsi="Tahoma"/>
      <w:b/>
      <w:spacing w:val="8"/>
      <w:kern w:val="2"/>
      <w:sz w:val="28"/>
      <w:szCs w:val="24"/>
    </w:rPr>
  </w:style>
  <w:style w:type="character" w:customStyle="1" w:styleId="131">
    <w:name w:val="MSG_EN_FONT_STYLE_NAME_TEMPLATE_ROLE_NUMBER MSG_EN_FONT_STYLE_NAME_BY_ROLE_TEXT 7 + MSG_EN_FONT_STYLE_MODIFER_SPACING 0"/>
    <w:autoRedefine/>
    <w:qFormat/>
    <w:uiPriority w:val="0"/>
    <w:rPr>
      <w:rFonts w:ascii="PMingLiU" w:hAnsi="PMingLiU" w:eastAsia="PMingLiU" w:cs="PMingLiU"/>
      <w:color w:val="000000"/>
      <w:spacing w:val="0"/>
      <w:w w:val="100"/>
      <w:position w:val="0"/>
      <w:sz w:val="21"/>
      <w:szCs w:val="21"/>
      <w:u w:val="none"/>
      <w:lang w:val="zh-CN" w:eastAsia="zh-CN" w:bidi="zh-CN"/>
    </w:rPr>
  </w:style>
  <w:style w:type="character" w:customStyle="1" w:styleId="132">
    <w:name w:val="标题 2 字符"/>
    <w:link w:val="3"/>
    <w:autoRedefine/>
    <w:qFormat/>
    <w:locked/>
    <w:uiPriority w:val="0"/>
    <w:rPr>
      <w:rFonts w:ascii="Arial" w:hAnsi="Arial" w:eastAsia="黑体" w:cstheme="minorBidi"/>
      <w:b/>
      <w:bCs/>
      <w:kern w:val="2"/>
      <w:sz w:val="32"/>
      <w:szCs w:val="32"/>
    </w:rPr>
  </w:style>
  <w:style w:type="character" w:customStyle="1" w:styleId="133">
    <w:name w:val="正文文本 3 字符"/>
    <w:basedOn w:val="39"/>
    <w:autoRedefine/>
    <w:qFormat/>
    <w:uiPriority w:val="0"/>
    <w:rPr>
      <w:rFonts w:asciiTheme="minorHAnsi" w:hAnsiTheme="minorHAnsi" w:eastAsiaTheme="minorEastAsia" w:cstheme="minorBidi"/>
      <w:kern w:val="2"/>
      <w:sz w:val="16"/>
      <w:szCs w:val="16"/>
    </w:rPr>
  </w:style>
  <w:style w:type="paragraph" w:styleId="134">
    <w:name w:val="No Spacing"/>
    <w:autoRedefine/>
    <w:qFormat/>
    <w:uiPriority w:val="1"/>
    <w:pPr>
      <w:widowControl w:val="0"/>
    </w:pPr>
    <w:rPr>
      <w:rFonts w:ascii="Times New Roman" w:hAnsi="Times New Roman" w:eastAsia="Times New Roman" w:cs="Times New Roman"/>
      <w:color w:val="000000"/>
      <w:sz w:val="24"/>
      <w:szCs w:val="24"/>
      <w:lang w:val="zh-CN" w:eastAsia="zh-CN" w:bidi="zh-CN"/>
    </w:rPr>
  </w:style>
  <w:style w:type="paragraph" w:customStyle="1" w:styleId="135">
    <w:name w:val="无间隔1"/>
    <w:autoRedefine/>
    <w:qFormat/>
    <w:uiPriority w:val="0"/>
    <w:pPr>
      <w:widowControl w:val="0"/>
    </w:pPr>
    <w:rPr>
      <w:rFonts w:ascii="Times New Roman" w:hAnsi="Times New Roman" w:eastAsia="宋体" w:cs="Times New Roman"/>
      <w:color w:val="000000"/>
      <w:sz w:val="24"/>
      <w:szCs w:val="24"/>
      <w:lang w:val="zh-CN" w:eastAsia="zh-CN" w:bidi="ar-SA"/>
    </w:rPr>
  </w:style>
  <w:style w:type="character" w:customStyle="1" w:styleId="136">
    <w:name w:val="标题 字符"/>
    <w:basedOn w:val="39"/>
    <w:autoRedefine/>
    <w:qFormat/>
    <w:uiPriority w:val="0"/>
    <w:rPr>
      <w:rFonts w:asciiTheme="majorHAnsi" w:hAnsiTheme="majorHAnsi" w:eastAsiaTheme="majorEastAsia" w:cstheme="majorBidi"/>
      <w:b/>
      <w:bCs/>
      <w:kern w:val="2"/>
      <w:sz w:val="32"/>
      <w:szCs w:val="32"/>
    </w:rPr>
  </w:style>
  <w:style w:type="paragraph" w:customStyle="1" w:styleId="137">
    <w:name w:val="af15hichaf0dbchf15cgrid"/>
    <w:autoRedefine/>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szCs w:val="22"/>
      <w:lang w:val="en-US" w:eastAsia="zh-CN" w:bidi="ar-SA"/>
    </w:rPr>
  </w:style>
  <w:style w:type="character" w:customStyle="1" w:styleId="138">
    <w:name w:val="日期 字符"/>
    <w:basedOn w:val="39"/>
    <w:link w:val="20"/>
    <w:autoRedefine/>
    <w:qFormat/>
    <w:uiPriority w:val="0"/>
    <w:rPr>
      <w:rFonts w:hAnsiTheme="minorHAnsi" w:eastAsiaTheme="minorEastAsia" w:cstheme="minorBidi"/>
      <w:kern w:val="2"/>
      <w:sz w:val="28"/>
      <w:szCs w:val="22"/>
    </w:rPr>
  </w:style>
  <w:style w:type="character" w:customStyle="1" w:styleId="139">
    <w:name w:val="font11"/>
    <w:basedOn w:val="39"/>
    <w:autoRedefine/>
    <w:qFormat/>
    <w:uiPriority w:val="0"/>
    <w:rPr>
      <w:rFonts w:hint="default" w:ascii="Calibri" w:hAnsi="Calibri" w:cs="Calibri"/>
      <w:color w:val="000000"/>
      <w:sz w:val="24"/>
      <w:szCs w:val="24"/>
      <w:u w:val="none"/>
    </w:rPr>
  </w:style>
  <w:style w:type="paragraph" w:customStyle="1" w:styleId="140">
    <w:name w:val="Table Text"/>
    <w:basedOn w:val="1"/>
    <w:autoRedefine/>
    <w:semiHidden/>
    <w:qFormat/>
    <w:uiPriority w:val="0"/>
    <w:rPr>
      <w:rFonts w:ascii="宋体" w:hAnsi="宋体" w:eastAsia="宋体" w:cs="宋体"/>
      <w:sz w:val="24"/>
      <w:szCs w:val="24"/>
      <w:lang w:val="en-US" w:eastAsia="en-US" w:bidi="ar-SA"/>
    </w:rPr>
  </w:style>
  <w:style w:type="table" w:customStyle="1" w:styleId="141">
    <w:name w:val="Table Normal"/>
    <w:autoRedefine/>
    <w:semiHidden/>
    <w:unhideWhenUsed/>
    <w:qFormat/>
    <w:uiPriority w:val="2"/>
    <w:tblPr>
      <w:tblCellMar>
        <w:top w:w="0" w:type="dxa"/>
        <w:left w:w="0" w:type="dxa"/>
        <w:bottom w:w="0" w:type="dxa"/>
        <w:right w:w="0" w:type="dxa"/>
      </w:tblCellMar>
    </w:tblPr>
  </w:style>
  <w:style w:type="character" w:customStyle="1" w:styleId="142">
    <w:name w:val="font81"/>
    <w:basedOn w:val="39"/>
    <w:qFormat/>
    <w:uiPriority w:val="0"/>
    <w:rPr>
      <w:rFonts w:hint="eastAsia" w:ascii="宋体" w:hAnsi="宋体" w:eastAsia="宋体" w:cs="宋体"/>
      <w:color w:val="000000"/>
      <w:sz w:val="20"/>
      <w:szCs w:val="20"/>
      <w:u w:val="none"/>
    </w:rPr>
  </w:style>
  <w:style w:type="character" w:customStyle="1" w:styleId="143">
    <w:name w:val="font51"/>
    <w:basedOn w:val="39"/>
    <w:qFormat/>
    <w:uiPriority w:val="0"/>
    <w:rPr>
      <w:rFonts w:hint="eastAsia" w:ascii="宋体" w:hAnsi="宋体" w:eastAsia="宋体" w:cs="宋体"/>
      <w:color w:val="000000"/>
      <w:sz w:val="20"/>
      <w:szCs w:val="20"/>
      <w:u w:val="single"/>
    </w:rPr>
  </w:style>
  <w:style w:type="character" w:customStyle="1" w:styleId="144">
    <w:name w:val="font61"/>
    <w:basedOn w:val="39"/>
    <w:qFormat/>
    <w:uiPriority w:val="0"/>
    <w:rPr>
      <w:rFonts w:hint="eastAsia" w:ascii="宋体" w:hAnsi="宋体" w:eastAsia="宋体" w:cs="宋体"/>
      <w:color w:val="FFFFFF"/>
      <w:sz w:val="20"/>
      <w:szCs w:val="20"/>
      <w:u w:val="single"/>
    </w:rPr>
  </w:style>
  <w:style w:type="character" w:customStyle="1" w:styleId="145">
    <w:name w:val="font41"/>
    <w:basedOn w:val="39"/>
    <w:qFormat/>
    <w:uiPriority w:val="0"/>
    <w:rPr>
      <w:rFonts w:hint="eastAsia" w:ascii="宋体" w:hAnsi="宋体" w:eastAsia="宋体" w:cs="宋体"/>
      <w:color w:val="000000"/>
      <w:sz w:val="20"/>
      <w:szCs w:val="20"/>
      <w:u w:val="single"/>
    </w:rPr>
  </w:style>
  <w:style w:type="character" w:customStyle="1" w:styleId="146">
    <w:name w:val="font91"/>
    <w:basedOn w:val="3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B01D6-3109-4085-BE3E-C6DC09C0A00F}">
  <ds:schemaRefs/>
</ds:datastoreItem>
</file>

<file path=docProps/app.xml><?xml version="1.0" encoding="utf-8"?>
<Properties xmlns="http://schemas.openxmlformats.org/officeDocument/2006/extended-properties" xmlns:vt="http://schemas.openxmlformats.org/officeDocument/2006/docPropsVTypes">
  <Template>0</Template>
  <Company>DoubleOX</Company>
  <Pages>124</Pages>
  <Words>2638</Words>
  <Characters>3049</Characters>
  <Lines>296</Lines>
  <Paragraphs>924</Paragraphs>
  <TotalTime>263</TotalTime>
  <ScaleCrop>false</ScaleCrop>
  <LinksUpToDate>false</LinksUpToDate>
  <CharactersWithSpaces>3120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2022-03-30T09:33:00Z</dcterms:created>
  <dc:creator>Administrator</dc:creator>
  <cp:lastModifiedBy>陈佩瑶</cp:lastModifiedBy>
  <cp:lastPrinted>2026-04-01T02:04:00Z</cp:lastPrinted>
  <dcterms:modified xsi:type="dcterms:W3CDTF">2026-04-03T01:26:21Z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6A63E53447134516882748D5093E865D_13</vt:lpwstr>
  </property>
  <property fmtid="{D5CDD505-2E9C-101B-9397-08002B2CF9AE}" pid="4" name="KSOTemplateDocerSaveRecord">
    <vt:lpwstr>eyJoZGlkIjoiZGJhN2YyMWQ1Yjk2ZWRmMWNkODg5ODkyOGVjOWViZDAiLCJ1c2VySWQiOiIxNDQ0NTIwNDQ4In0=</vt:lpwstr>
  </property>
</Properties>
</file>