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4"/>
        <w:gridCol w:w="1189"/>
        <w:gridCol w:w="6549"/>
      </w:tblGrid>
      <w:tr w14:paraId="1A7FA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center"/>
          </w:tcPr>
          <w:p w14:paraId="24CA0CE4">
            <w:pPr>
              <w:pStyle w:val="5"/>
              <w:jc w:val="center"/>
            </w:pPr>
            <w:r>
              <w:rPr>
                <w:rFonts w:ascii="仿宋_GB2312" w:hAnsi="仿宋_GB2312" w:eastAsia="仿宋_GB2312" w:cs="仿宋_GB2312"/>
              </w:rPr>
              <w:t>序号</w:t>
            </w:r>
          </w:p>
        </w:tc>
        <w:tc>
          <w:tcPr>
            <w:tcW w:w="1189" w:type="dxa"/>
            <w:vAlign w:val="center"/>
          </w:tcPr>
          <w:p w14:paraId="4DE3B4B8">
            <w:pPr>
              <w:pStyle w:val="5"/>
              <w:jc w:val="center"/>
            </w:pPr>
            <w:r>
              <w:rPr>
                <w:rFonts w:ascii="仿宋_GB2312" w:hAnsi="仿宋_GB2312" w:eastAsia="仿宋_GB2312" w:cs="仿宋_GB2312"/>
              </w:rPr>
              <w:t>参数性质</w:t>
            </w:r>
          </w:p>
        </w:tc>
        <w:tc>
          <w:tcPr>
            <w:tcW w:w="6549" w:type="dxa"/>
          </w:tcPr>
          <w:p w14:paraId="3989508C">
            <w:pPr>
              <w:pStyle w:val="5"/>
            </w:pPr>
            <w:r>
              <w:rPr>
                <w:rFonts w:ascii="仿宋_GB2312" w:hAnsi="仿宋_GB2312" w:eastAsia="仿宋_GB2312" w:cs="仿宋_GB2312"/>
              </w:rPr>
              <w:t xml:space="preserve"> 技术参数与性能指标</w:t>
            </w:r>
          </w:p>
        </w:tc>
      </w:tr>
      <w:tr w14:paraId="17978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center"/>
          </w:tcPr>
          <w:p w14:paraId="37B0AE7E">
            <w:pPr>
              <w:pStyle w:val="5"/>
              <w:jc w:val="center"/>
            </w:pPr>
            <w:r>
              <w:rPr>
                <w:rFonts w:ascii="仿宋_GB2312" w:hAnsi="仿宋_GB2312" w:eastAsia="仿宋_GB2312" w:cs="仿宋_GB2312"/>
              </w:rPr>
              <w:t>1</w:t>
            </w:r>
          </w:p>
        </w:tc>
        <w:tc>
          <w:tcPr>
            <w:tcW w:w="1189" w:type="dxa"/>
            <w:vAlign w:val="center"/>
          </w:tcPr>
          <w:p w14:paraId="533E1B87">
            <w:pPr>
              <w:jc w:val="center"/>
            </w:pPr>
          </w:p>
        </w:tc>
        <w:tc>
          <w:tcPr>
            <w:tcW w:w="6549" w:type="dxa"/>
          </w:tcPr>
          <w:p w14:paraId="4FB8A368">
            <w:pPr>
              <w:pStyle w:val="5"/>
              <w:rPr>
                <w:rFonts w:hint="eastAsia" w:ascii="仿宋_GB2312" w:hAnsi="仿宋_GB2312" w:eastAsia="仿宋_GB2312" w:cs="仿宋_GB2312"/>
              </w:rPr>
            </w:pPr>
            <w:r>
              <w:rPr>
                <w:rFonts w:hint="eastAsia" w:ascii="仿宋_GB2312" w:hAnsi="仿宋_GB2312" w:eastAsia="仿宋_GB2312" w:cs="仿宋_GB2312"/>
              </w:rPr>
              <w:t>一、项目概况</w:t>
            </w:r>
          </w:p>
          <w:p w14:paraId="134CE335">
            <w:pPr>
              <w:pStyle w:val="5"/>
            </w:pPr>
            <w:r>
              <w:rPr>
                <w:rFonts w:hint="eastAsia" w:ascii="仿宋_GB2312" w:hAnsi="仿宋_GB2312" w:eastAsia="仿宋_GB2312" w:cs="仿宋_GB2312"/>
              </w:rPr>
              <w:t>当前数据推送区域承载着收费站出入口数据、门架交易数据、牌识数据等收费生产数据和清分结算数据、车型流量数据、超速车辆通行等分析处理后数据，需通过综合监控省级中心系统网络环境推送至交通运输部、省交通运输厅、公安交警有关部门及部分经营管理单位等有关单位，缺乏数据安全防护能力，缺少数据安全防护设备；同时现有交换机设备存在单点隐患；联网收费省级中心系统缺乏主动拦截入侵行为并阻断恶意流量专项防护能力，缺少入侵防御设备。</w:t>
            </w:r>
          </w:p>
        </w:tc>
      </w:tr>
      <w:tr w14:paraId="77B72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04" w:hRule="atLeast"/>
        </w:trPr>
        <w:tc>
          <w:tcPr>
            <w:tcW w:w="784" w:type="dxa"/>
            <w:vAlign w:val="center"/>
          </w:tcPr>
          <w:p w14:paraId="2E59DC7A">
            <w:pPr>
              <w:pStyle w:val="5"/>
              <w:jc w:val="center"/>
            </w:pPr>
            <w:r>
              <w:rPr>
                <w:rFonts w:ascii="仿宋_GB2312" w:hAnsi="仿宋_GB2312" w:eastAsia="仿宋_GB2312" w:cs="仿宋_GB2312"/>
              </w:rPr>
              <w:t>2</w:t>
            </w:r>
          </w:p>
        </w:tc>
        <w:tc>
          <w:tcPr>
            <w:tcW w:w="1189" w:type="dxa"/>
            <w:vAlign w:val="center"/>
          </w:tcPr>
          <w:p w14:paraId="1BDA32AB">
            <w:pPr>
              <w:jc w:val="center"/>
            </w:pPr>
          </w:p>
        </w:tc>
        <w:tc>
          <w:tcPr>
            <w:tcW w:w="6549" w:type="dxa"/>
          </w:tcPr>
          <w:p w14:paraId="5FD2A9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二、采购要求</w:t>
            </w:r>
          </w:p>
          <w:p w14:paraId="0DC4AB52">
            <w:pPr>
              <w:spacing w:line="240" w:lineRule="auto"/>
              <w:ind w:firstLine="400" w:firstLineChars="200"/>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（一）技术要求</w:t>
            </w:r>
          </w:p>
          <w:p w14:paraId="71BEE786">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需采购数据库安全审计设备1台、数据库安全网关2台、数据安全管理设备1台、交换机2台、入侵防御设备2台，需符合本国产品标准，单台配置要求如下：</w:t>
            </w:r>
          </w:p>
          <w:tbl>
            <w:tblPr>
              <w:tblStyle w:val="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75"/>
              <w:gridCol w:w="3484"/>
              <w:gridCol w:w="965"/>
            </w:tblGrid>
            <w:tr w14:paraId="6BB7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49" w:type="pct"/>
                  <w:noWrap/>
                  <w:vAlign w:val="center"/>
                </w:tcPr>
                <w:p w14:paraId="1CE57C55">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序号</w:t>
                  </w:r>
                </w:p>
              </w:tc>
              <w:tc>
                <w:tcPr>
                  <w:tcW w:w="929" w:type="pct"/>
                  <w:noWrap/>
                  <w:vAlign w:val="center"/>
                </w:tcPr>
                <w:p w14:paraId="2F7DD442">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名称</w:t>
                  </w:r>
                </w:p>
              </w:tc>
              <w:tc>
                <w:tcPr>
                  <w:tcW w:w="2757" w:type="pct"/>
                  <w:noWrap/>
                  <w:vAlign w:val="center"/>
                </w:tcPr>
                <w:p w14:paraId="5F66E246">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性能参数</w:t>
                  </w:r>
                </w:p>
              </w:tc>
              <w:tc>
                <w:tcPr>
                  <w:tcW w:w="763" w:type="pct"/>
                  <w:noWrap/>
                  <w:vAlign w:val="center"/>
                </w:tcPr>
                <w:p w14:paraId="5B4BD566">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区域</w:t>
                  </w:r>
                </w:p>
              </w:tc>
            </w:tr>
            <w:tr w14:paraId="2885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549" w:type="pct"/>
                  <w:noWrap/>
                  <w:vAlign w:val="center"/>
                </w:tcPr>
                <w:p w14:paraId="1AD7B297">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w:t>
                  </w:r>
                </w:p>
              </w:tc>
              <w:tc>
                <w:tcPr>
                  <w:tcW w:w="929" w:type="pct"/>
                  <w:noWrap/>
                  <w:vAlign w:val="center"/>
                </w:tcPr>
                <w:p w14:paraId="56EF3F8C">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数据库</w:t>
                  </w:r>
                </w:p>
                <w:p w14:paraId="2D84323B">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安全审计设备</w:t>
                  </w:r>
                </w:p>
              </w:tc>
              <w:tc>
                <w:tcPr>
                  <w:tcW w:w="2757" w:type="pct"/>
                  <w:noWrap w:val="0"/>
                  <w:vAlign w:val="center"/>
                </w:tcPr>
                <w:p w14:paraId="59063E5B">
                  <w:pPr>
                    <w:pStyle w:val="6"/>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国产化CPU、操作系统</w:t>
                  </w:r>
                </w:p>
                <w:p w14:paraId="59771E76">
                  <w:pPr>
                    <w:pStyle w:val="6"/>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网络吞吐量≥3Gbps</w:t>
                  </w:r>
                </w:p>
                <w:p w14:paraId="1B58E84C">
                  <w:pPr>
                    <w:pStyle w:val="6"/>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数据库SQL流量≥400Mb/s</w:t>
                  </w:r>
                </w:p>
                <w:p w14:paraId="5E89EF2C">
                  <w:pPr>
                    <w:pStyle w:val="6"/>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内存≥8G，硬盘≥2T</w:t>
                  </w:r>
                </w:p>
                <w:p w14:paraId="2E63F8BB">
                  <w:pPr>
                    <w:pStyle w:val="6"/>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≥4个千兆电口。</w:t>
                  </w:r>
                </w:p>
                <w:p w14:paraId="70740AAE">
                  <w:pPr>
                    <w:pStyle w:val="6"/>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提供5年质保。</w:t>
                  </w:r>
                </w:p>
              </w:tc>
              <w:tc>
                <w:tcPr>
                  <w:tcW w:w="763" w:type="pct"/>
                  <w:noWrap/>
                  <w:vAlign w:val="center"/>
                </w:tcPr>
                <w:p w14:paraId="1CFC15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数据推送区</w:t>
                  </w:r>
                </w:p>
              </w:tc>
            </w:tr>
            <w:tr w14:paraId="7B8B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549" w:type="pct"/>
                  <w:noWrap/>
                  <w:vAlign w:val="center"/>
                </w:tcPr>
                <w:p w14:paraId="7B76FB1A">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w:t>
                  </w:r>
                </w:p>
              </w:tc>
              <w:tc>
                <w:tcPr>
                  <w:tcW w:w="929" w:type="pct"/>
                  <w:noWrap/>
                  <w:vAlign w:val="center"/>
                </w:tcPr>
                <w:p w14:paraId="3F8F147E">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数据库安全网关</w:t>
                  </w:r>
                </w:p>
              </w:tc>
              <w:tc>
                <w:tcPr>
                  <w:tcW w:w="2757" w:type="pct"/>
                  <w:noWrap w:val="0"/>
                  <w:vAlign w:val="center"/>
                </w:tcPr>
                <w:p w14:paraId="3E2B67C4">
                  <w:pPr>
                    <w:pStyle w:val="6"/>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国产化CPU、操作系统</w:t>
                  </w:r>
                </w:p>
                <w:p w14:paraId="777CC18E">
                  <w:pPr>
                    <w:pStyle w:val="6"/>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网络吞吐量≥3Gbps，</w:t>
                  </w:r>
                </w:p>
                <w:p w14:paraId="30618F3D">
                  <w:pPr>
                    <w:pStyle w:val="6"/>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数据库流量吞吐量≥1Gbps</w:t>
                  </w:r>
                </w:p>
                <w:p w14:paraId="32646F83">
                  <w:pPr>
                    <w:pStyle w:val="6"/>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内存≥128GB、硬盘≥4T</w:t>
                  </w:r>
                </w:p>
                <w:p w14:paraId="2CE303A1">
                  <w:pPr>
                    <w:pStyle w:val="6"/>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≥2个万兆光口</w:t>
                  </w:r>
                </w:p>
                <w:p w14:paraId="4D243B2D">
                  <w:pPr>
                    <w:pStyle w:val="6"/>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针对数据推送区域内现有数据库提供数据库操作行为防护、人员访问数据库权限细化控制</w:t>
                  </w:r>
                </w:p>
                <w:p w14:paraId="01BB7F33">
                  <w:pPr>
                    <w:pStyle w:val="6"/>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提供5年质保</w:t>
                  </w:r>
                </w:p>
              </w:tc>
              <w:tc>
                <w:tcPr>
                  <w:tcW w:w="763" w:type="pct"/>
                  <w:noWrap/>
                  <w:vAlign w:val="center"/>
                </w:tcPr>
                <w:p w14:paraId="500870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数据推送区</w:t>
                  </w:r>
                </w:p>
              </w:tc>
            </w:tr>
            <w:tr w14:paraId="763B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549" w:type="pct"/>
                  <w:noWrap/>
                  <w:vAlign w:val="center"/>
                </w:tcPr>
                <w:p w14:paraId="04B2D315">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w:t>
                  </w:r>
                </w:p>
              </w:tc>
              <w:tc>
                <w:tcPr>
                  <w:tcW w:w="929" w:type="pct"/>
                  <w:noWrap/>
                  <w:vAlign w:val="center"/>
                </w:tcPr>
                <w:p w14:paraId="728F7897">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数据安全管理设备</w:t>
                  </w:r>
                  <w:r>
                    <w:rPr>
                      <w:rFonts w:hint="eastAsia" w:ascii="仿宋" w:hAnsi="仿宋" w:eastAsia="仿宋" w:cs="仿宋"/>
                      <w:b/>
                      <w:bCs/>
                      <w:kern w:val="0"/>
                      <w:sz w:val="20"/>
                      <w:szCs w:val="20"/>
                      <w:lang w:val="en-US" w:eastAsia="zh-CN"/>
                    </w:rPr>
                    <w:t>（核心产品）</w:t>
                  </w:r>
                </w:p>
              </w:tc>
              <w:tc>
                <w:tcPr>
                  <w:tcW w:w="2757" w:type="pct"/>
                  <w:noWrap w:val="0"/>
                  <w:vAlign w:val="center"/>
                </w:tcPr>
                <w:p w14:paraId="07DC556C">
                  <w:pPr>
                    <w:pStyle w:val="6"/>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国产化CPU、操作系统</w:t>
                  </w:r>
                </w:p>
                <w:p w14:paraId="26C1436C">
                  <w:pPr>
                    <w:pStyle w:val="6"/>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内存≥128GB、硬盘≥4T*3</w:t>
                  </w:r>
                </w:p>
                <w:p w14:paraId="252ADA74">
                  <w:pPr>
                    <w:pStyle w:val="6"/>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≥2个千兆电口,≥2个万兆光口</w:t>
                  </w:r>
                </w:p>
                <w:p w14:paraId="68F42115">
                  <w:pPr>
                    <w:pStyle w:val="6"/>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提供数据资产管理、数据分类分级、数据风险监测分析、数据安全报告等数据安全管理能力</w:t>
                  </w:r>
                </w:p>
                <w:p w14:paraId="3AC100C5">
                  <w:pPr>
                    <w:pStyle w:val="6"/>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支持自动化报告</w:t>
                  </w:r>
                </w:p>
                <w:p w14:paraId="6109E2B3">
                  <w:pPr>
                    <w:pStyle w:val="6"/>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提供5年质保</w:t>
                  </w:r>
                </w:p>
              </w:tc>
              <w:tc>
                <w:tcPr>
                  <w:tcW w:w="763" w:type="pct"/>
                  <w:noWrap/>
                  <w:vAlign w:val="center"/>
                </w:tcPr>
                <w:p w14:paraId="1D1FB5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数据推送区</w:t>
                  </w:r>
                </w:p>
              </w:tc>
            </w:tr>
            <w:tr w14:paraId="161B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549" w:type="pct"/>
                  <w:noWrap/>
                  <w:vAlign w:val="center"/>
                </w:tcPr>
                <w:p w14:paraId="4597A522">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w:t>
                  </w:r>
                </w:p>
              </w:tc>
              <w:tc>
                <w:tcPr>
                  <w:tcW w:w="929" w:type="pct"/>
                  <w:noWrap/>
                  <w:vAlign w:val="center"/>
                </w:tcPr>
                <w:p w14:paraId="0607138C">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交换机</w:t>
                  </w:r>
                </w:p>
              </w:tc>
              <w:tc>
                <w:tcPr>
                  <w:tcW w:w="2757" w:type="pct"/>
                  <w:noWrap w:val="0"/>
                  <w:vAlign w:val="center"/>
                </w:tcPr>
                <w:p w14:paraId="5DE67D67">
                  <w:pPr>
                    <w:pStyle w:val="6"/>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国产化CPU、操作系统</w:t>
                  </w:r>
                </w:p>
                <w:p w14:paraId="3AA61209">
                  <w:pPr>
                    <w:pStyle w:val="6"/>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≥48个万兆光口</w:t>
                  </w:r>
                </w:p>
                <w:p w14:paraId="41ABA9D8">
                  <w:pPr>
                    <w:pStyle w:val="6"/>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≥4个40G接口</w:t>
                  </w:r>
                </w:p>
                <w:p w14:paraId="5BEC443A">
                  <w:pPr>
                    <w:pStyle w:val="6"/>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配置≥24个光转电模块、≥24个万兆光模块</w:t>
                  </w:r>
                </w:p>
                <w:p w14:paraId="17192F87">
                  <w:pPr>
                    <w:pStyle w:val="6"/>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冗余电源；</w:t>
                  </w:r>
                </w:p>
                <w:p w14:paraId="79D740C6">
                  <w:pPr>
                    <w:pStyle w:val="6"/>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交换容量≥4.8Tbps，包转发率≥2000Mpps;</w:t>
                  </w:r>
                </w:p>
                <w:p w14:paraId="4018F231">
                  <w:pPr>
                    <w:pStyle w:val="6"/>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支持VXLAN二层网桥、VXLAN三层网关，支持EVPN VXLAN；支持RIP，OSPF，BGP，RIPng，OSPFv3，BGP4+；支持线速转发、冗余风扇，支持堆叠。</w:t>
                  </w:r>
                </w:p>
                <w:p w14:paraId="7798D29E">
                  <w:pPr>
                    <w:pStyle w:val="6"/>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提供5年质保。</w:t>
                  </w:r>
                </w:p>
              </w:tc>
              <w:tc>
                <w:tcPr>
                  <w:tcW w:w="763" w:type="pct"/>
                  <w:noWrap/>
                  <w:vAlign w:val="center"/>
                </w:tcPr>
                <w:p w14:paraId="75B29B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数据推送区</w:t>
                  </w:r>
                </w:p>
              </w:tc>
            </w:tr>
            <w:tr w14:paraId="0E2F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jc w:val="center"/>
              </w:trPr>
              <w:tc>
                <w:tcPr>
                  <w:tcW w:w="549" w:type="pct"/>
                  <w:noWrap/>
                  <w:vAlign w:val="center"/>
                </w:tcPr>
                <w:p w14:paraId="0B7A1C0C">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929" w:type="pct"/>
                  <w:noWrap/>
                  <w:vAlign w:val="center"/>
                </w:tcPr>
                <w:p w14:paraId="48AA743D">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入侵防御设备</w:t>
                  </w:r>
                </w:p>
              </w:tc>
              <w:tc>
                <w:tcPr>
                  <w:tcW w:w="2757" w:type="pct"/>
                  <w:noWrap w:val="0"/>
                  <w:vAlign w:val="center"/>
                </w:tcPr>
                <w:p w14:paraId="490600EE">
                  <w:pPr>
                    <w:pStyle w:val="6"/>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国产化CPU、操作系统</w:t>
                  </w:r>
                </w:p>
                <w:p w14:paraId="4B49724C">
                  <w:pPr>
                    <w:pStyle w:val="6"/>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冗余电源</w:t>
                  </w:r>
                </w:p>
                <w:p w14:paraId="17E11BC9">
                  <w:pPr>
                    <w:pStyle w:val="6"/>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≥8个扩展槽位</w:t>
                  </w:r>
                </w:p>
                <w:p w14:paraId="4AC81234">
                  <w:pPr>
                    <w:pStyle w:val="6"/>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≥2*USB接口，≥1*RJ45串口，≥2*千兆电口（1*管理，1*热备）</w:t>
                  </w:r>
                </w:p>
                <w:p w14:paraId="0AFFED96">
                  <w:pPr>
                    <w:pStyle w:val="6"/>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硬盘≥256G SSD+4T</w:t>
                  </w:r>
                </w:p>
                <w:p w14:paraId="65437EA1">
                  <w:pPr>
                    <w:pStyle w:val="6"/>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≥8个千兆电口（4路bypass），≥16个千兆光口，≥8个万兆光口，≥4个40G光口（全部光口满配光模块）</w:t>
                  </w:r>
                </w:p>
                <w:p w14:paraId="3C4CFC79">
                  <w:pPr>
                    <w:pStyle w:val="6"/>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应用层吞吐量≥20G,网络层吞吐量≥80G</w:t>
                  </w:r>
                </w:p>
                <w:p w14:paraId="07B6A6E1">
                  <w:pPr>
                    <w:pStyle w:val="6"/>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提供主动拦截入侵行为、实时检测并阻断恶意流量能力</w:t>
                  </w:r>
                </w:p>
                <w:p w14:paraId="5B06E2EE">
                  <w:pPr>
                    <w:pStyle w:val="6"/>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提供5年质保。</w:t>
                  </w:r>
                </w:p>
              </w:tc>
              <w:tc>
                <w:tcPr>
                  <w:tcW w:w="763" w:type="pct"/>
                  <w:noWrap/>
                  <w:vAlign w:val="center"/>
                </w:tcPr>
                <w:p w14:paraId="2828E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收费系统核心交换区</w:t>
                  </w:r>
                </w:p>
              </w:tc>
            </w:tr>
          </w:tbl>
          <w:p w14:paraId="78294FAB">
            <w:pPr>
              <w:pStyle w:val="5"/>
              <w:jc w:val="both"/>
              <w:rPr>
                <w:rFonts w:hint="eastAsia" w:ascii="仿宋" w:hAnsi="仿宋" w:eastAsia="仿宋" w:cs="仿宋"/>
              </w:rPr>
            </w:pPr>
            <w:r>
              <w:rPr>
                <w:rFonts w:hint="eastAsia" w:ascii="仿宋" w:hAnsi="仿宋" w:eastAsia="仿宋" w:cs="仿宋"/>
              </w:rPr>
              <w:t>（二）质量要求。供应商提供的设备必须同时满足以下标准：国家及相关部门的相应产业标准;通过国家或行业相关的产品测试;生产厂家对设备产品的技术性能描述。所有设备必须为原厂产品，带有唯一序列号。</w:t>
            </w:r>
          </w:p>
          <w:p w14:paraId="1B65A3CD">
            <w:pPr>
              <w:pStyle w:val="5"/>
              <w:jc w:val="both"/>
              <w:rPr>
                <w:rFonts w:hint="eastAsia" w:ascii="仿宋" w:hAnsi="仿宋" w:eastAsia="仿宋" w:cs="仿宋"/>
              </w:rPr>
            </w:pPr>
            <w:r>
              <w:rPr>
                <w:rFonts w:hint="eastAsia" w:ascii="仿宋" w:hAnsi="仿宋" w:eastAsia="仿宋" w:cs="仿宋"/>
              </w:rPr>
              <w:t>（三）包装及运输要求。供应商提供的货物须为原厂原包装，包装完好完整、无破损、未开封。国家对包装及运输有相关强制性标准或要求的，供应商应当执行。每一个包装箱内应附一份装箱单、质量合格证书、保修证书、产品使用说明书及其它必要的技术资料、随配附件和工具等。</w:t>
            </w:r>
          </w:p>
          <w:p w14:paraId="4A705C75">
            <w:pPr>
              <w:pStyle w:val="5"/>
              <w:jc w:val="both"/>
              <w:rPr>
                <w:rFonts w:hint="eastAsia" w:ascii="仿宋" w:hAnsi="仿宋" w:eastAsia="仿宋" w:cs="仿宋"/>
                <w:highlight w:val="none"/>
              </w:rPr>
            </w:pPr>
            <w:r>
              <w:rPr>
                <w:rFonts w:hint="eastAsia" w:ascii="仿宋" w:hAnsi="仿宋" w:eastAsia="仿宋" w:cs="仿宋"/>
              </w:rPr>
              <w:t>（四）知识产权。供应商应保证在本项目中使用的任何产品和服务（包括部分使用），不会产生因第三方提出侵犯其专利权、商标权或其它知识产权而引起的法律和经济</w:t>
            </w:r>
            <w:r>
              <w:rPr>
                <w:rFonts w:hint="eastAsia" w:ascii="仿宋" w:hAnsi="仿宋" w:eastAsia="仿宋" w:cs="仿宋"/>
                <w:highlight w:val="none"/>
              </w:rPr>
              <w:t>纠纷。</w:t>
            </w:r>
          </w:p>
          <w:p w14:paraId="25FF7B04">
            <w:pPr>
              <w:pStyle w:val="5"/>
              <w:jc w:val="both"/>
              <w:rPr>
                <w:rFonts w:hint="eastAsia" w:ascii="仿宋" w:hAnsi="仿宋" w:eastAsia="仿宋" w:cs="仿宋"/>
                <w:highlight w:val="none"/>
              </w:rPr>
            </w:pPr>
            <w:r>
              <w:rPr>
                <w:rFonts w:hint="eastAsia" w:ascii="仿宋" w:hAnsi="仿宋" w:eastAsia="仿宋" w:cs="仿宋"/>
                <w:highlight w:val="none"/>
              </w:rPr>
              <w:t>（五）质保要求。供应商需提供原厂工程师安装硬件上架部署服务及配置，提供5年原厂维保。</w:t>
            </w:r>
          </w:p>
          <w:p w14:paraId="6E0C7694">
            <w:pPr>
              <w:pStyle w:val="5"/>
              <w:jc w:val="both"/>
              <w:rPr>
                <w:rFonts w:hint="eastAsia" w:ascii="仿宋" w:hAnsi="仿宋" w:eastAsia="仿宋" w:cs="仿宋"/>
              </w:rPr>
            </w:pPr>
            <w:r>
              <w:rPr>
                <w:rFonts w:hint="eastAsia" w:ascii="仿宋" w:hAnsi="仿宋" w:eastAsia="仿宋" w:cs="仿宋"/>
              </w:rPr>
              <w:t>（六）供应链管理要求。供应商应严格落实网络安全和保密及人员管理要求，承担相应人员的网络安全和保密及人员管理责任，按要求签订协议和承诺书。供应商应强化设备产品供应的及时性，确保不发生设备产品的变更。</w:t>
            </w:r>
          </w:p>
          <w:p w14:paraId="5A35F15C">
            <w:pPr>
              <w:pStyle w:val="5"/>
              <w:jc w:val="both"/>
              <w:rPr>
                <w:rFonts w:hint="eastAsia" w:ascii="仿宋" w:hAnsi="仿宋" w:eastAsia="仿宋" w:cs="仿宋"/>
              </w:rPr>
            </w:pPr>
            <w:r>
              <w:rPr>
                <w:rFonts w:hint="eastAsia" w:ascii="仿宋" w:hAnsi="仿宋" w:eastAsia="仿宋" w:cs="仿宋"/>
              </w:rPr>
              <w:t>（七）培训要求。供应商应在项目实施期间为采购人技术人员提供不少于一次的涉及本项目服务内容的专题技术培训，使受培训人员能够独立、熟练操作直至提供的产品可以正常使用为止。</w:t>
            </w:r>
          </w:p>
          <w:p w14:paraId="4FFC031B">
            <w:pPr>
              <w:pStyle w:val="5"/>
              <w:jc w:val="both"/>
              <w:rPr>
                <w:rFonts w:hint="eastAsia" w:ascii="仿宋" w:hAnsi="仿宋" w:eastAsia="仿宋" w:cs="仿宋"/>
              </w:rPr>
            </w:pPr>
            <w:r>
              <w:rPr>
                <w:rFonts w:hint="eastAsia" w:ascii="仿宋" w:hAnsi="仿宋" w:eastAsia="仿宋" w:cs="仿宋"/>
              </w:rPr>
              <w:t>（八）合同签订。供应商应配合采购方在法定时间内完成合同的签订工作，签订地点由采购方指定。</w:t>
            </w:r>
          </w:p>
        </w:tc>
      </w:tr>
      <w:tr w14:paraId="2DBEC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center"/>
          </w:tcPr>
          <w:p w14:paraId="36CF1508">
            <w:pPr>
              <w:pStyle w:val="5"/>
              <w:jc w:val="center"/>
            </w:pPr>
            <w:r>
              <w:rPr>
                <w:rFonts w:ascii="仿宋_GB2312" w:hAnsi="仿宋_GB2312" w:eastAsia="仿宋_GB2312" w:cs="仿宋_GB2312"/>
              </w:rPr>
              <w:t>3</w:t>
            </w:r>
          </w:p>
        </w:tc>
        <w:tc>
          <w:tcPr>
            <w:tcW w:w="1189" w:type="dxa"/>
            <w:vAlign w:val="center"/>
          </w:tcPr>
          <w:p w14:paraId="3882C0CF">
            <w:pPr>
              <w:jc w:val="center"/>
            </w:pPr>
          </w:p>
        </w:tc>
        <w:tc>
          <w:tcPr>
            <w:tcW w:w="6549" w:type="dxa"/>
          </w:tcPr>
          <w:p w14:paraId="6BD534F3">
            <w:pPr>
              <w:pStyle w:val="5"/>
              <w:jc w:val="both"/>
              <w:rPr>
                <w:rFonts w:hint="eastAsia" w:ascii="仿宋" w:hAnsi="仿宋" w:eastAsia="仿宋" w:cs="仿宋"/>
              </w:rPr>
            </w:pPr>
            <w:r>
              <w:rPr>
                <w:rFonts w:hint="eastAsia" w:ascii="仿宋" w:hAnsi="仿宋" w:eastAsia="仿宋" w:cs="仿宋"/>
              </w:rPr>
              <w:t>三、服务要求</w:t>
            </w:r>
          </w:p>
          <w:p w14:paraId="7F73AF13">
            <w:pPr>
              <w:pStyle w:val="5"/>
              <w:jc w:val="both"/>
              <w:rPr>
                <w:rFonts w:hint="eastAsia" w:ascii="仿宋" w:hAnsi="仿宋" w:eastAsia="仿宋" w:cs="仿宋"/>
              </w:rPr>
            </w:pPr>
            <w:r>
              <w:rPr>
                <w:rFonts w:hint="eastAsia" w:ascii="仿宋" w:hAnsi="仿宋" w:eastAsia="仿宋" w:cs="仿宋"/>
              </w:rPr>
              <w:t>（一）实施期限要求</w:t>
            </w:r>
          </w:p>
          <w:p w14:paraId="61BEFFC8">
            <w:pPr>
              <w:pStyle w:val="5"/>
              <w:jc w:val="both"/>
              <w:rPr>
                <w:rFonts w:hint="eastAsia" w:ascii="仿宋" w:hAnsi="仿宋" w:eastAsia="仿宋" w:cs="仿宋"/>
              </w:rPr>
            </w:pPr>
            <w:r>
              <w:rPr>
                <w:rFonts w:hint="eastAsia" w:ascii="仿宋" w:hAnsi="仿宋" w:eastAsia="仿宋" w:cs="仿宋"/>
              </w:rPr>
              <w:t>1.供应商须在合同签订之日（含）起150个日历天内完成货物安装、并配合采购人完成交付验收、通过最终验收。</w:t>
            </w:r>
          </w:p>
          <w:p w14:paraId="2DD4C433">
            <w:pPr>
              <w:pStyle w:val="5"/>
              <w:jc w:val="both"/>
              <w:rPr>
                <w:rFonts w:hint="eastAsia" w:ascii="仿宋" w:hAnsi="仿宋" w:eastAsia="仿宋" w:cs="仿宋"/>
              </w:rPr>
            </w:pPr>
            <w:r>
              <w:rPr>
                <w:rFonts w:hint="eastAsia" w:ascii="仿宋" w:hAnsi="仿宋" w:eastAsia="仿宋" w:cs="仿宋"/>
              </w:rPr>
              <w:t>2.自开工令发出之日（含）起，所需设备供应商需在30个日历天内运抵采购人指定地点，由采购人组织开箱检验。开箱检验通过仅表明设备表面符合约定，不视为对设备内在质量、技术性能的认可。</w:t>
            </w:r>
          </w:p>
          <w:p w14:paraId="6614AF85">
            <w:pPr>
              <w:pStyle w:val="5"/>
              <w:jc w:val="both"/>
              <w:rPr>
                <w:rFonts w:hint="eastAsia" w:ascii="仿宋" w:hAnsi="仿宋" w:eastAsia="仿宋" w:cs="仿宋"/>
              </w:rPr>
            </w:pPr>
            <w:r>
              <w:rPr>
                <w:rFonts w:hint="eastAsia" w:ascii="仿宋" w:hAnsi="仿宋" w:eastAsia="仿宋" w:cs="仿宋"/>
              </w:rPr>
              <w:t>3.自开箱检验通过之日起（含），30个日历天内，供应商需完成设备上架部署安装、并提出书面交付验收申请。</w:t>
            </w:r>
          </w:p>
          <w:p w14:paraId="4F55F94A">
            <w:pPr>
              <w:pStyle w:val="5"/>
              <w:jc w:val="both"/>
              <w:rPr>
                <w:rFonts w:hint="eastAsia" w:ascii="仿宋" w:hAnsi="仿宋" w:eastAsia="仿宋" w:cs="仿宋"/>
              </w:rPr>
            </w:pPr>
            <w:r>
              <w:rPr>
                <w:rFonts w:hint="eastAsia" w:ascii="仿宋" w:hAnsi="仿宋" w:eastAsia="仿宋" w:cs="仿宋"/>
              </w:rPr>
              <w:t xml:space="preserve">4.交付验收通过之日起（含），设备上架30个日历天且运行平稳后，供应商应于7个日历天内及时提出书面最终验收申请。 </w:t>
            </w:r>
          </w:p>
          <w:p w14:paraId="6AC53442">
            <w:pPr>
              <w:pStyle w:val="5"/>
              <w:jc w:val="both"/>
              <w:rPr>
                <w:rFonts w:hint="eastAsia" w:ascii="仿宋" w:hAnsi="仿宋" w:eastAsia="仿宋" w:cs="仿宋"/>
              </w:rPr>
            </w:pPr>
            <w:r>
              <w:rPr>
                <w:rFonts w:hint="eastAsia" w:ascii="仿宋" w:hAnsi="仿宋" w:eastAsia="仿宋" w:cs="仿宋"/>
              </w:rPr>
              <w:t>（二）实施地点</w:t>
            </w:r>
            <w:r>
              <w:rPr>
                <w:rFonts w:hint="eastAsia" w:ascii="仿宋" w:hAnsi="仿宋" w:eastAsia="仿宋" w:cs="仿宋"/>
                <w:lang w:eastAsia="zh-CN"/>
              </w:rPr>
              <w:t>：</w:t>
            </w:r>
            <w:r>
              <w:rPr>
                <w:rFonts w:hint="eastAsia" w:ascii="仿宋" w:hAnsi="仿宋" w:eastAsia="仿宋" w:cs="仿宋"/>
              </w:rPr>
              <w:t>陕西省高速公路收费中心。</w:t>
            </w:r>
          </w:p>
          <w:p w14:paraId="00C199E8">
            <w:pPr>
              <w:pStyle w:val="5"/>
              <w:jc w:val="both"/>
              <w:rPr>
                <w:rFonts w:hint="eastAsia" w:ascii="仿宋" w:hAnsi="仿宋" w:eastAsia="仿宋" w:cs="仿宋"/>
              </w:rPr>
            </w:pPr>
            <w:r>
              <w:rPr>
                <w:rFonts w:hint="eastAsia" w:ascii="仿宋" w:hAnsi="仿宋" w:eastAsia="仿宋" w:cs="仿宋"/>
              </w:rPr>
              <w:t>（三）网络安全要求</w:t>
            </w:r>
          </w:p>
          <w:p w14:paraId="7BC6DABE">
            <w:pPr>
              <w:pStyle w:val="5"/>
              <w:jc w:val="both"/>
              <w:rPr>
                <w:rFonts w:hint="eastAsia" w:ascii="仿宋" w:hAnsi="仿宋" w:eastAsia="仿宋" w:cs="仿宋"/>
              </w:rPr>
            </w:pPr>
            <w:r>
              <w:rPr>
                <w:rFonts w:hint="eastAsia" w:ascii="仿宋" w:hAnsi="仿宋" w:eastAsia="仿宋" w:cs="仿宋"/>
              </w:rPr>
              <w:t>供应商所提供的产品应符合国家及行业相关网络安全技术标准与规范要求，能够有效保障设备运行安全与数据安全，按照要求签署网络安全责任协议。</w:t>
            </w:r>
          </w:p>
          <w:p w14:paraId="19EE7916">
            <w:pPr>
              <w:pStyle w:val="5"/>
              <w:jc w:val="both"/>
              <w:rPr>
                <w:rFonts w:hint="eastAsia" w:ascii="仿宋" w:hAnsi="仿宋" w:eastAsia="仿宋" w:cs="仿宋"/>
              </w:rPr>
            </w:pPr>
            <w:r>
              <w:rPr>
                <w:rFonts w:hint="eastAsia" w:ascii="仿宋" w:hAnsi="仿宋" w:eastAsia="仿宋" w:cs="仿宋"/>
              </w:rPr>
              <w:t>（四）资产管理要求。供应商应整理本项目实施过程中所涉及的相关资产，包括但不限于产品合格证、资产台账、网络拓扑等资产，并及时向采购人提交纸质资料和电子资料。</w:t>
            </w:r>
          </w:p>
          <w:p w14:paraId="334DDBBD">
            <w:pPr>
              <w:pStyle w:val="5"/>
              <w:jc w:val="both"/>
              <w:rPr>
                <w:rFonts w:hint="eastAsia" w:ascii="仿宋" w:hAnsi="仿宋" w:eastAsia="仿宋" w:cs="仿宋"/>
              </w:rPr>
            </w:pPr>
            <w:r>
              <w:rPr>
                <w:rFonts w:hint="eastAsia" w:ascii="仿宋" w:hAnsi="仿宋" w:eastAsia="仿宋" w:cs="仿宋"/>
              </w:rPr>
              <w:t>（五）人员要求。</w:t>
            </w:r>
          </w:p>
          <w:p w14:paraId="7F777766">
            <w:pPr>
              <w:pStyle w:val="5"/>
              <w:jc w:val="both"/>
              <w:rPr>
                <w:rFonts w:hint="eastAsia" w:ascii="仿宋" w:hAnsi="仿宋" w:eastAsia="仿宋" w:cs="仿宋"/>
              </w:rPr>
            </w:pPr>
            <w:r>
              <w:rPr>
                <w:rFonts w:hint="eastAsia" w:ascii="仿宋" w:hAnsi="仿宋" w:eastAsia="仿宋" w:cs="仿宋"/>
              </w:rPr>
              <w:t>项目实施团队需具备同类项目实施经验。项目团队成员一经确认，原则上不得更换。如因特殊情况确需调整，须提前15个日历天向采购人提交书面申请，经采购人审核同意后方可更换，且替换人员的职称、专业背景、从业年限及项目经验不得低于原定人员标准，确保项目服务质量不受影响。</w:t>
            </w:r>
          </w:p>
          <w:p w14:paraId="4A7CA1E3">
            <w:pPr>
              <w:pStyle w:val="5"/>
              <w:jc w:val="both"/>
              <w:rPr>
                <w:rFonts w:hint="eastAsia" w:ascii="仿宋" w:hAnsi="仿宋" w:eastAsia="仿宋" w:cs="仿宋"/>
              </w:rPr>
            </w:pPr>
            <w:r>
              <w:rPr>
                <w:rFonts w:hint="eastAsia" w:ascii="仿宋" w:hAnsi="仿宋" w:eastAsia="仿宋" w:cs="仿宋"/>
              </w:rPr>
              <w:t>（六）履约验收要求</w:t>
            </w:r>
          </w:p>
          <w:p w14:paraId="0B77F0B0">
            <w:pPr>
              <w:pStyle w:val="5"/>
              <w:jc w:val="both"/>
              <w:rPr>
                <w:rFonts w:hint="eastAsia" w:ascii="仿宋" w:hAnsi="仿宋" w:eastAsia="仿宋" w:cs="仿宋"/>
              </w:rPr>
            </w:pPr>
            <w:r>
              <w:rPr>
                <w:rFonts w:hint="eastAsia" w:ascii="仿宋" w:hAnsi="仿宋" w:eastAsia="仿宋" w:cs="仿宋"/>
              </w:rPr>
              <w:t>项目履约验收主体为采购人，验收工作流程为供应商提出相应验收申请之日（含）起30个日历天内，由采购人组织验收工作。本项目为两阶段验收（交付验收和最终验收），最终验收时需邀请专家，采购人及专家组严格按照招标文件、投标文件和合同约定内容进行履约验收。</w:t>
            </w:r>
          </w:p>
          <w:p w14:paraId="4B06A928">
            <w:pPr>
              <w:pStyle w:val="5"/>
              <w:jc w:val="both"/>
              <w:rPr>
                <w:rFonts w:hint="eastAsia" w:ascii="仿宋" w:hAnsi="仿宋" w:eastAsia="仿宋" w:cs="仿宋"/>
              </w:rPr>
            </w:pPr>
            <w:r>
              <w:rPr>
                <w:rFonts w:hint="eastAsia" w:ascii="仿宋" w:hAnsi="仿宋" w:eastAsia="仿宋" w:cs="仿宋"/>
              </w:rPr>
              <w:t>（七）售后服务要求</w:t>
            </w:r>
          </w:p>
          <w:p w14:paraId="6BD669F1">
            <w:pPr>
              <w:pStyle w:val="5"/>
              <w:spacing w:line="360" w:lineRule="auto"/>
              <w:jc w:val="both"/>
              <w:rPr>
                <w:rFonts w:hint="eastAsia" w:ascii="仿宋" w:hAnsi="仿宋" w:eastAsia="仿宋" w:cs="仿宋"/>
              </w:rPr>
            </w:pPr>
            <w:r>
              <w:rPr>
                <w:rFonts w:hint="eastAsia" w:ascii="仿宋" w:hAnsi="仿宋" w:eastAsia="仿宋" w:cs="仿宋"/>
              </w:rPr>
              <w:t>质量保证期从最终验收合格之日（含）起计算，时间为五年。</w:t>
            </w:r>
          </w:p>
          <w:p w14:paraId="66F1C03B">
            <w:pPr>
              <w:pStyle w:val="5"/>
              <w:jc w:val="both"/>
              <w:rPr>
                <w:rFonts w:hint="eastAsia" w:ascii="仿宋" w:hAnsi="仿宋" w:eastAsia="仿宋" w:cs="仿宋"/>
              </w:rPr>
            </w:pPr>
            <w:r>
              <w:rPr>
                <w:rFonts w:hint="eastAsia" w:ascii="仿宋" w:hAnsi="仿宋" w:eastAsia="仿宋" w:cs="仿宋"/>
              </w:rPr>
              <w:t>质量保证期服务方式要求采用7*24小时远程电话值守。工作日内，供应商应在30分钟内故障响应，2小时内上门服务并给出故障解决方案，接响应后3小时内排除故障，恢复正常使用。其他时间应在60分钟内故障响应，4小时内上门服务并给出故障解决方案，接响应后5小时内排除故障，恢复正常使用。若相应时间内无法解决故障，应提供备用设备。</w:t>
            </w:r>
          </w:p>
          <w:p w14:paraId="3436EBCA">
            <w:pPr>
              <w:pStyle w:val="5"/>
              <w:jc w:val="both"/>
              <w:rPr>
                <w:rFonts w:hint="eastAsia" w:ascii="仿宋" w:hAnsi="仿宋" w:eastAsia="仿宋" w:cs="仿宋"/>
              </w:rPr>
            </w:pPr>
            <w:r>
              <w:rPr>
                <w:rFonts w:hint="eastAsia" w:ascii="仿宋" w:hAnsi="仿宋" w:eastAsia="仿宋" w:cs="仿宋"/>
              </w:rPr>
              <w:t>质量保证期内维修使用的备品备件、易损件等应为原厂配件。</w:t>
            </w:r>
          </w:p>
          <w:p w14:paraId="26177EC8">
            <w:pPr>
              <w:pStyle w:val="5"/>
              <w:jc w:val="both"/>
              <w:rPr>
                <w:rFonts w:hint="eastAsia" w:ascii="仿宋" w:hAnsi="仿宋" w:eastAsia="仿宋" w:cs="仿宋"/>
              </w:rPr>
            </w:pPr>
            <w:r>
              <w:rPr>
                <w:rFonts w:hint="eastAsia" w:ascii="仿宋" w:hAnsi="仿宋" w:eastAsia="仿宋" w:cs="仿宋"/>
              </w:rPr>
              <w:t>质量保证期内供应商须提供5年产品原厂硬件质保、5年特征库升级和软件升级服务。特征库升级和软件升级须原厂技术人员在供应商指定地点进行，并确保特征库和软件能及时升级至最新版本。</w:t>
            </w:r>
          </w:p>
          <w:p w14:paraId="0A36F8FA">
            <w:pPr>
              <w:pStyle w:val="5"/>
              <w:jc w:val="both"/>
              <w:rPr>
                <w:rFonts w:hint="eastAsia" w:ascii="仿宋" w:hAnsi="仿宋" w:eastAsia="仿宋" w:cs="仿宋"/>
              </w:rPr>
            </w:pPr>
            <w:r>
              <w:rPr>
                <w:rFonts w:hint="eastAsia" w:ascii="仿宋" w:hAnsi="仿宋" w:eastAsia="仿宋" w:cs="仿宋"/>
              </w:rPr>
              <w:t>质量保证期供应商所提供的所有技术支持和服务费用以及上门维修、更换零部件费用由供应商提供，采购人不在另行支付。</w:t>
            </w:r>
          </w:p>
          <w:p w14:paraId="7E77C0D1">
            <w:pPr>
              <w:pStyle w:val="5"/>
              <w:jc w:val="both"/>
              <w:rPr>
                <w:rFonts w:hint="eastAsia" w:ascii="仿宋" w:hAnsi="仿宋" w:eastAsia="仿宋" w:cs="仿宋"/>
                <w:highlight w:val="none"/>
              </w:rPr>
            </w:pPr>
            <w:r>
              <w:rPr>
                <w:rFonts w:hint="eastAsia" w:ascii="仿宋" w:hAnsi="仿宋" w:eastAsia="仿宋" w:cs="仿宋"/>
              </w:rPr>
              <w:t>质量保证期内，若采购人需要对本次采购的产品进行国产化迁移与适配，供应商应免费提供必要的技术支持及配套服务，相关费用包含在本项目预</w:t>
            </w:r>
            <w:bookmarkStart w:id="0" w:name="_GoBack"/>
            <w:r>
              <w:rPr>
                <w:rFonts w:hint="eastAsia" w:ascii="仿宋" w:hAnsi="仿宋" w:eastAsia="仿宋" w:cs="仿宋"/>
                <w:highlight w:val="none"/>
              </w:rPr>
              <w:t>算内。</w:t>
            </w:r>
          </w:p>
          <w:p w14:paraId="42BED81C">
            <w:pPr>
              <w:pStyle w:val="5"/>
              <w:spacing w:line="360" w:lineRule="auto"/>
              <w:jc w:val="both"/>
              <w:rPr>
                <w:rFonts w:hint="eastAsia" w:ascii="仿宋" w:hAnsi="仿宋" w:eastAsia="仿宋" w:cs="仿宋"/>
                <w:highlight w:val="none"/>
              </w:rPr>
            </w:pPr>
            <w:r>
              <w:rPr>
                <w:rFonts w:hint="eastAsia" w:ascii="仿宋" w:hAnsi="仿宋" w:eastAsia="仿宋" w:cs="仿宋"/>
                <w:b/>
                <w:bCs/>
                <w:color w:val="auto"/>
                <w:sz w:val="20"/>
                <w:szCs w:val="20"/>
                <w:highlight w:val="none"/>
                <w:lang w:val="en-US" w:eastAsia="zh-CN"/>
              </w:rPr>
              <w:t>提供所投产品的原厂售后服务承诺函。</w:t>
            </w:r>
          </w:p>
          <w:bookmarkEnd w:id="0"/>
          <w:p w14:paraId="24E79BCF">
            <w:pPr>
              <w:pStyle w:val="5"/>
              <w:jc w:val="both"/>
              <w:rPr>
                <w:rFonts w:hint="eastAsia" w:ascii="仿宋" w:hAnsi="仿宋" w:eastAsia="仿宋" w:cs="仿宋"/>
              </w:rPr>
            </w:pPr>
            <w:r>
              <w:rPr>
                <w:rFonts w:hint="eastAsia" w:ascii="仿宋" w:hAnsi="仿宋" w:eastAsia="仿宋" w:cs="仿宋"/>
              </w:rPr>
              <w:t>（八）保密要求。供应商方应对在项目实施及履行过程中所接触的采购人信息，包括但不限于知识产权、技术资料、内部管理及其他相关信息，负有保密义务。保密期限不受合同有效期的限制，在合同有效期结束后，供应商仍应承担保密义务。</w:t>
            </w:r>
          </w:p>
          <w:p w14:paraId="79BB03AE">
            <w:pPr>
              <w:pStyle w:val="5"/>
              <w:jc w:val="both"/>
              <w:rPr>
                <w:rFonts w:hint="eastAsia" w:ascii="仿宋" w:hAnsi="仿宋" w:eastAsia="仿宋" w:cs="仿宋"/>
              </w:rPr>
            </w:pPr>
            <w:r>
              <w:rPr>
                <w:rFonts w:hint="eastAsia" w:ascii="仿宋" w:hAnsi="仿宋" w:eastAsia="仿宋" w:cs="仿宋"/>
              </w:rPr>
              <w:t>（九）违约责任</w:t>
            </w:r>
          </w:p>
          <w:p w14:paraId="15DE13BB">
            <w:pPr>
              <w:pStyle w:val="5"/>
              <w:jc w:val="both"/>
              <w:rPr>
                <w:rFonts w:hint="eastAsia" w:ascii="仿宋" w:hAnsi="仿宋" w:eastAsia="仿宋" w:cs="仿宋"/>
              </w:rPr>
            </w:pPr>
            <w:r>
              <w:rPr>
                <w:rFonts w:hint="eastAsia" w:ascii="仿宋" w:hAnsi="仿宋" w:eastAsia="仿宋" w:cs="仿宋"/>
              </w:rPr>
              <w:t>1.供应商延迟交付货物的，应向采购人支付延迟违约金。延迟违约金的计算方法如下：每延迟一天向采购人偿付违约货款额3‰违约金，但违约金累计不超过违约货款额3%。超过10 天采购人有权解除合同，供应商承担因此给采购人造成的经济损失。</w:t>
            </w:r>
          </w:p>
          <w:p w14:paraId="21267534">
            <w:pPr>
              <w:pStyle w:val="5"/>
              <w:jc w:val="both"/>
              <w:rPr>
                <w:rFonts w:hint="eastAsia" w:ascii="仿宋" w:hAnsi="仿宋" w:eastAsia="仿宋" w:cs="仿宋"/>
              </w:rPr>
            </w:pPr>
            <w:r>
              <w:rPr>
                <w:rFonts w:hint="eastAsia" w:ascii="仿宋" w:hAnsi="仿宋" w:eastAsia="仿宋" w:cs="仿宋"/>
              </w:rPr>
              <w:t>2.供应商提供的设备品种、型号、规格、质量达不到规定标准的，采购人有权拒收，供应商应在10日历天内更换符合要求的设备，供应商拒绝更换或更换后仍存在质量问题的，采购人有权解除合同并有权要求供应商按照合同总价款的20%向采购人支付违约金。</w:t>
            </w:r>
          </w:p>
          <w:p w14:paraId="754AA238">
            <w:pPr>
              <w:pStyle w:val="5"/>
              <w:jc w:val="both"/>
              <w:rPr>
                <w:rFonts w:hint="eastAsia" w:ascii="仿宋" w:hAnsi="仿宋" w:eastAsia="仿宋" w:cs="仿宋"/>
              </w:rPr>
            </w:pPr>
            <w:r>
              <w:rPr>
                <w:rFonts w:hint="eastAsia" w:ascii="仿宋" w:hAnsi="仿宋" w:eastAsia="仿宋" w:cs="仿宋"/>
              </w:rPr>
              <w:t>3.项目实施过程中，对全省业务正常运行影响达到6小时的，每次扣款5000元；每增加6小时，增加5000元；24小时内最高扣款金额20000元。影响全省业务正常运行超过24 小时，或有必要根据实际造成的损失及影响进行责任追究的，采购人有权进行责任追究。</w:t>
            </w:r>
          </w:p>
          <w:p w14:paraId="24912BD6">
            <w:pPr>
              <w:pStyle w:val="5"/>
              <w:jc w:val="both"/>
              <w:rPr>
                <w:rFonts w:hint="eastAsia" w:ascii="仿宋" w:hAnsi="仿宋" w:eastAsia="仿宋" w:cs="仿宋"/>
                <w:highlight w:val="none"/>
              </w:rPr>
            </w:pPr>
            <w:r>
              <w:rPr>
                <w:rFonts w:hint="eastAsia" w:ascii="仿宋" w:hAnsi="仿宋" w:eastAsia="仿宋" w:cs="仿宋"/>
              </w:rPr>
              <w:t>4.供应商未按合同要求提供服务或产品质量不能满足技术要求的，采购方有权要求供应商整改，供应商拒绝整改或整改后仍存在问题的，采购方有权解除合同</w:t>
            </w:r>
            <w:r>
              <w:rPr>
                <w:rFonts w:hint="eastAsia" w:ascii="仿宋" w:hAnsi="仿宋" w:eastAsia="仿宋" w:cs="仿宋"/>
                <w:highlight w:val="none"/>
              </w:rPr>
              <w:t>，并有权要求供应商按照合同总价款的20%向采购方支付违约金。</w:t>
            </w:r>
          </w:p>
          <w:p w14:paraId="70166DC6">
            <w:pPr>
              <w:pStyle w:val="5"/>
              <w:jc w:val="both"/>
              <w:rPr>
                <w:rFonts w:hint="eastAsia" w:ascii="仿宋" w:hAnsi="仿宋" w:eastAsia="仿宋" w:cs="仿宋"/>
                <w:highlight w:val="none"/>
              </w:rPr>
            </w:pPr>
            <w:r>
              <w:rPr>
                <w:rFonts w:hint="eastAsia" w:ascii="仿宋" w:hAnsi="仿宋" w:eastAsia="仿宋" w:cs="仿宋"/>
                <w:highlight w:val="none"/>
              </w:rPr>
              <w:t>5.上述2</w:t>
            </w:r>
            <w:r>
              <w:rPr>
                <w:rFonts w:hint="eastAsia" w:ascii="仿宋" w:hAnsi="仿宋" w:eastAsia="仿宋" w:cs="仿宋"/>
                <w:highlight w:val="none"/>
                <w:lang w:eastAsia="zh-CN"/>
              </w:rPr>
              <w:t>、</w:t>
            </w:r>
            <w:r>
              <w:rPr>
                <w:rFonts w:hint="eastAsia" w:ascii="仿宋" w:hAnsi="仿宋" w:eastAsia="仿宋" w:cs="仿宋"/>
                <w:highlight w:val="none"/>
              </w:rPr>
              <w:t>3</w:t>
            </w:r>
            <w:r>
              <w:rPr>
                <w:rFonts w:hint="eastAsia" w:ascii="仿宋" w:hAnsi="仿宋" w:eastAsia="仿宋" w:cs="仿宋"/>
                <w:highlight w:val="none"/>
                <w:lang w:eastAsia="zh-CN"/>
              </w:rPr>
              <w:t>、</w:t>
            </w:r>
            <w:r>
              <w:rPr>
                <w:rFonts w:hint="eastAsia" w:ascii="仿宋" w:hAnsi="仿宋" w:eastAsia="仿宋" w:cs="仿宋"/>
                <w:highlight w:val="none"/>
              </w:rPr>
              <w:t>4项情形累计发生3次及以上，采购方除按照上述标准扣除违约金外，有权单方面解除本合同。</w:t>
            </w:r>
          </w:p>
          <w:p w14:paraId="3AF4C76D">
            <w:pPr>
              <w:pStyle w:val="5"/>
              <w:jc w:val="both"/>
              <w:rPr>
                <w:rFonts w:hint="eastAsia" w:ascii="仿宋" w:hAnsi="仿宋" w:eastAsia="仿宋" w:cs="仿宋"/>
              </w:rPr>
            </w:pPr>
            <w:r>
              <w:rPr>
                <w:rFonts w:hint="eastAsia" w:ascii="仿宋" w:hAnsi="仿宋" w:eastAsia="仿宋" w:cs="仿宋"/>
                <w:highlight w:val="none"/>
              </w:rPr>
              <w:t>6.因供应商原因，自合同签订之日起150日历天内未完成项目所有工作内容或未提交项目交付成果，供</w:t>
            </w:r>
            <w:r>
              <w:rPr>
                <w:rFonts w:hint="eastAsia" w:ascii="仿宋" w:hAnsi="仿宋" w:eastAsia="仿宋" w:cs="仿宋"/>
              </w:rPr>
              <w:t>应商应向采购方支付合同总价款的20%违约金，采购方有权从合同支付费用中扣除。</w:t>
            </w:r>
          </w:p>
          <w:p w14:paraId="06392197">
            <w:pPr>
              <w:pStyle w:val="5"/>
              <w:jc w:val="both"/>
              <w:rPr>
                <w:rFonts w:hint="eastAsia" w:ascii="仿宋" w:hAnsi="仿宋" w:eastAsia="仿宋" w:cs="仿宋"/>
              </w:rPr>
            </w:pPr>
            <w:r>
              <w:rPr>
                <w:rFonts w:hint="eastAsia" w:ascii="仿宋" w:hAnsi="仿宋" w:eastAsia="仿宋" w:cs="仿宋"/>
              </w:rPr>
              <w:t>7.上述违约金直接从未支付的合同金额中扣减，如合同剩余金额不足扣减违约金，供应商应在规定时限内向采购人支付违约金。</w:t>
            </w:r>
          </w:p>
          <w:p w14:paraId="53F2A1E5">
            <w:pPr>
              <w:pStyle w:val="5"/>
              <w:jc w:val="both"/>
              <w:rPr>
                <w:rFonts w:hint="eastAsia" w:ascii="仿宋" w:hAnsi="仿宋" w:eastAsia="仿宋" w:cs="仿宋"/>
              </w:rPr>
            </w:pPr>
            <w:r>
              <w:rPr>
                <w:rFonts w:hint="eastAsia" w:ascii="仿宋" w:hAnsi="仿宋" w:eastAsia="仿宋" w:cs="仿宋"/>
              </w:rPr>
              <w:t>8.因供应商原因，导致合同无法按时签订的，视为对项目的自动放弃，采购方有权取消供应商的中标或成交资格、并有权依据采购文件中的约定及相关法律规定，追究供应商的违约责任。</w:t>
            </w:r>
          </w:p>
          <w:p w14:paraId="4212ABF3">
            <w:pPr>
              <w:pStyle w:val="5"/>
              <w:jc w:val="both"/>
              <w:rPr>
                <w:rFonts w:hint="eastAsia" w:ascii="仿宋" w:hAnsi="仿宋" w:eastAsia="仿宋" w:cs="仿宋"/>
              </w:rPr>
            </w:pPr>
            <w:r>
              <w:rPr>
                <w:rFonts w:hint="eastAsia" w:ascii="仿宋" w:hAnsi="仿宋" w:eastAsia="仿宋" w:cs="仿宋"/>
              </w:rPr>
              <w:t>9.因供应商泄密或操作不当造成采购人利益损害，除一切后果与法律责任由供应商承担，采购人有权要求供应商赔偿经济损失。</w:t>
            </w:r>
          </w:p>
          <w:p w14:paraId="34120E4D">
            <w:pPr>
              <w:pStyle w:val="5"/>
              <w:jc w:val="both"/>
              <w:rPr>
                <w:rFonts w:hint="eastAsia" w:ascii="仿宋" w:hAnsi="仿宋" w:eastAsia="仿宋" w:cs="仿宋"/>
              </w:rPr>
            </w:pPr>
            <w:r>
              <w:rPr>
                <w:rFonts w:hint="eastAsia" w:ascii="仿宋" w:hAnsi="仿宋" w:eastAsia="仿宋" w:cs="仿宋"/>
              </w:rPr>
              <w:t>10.供应商若违反本协议的任何一款，视为供应商违约；因供应商违约造成采购人损失的，由供应商承担全部的损失赔偿责任，包括但不限于直接经济损失及采购人因此开支的交通费、公证费、鉴定费、诉讼费、仲裁费、律师费、保全费、保全保险费等一切费用。</w:t>
            </w:r>
          </w:p>
        </w:tc>
      </w:tr>
    </w:tbl>
    <w:p w14:paraId="524EC0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09AB1"/>
    <w:multiLevelType w:val="singleLevel"/>
    <w:tmpl w:val="C7909AB1"/>
    <w:lvl w:ilvl="0" w:tentative="0">
      <w:start w:val="1"/>
      <w:numFmt w:val="decimal"/>
      <w:suff w:val="nothing"/>
      <w:lvlText w:val="%1、"/>
      <w:lvlJc w:val="left"/>
    </w:lvl>
  </w:abstractNum>
  <w:abstractNum w:abstractNumId="1">
    <w:nsid w:val="DFD02B15"/>
    <w:multiLevelType w:val="singleLevel"/>
    <w:tmpl w:val="DFD02B15"/>
    <w:lvl w:ilvl="0" w:tentative="0">
      <w:start w:val="1"/>
      <w:numFmt w:val="decimal"/>
      <w:suff w:val="nothing"/>
      <w:lvlText w:val="%1、"/>
      <w:lvlJc w:val="left"/>
    </w:lvl>
  </w:abstractNum>
  <w:abstractNum w:abstractNumId="2">
    <w:nsid w:val="EBBD53C8"/>
    <w:multiLevelType w:val="singleLevel"/>
    <w:tmpl w:val="EBBD53C8"/>
    <w:lvl w:ilvl="0" w:tentative="0">
      <w:start w:val="1"/>
      <w:numFmt w:val="decimal"/>
      <w:suff w:val="nothing"/>
      <w:lvlText w:val="%1、"/>
      <w:lvlJc w:val="left"/>
    </w:lvl>
  </w:abstractNum>
  <w:abstractNum w:abstractNumId="3">
    <w:nsid w:val="F37034EC"/>
    <w:multiLevelType w:val="singleLevel"/>
    <w:tmpl w:val="F37034EC"/>
    <w:lvl w:ilvl="0" w:tentative="0">
      <w:start w:val="1"/>
      <w:numFmt w:val="decimal"/>
      <w:suff w:val="nothing"/>
      <w:lvlText w:val="%1、"/>
      <w:lvlJc w:val="left"/>
    </w:lvl>
  </w:abstractNum>
  <w:abstractNum w:abstractNumId="4">
    <w:nsid w:val="6BC21628"/>
    <w:multiLevelType w:val="singleLevel"/>
    <w:tmpl w:val="6BC21628"/>
    <w:lvl w:ilvl="0" w:tentative="0">
      <w:start w:val="1"/>
      <w:numFmt w:val="decimal"/>
      <w:suff w:val="nothing"/>
      <w:lvlText w:val="%1、"/>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0390A"/>
    <w:rsid w:val="51103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lang w:val="en-US" w:eastAsia="zh-Hans"/>
    </w:rPr>
  </w:style>
  <w:style w:type="paragraph" w:customStyle="1" w:styleId="6">
    <w:name w:val="表格"/>
    <w:basedOn w:val="1"/>
    <w:next w:val="1"/>
    <w:qFormat/>
    <w:uiPriority w:val="0"/>
    <w:pPr>
      <w:ind w:firstLine="0" w:firstLineChars="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2026-04-16T07:21:00Z</dcterms:created>
  <dc:creator>白日梦</dc:creator>
  <cp:lastModifiedBy>白日梦</cp:lastModifiedBy>
  <dcterms:modified xsi:type="dcterms:W3CDTF">2026-04-16T07:21:21Z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F9ACA313D2AF433AA1B1AD01BE55EA48_11</vt:lpwstr>
  </property>
  <property fmtid="{D5CDD505-2E9C-101B-9397-08002B2CF9AE}" pid="4" name="KSOTemplateDocerSaveRecord">
    <vt:lpwstr>eyJoZGlkIjoiMmI4OWRlOTg5Mjg2N2IyMWM1YTg2YmExNmY1Njc1NzEiLCJ1c2VySWQiOiIzMTI3MDEwNzEifQ==</vt:lpwstr>
  </property>
</Properties>
</file>