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ED6E"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采购需求</w:t>
      </w:r>
    </w:p>
    <w:p w14:paraId="0E902C8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项目背景</w:t>
      </w:r>
      <w:bookmarkStart w:id="3" w:name="_GoBack"/>
      <w:bookmarkEnd w:id="3"/>
    </w:p>
    <w:p w14:paraId="64D26F31">
      <w:pPr>
        <w:overflowPunct w:val="0"/>
        <w:autoSpaceDE w:val="0"/>
        <w:autoSpaceDN w:val="0"/>
        <w:spacing w:line="360" w:lineRule="auto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zh-CN"/>
        </w:rPr>
        <w:t>根据国家住房和城乡建设部、国家发展和改革委员会、国家疾病预防控制局等三部委关于供水安全管理的总体部署，以及陕西省水利、发展和改革、财政、生态环境、住房和城乡建设、卫生健康、乡村振兴等七部门对城乡供水安全保障的联合工作要求，结合西安市城市供水监督管理的实际需要，为切实做好西安市城市供水安全保障工作，从“加强水质检测、严把水质关口、规范供水设施运行管理”等重点环节入手，对西安市城市供水设施安全运行及水质、水量、水压、供水服务等关键指标全面开展监督、检查、监测与管理工作。为此，亟需开展《西安市城市供水管理项目》（2026年7月—2027年6月）设计服务编制工作，围绕水源、水厂、管网及供水网络直至用户的供水全产业链，系统推进行政监督、检查与指导工作，持之以恒抓好城乡供水安全保障各项任务，不断提升城乡居民的获得感、幸福感和安全感。</w:t>
      </w:r>
    </w:p>
    <w:p w14:paraId="642C3DD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/>
          <w:lang w:val="zh-C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二、服务内容</w:t>
      </w:r>
    </w:p>
    <w:p w14:paraId="7C5CB4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根据城市供水监督与管理工作的实际需求，并借鉴国内其他城市的供水监管经验，现拟编制《西安市城市供水管理项目（2026年7月—2027年6月）设计方案》。该方案将依据国家、省、市现行相关法规、政策及标准，系统分析西安市开展城市供水监督及管理工作的必要性，并进一步明确城市供水的监督内容、管理范围及监管制度（涵盖供水服务、水质、水压及水量等方面）。</w:t>
      </w:r>
    </w:p>
    <w:p w14:paraId="1527C45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本次实施方案的设计范围覆盖西安市市域范围内所有供水设施，同时结合市、区县两级供水管理工作的任务分配与目标责任，涵盖从水源、水厂、管网直至用户的全链条管理提升工作。方案主要设计内容包括但不限于：项目建设背景、编制依据、建设条件及任务、需求分析、建设方案、建设与运行管理，以及相应的投资估算、效益分析。</w:t>
      </w:r>
    </w:p>
    <w:p w14:paraId="11AEFC3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设计成果要求</w:t>
      </w:r>
    </w:p>
    <w:p w14:paraId="3E84EE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《西安市城市供水管理项目》（2026年7月-2027年6月）的设计成果以纸质版和电子版（PDF）的形式提交。纸质版5份，电子版1份。</w:t>
      </w:r>
    </w:p>
    <w:p w14:paraId="7EB1DB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四、服务期限：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zh-CN" w:eastAsia="zh-CN" w:bidi="ar-SA"/>
        </w:rPr>
        <w:t>自合同签订之日起30个日历天。</w:t>
      </w:r>
      <w:bookmarkStart w:id="0" w:name="_Toc5405"/>
      <w:bookmarkStart w:id="1" w:name="_Toc18865"/>
      <w:bookmarkStart w:id="2" w:name="_Toc17065"/>
    </w:p>
    <w:p w14:paraId="178FEAF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五、保密要求</w:t>
      </w:r>
      <w:bookmarkEnd w:id="0"/>
      <w:bookmarkEnd w:id="1"/>
      <w:bookmarkEnd w:id="2"/>
    </w:p>
    <w:p w14:paraId="1D7EEB6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zh-CN" w:eastAsia="zh-CN" w:bidi="ar-SA"/>
        </w:rPr>
        <w:t>供应商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应永久恪守因签署或履行本合同而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zh-CN" w:eastAsia="zh-CN" w:bidi="ar-SA"/>
        </w:rPr>
        <w:t>知悉的采购人商业秘密和党政机关保密信息应严格保守，保证不被披露或使用，包括意外或过失。若因供应商</w:t>
      </w:r>
      <w:r>
        <w:rPr>
          <w:rFonts w:hint="eastAsia" w:ascii="仿宋_GB2312" w:hAnsi="仿宋_GB2312" w:eastAsia="仿宋_GB2312" w:cs="仿宋_GB2312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获知的项目相关秘密信息泄露给第三方，应赔偿因泄密而给采购人造成的一切损失并承担相应的法律责任（包括刑事责任）。</w:t>
      </w:r>
    </w:p>
    <w:p w14:paraId="25D8C8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1136D"/>
    <w:multiLevelType w:val="multilevel"/>
    <w:tmpl w:val="8E31136D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F72C5"/>
    <w:rsid w:val="2D3576C1"/>
    <w:rsid w:val="3E1E037D"/>
    <w:rsid w:val="45DF72C5"/>
    <w:rsid w:val="656C55A9"/>
    <w:rsid w:val="70113CA5"/>
    <w:rsid w:val="7A7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numPr>
        <w:ilvl w:val="0"/>
        <w:numId w:val="1"/>
      </w:numPr>
      <w:spacing w:line="700" w:lineRule="exact"/>
      <w:jc w:val="center"/>
      <w:outlineLvl w:val="0"/>
    </w:pPr>
    <w:rPr>
      <w:rFonts w:ascii="黑体" w:hAnsi="黑体" w:eastAsia="宋体"/>
      <w:b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numPr>
        <w:ilvl w:val="1"/>
        <w:numId w:val="1"/>
      </w:numPr>
      <w:spacing w:line="700" w:lineRule="exact"/>
      <w:outlineLvl w:val="1"/>
    </w:pPr>
    <w:rPr>
      <w:rFonts w:ascii="黑体" w:hAnsi="黑体" w:eastAsia="宋体"/>
      <w:b/>
      <w:sz w:val="4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napToGrid w:val="0"/>
      <w:spacing w:before="260" w:beforeLines="0" w:beforeAutospacing="0" w:after="260" w:afterLines="0" w:afterAutospacing="0" w:line="300" w:lineRule="auto"/>
      <w:ind w:firstLine="403"/>
      <w:outlineLvl w:val="2"/>
    </w:pPr>
    <w:rPr>
      <w:rFonts w:eastAsia="仿宋_GB2312" w:asciiTheme="minorAscii" w:hAnsiTheme="minorAscii"/>
      <w:b/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kern w:val="0"/>
    </w:rPr>
  </w:style>
  <w:style w:type="character" w:customStyle="1" w:styleId="14">
    <w:name w:val="标题 1 Char"/>
    <w:link w:val="3"/>
    <w:qFormat/>
    <w:uiPriority w:val="0"/>
    <w:rPr>
      <w:rFonts w:ascii="黑体" w:hAnsi="黑体" w:eastAsia="宋体"/>
      <w:b/>
      <w:sz w:val="44"/>
    </w:rPr>
  </w:style>
  <w:style w:type="character" w:customStyle="1" w:styleId="15">
    <w:name w:val="标题 2 Char"/>
    <w:link w:val="4"/>
    <w:uiPriority w:val="0"/>
    <w:rPr>
      <w:rFonts w:ascii="黑体" w:hAnsi="黑体" w:eastAsia="宋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2026-04-17T08:40:00Z</dcterms:created>
  <dc:creator>陕西华采招标有限公司</dc:creator>
  <cp:lastModifiedBy>陕西华采招标有限公司</cp:lastModifiedBy>
  <dcterms:modified xsi:type="dcterms:W3CDTF">2026-04-17T08:41:34Z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A80C3E5F74814569A09AC366CD79AFE4_11</vt:lpwstr>
  </property>
  <property fmtid="{D5CDD505-2E9C-101B-9397-08002B2CF9AE}" pid="4" name="KSOTemplateDocerSaveRecord">
    <vt:lpwstr>eyJoZGlkIjoiNzlkYjQxZmY4MWQ0ZWY2YTZhOTY1MTMyMDgzMmE0NmEiLCJ1c2VySWQiOiI5MzY1NjA0ODAifQ==</vt:lpwstr>
  </property>
</Properties>
</file>