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04E32">
      <w:pPr>
        <w:spacing w:before="79" w:line="220" w:lineRule="auto"/>
        <w:outlineLvl w:val="0"/>
        <w:rPr>
          <w:rFonts w:hint="eastAsia" w:ascii="宋体" w:hAnsi="宋体" w:eastAsia="宋体" w:cs="宋体"/>
          <w:sz w:val="28"/>
          <w:szCs w:val="28"/>
          <w:highlight w:val="none"/>
          <w:lang w:eastAsia="zh-CN"/>
        </w:rPr>
      </w:pPr>
      <w:bookmarkStart w:id="0" w:name="_Toc9319"/>
      <w:bookmarkStart w:id="1" w:name="_Toc5971"/>
      <w:r>
        <w:rPr>
          <w:rFonts w:ascii="宋体" w:hAnsi="宋体" w:eastAsia="宋体" w:cs="宋体"/>
          <w:b/>
          <w:bCs/>
          <w:spacing w:val="-3"/>
          <w:sz w:val="28"/>
          <w:szCs w:val="28"/>
          <w:highlight w:val="none"/>
        </w:rPr>
        <w:t>项目编号：</w:t>
      </w:r>
      <w:bookmarkEnd w:id="0"/>
      <w:bookmarkEnd w:id="1"/>
      <w:r>
        <w:rPr>
          <w:rFonts w:hint="eastAsia" w:ascii="宋体" w:hAnsi="宋体" w:eastAsia="宋体" w:cs="宋体"/>
          <w:b/>
          <w:bCs/>
          <w:spacing w:val="-3"/>
          <w:sz w:val="28"/>
          <w:szCs w:val="28"/>
          <w:highlight w:val="none"/>
          <w:lang w:eastAsia="zh-CN"/>
        </w:rPr>
        <w:t>SXZCZB2026-ZCGK-0327</w:t>
      </w:r>
    </w:p>
    <w:p w14:paraId="6D1C685A">
      <w:pPr>
        <w:pStyle w:val="5"/>
        <w:spacing w:line="259" w:lineRule="auto"/>
        <w:rPr>
          <w:highlight w:val="none"/>
        </w:rPr>
      </w:pPr>
    </w:p>
    <w:p w14:paraId="26552B82">
      <w:pPr>
        <w:pStyle w:val="5"/>
        <w:spacing w:line="259" w:lineRule="auto"/>
        <w:rPr>
          <w:highlight w:val="none"/>
        </w:rPr>
      </w:pPr>
    </w:p>
    <w:p w14:paraId="1509B988">
      <w:pPr>
        <w:pStyle w:val="5"/>
        <w:spacing w:line="260" w:lineRule="auto"/>
        <w:rPr>
          <w:highlight w:val="none"/>
        </w:rPr>
      </w:pPr>
    </w:p>
    <w:p w14:paraId="201B4E55">
      <w:pPr>
        <w:pStyle w:val="5"/>
        <w:spacing w:line="260" w:lineRule="auto"/>
        <w:rPr>
          <w:highlight w:val="none"/>
        </w:rPr>
      </w:pPr>
    </w:p>
    <w:p w14:paraId="592C27C4">
      <w:pPr>
        <w:spacing w:before="130" w:line="221" w:lineRule="auto"/>
        <w:jc w:val="right"/>
        <w:outlineLvl w:val="0"/>
        <w:rPr>
          <w:rFonts w:hint="default" w:ascii="宋体" w:hAnsi="宋体" w:eastAsia="宋体" w:cs="宋体"/>
          <w:sz w:val="40"/>
          <w:szCs w:val="40"/>
          <w:highlight w:val="none"/>
          <w:lang w:val="en-US" w:eastAsia="zh-CN"/>
        </w:rPr>
      </w:pPr>
      <w:bookmarkStart w:id="2" w:name="_Toc7480"/>
      <w:bookmarkStart w:id="3" w:name="_Toc25809"/>
      <w:r>
        <w:rPr>
          <w:rFonts w:hint="eastAsia" w:ascii="宋体" w:hAnsi="宋体" w:eastAsia="宋体" w:cs="宋体"/>
          <w:b/>
          <w:bCs/>
          <w:spacing w:val="-4"/>
          <w:sz w:val="40"/>
          <w:szCs w:val="40"/>
          <w:highlight w:val="none"/>
          <w:lang w:eastAsia="zh-CN"/>
        </w:rPr>
        <w:t>富阎产业合作园区重点项目考古发掘劳务服务项</w:t>
      </w:r>
      <w:r>
        <w:rPr>
          <w:rFonts w:hint="eastAsia" w:ascii="宋体" w:hAnsi="宋体" w:eastAsia="宋体" w:cs="宋体"/>
          <w:b/>
          <w:bCs/>
          <w:spacing w:val="-4"/>
          <w:sz w:val="40"/>
          <w:szCs w:val="40"/>
          <w:highlight w:val="none"/>
          <w:lang w:val="en-US" w:eastAsia="zh-CN"/>
        </w:rPr>
        <w:t>目</w:t>
      </w:r>
      <w:bookmarkEnd w:id="2"/>
      <w:bookmarkEnd w:id="3"/>
    </w:p>
    <w:p w14:paraId="62BB36D3">
      <w:pPr>
        <w:pStyle w:val="5"/>
        <w:spacing w:line="255" w:lineRule="auto"/>
        <w:rPr>
          <w:highlight w:val="none"/>
        </w:rPr>
      </w:pPr>
    </w:p>
    <w:p w14:paraId="64D7D27C">
      <w:pPr>
        <w:pStyle w:val="5"/>
        <w:spacing w:line="255" w:lineRule="auto"/>
        <w:rPr>
          <w:highlight w:val="none"/>
        </w:rPr>
      </w:pPr>
    </w:p>
    <w:p w14:paraId="293D639C">
      <w:pPr>
        <w:pStyle w:val="5"/>
        <w:spacing w:line="255" w:lineRule="auto"/>
        <w:rPr>
          <w:highlight w:val="none"/>
        </w:rPr>
      </w:pPr>
    </w:p>
    <w:p w14:paraId="01C0FB9D">
      <w:pPr>
        <w:pStyle w:val="5"/>
        <w:spacing w:line="255" w:lineRule="auto"/>
        <w:rPr>
          <w:highlight w:val="none"/>
        </w:rPr>
      </w:pPr>
    </w:p>
    <w:p w14:paraId="3BF3EE55">
      <w:pPr>
        <w:pStyle w:val="5"/>
        <w:spacing w:line="255" w:lineRule="auto"/>
        <w:rPr>
          <w:highlight w:val="none"/>
        </w:rPr>
      </w:pPr>
    </w:p>
    <w:p w14:paraId="4296D40E">
      <w:pPr>
        <w:pStyle w:val="5"/>
        <w:spacing w:line="256" w:lineRule="auto"/>
        <w:rPr>
          <w:highlight w:val="none"/>
        </w:rPr>
      </w:pPr>
    </w:p>
    <w:p w14:paraId="0A01E14D">
      <w:pPr>
        <w:pStyle w:val="5"/>
        <w:spacing w:line="256" w:lineRule="auto"/>
        <w:rPr>
          <w:highlight w:val="none"/>
        </w:rPr>
      </w:pPr>
    </w:p>
    <w:p w14:paraId="7985059C">
      <w:pPr>
        <w:pStyle w:val="5"/>
        <w:spacing w:line="256" w:lineRule="auto"/>
        <w:rPr>
          <w:highlight w:val="none"/>
        </w:rPr>
      </w:pPr>
    </w:p>
    <w:p w14:paraId="33E2931B">
      <w:pPr>
        <w:spacing w:before="286" w:line="222" w:lineRule="auto"/>
        <w:ind w:left="1894"/>
        <w:outlineLvl w:val="0"/>
        <w:rPr>
          <w:rFonts w:ascii="仿宋" w:hAnsi="仿宋" w:eastAsia="仿宋" w:cs="仿宋"/>
          <w:sz w:val="88"/>
          <w:szCs w:val="88"/>
          <w:highlight w:val="none"/>
        </w:rPr>
      </w:pPr>
      <w:bookmarkStart w:id="4" w:name="_Toc7898"/>
      <w:bookmarkStart w:id="5" w:name="_Toc7329"/>
      <w:r>
        <w:rPr>
          <w:rFonts w:ascii="仿宋" w:hAnsi="仿宋" w:eastAsia="仿宋" w:cs="仿宋"/>
          <w:b/>
          <w:bCs/>
          <w:spacing w:val="-20"/>
          <w:sz w:val="88"/>
          <w:szCs w:val="88"/>
          <w:highlight w:val="none"/>
        </w:rPr>
        <w:t>公开征集文件</w:t>
      </w:r>
      <w:bookmarkEnd w:id="4"/>
      <w:bookmarkEnd w:id="5"/>
    </w:p>
    <w:p w14:paraId="5D489D19">
      <w:pPr>
        <w:pStyle w:val="5"/>
        <w:spacing w:line="254" w:lineRule="auto"/>
        <w:rPr>
          <w:highlight w:val="none"/>
        </w:rPr>
      </w:pPr>
    </w:p>
    <w:p w14:paraId="6565AEEB">
      <w:pPr>
        <w:pStyle w:val="5"/>
        <w:spacing w:line="254" w:lineRule="auto"/>
        <w:rPr>
          <w:highlight w:val="none"/>
        </w:rPr>
      </w:pPr>
    </w:p>
    <w:p w14:paraId="13B6C4C4">
      <w:pPr>
        <w:pStyle w:val="5"/>
        <w:spacing w:line="254" w:lineRule="auto"/>
        <w:rPr>
          <w:highlight w:val="none"/>
        </w:rPr>
      </w:pPr>
    </w:p>
    <w:p w14:paraId="49C330F8">
      <w:pPr>
        <w:pStyle w:val="5"/>
        <w:spacing w:line="254" w:lineRule="auto"/>
        <w:rPr>
          <w:highlight w:val="none"/>
        </w:rPr>
      </w:pPr>
    </w:p>
    <w:p w14:paraId="53DABE92">
      <w:pPr>
        <w:pStyle w:val="5"/>
        <w:spacing w:line="254" w:lineRule="auto"/>
        <w:rPr>
          <w:highlight w:val="none"/>
        </w:rPr>
      </w:pPr>
    </w:p>
    <w:p w14:paraId="4459DDC4">
      <w:pPr>
        <w:pStyle w:val="5"/>
        <w:spacing w:line="254" w:lineRule="auto"/>
        <w:rPr>
          <w:highlight w:val="none"/>
        </w:rPr>
      </w:pPr>
    </w:p>
    <w:p w14:paraId="22619EA7">
      <w:pPr>
        <w:pStyle w:val="5"/>
        <w:spacing w:line="254" w:lineRule="auto"/>
        <w:rPr>
          <w:highlight w:val="none"/>
        </w:rPr>
      </w:pPr>
    </w:p>
    <w:p w14:paraId="1877313C">
      <w:pPr>
        <w:pStyle w:val="5"/>
        <w:spacing w:line="254" w:lineRule="auto"/>
        <w:rPr>
          <w:highlight w:val="none"/>
        </w:rPr>
      </w:pPr>
    </w:p>
    <w:p w14:paraId="27DF3B1A">
      <w:pPr>
        <w:pStyle w:val="5"/>
        <w:spacing w:line="254" w:lineRule="auto"/>
        <w:rPr>
          <w:highlight w:val="none"/>
        </w:rPr>
      </w:pPr>
    </w:p>
    <w:p w14:paraId="786A8BF3">
      <w:pPr>
        <w:pStyle w:val="5"/>
        <w:spacing w:line="254" w:lineRule="auto"/>
        <w:rPr>
          <w:highlight w:val="none"/>
        </w:rPr>
      </w:pPr>
    </w:p>
    <w:p w14:paraId="3DA5AB89">
      <w:pPr>
        <w:pStyle w:val="5"/>
        <w:spacing w:line="254" w:lineRule="auto"/>
        <w:rPr>
          <w:highlight w:val="none"/>
        </w:rPr>
      </w:pPr>
    </w:p>
    <w:p w14:paraId="2F423856">
      <w:pPr>
        <w:pStyle w:val="5"/>
        <w:spacing w:line="254" w:lineRule="auto"/>
        <w:rPr>
          <w:highlight w:val="none"/>
        </w:rPr>
      </w:pPr>
    </w:p>
    <w:p w14:paraId="0CB0EA89">
      <w:pPr>
        <w:pStyle w:val="5"/>
        <w:spacing w:line="254" w:lineRule="auto"/>
        <w:rPr>
          <w:highlight w:val="none"/>
        </w:rPr>
      </w:pPr>
    </w:p>
    <w:p w14:paraId="2B8C923D">
      <w:pPr>
        <w:bidi w:val="0"/>
        <w:rPr>
          <w:highlight w:val="none"/>
        </w:rPr>
      </w:pPr>
      <w:bookmarkStart w:id="6" w:name="_Toc27579"/>
      <w:bookmarkStart w:id="7" w:name="_Toc1521"/>
    </w:p>
    <w:p w14:paraId="2C777A7E">
      <w:pPr>
        <w:bidi w:val="0"/>
        <w:rPr>
          <w:highlight w:val="none"/>
        </w:rPr>
      </w:pPr>
    </w:p>
    <w:p w14:paraId="655DFF4F">
      <w:pPr>
        <w:bidi w:val="0"/>
        <w:rPr>
          <w:highlight w:val="none"/>
        </w:rPr>
      </w:pPr>
    </w:p>
    <w:p w14:paraId="0B08A316">
      <w:pPr>
        <w:spacing w:before="101" w:line="225" w:lineRule="auto"/>
        <w:ind w:left="1686"/>
        <w:outlineLvl w:val="0"/>
        <w:rPr>
          <w:rFonts w:ascii="宋体" w:hAnsi="宋体" w:eastAsia="宋体" w:cs="宋体"/>
          <w:sz w:val="31"/>
          <w:szCs w:val="31"/>
          <w:highlight w:val="none"/>
        </w:rPr>
      </w:pPr>
      <w:r>
        <w:rPr>
          <w:rFonts w:ascii="宋体" w:hAnsi="宋体" w:eastAsia="宋体" w:cs="宋体"/>
          <w:b/>
          <w:bCs/>
          <w:spacing w:val="1"/>
          <w:sz w:val="31"/>
          <w:szCs w:val="31"/>
          <w:highlight w:val="none"/>
        </w:rPr>
        <w:t>征</w:t>
      </w:r>
      <w:r>
        <w:rPr>
          <w:rFonts w:ascii="宋体" w:hAnsi="宋体" w:eastAsia="宋体" w:cs="宋体"/>
          <w:spacing w:val="1"/>
          <w:sz w:val="31"/>
          <w:szCs w:val="31"/>
          <w:highlight w:val="none"/>
        </w:rPr>
        <w:t xml:space="preserve">   </w:t>
      </w:r>
      <w:r>
        <w:rPr>
          <w:rFonts w:ascii="宋体" w:hAnsi="宋体" w:eastAsia="宋体" w:cs="宋体"/>
          <w:b/>
          <w:bCs/>
          <w:spacing w:val="1"/>
          <w:sz w:val="31"/>
          <w:szCs w:val="31"/>
          <w:highlight w:val="none"/>
        </w:rPr>
        <w:t>集</w:t>
      </w:r>
      <w:r>
        <w:rPr>
          <w:rFonts w:ascii="宋体" w:hAnsi="宋体" w:eastAsia="宋体" w:cs="宋体"/>
          <w:spacing w:val="11"/>
          <w:sz w:val="31"/>
          <w:szCs w:val="31"/>
          <w:highlight w:val="none"/>
        </w:rPr>
        <w:t xml:space="preserve">   </w:t>
      </w:r>
      <w:r>
        <w:rPr>
          <w:rFonts w:ascii="宋体" w:hAnsi="宋体" w:eastAsia="宋体" w:cs="宋体"/>
          <w:b/>
          <w:bCs/>
          <w:spacing w:val="1"/>
          <w:sz w:val="31"/>
          <w:szCs w:val="31"/>
          <w:highlight w:val="none"/>
        </w:rPr>
        <w:t>人</w:t>
      </w:r>
      <w:r>
        <w:rPr>
          <w:rFonts w:ascii="宋体" w:hAnsi="宋体" w:eastAsia="宋体" w:cs="宋体"/>
          <w:spacing w:val="-91"/>
          <w:sz w:val="31"/>
          <w:szCs w:val="31"/>
          <w:highlight w:val="none"/>
        </w:rPr>
        <w:t xml:space="preserve"> </w:t>
      </w:r>
      <w:r>
        <w:rPr>
          <w:rFonts w:ascii="宋体" w:hAnsi="宋体" w:eastAsia="宋体" w:cs="宋体"/>
          <w:b/>
          <w:bCs/>
          <w:spacing w:val="1"/>
          <w:sz w:val="31"/>
          <w:szCs w:val="31"/>
          <w:highlight w:val="none"/>
        </w:rPr>
        <w:t>:</w:t>
      </w:r>
      <w:r>
        <w:rPr>
          <w:rFonts w:ascii="宋体" w:hAnsi="宋体" w:eastAsia="宋体" w:cs="宋体"/>
          <w:spacing w:val="32"/>
          <w:sz w:val="31"/>
          <w:szCs w:val="31"/>
          <w:highlight w:val="none"/>
        </w:rPr>
        <w:t xml:space="preserve"> </w:t>
      </w:r>
      <w:r>
        <w:rPr>
          <w:rFonts w:ascii="宋体" w:hAnsi="宋体" w:eastAsia="宋体" w:cs="宋体"/>
          <w:b/>
          <w:bCs/>
          <w:spacing w:val="1"/>
          <w:sz w:val="31"/>
          <w:szCs w:val="31"/>
          <w:highlight w:val="none"/>
        </w:rPr>
        <w:t>富阎产业合作园区管理委员会</w:t>
      </w:r>
      <w:bookmarkEnd w:id="6"/>
      <w:bookmarkEnd w:id="7"/>
    </w:p>
    <w:p w14:paraId="63B62B0A">
      <w:pPr>
        <w:spacing w:before="243" w:line="225" w:lineRule="auto"/>
        <w:ind w:left="1681"/>
        <w:rPr>
          <w:rFonts w:hint="eastAsia" w:ascii="宋体" w:hAnsi="宋体" w:eastAsia="宋体" w:cs="宋体"/>
          <w:sz w:val="31"/>
          <w:szCs w:val="31"/>
          <w:highlight w:val="none"/>
          <w:lang w:eastAsia="zh-CN"/>
        </w:rPr>
      </w:pPr>
      <w:r>
        <w:rPr>
          <w:rFonts w:ascii="宋体" w:hAnsi="宋体" w:eastAsia="宋体" w:cs="宋体"/>
          <w:b/>
          <w:bCs/>
          <w:spacing w:val="4"/>
          <w:sz w:val="31"/>
          <w:szCs w:val="31"/>
          <w:highlight w:val="none"/>
        </w:rPr>
        <w:t>采购代理机构</w:t>
      </w:r>
      <w:r>
        <w:rPr>
          <w:rFonts w:ascii="宋体" w:hAnsi="宋体" w:eastAsia="宋体" w:cs="宋体"/>
          <w:spacing w:val="-86"/>
          <w:sz w:val="31"/>
          <w:szCs w:val="31"/>
          <w:highlight w:val="none"/>
        </w:rPr>
        <w:t xml:space="preserve"> </w:t>
      </w:r>
      <w:r>
        <w:rPr>
          <w:rFonts w:ascii="宋体" w:hAnsi="宋体" w:eastAsia="宋体" w:cs="宋体"/>
          <w:b/>
          <w:bCs/>
          <w:spacing w:val="4"/>
          <w:sz w:val="31"/>
          <w:szCs w:val="31"/>
          <w:highlight w:val="none"/>
        </w:rPr>
        <w:t>:</w:t>
      </w:r>
      <w:r>
        <w:rPr>
          <w:rFonts w:ascii="宋体" w:hAnsi="宋体" w:eastAsia="宋体" w:cs="宋体"/>
          <w:spacing w:val="4"/>
          <w:sz w:val="31"/>
          <w:szCs w:val="31"/>
          <w:highlight w:val="none"/>
        </w:rPr>
        <w:t xml:space="preserve"> </w:t>
      </w:r>
      <w:r>
        <w:rPr>
          <w:rFonts w:hint="eastAsia" w:ascii="宋体" w:hAnsi="宋体" w:eastAsia="宋体" w:cs="宋体"/>
          <w:b/>
          <w:bCs/>
          <w:spacing w:val="4"/>
          <w:sz w:val="31"/>
          <w:szCs w:val="31"/>
          <w:highlight w:val="none"/>
          <w:lang w:eastAsia="zh-CN"/>
        </w:rPr>
        <w:t>陕西至诚项目管理集团有限公司</w:t>
      </w:r>
    </w:p>
    <w:p w14:paraId="113F645B">
      <w:pPr>
        <w:spacing w:before="243" w:line="225" w:lineRule="auto"/>
        <w:ind w:firstLine="2873" w:firstLineChars="900"/>
        <w:jc w:val="both"/>
        <w:rPr>
          <w:rFonts w:hint="eastAsia" w:ascii="宋体" w:hAnsi="宋体" w:eastAsia="宋体" w:cs="宋体"/>
          <w:b/>
          <w:bCs/>
          <w:spacing w:val="4"/>
          <w:sz w:val="31"/>
          <w:szCs w:val="31"/>
          <w:highlight w:val="none"/>
          <w:lang w:eastAsia="zh-CN"/>
        </w:rPr>
      </w:pPr>
      <w:r>
        <w:rPr>
          <w:rFonts w:hint="eastAsia" w:ascii="宋体" w:hAnsi="宋体" w:eastAsia="宋体" w:cs="宋体"/>
          <w:b/>
          <w:bCs/>
          <w:spacing w:val="4"/>
          <w:sz w:val="31"/>
          <w:szCs w:val="31"/>
          <w:highlight w:val="none"/>
          <w:lang w:val="en-US" w:eastAsia="zh-CN"/>
        </w:rPr>
        <w:t>日期：</w:t>
      </w:r>
      <w:r>
        <w:rPr>
          <w:rFonts w:hint="eastAsia" w:ascii="宋体" w:hAnsi="宋体" w:eastAsia="宋体" w:cs="宋体"/>
          <w:b/>
          <w:bCs/>
          <w:spacing w:val="4"/>
          <w:sz w:val="31"/>
          <w:szCs w:val="31"/>
          <w:highlight w:val="none"/>
          <w:lang w:eastAsia="zh-CN"/>
        </w:rPr>
        <w:t>202</w:t>
      </w:r>
      <w:r>
        <w:rPr>
          <w:rFonts w:hint="eastAsia" w:ascii="宋体" w:hAnsi="宋体" w:eastAsia="宋体" w:cs="宋体"/>
          <w:b/>
          <w:bCs/>
          <w:spacing w:val="4"/>
          <w:sz w:val="31"/>
          <w:szCs w:val="31"/>
          <w:highlight w:val="none"/>
          <w:lang w:val="en-US" w:eastAsia="zh-CN"/>
        </w:rPr>
        <w:t>6</w:t>
      </w:r>
      <w:r>
        <w:rPr>
          <w:rFonts w:hint="eastAsia" w:ascii="宋体" w:hAnsi="宋体" w:eastAsia="宋体" w:cs="宋体"/>
          <w:b/>
          <w:bCs/>
          <w:spacing w:val="4"/>
          <w:sz w:val="31"/>
          <w:szCs w:val="31"/>
          <w:highlight w:val="none"/>
          <w:lang w:eastAsia="zh-CN"/>
        </w:rPr>
        <w:t>年</w:t>
      </w:r>
      <w:r>
        <w:rPr>
          <w:rFonts w:hint="eastAsia" w:ascii="宋体" w:hAnsi="宋体" w:eastAsia="宋体" w:cs="宋体"/>
          <w:b/>
          <w:bCs/>
          <w:spacing w:val="4"/>
          <w:sz w:val="31"/>
          <w:szCs w:val="31"/>
          <w:highlight w:val="none"/>
          <w:lang w:val="en-US" w:eastAsia="zh-CN"/>
        </w:rPr>
        <w:t>03</w:t>
      </w:r>
      <w:r>
        <w:rPr>
          <w:rFonts w:hint="eastAsia" w:ascii="宋体" w:hAnsi="宋体" w:eastAsia="宋体" w:cs="宋体"/>
          <w:b/>
          <w:bCs/>
          <w:spacing w:val="4"/>
          <w:sz w:val="31"/>
          <w:szCs w:val="31"/>
          <w:highlight w:val="none"/>
          <w:lang w:eastAsia="zh-CN"/>
        </w:rPr>
        <w:t>月</w:t>
      </w:r>
    </w:p>
    <w:p w14:paraId="74FE8910">
      <w:pPr>
        <w:spacing w:line="225" w:lineRule="auto"/>
        <w:rPr>
          <w:rFonts w:ascii="宋体" w:hAnsi="宋体" w:eastAsia="宋体" w:cs="宋体"/>
          <w:sz w:val="35"/>
          <w:szCs w:val="35"/>
          <w:highlight w:val="none"/>
        </w:rPr>
        <w:sectPr>
          <w:pgSz w:w="11907" w:h="16840"/>
          <w:pgMar w:top="1431" w:right="1536" w:bottom="0" w:left="1483" w:header="0" w:footer="0" w:gutter="0"/>
          <w:cols w:space="720" w:num="1"/>
        </w:sectPr>
      </w:pPr>
    </w:p>
    <w:p w14:paraId="3B2EBC74">
      <w:pPr>
        <w:pStyle w:val="9"/>
        <w:tabs>
          <w:tab w:val="right" w:leader="dot" w:pos="9545"/>
        </w:tabs>
        <w:spacing w:line="600" w:lineRule="auto"/>
        <w:jc w:val="center"/>
        <w:rPr>
          <w:rFonts w:hint="eastAsia" w:eastAsia="宋体"/>
          <w:b/>
          <w:bCs/>
          <w:sz w:val="32"/>
          <w:szCs w:val="32"/>
          <w:highlight w:val="none"/>
          <w:lang w:val="en-US" w:eastAsia="zh-CN"/>
        </w:rPr>
      </w:pPr>
      <w:r>
        <w:rPr>
          <w:rFonts w:hint="eastAsia" w:eastAsia="宋体"/>
          <w:b/>
          <w:bCs/>
          <w:sz w:val="32"/>
          <w:szCs w:val="32"/>
          <w:highlight w:val="none"/>
          <w:lang w:val="en-US" w:eastAsia="zh-CN"/>
        </w:rPr>
        <w:t>目 录</w:t>
      </w:r>
    </w:p>
    <w:p w14:paraId="3ED79240">
      <w:pPr>
        <w:pStyle w:val="9"/>
        <w:tabs>
          <w:tab w:val="right" w:leader="dot" w:pos="9545"/>
        </w:tabs>
        <w:spacing w:line="600" w:lineRule="auto"/>
        <w:rPr>
          <w:b/>
          <w:bCs/>
          <w:sz w:val="32"/>
          <w:szCs w:val="32"/>
          <w:highlight w:val="none"/>
        </w:rPr>
      </w:pPr>
      <w:r>
        <w:rPr>
          <w:b/>
          <w:bCs/>
          <w:sz w:val="32"/>
          <w:szCs w:val="32"/>
          <w:highlight w:val="none"/>
        </w:rPr>
        <w:fldChar w:fldCharType="begin"/>
      </w:r>
      <w:r>
        <w:rPr>
          <w:b/>
          <w:bCs/>
          <w:sz w:val="32"/>
          <w:szCs w:val="32"/>
          <w:highlight w:val="none"/>
        </w:rPr>
        <w:instrText xml:space="preserve">TOC \o "1-1" \h \u </w:instrText>
      </w:r>
      <w:r>
        <w:rPr>
          <w:b/>
          <w:bCs/>
          <w:sz w:val="32"/>
          <w:szCs w:val="32"/>
          <w:highlight w:val="none"/>
        </w:rPr>
        <w:fldChar w:fldCharType="separate"/>
      </w:r>
      <w:r>
        <w:rPr>
          <w:b/>
          <w:bCs/>
          <w:sz w:val="32"/>
          <w:szCs w:val="32"/>
          <w:highlight w:val="none"/>
        </w:rPr>
        <w:fldChar w:fldCharType="begin"/>
      </w:r>
      <w:r>
        <w:rPr>
          <w:b/>
          <w:bCs/>
          <w:sz w:val="32"/>
          <w:szCs w:val="32"/>
          <w:highlight w:val="none"/>
        </w:rPr>
        <w:instrText xml:space="preserve"> HYPERLINK \l _Toc13757 </w:instrText>
      </w:r>
      <w:r>
        <w:rPr>
          <w:b/>
          <w:bCs/>
          <w:sz w:val="32"/>
          <w:szCs w:val="32"/>
          <w:highlight w:val="none"/>
        </w:rPr>
        <w:fldChar w:fldCharType="separate"/>
      </w:r>
      <w:r>
        <w:rPr>
          <w:rFonts w:ascii="宋体" w:hAnsi="宋体" w:eastAsia="宋体" w:cs="宋体"/>
          <w:b/>
          <w:bCs/>
          <w:sz w:val="32"/>
          <w:szCs w:val="32"/>
          <w:highlight w:val="none"/>
        </w:rPr>
        <w:t>第一章</w:t>
      </w:r>
      <w:r>
        <w:rPr>
          <w:rFonts w:ascii="宋体" w:hAnsi="宋体" w:eastAsia="宋体" w:cs="宋体"/>
          <w:b/>
          <w:bCs/>
          <w:spacing w:val="20"/>
          <w:sz w:val="32"/>
          <w:szCs w:val="32"/>
          <w:highlight w:val="none"/>
        </w:rPr>
        <w:t xml:space="preserve">  </w:t>
      </w:r>
      <w:r>
        <w:rPr>
          <w:rFonts w:ascii="宋体" w:hAnsi="宋体" w:eastAsia="宋体" w:cs="宋体"/>
          <w:b/>
          <w:bCs/>
          <w:sz w:val="32"/>
          <w:szCs w:val="32"/>
          <w:highlight w:val="none"/>
        </w:rPr>
        <w:t>征集公告</w:t>
      </w:r>
      <w:r>
        <w:rPr>
          <w:b/>
          <w:bCs/>
          <w:sz w:val="32"/>
          <w:szCs w:val="32"/>
          <w:highlight w:val="none"/>
        </w:rPr>
        <w:tab/>
      </w:r>
      <w:r>
        <w:rPr>
          <w:b/>
          <w:bCs/>
          <w:sz w:val="32"/>
          <w:szCs w:val="32"/>
          <w:highlight w:val="none"/>
        </w:rPr>
        <w:fldChar w:fldCharType="begin"/>
      </w:r>
      <w:r>
        <w:rPr>
          <w:b/>
          <w:bCs/>
          <w:sz w:val="32"/>
          <w:szCs w:val="32"/>
          <w:highlight w:val="none"/>
        </w:rPr>
        <w:instrText xml:space="preserve"> PAGEREF _Toc13757 \h </w:instrText>
      </w:r>
      <w:r>
        <w:rPr>
          <w:b/>
          <w:bCs/>
          <w:sz w:val="32"/>
          <w:szCs w:val="32"/>
          <w:highlight w:val="none"/>
        </w:rPr>
        <w:fldChar w:fldCharType="separate"/>
      </w:r>
      <w:r>
        <w:rPr>
          <w:b/>
          <w:bCs/>
          <w:sz w:val="32"/>
          <w:szCs w:val="32"/>
          <w:highlight w:val="none"/>
        </w:rPr>
        <w:t>1</w:t>
      </w:r>
      <w:r>
        <w:rPr>
          <w:b/>
          <w:bCs/>
          <w:sz w:val="32"/>
          <w:szCs w:val="32"/>
          <w:highlight w:val="none"/>
        </w:rPr>
        <w:fldChar w:fldCharType="end"/>
      </w:r>
      <w:r>
        <w:rPr>
          <w:b/>
          <w:bCs/>
          <w:sz w:val="32"/>
          <w:szCs w:val="32"/>
          <w:highlight w:val="none"/>
        </w:rPr>
        <w:fldChar w:fldCharType="end"/>
      </w:r>
    </w:p>
    <w:p w14:paraId="3866E492">
      <w:pPr>
        <w:pStyle w:val="9"/>
        <w:tabs>
          <w:tab w:val="right" w:leader="dot" w:pos="9545"/>
        </w:tabs>
        <w:spacing w:line="60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_Toc8433 </w:instrText>
      </w:r>
      <w:r>
        <w:rPr>
          <w:b/>
          <w:bCs/>
          <w:sz w:val="32"/>
          <w:szCs w:val="32"/>
          <w:highlight w:val="none"/>
        </w:rPr>
        <w:fldChar w:fldCharType="separate"/>
      </w:r>
      <w:r>
        <w:rPr>
          <w:rFonts w:ascii="宋体" w:hAnsi="宋体" w:eastAsia="宋体" w:cs="宋体"/>
          <w:b/>
          <w:bCs/>
          <w:spacing w:val="5"/>
          <w:sz w:val="32"/>
          <w:szCs w:val="32"/>
          <w:highlight w:val="none"/>
        </w:rPr>
        <w:t>第二章  供应商须知</w:t>
      </w:r>
      <w:r>
        <w:rPr>
          <w:b/>
          <w:bCs/>
          <w:sz w:val="32"/>
          <w:szCs w:val="32"/>
          <w:highlight w:val="none"/>
        </w:rPr>
        <w:tab/>
      </w:r>
      <w:r>
        <w:rPr>
          <w:b/>
          <w:bCs/>
          <w:sz w:val="32"/>
          <w:szCs w:val="32"/>
          <w:highlight w:val="none"/>
        </w:rPr>
        <w:fldChar w:fldCharType="begin"/>
      </w:r>
      <w:r>
        <w:rPr>
          <w:b/>
          <w:bCs/>
          <w:sz w:val="32"/>
          <w:szCs w:val="32"/>
          <w:highlight w:val="none"/>
        </w:rPr>
        <w:instrText xml:space="preserve"> PAGEREF _Toc8433 \h </w:instrText>
      </w:r>
      <w:r>
        <w:rPr>
          <w:b/>
          <w:bCs/>
          <w:sz w:val="32"/>
          <w:szCs w:val="32"/>
          <w:highlight w:val="none"/>
        </w:rPr>
        <w:fldChar w:fldCharType="separate"/>
      </w:r>
      <w:r>
        <w:rPr>
          <w:b/>
          <w:bCs/>
          <w:sz w:val="32"/>
          <w:szCs w:val="32"/>
          <w:highlight w:val="none"/>
        </w:rPr>
        <w:t>1</w:t>
      </w:r>
      <w:r>
        <w:rPr>
          <w:b/>
          <w:bCs/>
          <w:sz w:val="32"/>
          <w:szCs w:val="32"/>
          <w:highlight w:val="none"/>
        </w:rPr>
        <w:fldChar w:fldCharType="end"/>
      </w:r>
      <w:r>
        <w:rPr>
          <w:b/>
          <w:bCs/>
          <w:sz w:val="32"/>
          <w:szCs w:val="32"/>
          <w:highlight w:val="none"/>
        </w:rPr>
        <w:fldChar w:fldCharType="end"/>
      </w:r>
    </w:p>
    <w:p w14:paraId="27013355">
      <w:pPr>
        <w:pStyle w:val="9"/>
        <w:tabs>
          <w:tab w:val="right" w:leader="dot" w:pos="9545"/>
        </w:tabs>
        <w:spacing w:line="60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_Toc6926 </w:instrText>
      </w:r>
      <w:r>
        <w:rPr>
          <w:b/>
          <w:bCs/>
          <w:sz w:val="32"/>
          <w:szCs w:val="32"/>
          <w:highlight w:val="none"/>
        </w:rPr>
        <w:fldChar w:fldCharType="separate"/>
      </w:r>
      <w:r>
        <w:rPr>
          <w:rFonts w:ascii="宋体" w:hAnsi="宋体" w:eastAsia="宋体" w:cs="宋体"/>
          <w:b/>
          <w:bCs/>
          <w:spacing w:val="5"/>
          <w:sz w:val="32"/>
          <w:szCs w:val="32"/>
          <w:highlight w:val="none"/>
        </w:rPr>
        <w:t>第三章 框架协议文本</w:t>
      </w:r>
      <w:r>
        <w:rPr>
          <w:b/>
          <w:bCs/>
          <w:sz w:val="32"/>
          <w:szCs w:val="32"/>
          <w:highlight w:val="none"/>
        </w:rPr>
        <w:tab/>
      </w:r>
      <w:r>
        <w:rPr>
          <w:b/>
          <w:bCs/>
          <w:sz w:val="32"/>
          <w:szCs w:val="32"/>
          <w:highlight w:val="none"/>
        </w:rPr>
        <w:fldChar w:fldCharType="begin"/>
      </w:r>
      <w:r>
        <w:rPr>
          <w:b/>
          <w:bCs/>
          <w:sz w:val="32"/>
          <w:szCs w:val="32"/>
          <w:highlight w:val="none"/>
        </w:rPr>
        <w:instrText xml:space="preserve"> PAGEREF _Toc6926 \h </w:instrText>
      </w:r>
      <w:r>
        <w:rPr>
          <w:b/>
          <w:bCs/>
          <w:sz w:val="32"/>
          <w:szCs w:val="32"/>
          <w:highlight w:val="none"/>
        </w:rPr>
        <w:fldChar w:fldCharType="separate"/>
      </w:r>
      <w:r>
        <w:rPr>
          <w:b/>
          <w:bCs/>
          <w:sz w:val="32"/>
          <w:szCs w:val="32"/>
          <w:highlight w:val="none"/>
        </w:rPr>
        <w:t>34</w:t>
      </w:r>
      <w:r>
        <w:rPr>
          <w:b/>
          <w:bCs/>
          <w:sz w:val="32"/>
          <w:szCs w:val="32"/>
          <w:highlight w:val="none"/>
        </w:rPr>
        <w:fldChar w:fldCharType="end"/>
      </w:r>
      <w:r>
        <w:rPr>
          <w:b/>
          <w:bCs/>
          <w:sz w:val="32"/>
          <w:szCs w:val="32"/>
          <w:highlight w:val="none"/>
        </w:rPr>
        <w:fldChar w:fldCharType="end"/>
      </w:r>
    </w:p>
    <w:p w14:paraId="1CEC5E95">
      <w:pPr>
        <w:pStyle w:val="9"/>
        <w:tabs>
          <w:tab w:val="right" w:leader="dot" w:pos="9545"/>
        </w:tabs>
        <w:spacing w:line="60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_Toc250 </w:instrText>
      </w:r>
      <w:r>
        <w:rPr>
          <w:b/>
          <w:bCs/>
          <w:sz w:val="32"/>
          <w:szCs w:val="32"/>
          <w:highlight w:val="none"/>
        </w:rPr>
        <w:fldChar w:fldCharType="separate"/>
      </w:r>
      <w:r>
        <w:rPr>
          <w:rFonts w:ascii="宋体" w:hAnsi="宋体" w:eastAsia="宋体" w:cs="宋体"/>
          <w:b/>
          <w:bCs/>
          <w:spacing w:val="5"/>
          <w:sz w:val="32"/>
          <w:szCs w:val="32"/>
          <w:highlight w:val="none"/>
        </w:rPr>
        <w:t>第四章 征集内容及采购需求</w:t>
      </w:r>
      <w:r>
        <w:rPr>
          <w:b/>
          <w:bCs/>
          <w:sz w:val="32"/>
          <w:szCs w:val="32"/>
          <w:highlight w:val="none"/>
        </w:rPr>
        <w:tab/>
      </w:r>
      <w:r>
        <w:rPr>
          <w:b/>
          <w:bCs/>
          <w:sz w:val="32"/>
          <w:szCs w:val="32"/>
          <w:highlight w:val="none"/>
        </w:rPr>
        <w:fldChar w:fldCharType="begin"/>
      </w:r>
      <w:r>
        <w:rPr>
          <w:b/>
          <w:bCs/>
          <w:sz w:val="32"/>
          <w:szCs w:val="32"/>
          <w:highlight w:val="none"/>
        </w:rPr>
        <w:instrText xml:space="preserve"> PAGEREF _Toc250 \h </w:instrText>
      </w:r>
      <w:r>
        <w:rPr>
          <w:b/>
          <w:bCs/>
          <w:sz w:val="32"/>
          <w:szCs w:val="32"/>
          <w:highlight w:val="none"/>
        </w:rPr>
        <w:fldChar w:fldCharType="separate"/>
      </w:r>
      <w:r>
        <w:rPr>
          <w:b/>
          <w:bCs/>
          <w:sz w:val="32"/>
          <w:szCs w:val="32"/>
          <w:highlight w:val="none"/>
        </w:rPr>
        <w:t>42</w:t>
      </w:r>
      <w:r>
        <w:rPr>
          <w:b/>
          <w:bCs/>
          <w:sz w:val="32"/>
          <w:szCs w:val="32"/>
          <w:highlight w:val="none"/>
        </w:rPr>
        <w:fldChar w:fldCharType="end"/>
      </w:r>
      <w:r>
        <w:rPr>
          <w:b/>
          <w:bCs/>
          <w:sz w:val="32"/>
          <w:szCs w:val="32"/>
          <w:highlight w:val="none"/>
        </w:rPr>
        <w:fldChar w:fldCharType="end"/>
      </w:r>
    </w:p>
    <w:p w14:paraId="046D7C4B">
      <w:pPr>
        <w:pStyle w:val="9"/>
        <w:tabs>
          <w:tab w:val="right" w:leader="dot" w:pos="9545"/>
        </w:tabs>
        <w:spacing w:line="60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_Toc20371 </w:instrText>
      </w:r>
      <w:r>
        <w:rPr>
          <w:b/>
          <w:bCs/>
          <w:sz w:val="32"/>
          <w:szCs w:val="32"/>
          <w:highlight w:val="none"/>
        </w:rPr>
        <w:fldChar w:fldCharType="separate"/>
      </w:r>
      <w:r>
        <w:rPr>
          <w:rFonts w:ascii="宋体" w:hAnsi="宋体" w:eastAsia="宋体" w:cs="宋体"/>
          <w:b/>
          <w:bCs/>
          <w:spacing w:val="5"/>
          <w:sz w:val="32"/>
          <w:szCs w:val="32"/>
          <w:highlight w:val="none"/>
        </w:rPr>
        <w:t>第五章  评审方法及标准</w:t>
      </w:r>
      <w:r>
        <w:rPr>
          <w:b/>
          <w:bCs/>
          <w:sz w:val="32"/>
          <w:szCs w:val="32"/>
          <w:highlight w:val="none"/>
        </w:rPr>
        <w:tab/>
      </w:r>
      <w:r>
        <w:rPr>
          <w:b/>
          <w:bCs/>
          <w:sz w:val="32"/>
          <w:szCs w:val="32"/>
          <w:highlight w:val="none"/>
        </w:rPr>
        <w:fldChar w:fldCharType="begin"/>
      </w:r>
      <w:r>
        <w:rPr>
          <w:b/>
          <w:bCs/>
          <w:sz w:val="32"/>
          <w:szCs w:val="32"/>
          <w:highlight w:val="none"/>
        </w:rPr>
        <w:instrText xml:space="preserve"> PAGEREF _Toc20371 \h </w:instrText>
      </w:r>
      <w:r>
        <w:rPr>
          <w:b/>
          <w:bCs/>
          <w:sz w:val="32"/>
          <w:szCs w:val="32"/>
          <w:highlight w:val="none"/>
        </w:rPr>
        <w:fldChar w:fldCharType="separate"/>
      </w:r>
      <w:r>
        <w:rPr>
          <w:b/>
          <w:bCs/>
          <w:sz w:val="32"/>
          <w:szCs w:val="32"/>
          <w:highlight w:val="none"/>
        </w:rPr>
        <w:t>43</w:t>
      </w:r>
      <w:r>
        <w:rPr>
          <w:b/>
          <w:bCs/>
          <w:sz w:val="32"/>
          <w:szCs w:val="32"/>
          <w:highlight w:val="none"/>
        </w:rPr>
        <w:fldChar w:fldCharType="end"/>
      </w:r>
      <w:r>
        <w:rPr>
          <w:b/>
          <w:bCs/>
          <w:sz w:val="32"/>
          <w:szCs w:val="32"/>
          <w:highlight w:val="none"/>
        </w:rPr>
        <w:fldChar w:fldCharType="end"/>
      </w:r>
    </w:p>
    <w:p w14:paraId="0F08CAD6">
      <w:pPr>
        <w:pStyle w:val="9"/>
        <w:tabs>
          <w:tab w:val="right" w:leader="dot" w:pos="9545"/>
        </w:tabs>
        <w:spacing w:line="60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_Toc2861 </w:instrText>
      </w:r>
      <w:r>
        <w:rPr>
          <w:b/>
          <w:bCs/>
          <w:sz w:val="32"/>
          <w:szCs w:val="32"/>
          <w:highlight w:val="none"/>
        </w:rPr>
        <w:fldChar w:fldCharType="separate"/>
      </w:r>
      <w:r>
        <w:rPr>
          <w:rFonts w:ascii="宋体" w:hAnsi="宋体" w:eastAsia="宋体" w:cs="宋体"/>
          <w:b/>
          <w:bCs/>
          <w:spacing w:val="5"/>
          <w:sz w:val="32"/>
          <w:szCs w:val="32"/>
          <w:highlight w:val="none"/>
        </w:rPr>
        <w:t>第六章 响应文件构成及格式</w:t>
      </w:r>
      <w:r>
        <w:rPr>
          <w:b/>
          <w:bCs/>
          <w:sz w:val="32"/>
          <w:szCs w:val="32"/>
          <w:highlight w:val="none"/>
        </w:rPr>
        <w:tab/>
      </w:r>
      <w:r>
        <w:rPr>
          <w:b/>
          <w:bCs/>
          <w:sz w:val="32"/>
          <w:szCs w:val="32"/>
          <w:highlight w:val="none"/>
        </w:rPr>
        <w:fldChar w:fldCharType="begin"/>
      </w:r>
      <w:r>
        <w:rPr>
          <w:b/>
          <w:bCs/>
          <w:sz w:val="32"/>
          <w:szCs w:val="32"/>
          <w:highlight w:val="none"/>
        </w:rPr>
        <w:instrText xml:space="preserve"> PAGEREF _Toc2861 \h </w:instrText>
      </w:r>
      <w:r>
        <w:rPr>
          <w:b/>
          <w:bCs/>
          <w:sz w:val="32"/>
          <w:szCs w:val="32"/>
          <w:highlight w:val="none"/>
        </w:rPr>
        <w:fldChar w:fldCharType="separate"/>
      </w:r>
      <w:r>
        <w:rPr>
          <w:b/>
          <w:bCs/>
          <w:sz w:val="32"/>
          <w:szCs w:val="32"/>
          <w:highlight w:val="none"/>
        </w:rPr>
        <w:t>62</w:t>
      </w:r>
      <w:r>
        <w:rPr>
          <w:b/>
          <w:bCs/>
          <w:sz w:val="32"/>
          <w:szCs w:val="32"/>
          <w:highlight w:val="none"/>
        </w:rPr>
        <w:fldChar w:fldCharType="end"/>
      </w:r>
      <w:r>
        <w:rPr>
          <w:b/>
          <w:bCs/>
          <w:sz w:val="32"/>
          <w:szCs w:val="32"/>
          <w:highlight w:val="none"/>
        </w:rPr>
        <w:fldChar w:fldCharType="end"/>
      </w:r>
    </w:p>
    <w:p w14:paraId="1D3A3AFA">
      <w:pPr>
        <w:spacing w:line="600" w:lineRule="auto"/>
        <w:rPr>
          <w:highlight w:val="none"/>
        </w:rPr>
      </w:pPr>
      <w:r>
        <w:rPr>
          <w:b/>
          <w:bCs/>
          <w:sz w:val="32"/>
          <w:szCs w:val="32"/>
          <w:highlight w:val="none"/>
        </w:rPr>
        <w:fldChar w:fldCharType="end"/>
      </w:r>
    </w:p>
    <w:sdt>
      <w:sdtPr>
        <w:rPr>
          <w:rFonts w:ascii="宋体" w:hAnsi="宋体" w:eastAsia="宋体" w:cs="宋体"/>
          <w:sz w:val="55"/>
          <w:szCs w:val="55"/>
          <w:highlight w:val="none"/>
        </w:rPr>
        <w:id w:val="147460727"/>
        <w:docPartObj>
          <w:docPartGallery w:val="Table of Contents"/>
          <w:docPartUnique/>
        </w:docPartObj>
      </w:sdtPr>
      <w:sdtEndPr>
        <w:rPr>
          <w:rFonts w:ascii="Times New Roman" w:hAnsi="Times New Roman" w:eastAsia="Times New Roman" w:cs="Times New Roman"/>
          <w:sz w:val="31"/>
          <w:szCs w:val="31"/>
          <w:highlight w:val="none"/>
        </w:rPr>
      </w:sdtEndPr>
      <w:sdtContent>
        <w:p w14:paraId="71CDDBCC">
          <w:pPr>
            <w:tabs>
              <w:tab w:val="right" w:leader="hyphen" w:pos="8947"/>
            </w:tabs>
            <w:spacing w:before="206" w:line="418" w:lineRule="exact"/>
            <w:rPr>
              <w:rFonts w:ascii="宋体" w:hAnsi="宋体" w:eastAsia="宋体" w:cs="宋体"/>
              <w:sz w:val="55"/>
              <w:szCs w:val="55"/>
              <w:highlight w:val="none"/>
            </w:rPr>
          </w:pPr>
        </w:p>
        <w:p w14:paraId="2492E6D1">
          <w:pPr>
            <w:pStyle w:val="9"/>
            <w:tabs>
              <w:tab w:val="right" w:leader="dot" w:pos="8948"/>
            </w:tabs>
            <w:rPr>
              <w:highlight w:val="none"/>
            </w:rPr>
          </w:pPr>
          <w:bookmarkStart w:id="8" w:name="bookmark1"/>
          <w:bookmarkEnd w:id="8"/>
          <w:bookmarkStart w:id="9" w:name="_Toc23268"/>
        </w:p>
      </w:sdtContent>
    </w:sdt>
    <w:p w14:paraId="17D954AE">
      <w:pPr>
        <w:spacing w:before="192" w:line="223" w:lineRule="auto"/>
        <w:ind w:left="2738"/>
        <w:outlineLvl w:val="0"/>
        <w:rPr>
          <w:rFonts w:ascii="宋体" w:hAnsi="宋体" w:eastAsia="宋体" w:cs="宋体"/>
          <w:b/>
          <w:bCs/>
          <w:sz w:val="43"/>
          <w:szCs w:val="43"/>
          <w:highlight w:val="none"/>
        </w:rPr>
        <w:sectPr>
          <w:footerReference r:id="rId5" w:type="default"/>
          <w:pgSz w:w="11907" w:h="16840"/>
          <w:pgMar w:top="1431" w:right="1181" w:bottom="1199" w:left="1181" w:header="0" w:footer="984" w:gutter="0"/>
          <w:pgNumType w:fmt="decimal" w:start="1"/>
          <w:cols w:space="720" w:num="1"/>
        </w:sectPr>
      </w:pPr>
      <w:bookmarkStart w:id="10" w:name="_Toc13757"/>
    </w:p>
    <w:p w14:paraId="3F8DD82C">
      <w:pPr>
        <w:spacing w:before="192" w:line="223" w:lineRule="auto"/>
        <w:ind w:left="2738"/>
        <w:outlineLvl w:val="0"/>
        <w:rPr>
          <w:rFonts w:ascii="宋体" w:hAnsi="宋体" w:eastAsia="宋体" w:cs="宋体"/>
          <w:sz w:val="43"/>
          <w:szCs w:val="43"/>
          <w:highlight w:val="none"/>
        </w:rPr>
      </w:pPr>
      <w:r>
        <w:rPr>
          <w:rFonts w:ascii="宋体" w:hAnsi="宋体" w:eastAsia="宋体" w:cs="宋体"/>
          <w:b/>
          <w:bCs/>
          <w:sz w:val="43"/>
          <w:szCs w:val="43"/>
          <w:highlight w:val="none"/>
        </w:rPr>
        <w:t>第一章</w:t>
      </w:r>
      <w:r>
        <w:rPr>
          <w:rFonts w:ascii="宋体" w:hAnsi="宋体" w:eastAsia="宋体" w:cs="宋体"/>
          <w:spacing w:val="20"/>
          <w:sz w:val="43"/>
          <w:szCs w:val="43"/>
          <w:highlight w:val="none"/>
        </w:rPr>
        <w:t xml:space="preserve">  </w:t>
      </w:r>
      <w:r>
        <w:rPr>
          <w:rFonts w:ascii="宋体" w:hAnsi="宋体" w:eastAsia="宋体" w:cs="宋体"/>
          <w:b/>
          <w:bCs/>
          <w:sz w:val="43"/>
          <w:szCs w:val="43"/>
          <w:highlight w:val="none"/>
        </w:rPr>
        <w:t>征集公告</w:t>
      </w:r>
      <w:bookmarkEnd w:id="9"/>
      <w:bookmarkEnd w:id="10"/>
    </w:p>
    <w:p w14:paraId="54D456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i w:val="0"/>
          <w:iCs w:val="0"/>
          <w:caps w:val="0"/>
          <w:color w:val="auto"/>
          <w:spacing w:val="0"/>
          <w:sz w:val="28"/>
          <w:szCs w:val="28"/>
          <w:highlight w:val="none"/>
          <w:shd w:val="clear" w:fill="FFFFFF"/>
        </w:rPr>
      </w:pPr>
      <w:bookmarkStart w:id="11" w:name="bookmark2"/>
      <w:bookmarkEnd w:id="11"/>
      <w:bookmarkStart w:id="12" w:name="_Toc8433"/>
      <w:r>
        <w:rPr>
          <w:rFonts w:hint="eastAsia" w:ascii="宋体" w:hAnsi="宋体" w:eastAsia="宋体" w:cs="宋体"/>
          <w:b/>
          <w:bCs/>
          <w:i w:val="0"/>
          <w:iCs w:val="0"/>
          <w:caps w:val="0"/>
          <w:color w:val="auto"/>
          <w:spacing w:val="0"/>
          <w:sz w:val="28"/>
          <w:szCs w:val="28"/>
          <w:highlight w:val="none"/>
          <w:shd w:val="clear" w:fill="FFFFFF"/>
        </w:rPr>
        <w:t>富阎产业合作园区管理委员会富阎产业合作园区重点项目考古发掘劳务服务项目征集公告</w:t>
      </w:r>
    </w:p>
    <w:p w14:paraId="3F403F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项目概况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0"/>
      </w:tblGrid>
      <w:tr w14:paraId="559B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trPr>
        <w:tc>
          <w:tcPr>
            <w:tcW w:w="9640" w:type="dxa"/>
          </w:tcPr>
          <w:p w14:paraId="02B23C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rPr>
              <w:t>富阎产业合作园区重点项目考古发掘劳务服务项目招标项目的潜在投标人应在陕西省西安市经济技术开发区未央路 171-1 号银池道拉斯财富中心 21 楼 获取招标文件，并于 2026年04月</w:t>
            </w: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日 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时00分 （北京时间）前递交投标文件。</w:t>
            </w:r>
          </w:p>
        </w:tc>
      </w:tr>
    </w:tbl>
    <w:p w14:paraId="6FA80E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一、项目基本情况</w:t>
      </w:r>
    </w:p>
    <w:p w14:paraId="29B6D2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项目编号：SXZCZB2026-ZCGK-0327</w:t>
      </w:r>
    </w:p>
    <w:p w14:paraId="737A47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项目名称：富阎产业合作园区重点项目考古发掘劳务服务项目</w:t>
      </w:r>
    </w:p>
    <w:p w14:paraId="28D56E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采购方式：公开招标</w:t>
      </w:r>
    </w:p>
    <w:p w14:paraId="54EE4D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预算金额：0.01元</w:t>
      </w:r>
    </w:p>
    <w:p w14:paraId="3154B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采购需求：</w:t>
      </w:r>
    </w:p>
    <w:p w14:paraId="00C32E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合同包1(富阎产业合作园区重点项目考古发掘劳务服务项目):</w:t>
      </w:r>
    </w:p>
    <w:p w14:paraId="01608E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合同包预算金额：0.01元</w:t>
      </w:r>
    </w:p>
    <w:p w14:paraId="6531FA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合同包最高限价：0.01元</w:t>
      </w:r>
    </w:p>
    <w:tbl>
      <w:tblPr>
        <w:tblStyle w:val="11"/>
        <w:tblW w:w="872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20"/>
        <w:gridCol w:w="1393"/>
        <w:gridCol w:w="1920"/>
        <w:gridCol w:w="1268"/>
        <w:gridCol w:w="2343"/>
        <w:gridCol w:w="1082"/>
      </w:tblGrid>
      <w:tr w14:paraId="2312BF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tblHeader/>
          <w:jc w:val="center"/>
        </w:trPr>
        <w:tc>
          <w:tcPr>
            <w:tcW w:w="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C7E8A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B651A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品目名称</w:t>
            </w:r>
          </w:p>
        </w:tc>
        <w:tc>
          <w:tcPr>
            <w:tcW w:w="19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E7D63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采购标的</w:t>
            </w:r>
          </w:p>
        </w:tc>
        <w:tc>
          <w:tcPr>
            <w:tcW w:w="12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563FB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数量</w:t>
            </w:r>
          </w:p>
          <w:p w14:paraId="246D373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（单位）</w:t>
            </w:r>
          </w:p>
        </w:tc>
        <w:tc>
          <w:tcPr>
            <w:tcW w:w="23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1FC95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技术规格、参数及要求</w:t>
            </w:r>
          </w:p>
        </w:tc>
        <w:tc>
          <w:tcPr>
            <w:tcW w:w="10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D52FE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品目预算</w:t>
            </w:r>
          </w:p>
          <w:p w14:paraId="5308EC5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(元)</w:t>
            </w:r>
          </w:p>
        </w:tc>
      </w:tr>
      <w:tr w14:paraId="6B04EF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B2E23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CD889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其他工程管理服务</w:t>
            </w:r>
          </w:p>
        </w:tc>
        <w:tc>
          <w:tcPr>
            <w:tcW w:w="19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73B4B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园区重点项目文物发掘劳务服务</w:t>
            </w:r>
          </w:p>
        </w:tc>
        <w:tc>
          <w:tcPr>
            <w:tcW w:w="12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17DFD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1(项)</w:t>
            </w:r>
          </w:p>
        </w:tc>
        <w:tc>
          <w:tcPr>
            <w:tcW w:w="23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48E30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详见采购文件</w:t>
            </w:r>
          </w:p>
        </w:tc>
        <w:tc>
          <w:tcPr>
            <w:tcW w:w="10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345B7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0.01</w:t>
            </w:r>
          </w:p>
        </w:tc>
      </w:tr>
    </w:tbl>
    <w:p w14:paraId="3E1D67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本合同包不接受联合体投标</w:t>
      </w:r>
    </w:p>
    <w:p w14:paraId="05ED24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合同履行期限：3年</w:t>
      </w:r>
    </w:p>
    <w:p w14:paraId="03C674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二、申请人的资格要求：</w:t>
      </w:r>
    </w:p>
    <w:p w14:paraId="2672C3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1.满足《中华人民共和国政府采购法》第二十二条规定;</w:t>
      </w:r>
    </w:p>
    <w:p w14:paraId="16AFE9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2.落实政府采购政策需满足的资格要求：</w:t>
      </w:r>
    </w:p>
    <w:p w14:paraId="768958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合同包1(富阎产业合作园区重点项目考古发掘劳务服务项目)落实政府采购政策需满足的资格要求如下:</w:t>
      </w:r>
    </w:p>
    <w:p w14:paraId="6EE16FAE">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（2）《财政部司法部关于政府采购支持监狱企业发展有关问题的通知》（财库〔2014〕68号）；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（3）《关于促进残疾人就业政府采购政策的通知》（财库〔2017〕141号）；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（4）《节能产品政府采购实施意见》（财库〔2004〕185号）；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（5）《环境标志产品政府采购实施的意见》（财库〔2006〕90号）；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（6）《国务院办公厅关于建立政府强制采购节能产品制度的通知》（国办发〔2007〕51号）；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（7）财政部发展改革委生态环境部市场监管总局关于调整优化节能产品、环境标志产品政府采购执行机制的通知（财库〔2019〕9号）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（8）《关于印发环境标志产品政府采购品目清单的通知》（财库〔2019〕18号）；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（9）《关于印发节能产品政府采购品目清单的通知》（财库〔2019〕19号）；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（10）《市场监管总局关于发布参与实施政府采购节能产品、环境标志产品认证机构名录的公告》（2019年第16号）；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（11）《关于运用政府采购政策支持乡村产业振兴的通知》（财库〔2021〕19号）；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（12）陕西省财政厅关于印发《陕西省中小企业政府采购信用融资办法》（陕财办采〔2018〕23号），相关政策、业务流程、办理平台（详见http://www.ccgp-shaanxi.gov.cn/zcdservice/zcd/shanxi/）；</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（13）《陕西省财政厅关于加快推进我省中小企业政府采购信用融资工作的通知》（陕财办采〔2020〕15号）；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（14）《关于进一步加强政府绿色采购有关问题的通知》（陕财办采〔2021〕29号）；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（15）《陕西省财政厅陕西省工业和信息化厅关于运用政府采购政策支持首台（套）及创新产品有关事项的通知》（陕财办采〔2021〕17号）；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（16）《关于进一步加大政府采购支持中小企业力度的通知》（财库〔2022〕19号）、《关于落实政府采购支持中小企业政策有关事项的通知》（陕财办采函〔2022〕10号）；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（17）其他需要落实的政府采购政策。</w:t>
      </w:r>
    </w:p>
    <w:p w14:paraId="75A094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3.本项目的特定资格要求：</w:t>
      </w:r>
    </w:p>
    <w:p w14:paraId="57E33E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合同包1(富阎产业合作园区重点项目考古发掘劳务服务项目)特定资格要求如下:</w:t>
      </w:r>
    </w:p>
    <w:p w14:paraId="6397AF41">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(1)提供合格有效的法人或者其他组织的营业执照等证明文件，自然人的身份证明；</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(2)提供法定代表人授权书（附法定代表人、被授权人身份证复印件），法定代表人直接参加投标，须提供法定代表人身份证明及身份证复印件）；</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(3)提供投标截止日前近一年内任意一个月的纳税证明或完税证明（任意税种），依法免税的单位应提供相关证明材料；</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(4)提供投标截止日前一年内已缴存的至少一个月的社会保障资金缴存单据或社保机构开具的社会保险参保缴费情况证明，依法不需要缴纳社会保障资金的单位应提供相关证明材料；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(5)财务状况：提供递交投标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(7)参加政府采购活动前3年内，在经营活动中没有重大违法记录的书面声明;</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(8)提供具有履行合同所必需的设备和专业技术能力的书面承诺；</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(9)本项目专门面向中小企业采购，提供中小企业声明函；</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(10)控股管理关系：提供直接控股和管理关系清单。若与其他供应商存在单位负责人为同一人或者存在直接控股、管理关系的，则投标无效；</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(11)本项目不接受联合体投标（提供承诺书）。</w:t>
      </w:r>
    </w:p>
    <w:p w14:paraId="645A015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三、获取招标文件</w:t>
      </w:r>
    </w:p>
    <w:p w14:paraId="5D727423">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时间： 2026年03月2</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日 至 2026年0</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02</w:t>
      </w:r>
      <w:r>
        <w:rPr>
          <w:rFonts w:hint="eastAsia" w:ascii="宋体" w:hAnsi="宋体" w:eastAsia="宋体" w:cs="宋体"/>
          <w:sz w:val="24"/>
          <w:szCs w:val="24"/>
          <w:highlight w:val="none"/>
        </w:rPr>
        <w:t>日 ，每天上午 09:00:00 至 12:00:00 ，下午 14:00:00 至 17:00:00 （北京时间）</w:t>
      </w:r>
    </w:p>
    <w:p w14:paraId="082324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途径：陕西省西安市经济技术开发区未央路 171-1 号银池道拉斯财富中心 21 楼</w:t>
      </w:r>
    </w:p>
    <w:p w14:paraId="0D649D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方式：现场获取</w:t>
      </w:r>
    </w:p>
    <w:p w14:paraId="4D2DE9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售价： 免费获取</w:t>
      </w:r>
    </w:p>
    <w:p w14:paraId="1D3E847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四、提交投标文件截止时间、开标时间和地点</w:t>
      </w:r>
    </w:p>
    <w:p w14:paraId="52902B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时间： 2026年04月</w:t>
      </w: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日 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时00分00秒 （北京时间）</w:t>
      </w:r>
    </w:p>
    <w:p w14:paraId="0A4273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提交投标文件地点：陕西省西安市经济技术开发区未央路 171-1 号银池道拉斯财富中心 21 楼</w:t>
      </w:r>
    </w:p>
    <w:p w14:paraId="52A051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开标地点：陕西省西安市经济技术开发区未央路 171-1 号银池道拉斯财富中心 21 楼</w:t>
      </w:r>
    </w:p>
    <w:p w14:paraId="6FD3F4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五、公告期限</w:t>
      </w:r>
    </w:p>
    <w:p w14:paraId="608E39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自本公告发布之日起5个工作日。</w:t>
      </w:r>
    </w:p>
    <w:p w14:paraId="0DE8AC4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六、其他补充事宜</w:t>
      </w:r>
    </w:p>
    <w:p w14:paraId="4B62C6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采购内容：富阎产业合作园区重点项目考古发掘劳务服务项目，1项，项目概况：富阎产业合作园区重点项目文物发掘劳务服务项目，除前期已完成文物勘探发掘部分，目前还需进行文物发掘劳务服务工作。</w:t>
      </w:r>
    </w:p>
    <w:p w14:paraId="17ABF0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简要技术要求、用途：文物考古发掘。入围家数：8家。</w:t>
      </w:r>
    </w:p>
    <w:p w14:paraId="479DAF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1.本项目为小额零星采购框架协议。</w:t>
      </w:r>
    </w:p>
    <w:p w14:paraId="3AB8D8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2.请潜在供应商务必按照《陕西省财政厅关于政府采购供应商注册登记有关事项的通知》要求，通过陕西省政府采购网（http://www.ccgp-shaanxi.gov.cn/）进行陕西政府采购统一身份认证注册登记。</w:t>
      </w:r>
    </w:p>
    <w:p w14:paraId="158D61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3.注：本项目通过现场领取方式获取征集文件，各供应商须将介绍信及被介绍人身份证扫描件加盖红色公章，经检查确认后方可领取征集文件。</w:t>
      </w:r>
    </w:p>
    <w:p w14:paraId="53C8587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七、对本次招标提出询问，请按以下方式联系。</w:t>
      </w:r>
    </w:p>
    <w:p w14:paraId="6D0424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1.采购人信息</w:t>
      </w:r>
    </w:p>
    <w:p w14:paraId="6435B5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名称：富阎产业合作园区管理委员会</w:t>
      </w:r>
    </w:p>
    <w:p w14:paraId="6AE04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地址：陕西省渭南市富平县富平高新区频山大道1号</w:t>
      </w:r>
    </w:p>
    <w:p w14:paraId="3B3550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联系方式：0913-8265029</w:t>
      </w:r>
    </w:p>
    <w:p w14:paraId="35107B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2.采购代理机构信息</w:t>
      </w:r>
    </w:p>
    <w:p w14:paraId="79A49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名称：陕西至诚项目管理集团有限公司</w:t>
      </w:r>
    </w:p>
    <w:p w14:paraId="632542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地址：陕西省西安市经济技术开发区未央路 171-1 号银池道拉斯财富中心 21 楼</w:t>
      </w:r>
    </w:p>
    <w:p w14:paraId="09CE9D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联系方式：029-88219779</w:t>
      </w:r>
    </w:p>
    <w:p w14:paraId="51306E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3.项目联系方式</w:t>
      </w:r>
    </w:p>
    <w:p w14:paraId="618E65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项目联系人：倪沛、胡晓均、王欣玫</w:t>
      </w:r>
    </w:p>
    <w:p w14:paraId="54F14F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电话：029-88219779</w:t>
      </w:r>
    </w:p>
    <w:p w14:paraId="5F08EB01">
      <w:pPr>
        <w:rPr>
          <w:rFonts w:ascii="宋体" w:hAnsi="宋体" w:eastAsia="宋体" w:cs="宋体"/>
          <w:b/>
          <w:bCs/>
          <w:spacing w:val="5"/>
          <w:sz w:val="43"/>
          <w:szCs w:val="43"/>
          <w:highlight w:val="none"/>
        </w:rPr>
      </w:pPr>
      <w:r>
        <w:rPr>
          <w:rFonts w:ascii="宋体" w:hAnsi="宋体" w:eastAsia="宋体" w:cs="宋体"/>
          <w:b/>
          <w:bCs/>
          <w:spacing w:val="5"/>
          <w:sz w:val="43"/>
          <w:szCs w:val="43"/>
          <w:highlight w:val="none"/>
        </w:rPr>
        <w:br w:type="page"/>
      </w:r>
    </w:p>
    <w:p w14:paraId="7401D5FA">
      <w:pPr>
        <w:spacing w:before="88" w:line="223" w:lineRule="auto"/>
        <w:ind w:left="3040"/>
        <w:outlineLvl w:val="0"/>
        <w:rPr>
          <w:rFonts w:ascii="宋体" w:hAnsi="宋体" w:eastAsia="宋体" w:cs="宋体"/>
          <w:sz w:val="43"/>
          <w:szCs w:val="43"/>
          <w:highlight w:val="none"/>
        </w:rPr>
      </w:pPr>
      <w:r>
        <w:rPr>
          <w:rFonts w:ascii="宋体" w:hAnsi="宋体" w:eastAsia="宋体" w:cs="宋体"/>
          <w:b/>
          <w:bCs/>
          <w:spacing w:val="5"/>
          <w:sz w:val="43"/>
          <w:szCs w:val="43"/>
          <w:highlight w:val="none"/>
        </w:rPr>
        <w:t>第二章</w:t>
      </w:r>
      <w:r>
        <w:rPr>
          <w:rFonts w:ascii="宋体" w:hAnsi="宋体" w:eastAsia="宋体" w:cs="宋体"/>
          <w:spacing w:val="5"/>
          <w:sz w:val="43"/>
          <w:szCs w:val="43"/>
          <w:highlight w:val="none"/>
        </w:rPr>
        <w:t xml:space="preserve">  </w:t>
      </w:r>
      <w:r>
        <w:rPr>
          <w:rFonts w:ascii="宋体" w:hAnsi="宋体" w:eastAsia="宋体" w:cs="宋体"/>
          <w:b/>
          <w:bCs/>
          <w:spacing w:val="5"/>
          <w:sz w:val="43"/>
          <w:szCs w:val="43"/>
          <w:highlight w:val="none"/>
        </w:rPr>
        <w:t>供应商须知</w:t>
      </w:r>
      <w:bookmarkEnd w:id="12"/>
    </w:p>
    <w:p w14:paraId="4D80AC9B">
      <w:pPr>
        <w:pStyle w:val="5"/>
        <w:spacing w:line="311" w:lineRule="auto"/>
        <w:rPr>
          <w:highlight w:val="none"/>
        </w:rPr>
      </w:pPr>
    </w:p>
    <w:p w14:paraId="2BFD652B">
      <w:pPr>
        <w:pStyle w:val="5"/>
        <w:spacing w:line="312" w:lineRule="auto"/>
        <w:rPr>
          <w:highlight w:val="none"/>
        </w:rPr>
      </w:pPr>
    </w:p>
    <w:p w14:paraId="7AB374A5">
      <w:pPr>
        <w:spacing w:before="78" w:line="219" w:lineRule="auto"/>
        <w:ind w:left="3817"/>
        <w:rPr>
          <w:rFonts w:ascii="宋体" w:hAnsi="宋体" w:eastAsia="宋体" w:cs="宋体"/>
          <w:sz w:val="24"/>
          <w:szCs w:val="24"/>
          <w:highlight w:val="none"/>
        </w:rPr>
      </w:pPr>
      <w:r>
        <w:rPr>
          <w:rFonts w:ascii="宋体" w:hAnsi="宋体" w:eastAsia="宋体" w:cs="宋体"/>
          <w:b/>
          <w:bCs/>
          <w:spacing w:val="-3"/>
          <w:sz w:val="24"/>
          <w:szCs w:val="24"/>
          <w:highlight w:val="none"/>
        </w:rPr>
        <w:t>供应商须知前附表</w:t>
      </w:r>
    </w:p>
    <w:p w14:paraId="6E5EE58C">
      <w:pPr>
        <w:spacing w:line="140" w:lineRule="exact"/>
        <w:rPr>
          <w:highlight w:val="none"/>
        </w:rPr>
      </w:pPr>
    </w:p>
    <w:tbl>
      <w:tblPr>
        <w:tblStyle w:val="15"/>
        <w:tblW w:w="9761"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5"/>
        <w:gridCol w:w="1799"/>
        <w:gridCol w:w="7257"/>
      </w:tblGrid>
      <w:tr w14:paraId="06A9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trPr>
        <w:tc>
          <w:tcPr>
            <w:tcW w:w="705" w:type="dxa"/>
            <w:vAlign w:val="center"/>
          </w:tcPr>
          <w:p w14:paraId="11F296C9">
            <w:pPr>
              <w:pStyle w:val="16"/>
              <w:snapToGrid w:val="0"/>
              <w:spacing w:before="167" w:line="360" w:lineRule="auto"/>
              <w:ind w:left="0" w:leftChars="0" w:right="0" w:rightChars="0" w:firstLine="0" w:firstLineChars="0"/>
              <w:jc w:val="center"/>
              <w:rPr>
                <w:b/>
                <w:highlight w:val="none"/>
              </w:rPr>
            </w:pPr>
            <w:r>
              <w:rPr>
                <w:b/>
                <w:bCs/>
                <w:spacing w:val="-7"/>
                <w:highlight w:val="none"/>
              </w:rPr>
              <w:t>序号</w:t>
            </w:r>
          </w:p>
        </w:tc>
        <w:tc>
          <w:tcPr>
            <w:tcW w:w="1799" w:type="dxa"/>
            <w:vAlign w:val="center"/>
          </w:tcPr>
          <w:p w14:paraId="341E9AE1">
            <w:pPr>
              <w:pStyle w:val="16"/>
              <w:snapToGrid w:val="0"/>
              <w:spacing w:before="167" w:line="360" w:lineRule="auto"/>
              <w:ind w:left="0" w:leftChars="0" w:right="0" w:rightChars="0" w:firstLine="0" w:firstLineChars="0"/>
              <w:jc w:val="center"/>
              <w:rPr>
                <w:b/>
                <w:highlight w:val="none"/>
              </w:rPr>
            </w:pPr>
            <w:r>
              <w:rPr>
                <w:b/>
                <w:bCs/>
                <w:spacing w:val="-22"/>
                <w:highlight w:val="none"/>
              </w:rPr>
              <w:t>内容</w:t>
            </w:r>
          </w:p>
        </w:tc>
        <w:tc>
          <w:tcPr>
            <w:tcW w:w="7257" w:type="dxa"/>
            <w:vAlign w:val="center"/>
          </w:tcPr>
          <w:p w14:paraId="47B799A9">
            <w:pPr>
              <w:pStyle w:val="16"/>
              <w:snapToGrid w:val="0"/>
              <w:spacing w:before="167" w:line="360" w:lineRule="auto"/>
              <w:ind w:left="0" w:leftChars="0" w:right="0" w:rightChars="0" w:firstLine="0" w:firstLineChars="0"/>
              <w:jc w:val="center"/>
              <w:rPr>
                <w:b/>
                <w:highlight w:val="none"/>
              </w:rPr>
            </w:pPr>
            <w:r>
              <w:rPr>
                <w:b/>
                <w:bCs/>
                <w:spacing w:val="-5"/>
                <w:highlight w:val="none"/>
              </w:rPr>
              <w:t>说明和要求</w:t>
            </w:r>
          </w:p>
        </w:tc>
      </w:tr>
      <w:tr w14:paraId="4995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43AAB83B">
            <w:pPr>
              <w:pStyle w:val="16"/>
              <w:snapToGrid w:val="0"/>
              <w:spacing w:before="78" w:line="360" w:lineRule="auto"/>
              <w:ind w:left="0" w:leftChars="0" w:right="0" w:rightChars="0" w:firstLine="0" w:firstLineChars="0"/>
              <w:jc w:val="center"/>
              <w:rPr>
                <w:rFonts w:ascii="宋体" w:eastAsia="宋体"/>
                <w:sz w:val="24"/>
                <w:highlight w:val="none"/>
              </w:rPr>
            </w:pPr>
            <w:r>
              <w:rPr>
                <w:rFonts w:ascii="宋体" w:eastAsia="宋体"/>
                <w:sz w:val="24"/>
                <w:highlight w:val="none"/>
              </w:rPr>
              <w:t>1</w:t>
            </w:r>
          </w:p>
        </w:tc>
        <w:tc>
          <w:tcPr>
            <w:tcW w:w="1799" w:type="dxa"/>
            <w:vAlign w:val="center"/>
          </w:tcPr>
          <w:p w14:paraId="4B084F5A">
            <w:pPr>
              <w:pStyle w:val="16"/>
              <w:snapToGrid w:val="0"/>
              <w:spacing w:before="78" w:line="360" w:lineRule="auto"/>
              <w:ind w:left="0" w:leftChars="0" w:right="0" w:rightChars="0" w:firstLine="0" w:firstLineChars="0"/>
              <w:jc w:val="center"/>
              <w:rPr>
                <w:rFonts w:ascii="宋体" w:eastAsia="宋体"/>
                <w:sz w:val="24"/>
                <w:highlight w:val="none"/>
              </w:rPr>
            </w:pPr>
            <w:r>
              <w:rPr>
                <w:rFonts w:ascii="宋体" w:eastAsia="宋体"/>
                <w:spacing w:val="-5"/>
                <w:sz w:val="24"/>
                <w:highlight w:val="none"/>
              </w:rPr>
              <w:t>征集人</w:t>
            </w:r>
          </w:p>
        </w:tc>
        <w:tc>
          <w:tcPr>
            <w:tcW w:w="7257" w:type="dxa"/>
            <w:vAlign w:val="center"/>
          </w:tcPr>
          <w:p w14:paraId="3A037170">
            <w:pPr>
              <w:pStyle w:val="16"/>
              <w:snapToGrid w:val="0"/>
              <w:spacing w:before="32" w:line="360" w:lineRule="auto"/>
              <w:ind w:left="0" w:leftChars="0" w:right="0" w:rightChars="0" w:firstLine="0" w:firstLineChars="0"/>
              <w:jc w:val="left"/>
              <w:rPr>
                <w:rFonts w:ascii="宋体" w:eastAsia="宋体"/>
                <w:sz w:val="24"/>
                <w:highlight w:val="none"/>
              </w:rPr>
            </w:pPr>
            <w:r>
              <w:rPr>
                <w:rFonts w:ascii="宋体" w:eastAsia="宋体"/>
                <w:spacing w:val="-1"/>
                <w:sz w:val="24"/>
                <w:highlight w:val="none"/>
              </w:rPr>
              <w:t>名  称:富阎产业合作园区管理委员会</w:t>
            </w:r>
          </w:p>
          <w:p w14:paraId="19C266C9">
            <w:pPr>
              <w:pStyle w:val="16"/>
              <w:snapToGrid w:val="0"/>
              <w:spacing w:before="26" w:line="360" w:lineRule="auto"/>
              <w:ind w:left="0" w:leftChars="0" w:right="0" w:rightChars="0" w:firstLine="0" w:firstLineChars="0"/>
              <w:jc w:val="left"/>
              <w:rPr>
                <w:rFonts w:ascii="宋体" w:eastAsia="宋体"/>
                <w:sz w:val="24"/>
                <w:highlight w:val="none"/>
              </w:rPr>
            </w:pPr>
            <w:r>
              <w:rPr>
                <w:rFonts w:ascii="宋体" w:eastAsia="宋体"/>
                <w:spacing w:val="-1"/>
                <w:sz w:val="24"/>
                <w:highlight w:val="none"/>
              </w:rPr>
              <w:t>地  址:陕西省渭南市富平县富平高新区频山大道1号</w:t>
            </w:r>
          </w:p>
          <w:p w14:paraId="2D43CA5C">
            <w:pPr>
              <w:pStyle w:val="16"/>
              <w:snapToGrid w:val="0"/>
              <w:spacing w:before="22" w:line="360" w:lineRule="auto"/>
              <w:ind w:left="0" w:leftChars="0" w:right="0" w:rightChars="0" w:firstLine="0" w:firstLineChars="0"/>
              <w:jc w:val="left"/>
              <w:rPr>
                <w:rFonts w:ascii="宋体" w:eastAsia="宋体"/>
                <w:sz w:val="24"/>
                <w:highlight w:val="none"/>
              </w:rPr>
            </w:pPr>
            <w:r>
              <w:rPr>
                <w:rFonts w:ascii="宋体" w:eastAsia="宋体"/>
                <w:spacing w:val="-3"/>
                <w:sz w:val="24"/>
                <w:highlight w:val="none"/>
              </w:rPr>
              <w:t>电  话:</w:t>
            </w:r>
            <w:r>
              <w:rPr>
                <w:rFonts w:hint="eastAsia" w:ascii="宋体" w:hAnsi="宋体" w:eastAsia="宋体" w:cs="宋体"/>
                <w:sz w:val="24"/>
                <w:szCs w:val="24"/>
                <w:highlight w:val="none"/>
              </w:rPr>
              <w:t>0913-8265029</w:t>
            </w:r>
          </w:p>
        </w:tc>
      </w:tr>
      <w:tr w14:paraId="3E0F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72EFE181">
            <w:pPr>
              <w:pStyle w:val="16"/>
              <w:snapToGrid w:val="0"/>
              <w:spacing w:before="78" w:line="360" w:lineRule="auto"/>
              <w:ind w:left="0" w:leftChars="0" w:right="0" w:rightChars="0" w:firstLine="0" w:firstLineChars="0"/>
              <w:jc w:val="center"/>
              <w:rPr>
                <w:rFonts w:ascii="宋体" w:eastAsia="宋体"/>
                <w:sz w:val="24"/>
                <w:highlight w:val="none"/>
              </w:rPr>
            </w:pPr>
            <w:r>
              <w:rPr>
                <w:rFonts w:ascii="宋体" w:eastAsia="宋体"/>
                <w:sz w:val="24"/>
                <w:highlight w:val="none"/>
              </w:rPr>
              <w:t>2</w:t>
            </w:r>
          </w:p>
        </w:tc>
        <w:tc>
          <w:tcPr>
            <w:tcW w:w="1799" w:type="dxa"/>
            <w:vAlign w:val="center"/>
          </w:tcPr>
          <w:p w14:paraId="3F76B17C">
            <w:pPr>
              <w:pStyle w:val="16"/>
              <w:snapToGrid w:val="0"/>
              <w:spacing w:before="78"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采购代理机构</w:t>
            </w:r>
          </w:p>
        </w:tc>
        <w:tc>
          <w:tcPr>
            <w:tcW w:w="7257" w:type="dxa"/>
            <w:vAlign w:val="center"/>
          </w:tcPr>
          <w:p w14:paraId="4AB455BD">
            <w:pPr>
              <w:pStyle w:val="16"/>
              <w:snapToGrid w:val="0"/>
              <w:spacing w:before="36" w:line="360" w:lineRule="auto"/>
              <w:ind w:left="0" w:leftChars="0" w:right="0" w:rightChars="0" w:firstLine="0" w:firstLineChars="0"/>
              <w:jc w:val="left"/>
              <w:rPr>
                <w:rFonts w:hint="eastAsia" w:ascii="宋体" w:eastAsia="宋体"/>
                <w:sz w:val="24"/>
                <w:highlight w:val="none"/>
                <w:lang w:eastAsia="zh-CN"/>
              </w:rPr>
            </w:pPr>
            <w:r>
              <w:rPr>
                <w:rFonts w:ascii="宋体" w:eastAsia="宋体"/>
                <w:spacing w:val="-1"/>
                <w:sz w:val="24"/>
                <w:highlight w:val="none"/>
              </w:rPr>
              <w:t xml:space="preserve">名  称: </w:t>
            </w:r>
            <w:r>
              <w:rPr>
                <w:rFonts w:hint="eastAsia" w:ascii="宋体" w:eastAsia="宋体"/>
                <w:spacing w:val="-1"/>
                <w:sz w:val="24"/>
                <w:highlight w:val="none"/>
                <w:lang w:eastAsia="zh-CN"/>
              </w:rPr>
              <w:t>陕西至诚项目管理集团有限公司</w:t>
            </w:r>
          </w:p>
          <w:p w14:paraId="4FF6C5B1">
            <w:pPr>
              <w:pStyle w:val="16"/>
              <w:snapToGrid w:val="0"/>
              <w:spacing w:before="24" w:line="360" w:lineRule="auto"/>
              <w:ind w:left="0" w:leftChars="0" w:right="0" w:rightChars="0" w:firstLine="0" w:firstLineChars="0"/>
              <w:jc w:val="left"/>
              <w:rPr>
                <w:rFonts w:hint="eastAsia" w:ascii="宋体" w:eastAsia="宋体"/>
                <w:sz w:val="24"/>
                <w:highlight w:val="none"/>
                <w:lang w:eastAsia="zh-CN"/>
              </w:rPr>
            </w:pPr>
            <w:r>
              <w:rPr>
                <w:rFonts w:ascii="宋体" w:eastAsia="宋体"/>
                <w:spacing w:val="1"/>
                <w:sz w:val="24"/>
                <w:highlight w:val="none"/>
              </w:rPr>
              <w:t xml:space="preserve">地  址: </w:t>
            </w:r>
            <w:r>
              <w:rPr>
                <w:rFonts w:hint="eastAsia" w:ascii="宋体" w:eastAsia="宋体"/>
                <w:spacing w:val="1"/>
                <w:sz w:val="24"/>
                <w:highlight w:val="none"/>
                <w:lang w:eastAsia="zh-CN"/>
              </w:rPr>
              <w:t>陕西省西安市经济技术开发区未央路 171-1 号银池道拉斯财富中心 21 楼</w:t>
            </w:r>
          </w:p>
          <w:p w14:paraId="28E5B03D">
            <w:pPr>
              <w:pStyle w:val="16"/>
              <w:snapToGrid w:val="0"/>
              <w:spacing w:before="26" w:line="360" w:lineRule="auto"/>
              <w:ind w:left="0" w:leftChars="0" w:right="0" w:rightChars="0" w:firstLine="0" w:firstLineChars="0"/>
              <w:jc w:val="left"/>
              <w:rPr>
                <w:rFonts w:hint="eastAsia" w:ascii="宋体" w:eastAsia="宋体"/>
                <w:sz w:val="24"/>
                <w:highlight w:val="none"/>
                <w:lang w:eastAsia="zh-CN"/>
              </w:rPr>
            </w:pPr>
            <w:r>
              <w:rPr>
                <w:rFonts w:ascii="宋体" w:eastAsia="宋体"/>
                <w:spacing w:val="-5"/>
                <w:sz w:val="24"/>
                <w:highlight w:val="none"/>
              </w:rPr>
              <w:t>联系人:</w:t>
            </w:r>
            <w:r>
              <w:rPr>
                <w:rFonts w:ascii="宋体" w:eastAsia="宋体"/>
                <w:spacing w:val="18"/>
                <w:sz w:val="24"/>
                <w:highlight w:val="none"/>
              </w:rPr>
              <w:t xml:space="preserve"> </w:t>
            </w:r>
            <w:r>
              <w:rPr>
                <w:rFonts w:hint="eastAsia" w:ascii="宋体" w:eastAsia="宋体"/>
                <w:spacing w:val="-5"/>
                <w:sz w:val="24"/>
                <w:highlight w:val="none"/>
                <w:lang w:eastAsia="zh-CN"/>
              </w:rPr>
              <w:t>倪沛、胡晓均、王欣玫</w:t>
            </w:r>
          </w:p>
          <w:p w14:paraId="24373A4E">
            <w:pPr>
              <w:pStyle w:val="16"/>
              <w:snapToGrid w:val="0"/>
              <w:spacing w:before="22" w:line="360" w:lineRule="auto"/>
              <w:ind w:left="0" w:leftChars="0" w:right="0" w:rightChars="0" w:firstLine="0" w:firstLineChars="0"/>
              <w:jc w:val="left"/>
              <w:rPr>
                <w:rFonts w:hint="eastAsia" w:ascii="宋体" w:eastAsia="宋体"/>
                <w:sz w:val="24"/>
                <w:highlight w:val="none"/>
                <w:lang w:eastAsia="zh-CN"/>
              </w:rPr>
            </w:pPr>
            <w:r>
              <w:rPr>
                <w:rFonts w:ascii="宋体" w:eastAsia="宋体"/>
                <w:spacing w:val="-5"/>
                <w:sz w:val="24"/>
                <w:highlight w:val="none"/>
              </w:rPr>
              <w:t>电  话:</w:t>
            </w:r>
            <w:r>
              <w:rPr>
                <w:rFonts w:ascii="宋体" w:eastAsia="宋体"/>
                <w:spacing w:val="41"/>
                <w:sz w:val="24"/>
                <w:highlight w:val="none"/>
              </w:rPr>
              <w:t xml:space="preserve"> </w:t>
            </w:r>
            <w:r>
              <w:rPr>
                <w:rFonts w:hint="eastAsia" w:ascii="宋体" w:eastAsia="宋体"/>
                <w:spacing w:val="-5"/>
                <w:sz w:val="24"/>
                <w:highlight w:val="none"/>
                <w:lang w:eastAsia="zh-CN"/>
              </w:rPr>
              <w:t>029-88219779</w:t>
            </w:r>
          </w:p>
        </w:tc>
      </w:tr>
      <w:tr w14:paraId="437F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7ED37FD3">
            <w:pPr>
              <w:pStyle w:val="16"/>
              <w:snapToGrid w:val="0"/>
              <w:spacing w:before="167" w:line="360" w:lineRule="auto"/>
              <w:ind w:left="0" w:leftChars="0" w:right="0" w:rightChars="0" w:firstLine="0" w:firstLineChars="0"/>
              <w:jc w:val="center"/>
              <w:rPr>
                <w:rFonts w:ascii="宋体" w:eastAsia="宋体"/>
                <w:sz w:val="24"/>
                <w:highlight w:val="none"/>
              </w:rPr>
            </w:pPr>
            <w:r>
              <w:rPr>
                <w:rFonts w:ascii="宋体" w:eastAsia="宋体"/>
                <w:sz w:val="24"/>
                <w:highlight w:val="none"/>
              </w:rPr>
              <w:t>3</w:t>
            </w:r>
          </w:p>
        </w:tc>
        <w:tc>
          <w:tcPr>
            <w:tcW w:w="1799" w:type="dxa"/>
            <w:vAlign w:val="center"/>
          </w:tcPr>
          <w:p w14:paraId="763F2EAB">
            <w:pPr>
              <w:pStyle w:val="16"/>
              <w:snapToGrid w:val="0"/>
              <w:spacing w:before="167" w:line="360" w:lineRule="auto"/>
              <w:ind w:left="0" w:leftChars="0" w:right="0" w:rightChars="0" w:firstLine="0" w:firstLineChars="0"/>
              <w:jc w:val="center"/>
              <w:rPr>
                <w:rFonts w:ascii="宋体" w:eastAsia="宋体"/>
                <w:sz w:val="24"/>
                <w:highlight w:val="none"/>
              </w:rPr>
            </w:pPr>
            <w:r>
              <w:rPr>
                <w:rFonts w:ascii="宋体" w:eastAsia="宋体"/>
                <w:spacing w:val="-3"/>
                <w:sz w:val="24"/>
                <w:highlight w:val="none"/>
              </w:rPr>
              <w:t>监督机构</w:t>
            </w:r>
          </w:p>
        </w:tc>
        <w:tc>
          <w:tcPr>
            <w:tcW w:w="7257" w:type="dxa"/>
            <w:vAlign w:val="center"/>
          </w:tcPr>
          <w:p w14:paraId="0249C081">
            <w:pPr>
              <w:pStyle w:val="16"/>
              <w:snapToGrid w:val="0"/>
              <w:spacing w:before="167" w:line="360" w:lineRule="auto"/>
              <w:ind w:left="0" w:leftChars="0" w:right="0" w:rightChars="0" w:firstLine="0" w:firstLineChars="0"/>
              <w:jc w:val="left"/>
              <w:rPr>
                <w:rFonts w:ascii="宋体" w:eastAsia="宋体"/>
                <w:sz w:val="24"/>
                <w:highlight w:val="none"/>
              </w:rPr>
            </w:pPr>
            <w:r>
              <w:rPr>
                <w:rFonts w:ascii="宋体" w:eastAsia="宋体"/>
                <w:spacing w:val="-2"/>
                <w:sz w:val="24"/>
                <w:highlight w:val="none"/>
              </w:rPr>
              <w:t>富阎产业合作园区财政局</w:t>
            </w:r>
          </w:p>
        </w:tc>
      </w:tr>
      <w:tr w14:paraId="2988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34A5786B">
            <w:pPr>
              <w:pStyle w:val="16"/>
              <w:snapToGrid w:val="0"/>
              <w:spacing w:before="167" w:line="360" w:lineRule="auto"/>
              <w:ind w:left="0" w:leftChars="0" w:right="0" w:rightChars="0" w:firstLine="0" w:firstLineChars="0"/>
              <w:jc w:val="center"/>
              <w:rPr>
                <w:rFonts w:ascii="宋体" w:eastAsia="宋体"/>
                <w:sz w:val="24"/>
                <w:highlight w:val="none"/>
              </w:rPr>
            </w:pPr>
            <w:r>
              <w:rPr>
                <w:rFonts w:ascii="宋体" w:eastAsia="宋体"/>
                <w:sz w:val="24"/>
                <w:highlight w:val="none"/>
              </w:rPr>
              <w:t>4</w:t>
            </w:r>
          </w:p>
        </w:tc>
        <w:tc>
          <w:tcPr>
            <w:tcW w:w="1799" w:type="dxa"/>
            <w:vAlign w:val="center"/>
          </w:tcPr>
          <w:p w14:paraId="3434A3EE">
            <w:pPr>
              <w:pStyle w:val="16"/>
              <w:snapToGrid w:val="0"/>
              <w:spacing w:before="168"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采购项目名称</w:t>
            </w:r>
          </w:p>
        </w:tc>
        <w:tc>
          <w:tcPr>
            <w:tcW w:w="7257" w:type="dxa"/>
            <w:vAlign w:val="center"/>
          </w:tcPr>
          <w:p w14:paraId="3B6B787A">
            <w:pPr>
              <w:pStyle w:val="16"/>
              <w:snapToGrid w:val="0"/>
              <w:spacing w:before="167" w:line="360" w:lineRule="auto"/>
              <w:ind w:left="0" w:leftChars="0" w:right="0" w:rightChars="0" w:firstLine="0" w:firstLineChars="0"/>
              <w:jc w:val="left"/>
              <w:rPr>
                <w:rFonts w:hint="default" w:ascii="宋体" w:eastAsia="宋体"/>
                <w:sz w:val="24"/>
                <w:highlight w:val="none"/>
                <w:lang w:val="en-US" w:eastAsia="zh-CN"/>
              </w:rPr>
            </w:pPr>
            <w:r>
              <w:rPr>
                <w:rFonts w:hint="eastAsia" w:ascii="宋体" w:eastAsia="宋体"/>
                <w:spacing w:val="-1"/>
                <w:sz w:val="24"/>
                <w:highlight w:val="none"/>
                <w:lang w:eastAsia="zh-CN"/>
              </w:rPr>
              <w:t>富阎产业合作园区重点项目考古发掘劳务服务项</w:t>
            </w:r>
            <w:r>
              <w:rPr>
                <w:rFonts w:hint="eastAsia" w:ascii="宋体" w:eastAsia="宋体"/>
                <w:spacing w:val="-1"/>
                <w:sz w:val="24"/>
                <w:highlight w:val="none"/>
                <w:lang w:val="en-US" w:eastAsia="zh-CN"/>
              </w:rPr>
              <w:t>目</w:t>
            </w:r>
          </w:p>
        </w:tc>
      </w:tr>
      <w:tr w14:paraId="3089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10C6856B">
            <w:pPr>
              <w:pStyle w:val="16"/>
              <w:snapToGrid w:val="0"/>
              <w:spacing w:before="171" w:line="360" w:lineRule="auto"/>
              <w:ind w:left="0" w:leftChars="0" w:right="0" w:rightChars="0" w:firstLine="0" w:firstLineChars="0"/>
              <w:jc w:val="center"/>
              <w:rPr>
                <w:rFonts w:ascii="宋体" w:eastAsia="宋体"/>
                <w:sz w:val="24"/>
                <w:highlight w:val="none"/>
              </w:rPr>
            </w:pPr>
            <w:r>
              <w:rPr>
                <w:rFonts w:ascii="宋体" w:eastAsia="宋体"/>
                <w:sz w:val="24"/>
                <w:highlight w:val="none"/>
              </w:rPr>
              <w:t>5</w:t>
            </w:r>
          </w:p>
        </w:tc>
        <w:tc>
          <w:tcPr>
            <w:tcW w:w="1799" w:type="dxa"/>
            <w:vAlign w:val="center"/>
          </w:tcPr>
          <w:p w14:paraId="41958913">
            <w:pPr>
              <w:pStyle w:val="16"/>
              <w:snapToGrid w:val="0"/>
              <w:spacing w:before="171"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采购项目编号</w:t>
            </w:r>
          </w:p>
        </w:tc>
        <w:tc>
          <w:tcPr>
            <w:tcW w:w="7257" w:type="dxa"/>
            <w:vAlign w:val="center"/>
          </w:tcPr>
          <w:p w14:paraId="5B17FD38">
            <w:pPr>
              <w:pStyle w:val="16"/>
              <w:snapToGrid w:val="0"/>
              <w:spacing w:before="171" w:line="360" w:lineRule="auto"/>
              <w:ind w:left="0" w:leftChars="0" w:right="0" w:rightChars="0" w:firstLine="0" w:firstLineChars="0"/>
              <w:jc w:val="left"/>
              <w:rPr>
                <w:rFonts w:hint="eastAsia" w:ascii="宋体" w:eastAsia="宋体"/>
                <w:sz w:val="24"/>
                <w:highlight w:val="none"/>
                <w:lang w:eastAsia="zh-CN"/>
              </w:rPr>
            </w:pPr>
            <w:r>
              <w:rPr>
                <w:rFonts w:hint="eastAsia" w:ascii="宋体" w:eastAsia="宋体"/>
                <w:spacing w:val="-1"/>
                <w:sz w:val="24"/>
                <w:highlight w:val="none"/>
                <w:lang w:eastAsia="zh-CN"/>
              </w:rPr>
              <w:t>SXZCZB2026-ZCGK-0327</w:t>
            </w:r>
          </w:p>
        </w:tc>
      </w:tr>
      <w:tr w14:paraId="293F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77DCA5CA">
            <w:pPr>
              <w:pStyle w:val="16"/>
              <w:snapToGrid w:val="0"/>
              <w:spacing w:before="173" w:line="360" w:lineRule="auto"/>
              <w:ind w:left="0" w:leftChars="0" w:right="0" w:rightChars="0" w:firstLine="0" w:firstLineChars="0"/>
              <w:jc w:val="center"/>
              <w:rPr>
                <w:rFonts w:ascii="宋体" w:eastAsia="宋体"/>
                <w:sz w:val="24"/>
                <w:highlight w:val="none"/>
              </w:rPr>
            </w:pPr>
            <w:r>
              <w:rPr>
                <w:rFonts w:ascii="宋体" w:eastAsia="宋体"/>
                <w:spacing w:val="-4"/>
                <w:sz w:val="24"/>
                <w:highlight w:val="none"/>
              </w:rPr>
              <w:t>6.1</w:t>
            </w:r>
          </w:p>
        </w:tc>
        <w:tc>
          <w:tcPr>
            <w:tcW w:w="1799" w:type="dxa"/>
            <w:vAlign w:val="center"/>
          </w:tcPr>
          <w:p w14:paraId="4B9298DD">
            <w:pPr>
              <w:pStyle w:val="16"/>
              <w:snapToGrid w:val="0"/>
              <w:spacing w:before="173" w:line="360" w:lineRule="auto"/>
              <w:ind w:left="0" w:leftChars="0" w:right="0" w:rightChars="0" w:firstLine="0" w:firstLineChars="0"/>
              <w:jc w:val="center"/>
              <w:rPr>
                <w:rFonts w:ascii="宋体" w:eastAsia="宋体"/>
                <w:sz w:val="24"/>
                <w:highlight w:val="none"/>
              </w:rPr>
            </w:pPr>
            <w:r>
              <w:rPr>
                <w:rFonts w:ascii="宋体" w:eastAsia="宋体"/>
                <w:spacing w:val="-3"/>
                <w:sz w:val="24"/>
                <w:highlight w:val="none"/>
              </w:rPr>
              <w:t>预算金额</w:t>
            </w:r>
          </w:p>
        </w:tc>
        <w:tc>
          <w:tcPr>
            <w:tcW w:w="7257" w:type="dxa"/>
            <w:vAlign w:val="center"/>
          </w:tcPr>
          <w:p w14:paraId="617EBB85">
            <w:pPr>
              <w:pStyle w:val="16"/>
              <w:snapToGrid w:val="0"/>
              <w:spacing w:before="174" w:line="360" w:lineRule="auto"/>
              <w:ind w:left="0" w:leftChars="0" w:right="0" w:rightChars="0" w:firstLine="0" w:firstLineChars="0"/>
              <w:jc w:val="left"/>
              <w:rPr>
                <w:rFonts w:ascii="宋体" w:eastAsia="宋体"/>
                <w:sz w:val="24"/>
                <w:highlight w:val="none"/>
              </w:rPr>
            </w:pPr>
            <w:r>
              <w:rPr>
                <w:rFonts w:ascii="宋体" w:eastAsia="宋体"/>
                <w:spacing w:val="-1"/>
                <w:sz w:val="24"/>
                <w:highlight w:val="none"/>
              </w:rPr>
              <w:t>本项目预算金额￥</w:t>
            </w:r>
            <w:r>
              <w:rPr>
                <w:rFonts w:hint="eastAsia" w:ascii="宋体" w:eastAsia="宋体" w:hAnsiTheme="minorEastAsia" w:cstheme="minorEastAsia"/>
                <w:i w:val="0"/>
                <w:iCs w:val="0"/>
                <w:caps w:val="0"/>
                <w:color w:val="333333"/>
                <w:spacing w:val="0"/>
                <w:sz w:val="24"/>
                <w:szCs w:val="24"/>
                <w:highlight w:val="none"/>
                <w:shd w:val="clear" w:fill="FFFFFF"/>
                <w:vertAlign w:val="baseline"/>
              </w:rPr>
              <w:t>0.01</w:t>
            </w:r>
            <w:r>
              <w:rPr>
                <w:rFonts w:ascii="宋体" w:eastAsia="宋体"/>
                <w:spacing w:val="-1"/>
                <w:sz w:val="24"/>
                <w:highlight w:val="none"/>
              </w:rPr>
              <w:t>元</w:t>
            </w:r>
          </w:p>
        </w:tc>
      </w:tr>
      <w:tr w14:paraId="57F0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407D50B7">
            <w:pPr>
              <w:pStyle w:val="16"/>
              <w:snapToGrid w:val="0"/>
              <w:spacing w:before="78" w:line="360" w:lineRule="auto"/>
              <w:ind w:left="0" w:leftChars="0" w:right="0" w:rightChars="0" w:firstLine="0" w:firstLineChars="0"/>
              <w:jc w:val="center"/>
              <w:rPr>
                <w:rFonts w:ascii="宋体" w:eastAsia="宋体"/>
                <w:sz w:val="24"/>
                <w:highlight w:val="none"/>
              </w:rPr>
            </w:pPr>
            <w:r>
              <w:rPr>
                <w:rFonts w:ascii="宋体" w:eastAsia="宋体"/>
                <w:spacing w:val="-4"/>
                <w:sz w:val="24"/>
                <w:highlight w:val="none"/>
              </w:rPr>
              <w:t>6.2</w:t>
            </w:r>
          </w:p>
        </w:tc>
        <w:tc>
          <w:tcPr>
            <w:tcW w:w="1799" w:type="dxa"/>
            <w:vAlign w:val="center"/>
          </w:tcPr>
          <w:p w14:paraId="6D433351">
            <w:pPr>
              <w:pStyle w:val="16"/>
              <w:snapToGrid w:val="0"/>
              <w:spacing w:before="78" w:line="360" w:lineRule="auto"/>
              <w:ind w:left="0" w:leftChars="0" w:right="0" w:rightChars="0" w:firstLine="0" w:firstLineChars="0"/>
              <w:jc w:val="center"/>
              <w:rPr>
                <w:rFonts w:hint="eastAsia"/>
                <w:spacing w:val="-2"/>
                <w:sz w:val="24"/>
                <w:highlight w:val="none"/>
                <w:lang w:val="en-US" w:eastAsia="zh-CN"/>
              </w:rPr>
            </w:pPr>
            <w:r>
              <w:rPr>
                <w:rFonts w:hint="eastAsia"/>
                <w:spacing w:val="-2"/>
                <w:sz w:val="24"/>
                <w:highlight w:val="none"/>
                <w:lang w:val="en-US" w:eastAsia="zh-CN"/>
              </w:rPr>
              <w:t>费率折扣限价</w:t>
            </w:r>
          </w:p>
          <w:p w14:paraId="3024628E">
            <w:pPr>
              <w:pStyle w:val="16"/>
              <w:snapToGrid w:val="0"/>
              <w:spacing w:before="78" w:line="360" w:lineRule="auto"/>
              <w:ind w:left="0" w:leftChars="0" w:right="0" w:rightChars="0" w:firstLine="0" w:firstLineChars="0"/>
              <w:jc w:val="center"/>
              <w:rPr>
                <w:rFonts w:hint="default" w:ascii="宋体" w:eastAsia="宋体"/>
                <w:sz w:val="24"/>
                <w:highlight w:val="none"/>
                <w:lang w:val="en-US" w:eastAsia="zh-CN"/>
              </w:rPr>
            </w:pPr>
            <w:r>
              <w:rPr>
                <w:rFonts w:hint="eastAsia"/>
                <w:spacing w:val="-2"/>
                <w:sz w:val="24"/>
                <w:highlight w:val="none"/>
                <w:lang w:val="en-US" w:eastAsia="zh-CN"/>
              </w:rPr>
              <w:t>（100%）</w:t>
            </w:r>
          </w:p>
        </w:tc>
        <w:tc>
          <w:tcPr>
            <w:tcW w:w="7257" w:type="dxa"/>
            <w:vAlign w:val="center"/>
          </w:tcPr>
          <w:p w14:paraId="3CCBA45F">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ascii="宋体" w:eastAsia="宋体"/>
                <w:sz w:val="24"/>
                <w:highlight w:val="none"/>
              </w:rPr>
            </w:pP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按照陕西省考古研究院基本建设考古调查、勘探、发掘经费预算定额管理办法（试行）。（其中包括民工费、机械费、临时建筑设施费、管理费、安全保卫费、不可预见费等文物发掘工作除技术外的所有费用）</w:t>
            </w:r>
            <w:r>
              <w:rPr>
                <w:rFonts w:hint="eastAsia" w:ascii="微软雅黑" w:hAnsi="微软雅黑" w:eastAsia="微软雅黑" w:cs="微软雅黑"/>
                <w:i w:val="0"/>
                <w:iCs w:val="0"/>
                <w:caps w:val="0"/>
                <w:color w:val="000000"/>
                <w:spacing w:val="0"/>
                <w:sz w:val="24"/>
                <w:szCs w:val="24"/>
                <w:highlight w:val="none"/>
                <w:u w:val="single"/>
                <w:shd w:val="clear" w:fill="FFFFFF"/>
                <w:vertAlign w:val="baseline"/>
                <w:lang w:val="en-US" w:eastAsia="zh-CN"/>
              </w:rPr>
              <w:t>×</w:t>
            </w: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100%，超过最高限价（100%），按无效文件处理。</w:t>
            </w:r>
          </w:p>
        </w:tc>
      </w:tr>
      <w:tr w14:paraId="6372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4CC711D4">
            <w:pPr>
              <w:pStyle w:val="16"/>
              <w:snapToGrid w:val="0"/>
              <w:spacing w:before="207" w:line="360" w:lineRule="auto"/>
              <w:ind w:left="0" w:leftChars="0" w:right="0" w:rightChars="0" w:firstLine="0" w:firstLineChars="0"/>
              <w:jc w:val="center"/>
              <w:rPr>
                <w:rFonts w:ascii="宋体" w:eastAsia="宋体"/>
                <w:sz w:val="24"/>
                <w:highlight w:val="none"/>
              </w:rPr>
            </w:pPr>
            <w:r>
              <w:rPr>
                <w:rFonts w:ascii="宋体" w:eastAsia="宋体"/>
                <w:sz w:val="24"/>
                <w:highlight w:val="none"/>
              </w:rPr>
              <w:t>7</w:t>
            </w:r>
          </w:p>
        </w:tc>
        <w:tc>
          <w:tcPr>
            <w:tcW w:w="1799" w:type="dxa"/>
            <w:vAlign w:val="center"/>
          </w:tcPr>
          <w:p w14:paraId="5DC229FE">
            <w:pPr>
              <w:pStyle w:val="16"/>
              <w:snapToGrid w:val="0"/>
              <w:spacing w:before="50"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是否预留份额专门面向中小企业采购</w:t>
            </w:r>
          </w:p>
        </w:tc>
        <w:tc>
          <w:tcPr>
            <w:tcW w:w="7257" w:type="dxa"/>
            <w:vAlign w:val="center"/>
          </w:tcPr>
          <w:p w14:paraId="2A8646A6">
            <w:pPr>
              <w:pStyle w:val="16"/>
              <w:snapToGrid w:val="0"/>
              <w:spacing w:before="206" w:line="360" w:lineRule="auto"/>
              <w:ind w:left="0" w:leftChars="0" w:right="0" w:rightChars="0" w:firstLine="0" w:firstLineChars="0"/>
              <w:jc w:val="left"/>
              <w:rPr>
                <w:rFonts w:ascii="宋体" w:eastAsia="宋体"/>
                <w:sz w:val="24"/>
                <w:highlight w:val="none"/>
              </w:rPr>
            </w:pPr>
            <w:r>
              <w:rPr>
                <w:rFonts w:ascii="宋体" w:eastAsia="宋体"/>
                <w:sz w:val="24"/>
                <w:highlight w:val="none"/>
              </w:rPr>
              <w:t>是</w:t>
            </w:r>
          </w:p>
        </w:tc>
      </w:tr>
      <w:tr w14:paraId="3301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0C97237D">
            <w:pPr>
              <w:pStyle w:val="16"/>
              <w:snapToGrid w:val="0"/>
              <w:spacing w:before="181" w:line="360" w:lineRule="auto"/>
              <w:ind w:left="0" w:leftChars="0" w:right="0" w:rightChars="0" w:firstLine="0" w:firstLineChars="0"/>
              <w:jc w:val="center"/>
              <w:rPr>
                <w:rFonts w:ascii="宋体" w:eastAsia="宋体"/>
                <w:sz w:val="24"/>
                <w:highlight w:val="none"/>
              </w:rPr>
            </w:pPr>
            <w:r>
              <w:rPr>
                <w:rFonts w:ascii="宋体" w:eastAsia="宋体"/>
                <w:sz w:val="24"/>
                <w:highlight w:val="none"/>
              </w:rPr>
              <w:t>8</w:t>
            </w:r>
          </w:p>
        </w:tc>
        <w:tc>
          <w:tcPr>
            <w:tcW w:w="1799" w:type="dxa"/>
            <w:vAlign w:val="center"/>
          </w:tcPr>
          <w:p w14:paraId="6AC058F4">
            <w:pPr>
              <w:pStyle w:val="16"/>
              <w:snapToGrid w:val="0"/>
              <w:spacing w:before="180"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是否接受联合体投标</w:t>
            </w:r>
          </w:p>
        </w:tc>
        <w:tc>
          <w:tcPr>
            <w:tcW w:w="7257" w:type="dxa"/>
            <w:vAlign w:val="center"/>
          </w:tcPr>
          <w:p w14:paraId="368E6C2D">
            <w:pPr>
              <w:pStyle w:val="16"/>
              <w:snapToGrid w:val="0"/>
              <w:spacing w:before="180" w:line="360" w:lineRule="auto"/>
              <w:ind w:left="0" w:leftChars="0" w:right="0" w:rightChars="0" w:firstLine="0" w:firstLineChars="0"/>
              <w:jc w:val="left"/>
              <w:rPr>
                <w:rFonts w:ascii="宋体" w:eastAsia="宋体"/>
                <w:sz w:val="24"/>
                <w:highlight w:val="none"/>
              </w:rPr>
            </w:pPr>
            <w:r>
              <w:rPr>
                <w:rFonts w:ascii="宋体" w:eastAsia="宋体"/>
                <w:sz w:val="24"/>
                <w:highlight w:val="none"/>
              </w:rPr>
              <w:t>否</w:t>
            </w:r>
          </w:p>
        </w:tc>
      </w:tr>
      <w:tr w14:paraId="7012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30900B01">
            <w:pPr>
              <w:pStyle w:val="16"/>
              <w:snapToGrid w:val="0"/>
              <w:spacing w:before="210" w:line="360" w:lineRule="auto"/>
              <w:ind w:left="0" w:leftChars="0" w:right="0" w:rightChars="0" w:firstLine="0" w:firstLineChars="0"/>
              <w:jc w:val="center"/>
              <w:rPr>
                <w:rFonts w:ascii="宋体" w:eastAsia="宋体"/>
                <w:sz w:val="24"/>
                <w:highlight w:val="none"/>
              </w:rPr>
            </w:pPr>
            <w:r>
              <w:rPr>
                <w:rFonts w:ascii="宋体" w:eastAsia="宋体"/>
                <w:sz w:val="24"/>
                <w:highlight w:val="none"/>
              </w:rPr>
              <w:t>9</w:t>
            </w:r>
          </w:p>
        </w:tc>
        <w:tc>
          <w:tcPr>
            <w:tcW w:w="1799" w:type="dxa"/>
            <w:vAlign w:val="center"/>
          </w:tcPr>
          <w:p w14:paraId="7674D6F3">
            <w:pPr>
              <w:pStyle w:val="16"/>
              <w:snapToGrid w:val="0"/>
              <w:spacing w:before="56"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是否允许大中企业</w:t>
            </w:r>
            <w:r>
              <w:rPr>
                <w:rFonts w:ascii="宋体" w:eastAsia="宋体"/>
                <w:spacing w:val="-5"/>
                <w:sz w:val="24"/>
                <w:highlight w:val="none"/>
              </w:rPr>
              <w:t>向小微企业分包</w:t>
            </w:r>
          </w:p>
        </w:tc>
        <w:tc>
          <w:tcPr>
            <w:tcW w:w="7257" w:type="dxa"/>
            <w:vAlign w:val="center"/>
          </w:tcPr>
          <w:p w14:paraId="60AF1511">
            <w:pPr>
              <w:pStyle w:val="16"/>
              <w:snapToGrid w:val="0"/>
              <w:spacing w:before="210" w:line="360" w:lineRule="auto"/>
              <w:ind w:left="0" w:leftChars="0" w:right="0" w:rightChars="0" w:firstLine="0" w:firstLineChars="0"/>
              <w:jc w:val="left"/>
              <w:rPr>
                <w:rFonts w:ascii="宋体" w:eastAsia="宋体"/>
                <w:sz w:val="24"/>
                <w:highlight w:val="none"/>
              </w:rPr>
            </w:pPr>
            <w:r>
              <w:rPr>
                <w:rFonts w:ascii="宋体" w:eastAsia="宋体"/>
                <w:sz w:val="24"/>
                <w:highlight w:val="none"/>
              </w:rPr>
              <w:t>否</w:t>
            </w:r>
          </w:p>
        </w:tc>
      </w:tr>
      <w:tr w14:paraId="0C35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4A9A8182">
            <w:pPr>
              <w:pStyle w:val="16"/>
              <w:snapToGrid w:val="0"/>
              <w:spacing w:before="184" w:line="360" w:lineRule="auto"/>
              <w:ind w:left="0" w:leftChars="0" w:right="0" w:rightChars="0" w:firstLine="0" w:firstLineChars="0"/>
              <w:jc w:val="center"/>
              <w:rPr>
                <w:rFonts w:ascii="宋体" w:eastAsia="宋体"/>
                <w:sz w:val="24"/>
                <w:highlight w:val="none"/>
              </w:rPr>
            </w:pPr>
            <w:r>
              <w:rPr>
                <w:rFonts w:ascii="宋体" w:eastAsia="宋体"/>
                <w:spacing w:val="-14"/>
                <w:sz w:val="24"/>
                <w:highlight w:val="none"/>
              </w:rPr>
              <w:t>10</w:t>
            </w:r>
          </w:p>
        </w:tc>
        <w:tc>
          <w:tcPr>
            <w:tcW w:w="1799" w:type="dxa"/>
            <w:vAlign w:val="center"/>
          </w:tcPr>
          <w:p w14:paraId="69C95B40">
            <w:pPr>
              <w:pStyle w:val="16"/>
              <w:snapToGrid w:val="0"/>
              <w:spacing w:before="184" w:line="360" w:lineRule="auto"/>
              <w:ind w:left="0" w:leftChars="0" w:right="0" w:rightChars="0" w:firstLine="0" w:firstLineChars="0"/>
              <w:jc w:val="center"/>
              <w:rPr>
                <w:rFonts w:ascii="宋体" w:eastAsia="宋体"/>
                <w:sz w:val="24"/>
                <w:highlight w:val="none"/>
              </w:rPr>
            </w:pPr>
            <w:r>
              <w:rPr>
                <w:rFonts w:ascii="宋体" w:eastAsia="宋体"/>
                <w:spacing w:val="-3"/>
                <w:sz w:val="24"/>
                <w:highlight w:val="none"/>
              </w:rPr>
              <w:t>采购需求</w:t>
            </w:r>
          </w:p>
        </w:tc>
        <w:tc>
          <w:tcPr>
            <w:tcW w:w="7257" w:type="dxa"/>
            <w:vAlign w:val="center"/>
          </w:tcPr>
          <w:p w14:paraId="5A37A666">
            <w:pPr>
              <w:pStyle w:val="16"/>
              <w:snapToGrid w:val="0"/>
              <w:spacing w:before="184" w:line="360" w:lineRule="auto"/>
              <w:ind w:left="0" w:leftChars="0" w:right="0" w:rightChars="0" w:firstLine="0" w:firstLineChars="0"/>
              <w:jc w:val="left"/>
              <w:rPr>
                <w:rFonts w:ascii="宋体" w:eastAsia="宋体"/>
                <w:sz w:val="24"/>
                <w:highlight w:val="none"/>
              </w:rPr>
            </w:pPr>
            <w:r>
              <w:rPr>
                <w:rFonts w:ascii="宋体" w:eastAsia="宋体"/>
                <w:spacing w:val="-2"/>
                <w:sz w:val="24"/>
                <w:highlight w:val="none"/>
              </w:rPr>
              <w:t>详见征集文件第4章</w:t>
            </w:r>
          </w:p>
        </w:tc>
      </w:tr>
      <w:tr w14:paraId="2842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691BFCAD">
            <w:pPr>
              <w:pStyle w:val="16"/>
              <w:snapToGrid w:val="0"/>
              <w:spacing w:before="186" w:line="360" w:lineRule="auto"/>
              <w:ind w:left="0" w:leftChars="0" w:right="0" w:rightChars="0" w:firstLine="0" w:firstLineChars="0"/>
              <w:jc w:val="center"/>
              <w:rPr>
                <w:rFonts w:ascii="宋体" w:eastAsia="宋体"/>
                <w:sz w:val="24"/>
                <w:highlight w:val="none"/>
              </w:rPr>
            </w:pPr>
            <w:r>
              <w:rPr>
                <w:rFonts w:ascii="宋体" w:eastAsia="宋体"/>
                <w:spacing w:val="-14"/>
                <w:sz w:val="24"/>
                <w:highlight w:val="none"/>
              </w:rPr>
              <w:t>11</w:t>
            </w:r>
          </w:p>
        </w:tc>
        <w:tc>
          <w:tcPr>
            <w:tcW w:w="1799" w:type="dxa"/>
            <w:vAlign w:val="center"/>
          </w:tcPr>
          <w:p w14:paraId="5DAC37B1">
            <w:pPr>
              <w:pStyle w:val="16"/>
              <w:snapToGrid w:val="0"/>
              <w:spacing w:before="187" w:line="360" w:lineRule="auto"/>
              <w:ind w:left="0" w:leftChars="0" w:right="0" w:rightChars="0" w:firstLine="0" w:firstLineChars="0"/>
              <w:jc w:val="center"/>
              <w:rPr>
                <w:rFonts w:ascii="宋体" w:eastAsia="宋体"/>
                <w:sz w:val="24"/>
                <w:highlight w:val="none"/>
              </w:rPr>
            </w:pPr>
            <w:r>
              <w:rPr>
                <w:rFonts w:ascii="宋体" w:eastAsia="宋体"/>
                <w:spacing w:val="-5"/>
                <w:sz w:val="24"/>
                <w:highlight w:val="none"/>
              </w:rPr>
              <w:t>资金来源</w:t>
            </w:r>
          </w:p>
        </w:tc>
        <w:tc>
          <w:tcPr>
            <w:tcW w:w="7257" w:type="dxa"/>
            <w:vAlign w:val="center"/>
          </w:tcPr>
          <w:p w14:paraId="6749CCB0">
            <w:pPr>
              <w:pStyle w:val="16"/>
              <w:snapToGrid w:val="0"/>
              <w:spacing w:before="186" w:line="360" w:lineRule="auto"/>
              <w:ind w:left="0" w:leftChars="0" w:right="0" w:rightChars="0" w:firstLine="0" w:firstLineChars="0"/>
              <w:jc w:val="left"/>
              <w:rPr>
                <w:rFonts w:ascii="宋体" w:eastAsia="宋体"/>
                <w:sz w:val="24"/>
                <w:highlight w:val="none"/>
              </w:rPr>
            </w:pPr>
            <w:r>
              <w:rPr>
                <w:rFonts w:ascii="宋体" w:eastAsia="宋体"/>
                <w:spacing w:val="-3"/>
                <w:sz w:val="24"/>
                <w:highlight w:val="none"/>
              </w:rPr>
              <w:t>财政资金</w:t>
            </w:r>
          </w:p>
        </w:tc>
      </w:tr>
      <w:tr w14:paraId="5D13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2282B5F7">
            <w:pPr>
              <w:pStyle w:val="16"/>
              <w:snapToGrid w:val="0"/>
              <w:spacing w:before="78" w:line="360" w:lineRule="auto"/>
              <w:ind w:left="0" w:leftChars="0" w:right="0" w:rightChars="0" w:firstLine="0" w:firstLineChars="0"/>
              <w:jc w:val="center"/>
              <w:rPr>
                <w:rFonts w:ascii="宋体" w:eastAsia="宋体"/>
                <w:sz w:val="24"/>
                <w:highlight w:val="none"/>
              </w:rPr>
            </w:pPr>
            <w:r>
              <w:rPr>
                <w:rFonts w:ascii="宋体" w:eastAsia="宋体"/>
                <w:spacing w:val="-14"/>
                <w:sz w:val="24"/>
                <w:highlight w:val="none"/>
              </w:rPr>
              <w:t>12</w:t>
            </w:r>
          </w:p>
        </w:tc>
        <w:tc>
          <w:tcPr>
            <w:tcW w:w="1799" w:type="dxa"/>
            <w:vAlign w:val="center"/>
          </w:tcPr>
          <w:p w14:paraId="7E31F86E">
            <w:pPr>
              <w:pStyle w:val="16"/>
              <w:snapToGrid w:val="0"/>
              <w:spacing w:before="62" w:line="360" w:lineRule="auto"/>
              <w:ind w:left="0" w:leftChars="0" w:right="0" w:rightChars="0" w:firstLine="0" w:firstLineChars="0"/>
              <w:jc w:val="center"/>
              <w:rPr>
                <w:rFonts w:ascii="宋体" w:eastAsia="宋体"/>
                <w:sz w:val="24"/>
                <w:highlight w:val="none"/>
              </w:rPr>
            </w:pPr>
            <w:r>
              <w:rPr>
                <w:rFonts w:ascii="宋体" w:eastAsia="宋体"/>
                <w:spacing w:val="-6"/>
                <w:sz w:val="24"/>
                <w:highlight w:val="none"/>
              </w:rPr>
              <w:t>响应文件</w:t>
            </w:r>
          </w:p>
          <w:p w14:paraId="543C794D">
            <w:pPr>
              <w:pStyle w:val="16"/>
              <w:snapToGrid w:val="0"/>
              <w:spacing w:before="23"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递交截止时间</w:t>
            </w:r>
          </w:p>
          <w:p w14:paraId="23A19037">
            <w:pPr>
              <w:pStyle w:val="16"/>
              <w:snapToGrid w:val="0"/>
              <w:spacing w:before="25" w:line="360" w:lineRule="auto"/>
              <w:ind w:left="0" w:leftChars="0" w:right="0" w:rightChars="0" w:firstLine="0" w:firstLineChars="0"/>
              <w:jc w:val="center"/>
              <w:rPr>
                <w:rFonts w:ascii="宋体" w:eastAsia="宋体"/>
                <w:sz w:val="24"/>
                <w:highlight w:val="none"/>
              </w:rPr>
            </w:pPr>
            <w:r>
              <w:rPr>
                <w:rFonts w:ascii="宋体" w:eastAsia="宋体"/>
                <w:spacing w:val="-3"/>
                <w:sz w:val="24"/>
                <w:highlight w:val="none"/>
              </w:rPr>
              <w:t>及地点</w:t>
            </w:r>
          </w:p>
        </w:tc>
        <w:tc>
          <w:tcPr>
            <w:tcW w:w="7257" w:type="dxa"/>
            <w:vAlign w:val="center"/>
          </w:tcPr>
          <w:p w14:paraId="239857C2">
            <w:pPr>
              <w:pStyle w:val="16"/>
              <w:snapToGrid w:val="0"/>
              <w:spacing w:before="216" w:line="360" w:lineRule="auto"/>
              <w:ind w:left="0" w:leftChars="0" w:right="0" w:rightChars="0" w:firstLine="0" w:firstLineChars="0"/>
              <w:jc w:val="left"/>
              <w:rPr>
                <w:rFonts w:ascii="宋体" w:eastAsia="宋体"/>
                <w:sz w:val="24"/>
                <w:highlight w:val="none"/>
              </w:rPr>
            </w:pPr>
            <w:r>
              <w:rPr>
                <w:rFonts w:ascii="宋体" w:eastAsia="宋体"/>
                <w:spacing w:val="-1"/>
                <w:sz w:val="24"/>
                <w:highlight w:val="none"/>
              </w:rPr>
              <w:t>时间：202</w:t>
            </w:r>
            <w:r>
              <w:rPr>
                <w:rFonts w:hint="eastAsia" w:ascii="宋体" w:eastAsia="宋体"/>
                <w:spacing w:val="-1"/>
                <w:sz w:val="24"/>
                <w:highlight w:val="none"/>
                <w:lang w:val="en-US" w:eastAsia="zh-CN"/>
              </w:rPr>
              <w:t>6</w:t>
            </w:r>
            <w:r>
              <w:rPr>
                <w:rFonts w:ascii="宋体" w:eastAsia="宋体"/>
                <w:spacing w:val="-1"/>
                <w:sz w:val="24"/>
                <w:highlight w:val="none"/>
              </w:rPr>
              <w:t>年</w:t>
            </w:r>
            <w:r>
              <w:rPr>
                <w:rFonts w:hint="eastAsia" w:ascii="宋体" w:eastAsia="宋体"/>
                <w:spacing w:val="-1"/>
                <w:sz w:val="24"/>
                <w:highlight w:val="none"/>
                <w:lang w:val="en-US" w:eastAsia="zh-CN"/>
              </w:rPr>
              <w:t>04</w:t>
            </w:r>
            <w:r>
              <w:rPr>
                <w:rFonts w:ascii="宋体" w:eastAsia="宋体"/>
                <w:spacing w:val="-1"/>
                <w:sz w:val="24"/>
                <w:highlight w:val="none"/>
              </w:rPr>
              <w:t>月</w:t>
            </w:r>
            <w:r>
              <w:rPr>
                <w:rFonts w:hint="eastAsia"/>
                <w:spacing w:val="-1"/>
                <w:sz w:val="24"/>
                <w:highlight w:val="none"/>
                <w:lang w:val="en-US" w:eastAsia="zh-CN"/>
              </w:rPr>
              <w:t>17</w:t>
            </w:r>
            <w:r>
              <w:rPr>
                <w:rFonts w:ascii="宋体" w:eastAsia="宋体"/>
                <w:spacing w:val="-1"/>
                <w:sz w:val="24"/>
                <w:highlight w:val="none"/>
              </w:rPr>
              <w:t>日</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0</w:t>
            </w:r>
            <w:r>
              <w:rPr>
                <w:rFonts w:ascii="宋体" w:eastAsia="宋体"/>
                <w:spacing w:val="-1"/>
                <w:sz w:val="24"/>
                <w:highlight w:val="none"/>
              </w:rPr>
              <w:t>点</w:t>
            </w:r>
            <w:r>
              <w:rPr>
                <w:rFonts w:hint="eastAsia" w:ascii="宋体" w:eastAsia="宋体"/>
                <w:spacing w:val="-1"/>
                <w:sz w:val="24"/>
                <w:highlight w:val="none"/>
                <w:lang w:val="en-US" w:eastAsia="zh-CN"/>
              </w:rPr>
              <w:t>00</w:t>
            </w:r>
            <w:r>
              <w:rPr>
                <w:rFonts w:ascii="宋体" w:eastAsia="宋体"/>
                <w:spacing w:val="-1"/>
                <w:sz w:val="24"/>
                <w:highlight w:val="none"/>
              </w:rPr>
              <w:t>分（北京时间）</w:t>
            </w:r>
          </w:p>
          <w:p w14:paraId="52F7012B">
            <w:pPr>
              <w:pStyle w:val="16"/>
              <w:snapToGrid w:val="0"/>
              <w:spacing w:before="25" w:line="360" w:lineRule="auto"/>
              <w:ind w:left="0" w:leftChars="0" w:right="0" w:rightChars="0" w:firstLine="0" w:firstLineChars="0"/>
              <w:jc w:val="left"/>
              <w:rPr>
                <w:rFonts w:hint="eastAsia" w:ascii="宋体" w:eastAsia="宋体"/>
                <w:sz w:val="24"/>
                <w:highlight w:val="none"/>
                <w:lang w:eastAsia="zh-CN"/>
              </w:rPr>
            </w:pPr>
            <w:r>
              <w:rPr>
                <w:rFonts w:ascii="宋体" w:eastAsia="宋体"/>
                <w:spacing w:val="-1"/>
                <w:sz w:val="24"/>
                <w:highlight w:val="none"/>
              </w:rPr>
              <w:t>地点：</w:t>
            </w:r>
            <w:r>
              <w:rPr>
                <w:rFonts w:hint="eastAsia" w:ascii="宋体" w:eastAsia="宋体"/>
                <w:spacing w:val="-1"/>
                <w:sz w:val="24"/>
                <w:highlight w:val="none"/>
                <w:lang w:eastAsia="zh-CN"/>
              </w:rPr>
              <w:t>陕西省西安市经济技术开发区未央路 171-1 号银池道拉斯财富中心 21 楼</w:t>
            </w:r>
          </w:p>
        </w:tc>
      </w:tr>
      <w:tr w14:paraId="0DFE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6E5214E8">
            <w:pPr>
              <w:pStyle w:val="16"/>
              <w:snapToGrid w:val="0"/>
              <w:spacing w:before="193" w:line="360" w:lineRule="auto"/>
              <w:ind w:left="0" w:leftChars="0" w:right="0" w:rightChars="0" w:firstLine="0" w:firstLineChars="0"/>
              <w:jc w:val="center"/>
              <w:rPr>
                <w:rFonts w:ascii="宋体" w:eastAsia="宋体"/>
                <w:sz w:val="24"/>
                <w:highlight w:val="none"/>
              </w:rPr>
            </w:pPr>
            <w:r>
              <w:rPr>
                <w:rFonts w:ascii="宋体" w:eastAsia="宋体"/>
                <w:spacing w:val="-14"/>
                <w:sz w:val="24"/>
                <w:highlight w:val="none"/>
              </w:rPr>
              <w:t>13</w:t>
            </w:r>
          </w:p>
        </w:tc>
        <w:tc>
          <w:tcPr>
            <w:tcW w:w="1799" w:type="dxa"/>
            <w:vAlign w:val="center"/>
          </w:tcPr>
          <w:p w14:paraId="6E15BCCB">
            <w:pPr>
              <w:pStyle w:val="16"/>
              <w:snapToGrid w:val="0"/>
              <w:spacing w:before="192" w:line="360" w:lineRule="auto"/>
              <w:ind w:left="0" w:leftChars="0" w:right="0" w:rightChars="0" w:firstLine="0" w:firstLineChars="0"/>
              <w:jc w:val="center"/>
              <w:rPr>
                <w:rFonts w:ascii="宋体" w:eastAsia="宋体"/>
                <w:sz w:val="24"/>
                <w:highlight w:val="none"/>
              </w:rPr>
            </w:pPr>
            <w:r>
              <w:rPr>
                <w:rFonts w:ascii="宋体" w:eastAsia="宋体"/>
                <w:spacing w:val="-3"/>
                <w:sz w:val="24"/>
                <w:highlight w:val="none"/>
              </w:rPr>
              <w:t>服务期限</w:t>
            </w:r>
          </w:p>
        </w:tc>
        <w:tc>
          <w:tcPr>
            <w:tcW w:w="7257" w:type="dxa"/>
            <w:vAlign w:val="center"/>
          </w:tcPr>
          <w:p w14:paraId="4CA81A1A">
            <w:pPr>
              <w:pStyle w:val="16"/>
              <w:snapToGrid w:val="0"/>
              <w:spacing w:before="192" w:line="360" w:lineRule="auto"/>
              <w:ind w:left="0" w:leftChars="0" w:right="0" w:rightChars="0" w:firstLine="0" w:firstLineChars="0"/>
              <w:jc w:val="left"/>
              <w:rPr>
                <w:rFonts w:ascii="宋体" w:eastAsia="宋体"/>
                <w:sz w:val="24"/>
                <w:highlight w:val="none"/>
              </w:rPr>
            </w:pPr>
            <w:r>
              <w:rPr>
                <w:rFonts w:hint="eastAsia" w:ascii="宋体" w:eastAsia="宋体"/>
                <w:spacing w:val="-7"/>
                <w:sz w:val="24"/>
                <w:highlight w:val="none"/>
                <w:u w:val="single" w:color="auto"/>
                <w:lang w:val="en-US" w:eastAsia="zh-CN"/>
              </w:rPr>
              <w:t>3</w:t>
            </w:r>
            <w:r>
              <w:rPr>
                <w:rFonts w:ascii="宋体" w:eastAsia="宋体"/>
                <w:spacing w:val="-7"/>
                <w:sz w:val="24"/>
                <w:highlight w:val="none"/>
                <w:u w:val="single" w:color="auto"/>
              </w:rPr>
              <w:t>年</w:t>
            </w:r>
          </w:p>
        </w:tc>
      </w:tr>
      <w:tr w14:paraId="05E5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07430A1B">
            <w:pPr>
              <w:pStyle w:val="16"/>
              <w:snapToGrid w:val="0"/>
              <w:spacing w:before="195" w:line="360" w:lineRule="auto"/>
              <w:ind w:left="0" w:leftChars="0" w:right="0" w:rightChars="0" w:firstLine="0" w:firstLineChars="0"/>
              <w:jc w:val="center"/>
              <w:rPr>
                <w:rFonts w:ascii="宋体" w:eastAsia="宋体"/>
                <w:sz w:val="24"/>
                <w:highlight w:val="none"/>
              </w:rPr>
            </w:pPr>
            <w:r>
              <w:rPr>
                <w:rFonts w:ascii="宋体" w:eastAsia="宋体"/>
                <w:spacing w:val="-14"/>
                <w:sz w:val="24"/>
                <w:highlight w:val="none"/>
              </w:rPr>
              <w:t>14</w:t>
            </w:r>
          </w:p>
        </w:tc>
        <w:tc>
          <w:tcPr>
            <w:tcW w:w="1799" w:type="dxa"/>
            <w:vAlign w:val="center"/>
          </w:tcPr>
          <w:p w14:paraId="2C16BD31">
            <w:pPr>
              <w:pStyle w:val="16"/>
              <w:snapToGrid w:val="0"/>
              <w:spacing w:before="195" w:line="360" w:lineRule="auto"/>
              <w:ind w:left="0" w:leftChars="0" w:right="0" w:rightChars="0" w:firstLine="0" w:firstLineChars="0"/>
              <w:jc w:val="center"/>
              <w:rPr>
                <w:rFonts w:ascii="宋体" w:eastAsia="宋体"/>
                <w:sz w:val="24"/>
                <w:highlight w:val="none"/>
              </w:rPr>
            </w:pPr>
            <w:r>
              <w:rPr>
                <w:rFonts w:ascii="宋体" w:eastAsia="宋体"/>
                <w:spacing w:val="-3"/>
                <w:sz w:val="24"/>
                <w:highlight w:val="none"/>
              </w:rPr>
              <w:t>服务地点</w:t>
            </w:r>
          </w:p>
        </w:tc>
        <w:tc>
          <w:tcPr>
            <w:tcW w:w="7257" w:type="dxa"/>
            <w:vAlign w:val="center"/>
          </w:tcPr>
          <w:p w14:paraId="3703ECD0">
            <w:pPr>
              <w:pStyle w:val="16"/>
              <w:snapToGrid w:val="0"/>
              <w:spacing w:before="196" w:line="360" w:lineRule="auto"/>
              <w:ind w:left="0" w:leftChars="0" w:right="0" w:rightChars="0" w:firstLine="0" w:firstLineChars="0"/>
              <w:jc w:val="left"/>
              <w:rPr>
                <w:rFonts w:ascii="宋体" w:eastAsia="宋体"/>
                <w:sz w:val="24"/>
                <w:highlight w:val="none"/>
              </w:rPr>
            </w:pPr>
            <w:r>
              <w:rPr>
                <w:rFonts w:ascii="宋体" w:eastAsia="宋体"/>
                <w:spacing w:val="-2"/>
                <w:sz w:val="24"/>
                <w:highlight w:val="none"/>
              </w:rPr>
              <w:t>富阎产业合作园区管理委员会指定地点</w:t>
            </w:r>
          </w:p>
        </w:tc>
      </w:tr>
      <w:tr w14:paraId="1DF8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vAlign w:val="center"/>
          </w:tcPr>
          <w:p w14:paraId="0AD82E0B">
            <w:pPr>
              <w:pStyle w:val="16"/>
              <w:snapToGrid w:val="0"/>
              <w:spacing w:before="196" w:line="360" w:lineRule="auto"/>
              <w:ind w:left="0" w:leftChars="0" w:right="0" w:rightChars="0" w:firstLine="0" w:firstLineChars="0"/>
              <w:jc w:val="center"/>
              <w:rPr>
                <w:rFonts w:ascii="宋体" w:eastAsia="宋体"/>
                <w:sz w:val="24"/>
                <w:highlight w:val="none"/>
              </w:rPr>
            </w:pPr>
            <w:r>
              <w:rPr>
                <w:rFonts w:ascii="宋体" w:eastAsia="宋体"/>
                <w:spacing w:val="-14"/>
                <w:sz w:val="24"/>
                <w:highlight w:val="none"/>
              </w:rPr>
              <w:t>15</w:t>
            </w:r>
          </w:p>
        </w:tc>
        <w:tc>
          <w:tcPr>
            <w:tcW w:w="1799" w:type="dxa"/>
            <w:vAlign w:val="center"/>
          </w:tcPr>
          <w:p w14:paraId="64937F88">
            <w:pPr>
              <w:pStyle w:val="16"/>
              <w:snapToGrid w:val="0"/>
              <w:spacing w:before="196"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质量要求、验收标准</w:t>
            </w:r>
          </w:p>
        </w:tc>
        <w:tc>
          <w:tcPr>
            <w:tcW w:w="7257" w:type="dxa"/>
            <w:vAlign w:val="center"/>
          </w:tcPr>
          <w:p w14:paraId="417CD292">
            <w:pPr>
              <w:pStyle w:val="16"/>
              <w:snapToGrid w:val="0"/>
              <w:spacing w:before="196" w:line="360" w:lineRule="auto"/>
              <w:ind w:left="0" w:leftChars="0" w:right="0" w:rightChars="0" w:firstLine="0" w:firstLineChars="0"/>
              <w:jc w:val="left"/>
              <w:rPr>
                <w:rFonts w:ascii="宋体" w:eastAsia="宋体"/>
                <w:sz w:val="24"/>
                <w:highlight w:val="none"/>
              </w:rPr>
            </w:pPr>
            <w:r>
              <w:rPr>
                <w:rFonts w:ascii="宋体" w:eastAsia="宋体"/>
                <w:spacing w:val="-2"/>
                <w:sz w:val="24"/>
                <w:highlight w:val="none"/>
              </w:rPr>
              <w:t>详见征集文件第四章</w:t>
            </w:r>
          </w:p>
        </w:tc>
      </w:tr>
      <w:tr w14:paraId="4AF2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2AEC9F7C">
            <w:pPr>
              <w:pStyle w:val="16"/>
              <w:snapToGrid w:val="0"/>
              <w:spacing w:before="187"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14"/>
                <w:sz w:val="24"/>
                <w:highlight w:val="none"/>
              </w:rPr>
              <w:t>16</w:t>
            </w:r>
          </w:p>
        </w:tc>
        <w:tc>
          <w:tcPr>
            <w:tcW w:w="1799" w:type="dxa"/>
            <w:shd w:val="clear" w:color="auto" w:fill="auto"/>
            <w:vAlign w:val="center"/>
          </w:tcPr>
          <w:p w14:paraId="4ED4CADD">
            <w:pPr>
              <w:pStyle w:val="16"/>
              <w:snapToGrid w:val="0"/>
              <w:spacing w:before="33"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6"/>
                <w:sz w:val="24"/>
                <w:highlight w:val="none"/>
              </w:rPr>
              <w:t>服务费用支付方式、</w:t>
            </w:r>
            <w:r>
              <w:rPr>
                <w:rFonts w:ascii="宋体" w:eastAsia="宋体"/>
                <w:spacing w:val="-5"/>
                <w:sz w:val="24"/>
                <w:highlight w:val="none"/>
              </w:rPr>
              <w:t>时间和条件</w:t>
            </w:r>
          </w:p>
        </w:tc>
        <w:tc>
          <w:tcPr>
            <w:tcW w:w="7257" w:type="dxa"/>
            <w:shd w:val="clear" w:color="auto" w:fill="auto"/>
            <w:vAlign w:val="center"/>
          </w:tcPr>
          <w:p w14:paraId="1D2BEE39">
            <w:pPr>
              <w:pStyle w:val="16"/>
              <w:snapToGrid w:val="0"/>
              <w:spacing w:before="33"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1"/>
                <w:sz w:val="24"/>
                <w:highlight w:val="none"/>
              </w:rPr>
              <w:t>项目完成后，乙方向甲方开具正式有效发票，甲方收到后，</w:t>
            </w:r>
            <w:r>
              <w:rPr>
                <w:rFonts w:ascii="宋体" w:eastAsia="宋体"/>
                <w:spacing w:val="-1"/>
                <w:sz w:val="24"/>
                <w:highlight w:val="none"/>
              </w:rPr>
              <w:t>按照财政程序办理服务费支付手续</w:t>
            </w:r>
          </w:p>
        </w:tc>
      </w:tr>
      <w:tr w14:paraId="002F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6246D888">
            <w:pPr>
              <w:pStyle w:val="16"/>
              <w:snapToGrid w:val="0"/>
              <w:spacing w:before="189"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14"/>
                <w:sz w:val="24"/>
                <w:highlight w:val="none"/>
              </w:rPr>
              <w:t>17</w:t>
            </w:r>
          </w:p>
        </w:tc>
        <w:tc>
          <w:tcPr>
            <w:tcW w:w="1799" w:type="dxa"/>
            <w:shd w:val="clear" w:color="auto" w:fill="auto"/>
            <w:vAlign w:val="center"/>
          </w:tcPr>
          <w:p w14:paraId="09E8921A">
            <w:pPr>
              <w:pStyle w:val="16"/>
              <w:snapToGrid w:val="0"/>
              <w:spacing w:before="33"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现场考察或标前答疑</w:t>
            </w:r>
          </w:p>
          <w:p w14:paraId="792B476D">
            <w:pPr>
              <w:pStyle w:val="16"/>
              <w:snapToGrid w:val="0"/>
              <w:spacing w:before="25"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z w:val="24"/>
                <w:highlight w:val="none"/>
              </w:rPr>
              <w:t>会</w:t>
            </w:r>
          </w:p>
        </w:tc>
        <w:tc>
          <w:tcPr>
            <w:tcW w:w="7257" w:type="dxa"/>
            <w:shd w:val="clear" w:color="auto" w:fill="auto"/>
            <w:vAlign w:val="center"/>
          </w:tcPr>
          <w:p w14:paraId="0E152675">
            <w:pPr>
              <w:pStyle w:val="16"/>
              <w:snapToGrid w:val="0"/>
              <w:spacing w:before="189"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5"/>
                <w:sz w:val="24"/>
                <w:highlight w:val="none"/>
              </w:rPr>
              <w:t>不组织</w:t>
            </w:r>
          </w:p>
        </w:tc>
      </w:tr>
      <w:tr w14:paraId="6EFA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36C46BDC">
            <w:pPr>
              <w:pStyle w:val="16"/>
              <w:snapToGrid w:val="0"/>
              <w:spacing w:before="163"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14"/>
                <w:sz w:val="24"/>
                <w:highlight w:val="none"/>
              </w:rPr>
              <w:t>18</w:t>
            </w:r>
          </w:p>
        </w:tc>
        <w:tc>
          <w:tcPr>
            <w:tcW w:w="1799" w:type="dxa"/>
            <w:shd w:val="clear" w:color="auto" w:fill="auto"/>
            <w:vAlign w:val="center"/>
          </w:tcPr>
          <w:p w14:paraId="4B9B8B3F">
            <w:pPr>
              <w:pStyle w:val="16"/>
              <w:snapToGrid w:val="0"/>
              <w:spacing w:before="163"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6"/>
                <w:sz w:val="24"/>
                <w:highlight w:val="none"/>
              </w:rPr>
              <w:t>转包</w:t>
            </w:r>
          </w:p>
        </w:tc>
        <w:tc>
          <w:tcPr>
            <w:tcW w:w="7257" w:type="dxa"/>
            <w:shd w:val="clear" w:color="auto" w:fill="auto"/>
            <w:vAlign w:val="center"/>
          </w:tcPr>
          <w:p w14:paraId="7A9365B7">
            <w:pPr>
              <w:pStyle w:val="16"/>
              <w:snapToGrid w:val="0"/>
              <w:spacing w:before="164"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1"/>
                <w:sz w:val="24"/>
                <w:highlight w:val="none"/>
              </w:rPr>
              <w:t>本采购项目（包）不得转包</w:t>
            </w:r>
          </w:p>
        </w:tc>
      </w:tr>
      <w:tr w14:paraId="03B9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51B1EAA5">
            <w:pPr>
              <w:pStyle w:val="16"/>
              <w:snapToGrid w:val="0"/>
              <w:spacing w:before="193"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14"/>
                <w:sz w:val="24"/>
                <w:highlight w:val="none"/>
              </w:rPr>
              <w:t>19</w:t>
            </w:r>
          </w:p>
        </w:tc>
        <w:tc>
          <w:tcPr>
            <w:tcW w:w="1799" w:type="dxa"/>
            <w:shd w:val="clear" w:color="auto" w:fill="auto"/>
            <w:vAlign w:val="center"/>
          </w:tcPr>
          <w:p w14:paraId="47E811BD">
            <w:pPr>
              <w:pStyle w:val="16"/>
              <w:snapToGrid w:val="0"/>
              <w:spacing w:before="38" w:line="360" w:lineRule="auto"/>
              <w:ind w:left="0" w:leftChars="0" w:right="0" w:rightChars="0" w:firstLine="0" w:firstLineChars="0"/>
              <w:jc w:val="center"/>
              <w:rPr>
                <w:rFonts w:ascii="宋体" w:eastAsia="宋体"/>
                <w:spacing w:val="-3"/>
                <w:sz w:val="24"/>
                <w:highlight w:val="none"/>
              </w:rPr>
            </w:pPr>
            <w:r>
              <w:rPr>
                <w:rFonts w:ascii="宋体" w:eastAsia="宋体"/>
                <w:spacing w:val="-3"/>
                <w:sz w:val="24"/>
                <w:highlight w:val="none"/>
              </w:rPr>
              <w:t>非实质性偏离</w:t>
            </w:r>
          </w:p>
          <w:p w14:paraId="5C067CE2">
            <w:pPr>
              <w:pStyle w:val="16"/>
              <w:snapToGrid w:val="0"/>
              <w:spacing w:before="3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4"/>
                <w:sz w:val="24"/>
                <w:highlight w:val="none"/>
              </w:rPr>
              <w:t>（技术参数）</w:t>
            </w:r>
          </w:p>
        </w:tc>
        <w:tc>
          <w:tcPr>
            <w:tcW w:w="7257" w:type="dxa"/>
            <w:shd w:val="clear" w:color="auto" w:fill="auto"/>
            <w:vAlign w:val="center"/>
          </w:tcPr>
          <w:p w14:paraId="526116E0">
            <w:pPr>
              <w:pStyle w:val="16"/>
              <w:snapToGrid w:val="0"/>
              <w:spacing w:before="193"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5"/>
                <w:sz w:val="24"/>
                <w:highlight w:val="none"/>
              </w:rPr>
              <w:t>不允许</w:t>
            </w:r>
          </w:p>
        </w:tc>
      </w:tr>
      <w:tr w14:paraId="2633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77186EF7">
            <w:pPr>
              <w:pStyle w:val="16"/>
              <w:snapToGrid w:val="0"/>
              <w:spacing w:before="7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21</w:t>
            </w:r>
          </w:p>
        </w:tc>
        <w:tc>
          <w:tcPr>
            <w:tcW w:w="1799" w:type="dxa"/>
            <w:shd w:val="clear" w:color="auto" w:fill="auto"/>
            <w:vAlign w:val="center"/>
          </w:tcPr>
          <w:p w14:paraId="73EFF5A3">
            <w:pPr>
              <w:pStyle w:val="16"/>
              <w:snapToGrid w:val="0"/>
              <w:spacing w:before="7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2"/>
                <w:sz w:val="24"/>
                <w:highlight w:val="none"/>
              </w:rPr>
              <w:t>供应商资格要</w:t>
            </w:r>
            <w:r>
              <w:rPr>
                <w:rFonts w:ascii="宋体" w:eastAsia="宋体"/>
                <w:sz w:val="24"/>
                <w:highlight w:val="none"/>
              </w:rPr>
              <w:t>求</w:t>
            </w:r>
          </w:p>
        </w:tc>
        <w:tc>
          <w:tcPr>
            <w:tcW w:w="7257" w:type="dxa"/>
            <w:shd w:val="clear" w:color="auto" w:fill="auto"/>
            <w:vAlign w:val="center"/>
          </w:tcPr>
          <w:p w14:paraId="05BF0FFF">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sz w:val="24"/>
                <w:szCs w:val="24"/>
                <w:highlight w:val="none"/>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(1)提供合格有效的法人或者其他组织的营业执照等证明文件，自然人的身份证明；</w:t>
            </w:r>
          </w:p>
          <w:p w14:paraId="041EE576">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sz w:val="24"/>
                <w:szCs w:val="24"/>
                <w:highlight w:val="none"/>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(2)提供法定代表人授权书（附法定代表人、被授权人身份证复印件），法定代表人直接参加投标，须提供法定代表人身份证明及身份证复印件）；</w:t>
            </w:r>
          </w:p>
          <w:p w14:paraId="268A06AF">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sz w:val="24"/>
                <w:szCs w:val="24"/>
                <w:highlight w:val="none"/>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(3)提供投标截止日前近一年内任意一个月的纳税证明或完税证明（任意税种），依法免税的单位应提供相关证明材料；</w:t>
            </w:r>
          </w:p>
          <w:p w14:paraId="21643558">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sz w:val="24"/>
                <w:szCs w:val="24"/>
                <w:highlight w:val="none"/>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(4)提供投标截止日前一年内已缴存的至少一个月的社会保障资金缴存单据或社保机构开具的社会保险参保缴费情况证明，依法不需要缴纳社会保障资金的单位应提供相关证明材料；</w:t>
            </w:r>
          </w:p>
          <w:p w14:paraId="2EA82501">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sz w:val="24"/>
                <w:szCs w:val="24"/>
                <w:highlight w:val="none"/>
                <w:lang w:val="en-US" w:eastAsia="zh-CN"/>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(5)财务状况：提供递交投标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p w14:paraId="564C3C1E">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sz w:val="24"/>
                <w:szCs w:val="24"/>
                <w:highlight w:val="none"/>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75FAF352">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i w:val="0"/>
                <w:iCs w:val="0"/>
                <w:caps w:val="0"/>
                <w:color w:val="333333"/>
                <w:spacing w:val="0"/>
                <w:sz w:val="24"/>
                <w:szCs w:val="24"/>
                <w:highlight w:val="none"/>
                <w:shd w:val="clear" w:fill="FFFFFF"/>
                <w:vertAlign w:val="baseline"/>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(7)参加政府采购活动前3年内，在经营活动中没有重大违法记录的书面声明;</w:t>
            </w:r>
          </w:p>
          <w:p w14:paraId="6E57BCE7">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i w:val="0"/>
                <w:iCs w:val="0"/>
                <w:caps w:val="0"/>
                <w:color w:val="333333"/>
                <w:spacing w:val="0"/>
                <w:sz w:val="24"/>
                <w:szCs w:val="24"/>
                <w:highlight w:val="none"/>
                <w:shd w:val="clear" w:fill="FFFFFF"/>
                <w:vertAlign w:val="baseline"/>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(8)提供具有履行合同所必需的设备和专业技术能力的书面承诺；</w:t>
            </w:r>
          </w:p>
          <w:p w14:paraId="48D4C855">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eastAsia="宋体"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宋体" w:eastAsia="宋体" w:hAnsiTheme="minorEastAsia" w:cstheme="minorEastAsia"/>
                <w:i w:val="0"/>
                <w:iCs w:val="0"/>
                <w:caps w:val="0"/>
                <w:color w:val="333333"/>
                <w:spacing w:val="0"/>
                <w:sz w:val="24"/>
                <w:szCs w:val="24"/>
                <w:highlight w:val="none"/>
                <w:shd w:val="clear" w:fill="FFFFFF"/>
                <w:vertAlign w:val="baseline"/>
                <w:lang w:val="en-US" w:eastAsia="zh-CN"/>
              </w:rPr>
              <w:t>(9)本项目专门面向中小企业采购，提供中小企业声明函；</w:t>
            </w:r>
          </w:p>
          <w:p w14:paraId="695F5189">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default" w:ascii="宋体" w:eastAsia="宋体"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宋体" w:eastAsia="宋体" w:hAnsiTheme="minorEastAsia" w:cstheme="minorEastAsia"/>
                <w:i w:val="0"/>
                <w:iCs w:val="0"/>
                <w:caps w:val="0"/>
                <w:color w:val="333333"/>
                <w:spacing w:val="0"/>
                <w:sz w:val="24"/>
                <w:szCs w:val="24"/>
                <w:highlight w:val="none"/>
                <w:shd w:val="clear" w:fill="FFFFFF"/>
                <w:vertAlign w:val="baseline"/>
                <w:lang w:val="en-US" w:eastAsia="zh-CN"/>
              </w:rPr>
              <w:t>（10）控股管理关系：提供直接控股和管理关系清单。若与其他供应商存在单位负责人为同一人或者存在直接控股、管理关系的，则投标无效；</w:t>
            </w:r>
          </w:p>
          <w:p w14:paraId="345A7FAE">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eastAsia" w:ascii="宋体" w:hAnsi="Arial" w:eastAsia="宋体" w:cs="Arial"/>
                <w:snapToGrid w:val="0"/>
                <w:color w:val="000000"/>
                <w:kern w:val="0"/>
                <w:sz w:val="24"/>
                <w:szCs w:val="21"/>
                <w:highlight w:val="none"/>
                <w:lang w:val="en-US" w:eastAsia="zh-CN" w:bidi="ar-SA"/>
              </w:rPr>
            </w:pPr>
            <w:r>
              <w:rPr>
                <w:rFonts w:hint="eastAsia" w:ascii="宋体" w:eastAsia="宋体" w:hAnsiTheme="minorEastAsia" w:cstheme="minorEastAsia"/>
                <w:i w:val="0"/>
                <w:iCs w:val="0"/>
                <w:caps w:val="0"/>
                <w:color w:val="333333"/>
                <w:spacing w:val="0"/>
                <w:sz w:val="24"/>
                <w:szCs w:val="24"/>
                <w:highlight w:val="none"/>
                <w:shd w:val="clear" w:fill="FFFFFF"/>
                <w:vertAlign w:val="baseline"/>
              </w:rPr>
              <w:t>(</w:t>
            </w:r>
            <w:r>
              <w:rPr>
                <w:rFonts w:hint="eastAsia" w:ascii="宋体" w:eastAsia="宋体" w:hAnsiTheme="minorEastAsia" w:cstheme="minorEastAsia"/>
                <w:i w:val="0"/>
                <w:iCs w:val="0"/>
                <w:caps w:val="0"/>
                <w:color w:val="333333"/>
                <w:spacing w:val="0"/>
                <w:sz w:val="24"/>
                <w:szCs w:val="24"/>
                <w:highlight w:val="none"/>
                <w:shd w:val="clear" w:fill="FFFFFF"/>
                <w:vertAlign w:val="baseline"/>
                <w:lang w:val="en-US" w:eastAsia="zh-CN"/>
              </w:rPr>
              <w:t>11</w:t>
            </w:r>
            <w:r>
              <w:rPr>
                <w:rFonts w:hint="eastAsia" w:ascii="宋体" w:eastAsia="宋体" w:hAnsiTheme="minorEastAsia" w:cstheme="minorEastAsia"/>
                <w:i w:val="0"/>
                <w:iCs w:val="0"/>
                <w:caps w:val="0"/>
                <w:color w:val="333333"/>
                <w:spacing w:val="0"/>
                <w:sz w:val="24"/>
                <w:szCs w:val="24"/>
                <w:highlight w:val="none"/>
                <w:shd w:val="clear" w:fill="FFFFFF"/>
                <w:vertAlign w:val="baseline"/>
              </w:rPr>
              <w:t>)本项目不接受联合体投标（提供承诺书）</w:t>
            </w:r>
            <w:r>
              <w:rPr>
                <w:rFonts w:hint="eastAsia" w:ascii="宋体" w:eastAsia="宋体" w:hAnsiTheme="minorEastAsia" w:cstheme="minorEastAsia"/>
                <w:i w:val="0"/>
                <w:iCs w:val="0"/>
                <w:caps w:val="0"/>
                <w:color w:val="333333"/>
                <w:spacing w:val="0"/>
                <w:sz w:val="24"/>
                <w:szCs w:val="24"/>
                <w:highlight w:val="none"/>
                <w:shd w:val="clear" w:fill="FFFFFF"/>
                <w:vertAlign w:val="baseline"/>
                <w:lang w:eastAsia="zh-CN"/>
              </w:rPr>
              <w:t>。</w:t>
            </w:r>
          </w:p>
        </w:tc>
      </w:tr>
      <w:tr w14:paraId="5C47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09428A85">
            <w:pPr>
              <w:pStyle w:val="16"/>
              <w:snapToGrid w:val="0"/>
              <w:spacing w:before="219"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20</w:t>
            </w:r>
          </w:p>
        </w:tc>
        <w:tc>
          <w:tcPr>
            <w:tcW w:w="1799" w:type="dxa"/>
            <w:shd w:val="clear" w:color="auto" w:fill="auto"/>
            <w:vAlign w:val="center"/>
          </w:tcPr>
          <w:p w14:paraId="77906FAF">
            <w:pPr>
              <w:pStyle w:val="16"/>
              <w:snapToGrid w:val="0"/>
              <w:spacing w:before="66"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4"/>
                <w:sz w:val="24"/>
                <w:highlight w:val="none"/>
              </w:rPr>
              <w:t>响应文件有效</w:t>
            </w:r>
            <w:r>
              <w:rPr>
                <w:rFonts w:ascii="宋体" w:eastAsia="宋体"/>
                <w:sz w:val="24"/>
                <w:highlight w:val="none"/>
              </w:rPr>
              <w:t>期</w:t>
            </w:r>
          </w:p>
        </w:tc>
        <w:tc>
          <w:tcPr>
            <w:tcW w:w="7257" w:type="dxa"/>
            <w:shd w:val="clear" w:color="auto" w:fill="auto"/>
            <w:vAlign w:val="center"/>
          </w:tcPr>
          <w:p w14:paraId="21C755C0">
            <w:pPr>
              <w:pStyle w:val="16"/>
              <w:snapToGrid w:val="0"/>
              <w:spacing w:before="218"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2"/>
                <w:sz w:val="24"/>
                <w:highlight w:val="none"/>
              </w:rPr>
              <w:t>响应文件的递交截止之日起 90 天。</w:t>
            </w:r>
          </w:p>
        </w:tc>
      </w:tr>
      <w:tr w14:paraId="2207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0EFAAC29">
            <w:pPr>
              <w:pStyle w:val="16"/>
              <w:snapToGrid w:val="0"/>
              <w:spacing w:before="195"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21</w:t>
            </w:r>
          </w:p>
        </w:tc>
        <w:tc>
          <w:tcPr>
            <w:tcW w:w="1799" w:type="dxa"/>
            <w:shd w:val="clear" w:color="auto" w:fill="auto"/>
            <w:vAlign w:val="center"/>
          </w:tcPr>
          <w:p w14:paraId="6F716152">
            <w:pPr>
              <w:pStyle w:val="16"/>
              <w:snapToGrid w:val="0"/>
              <w:spacing w:before="195"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9"/>
                <w:sz w:val="24"/>
                <w:highlight w:val="none"/>
              </w:rPr>
              <w:t>申请保证金</w:t>
            </w:r>
          </w:p>
        </w:tc>
        <w:tc>
          <w:tcPr>
            <w:tcW w:w="7257" w:type="dxa"/>
            <w:shd w:val="clear" w:color="auto" w:fill="auto"/>
            <w:vAlign w:val="center"/>
          </w:tcPr>
          <w:p w14:paraId="555539CC">
            <w:pPr>
              <w:pStyle w:val="16"/>
              <w:snapToGrid w:val="0"/>
              <w:spacing w:before="196"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3"/>
                <w:sz w:val="24"/>
                <w:highlight w:val="none"/>
              </w:rPr>
              <w:t>不要求提供</w:t>
            </w:r>
          </w:p>
        </w:tc>
      </w:tr>
      <w:tr w14:paraId="3BD5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066C0EF9">
            <w:pPr>
              <w:pStyle w:val="16"/>
              <w:snapToGrid w:val="0"/>
              <w:spacing w:before="224"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22</w:t>
            </w:r>
          </w:p>
        </w:tc>
        <w:tc>
          <w:tcPr>
            <w:tcW w:w="1799" w:type="dxa"/>
            <w:shd w:val="clear" w:color="auto" w:fill="auto"/>
            <w:vAlign w:val="center"/>
          </w:tcPr>
          <w:p w14:paraId="3FF7B216">
            <w:pPr>
              <w:pStyle w:val="16"/>
              <w:snapToGrid w:val="0"/>
              <w:spacing w:before="6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3"/>
                <w:sz w:val="24"/>
                <w:highlight w:val="none"/>
              </w:rPr>
              <w:t>是否允许备选</w:t>
            </w:r>
            <w:r>
              <w:rPr>
                <w:rFonts w:ascii="宋体" w:eastAsia="宋体"/>
                <w:spacing w:val="-6"/>
                <w:sz w:val="24"/>
                <w:highlight w:val="none"/>
              </w:rPr>
              <w:t>方案</w:t>
            </w:r>
          </w:p>
        </w:tc>
        <w:tc>
          <w:tcPr>
            <w:tcW w:w="7257" w:type="dxa"/>
            <w:shd w:val="clear" w:color="auto" w:fill="auto"/>
            <w:vAlign w:val="center"/>
          </w:tcPr>
          <w:p w14:paraId="003D33B2">
            <w:pPr>
              <w:pStyle w:val="16"/>
              <w:snapToGrid w:val="0"/>
              <w:spacing w:before="225"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5"/>
                <w:sz w:val="24"/>
                <w:highlight w:val="none"/>
              </w:rPr>
              <w:t>不允许</w:t>
            </w:r>
          </w:p>
        </w:tc>
      </w:tr>
      <w:tr w14:paraId="1198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0EDFFD85">
            <w:pPr>
              <w:pStyle w:val="16"/>
              <w:snapToGrid w:val="0"/>
              <w:spacing w:before="160"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23</w:t>
            </w:r>
          </w:p>
        </w:tc>
        <w:tc>
          <w:tcPr>
            <w:tcW w:w="1799" w:type="dxa"/>
            <w:shd w:val="clear" w:color="auto" w:fill="auto"/>
            <w:vAlign w:val="center"/>
          </w:tcPr>
          <w:p w14:paraId="6C26925A">
            <w:pPr>
              <w:pStyle w:val="16"/>
              <w:snapToGrid w:val="0"/>
              <w:spacing w:before="160"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3"/>
                <w:sz w:val="24"/>
                <w:highlight w:val="none"/>
              </w:rPr>
              <w:t>评审方法</w:t>
            </w:r>
          </w:p>
        </w:tc>
        <w:tc>
          <w:tcPr>
            <w:tcW w:w="7257" w:type="dxa"/>
            <w:shd w:val="clear" w:color="auto" w:fill="auto"/>
            <w:vAlign w:val="center"/>
          </w:tcPr>
          <w:p w14:paraId="4053A5D5">
            <w:pPr>
              <w:pStyle w:val="16"/>
              <w:snapToGrid w:val="0"/>
              <w:spacing w:before="160"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3"/>
                <w:sz w:val="24"/>
                <w:highlight w:val="none"/>
              </w:rPr>
              <w:t>质量优先法</w:t>
            </w:r>
          </w:p>
        </w:tc>
      </w:tr>
      <w:tr w14:paraId="5C14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2349E449">
            <w:pPr>
              <w:pStyle w:val="16"/>
              <w:snapToGrid w:val="0"/>
              <w:spacing w:before="7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24</w:t>
            </w:r>
          </w:p>
        </w:tc>
        <w:tc>
          <w:tcPr>
            <w:tcW w:w="1799" w:type="dxa"/>
            <w:shd w:val="clear" w:color="auto" w:fill="auto"/>
            <w:vAlign w:val="center"/>
          </w:tcPr>
          <w:p w14:paraId="7324EF27">
            <w:pPr>
              <w:pStyle w:val="16"/>
              <w:snapToGrid w:val="0"/>
              <w:spacing w:before="33"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评审小组推荐</w:t>
            </w:r>
          </w:p>
          <w:p w14:paraId="55C1224F">
            <w:pPr>
              <w:pStyle w:val="16"/>
              <w:snapToGrid w:val="0"/>
              <w:spacing w:before="27" w:line="360" w:lineRule="auto"/>
              <w:ind w:left="0" w:leftChars="0" w:right="0" w:rightChars="0" w:firstLine="0" w:firstLineChars="0"/>
              <w:jc w:val="center"/>
              <w:rPr>
                <w:rFonts w:ascii="宋体" w:eastAsia="宋体"/>
                <w:sz w:val="24"/>
                <w:highlight w:val="none"/>
              </w:rPr>
            </w:pPr>
            <w:r>
              <w:rPr>
                <w:rFonts w:ascii="宋体" w:eastAsia="宋体"/>
                <w:spacing w:val="-2"/>
                <w:sz w:val="24"/>
                <w:highlight w:val="none"/>
              </w:rPr>
              <w:t>入围候选供应</w:t>
            </w:r>
          </w:p>
          <w:p w14:paraId="270D9A57">
            <w:pPr>
              <w:pStyle w:val="16"/>
              <w:snapToGrid w:val="0"/>
              <w:spacing w:before="24"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4"/>
                <w:sz w:val="24"/>
                <w:highlight w:val="none"/>
              </w:rPr>
              <w:t>商的数量</w:t>
            </w:r>
          </w:p>
        </w:tc>
        <w:tc>
          <w:tcPr>
            <w:tcW w:w="7257" w:type="dxa"/>
            <w:shd w:val="clear" w:color="auto" w:fill="auto"/>
            <w:vAlign w:val="center"/>
          </w:tcPr>
          <w:p w14:paraId="70649D00">
            <w:pPr>
              <w:pStyle w:val="16"/>
              <w:snapToGrid w:val="0"/>
              <w:spacing w:before="78"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hint="eastAsia" w:ascii="宋体" w:eastAsia="宋体"/>
                <w:spacing w:val="-8"/>
                <w:sz w:val="24"/>
                <w:highlight w:val="none"/>
                <w:lang w:val="en-US" w:eastAsia="zh-CN"/>
              </w:rPr>
              <w:t>8</w:t>
            </w:r>
            <w:r>
              <w:rPr>
                <w:rFonts w:ascii="宋体" w:eastAsia="宋体"/>
                <w:spacing w:val="-8"/>
                <w:sz w:val="24"/>
                <w:highlight w:val="none"/>
              </w:rPr>
              <w:t>家</w:t>
            </w:r>
          </w:p>
        </w:tc>
      </w:tr>
      <w:tr w14:paraId="4535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6BB6A13E">
            <w:pPr>
              <w:pStyle w:val="16"/>
              <w:snapToGrid w:val="0"/>
              <w:spacing w:before="191"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25</w:t>
            </w:r>
          </w:p>
        </w:tc>
        <w:tc>
          <w:tcPr>
            <w:tcW w:w="1799" w:type="dxa"/>
            <w:shd w:val="clear" w:color="auto" w:fill="auto"/>
            <w:vAlign w:val="center"/>
          </w:tcPr>
          <w:p w14:paraId="76865CAC">
            <w:pPr>
              <w:pStyle w:val="16"/>
              <w:snapToGrid w:val="0"/>
              <w:spacing w:before="190"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4"/>
                <w:sz w:val="24"/>
                <w:highlight w:val="none"/>
              </w:rPr>
              <w:t>响应文件份数</w:t>
            </w:r>
          </w:p>
        </w:tc>
        <w:tc>
          <w:tcPr>
            <w:tcW w:w="7257" w:type="dxa"/>
            <w:shd w:val="clear" w:color="auto" w:fill="auto"/>
            <w:vAlign w:val="center"/>
          </w:tcPr>
          <w:p w14:paraId="0600588E">
            <w:pPr>
              <w:pStyle w:val="16"/>
              <w:snapToGrid w:val="0"/>
              <w:spacing w:before="35" w:line="360" w:lineRule="auto"/>
              <w:ind w:left="0" w:leftChars="0" w:right="0" w:rightChars="0" w:firstLine="0" w:firstLineChars="0"/>
              <w:jc w:val="left"/>
              <w:rPr>
                <w:rFonts w:hint="default" w:ascii="宋体" w:hAnsi="宋体" w:eastAsia="宋体" w:cs="宋体"/>
                <w:snapToGrid w:val="0"/>
                <w:color w:val="000000"/>
                <w:kern w:val="0"/>
                <w:sz w:val="24"/>
                <w:szCs w:val="24"/>
                <w:highlight w:val="none"/>
                <w:lang w:val="en-US" w:eastAsia="zh-CN" w:bidi="ar-SA"/>
              </w:rPr>
            </w:pPr>
            <w:r>
              <w:rPr>
                <w:rFonts w:ascii="宋体" w:eastAsia="宋体"/>
                <w:spacing w:val="-1"/>
                <w:sz w:val="24"/>
                <w:highlight w:val="none"/>
              </w:rPr>
              <w:t>1套正本、2套副本和2份电子文件（U盘，其中电子版文件应为响应文件的PDF扫描版</w:t>
            </w:r>
            <w:r>
              <w:rPr>
                <w:rFonts w:hint="eastAsia"/>
                <w:spacing w:val="-1"/>
                <w:sz w:val="24"/>
                <w:highlight w:val="none"/>
                <w:lang w:val="en-US" w:eastAsia="zh-CN"/>
              </w:rPr>
              <w:t>及word版</w:t>
            </w:r>
            <w:r>
              <w:rPr>
                <w:rFonts w:ascii="宋体" w:eastAsia="宋体"/>
                <w:spacing w:val="-1"/>
                <w:sz w:val="24"/>
                <w:highlight w:val="none"/>
              </w:rPr>
              <w:t>）U盘</w:t>
            </w:r>
            <w:r>
              <w:rPr>
                <w:rFonts w:hint="eastAsia" w:ascii="宋体" w:eastAsia="宋体"/>
                <w:spacing w:val="-1"/>
                <w:sz w:val="24"/>
                <w:highlight w:val="none"/>
                <w:lang w:val="en-US" w:eastAsia="zh-CN"/>
              </w:rPr>
              <w:t>与正本一起封装。</w:t>
            </w:r>
          </w:p>
        </w:tc>
      </w:tr>
      <w:tr w14:paraId="5766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24451302">
            <w:pPr>
              <w:pStyle w:val="16"/>
              <w:snapToGrid w:val="0"/>
              <w:spacing w:before="194"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26</w:t>
            </w:r>
          </w:p>
        </w:tc>
        <w:tc>
          <w:tcPr>
            <w:tcW w:w="1799" w:type="dxa"/>
            <w:shd w:val="clear" w:color="auto" w:fill="auto"/>
            <w:vAlign w:val="center"/>
          </w:tcPr>
          <w:p w14:paraId="64A4DCB0">
            <w:pPr>
              <w:pStyle w:val="16"/>
              <w:snapToGrid w:val="0"/>
              <w:spacing w:before="3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4"/>
                <w:sz w:val="24"/>
                <w:highlight w:val="none"/>
              </w:rPr>
              <w:t>响应文件签署</w:t>
            </w:r>
            <w:r>
              <w:rPr>
                <w:rFonts w:ascii="宋体" w:eastAsia="宋体"/>
                <w:spacing w:val="-3"/>
                <w:sz w:val="24"/>
                <w:highlight w:val="none"/>
              </w:rPr>
              <w:t>盖章要求</w:t>
            </w:r>
          </w:p>
        </w:tc>
        <w:tc>
          <w:tcPr>
            <w:tcW w:w="7257" w:type="dxa"/>
            <w:shd w:val="clear" w:color="auto" w:fill="auto"/>
            <w:vAlign w:val="center"/>
          </w:tcPr>
          <w:p w14:paraId="32DF358B">
            <w:pPr>
              <w:pStyle w:val="16"/>
              <w:snapToGrid w:val="0"/>
              <w:spacing w:before="194"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1"/>
                <w:sz w:val="24"/>
                <w:highlight w:val="none"/>
              </w:rPr>
              <w:t>供应商必须按照征集文件的规定和要求签名、盖章</w:t>
            </w:r>
          </w:p>
        </w:tc>
      </w:tr>
      <w:tr w14:paraId="64E7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0C4C7544">
            <w:pPr>
              <w:pStyle w:val="16"/>
              <w:snapToGrid w:val="0"/>
              <w:spacing w:before="7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27</w:t>
            </w:r>
          </w:p>
        </w:tc>
        <w:tc>
          <w:tcPr>
            <w:tcW w:w="1799" w:type="dxa"/>
            <w:shd w:val="clear" w:color="auto" w:fill="auto"/>
            <w:vAlign w:val="center"/>
          </w:tcPr>
          <w:p w14:paraId="14ED49B7">
            <w:pPr>
              <w:pStyle w:val="16"/>
              <w:snapToGrid w:val="0"/>
              <w:spacing w:before="194"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4"/>
                <w:sz w:val="24"/>
                <w:highlight w:val="none"/>
              </w:rPr>
              <w:t>响应文件封面</w:t>
            </w:r>
            <w:r>
              <w:rPr>
                <w:rFonts w:ascii="宋体" w:eastAsia="宋体"/>
                <w:spacing w:val="-6"/>
                <w:sz w:val="24"/>
                <w:highlight w:val="none"/>
              </w:rPr>
              <w:t>标注</w:t>
            </w:r>
          </w:p>
        </w:tc>
        <w:tc>
          <w:tcPr>
            <w:tcW w:w="7257" w:type="dxa"/>
            <w:shd w:val="clear" w:color="auto" w:fill="auto"/>
            <w:vAlign w:val="center"/>
          </w:tcPr>
          <w:p w14:paraId="67C56E46">
            <w:pPr>
              <w:pStyle w:val="16"/>
              <w:snapToGrid w:val="0"/>
              <w:spacing w:before="40"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3"/>
                <w:sz w:val="24"/>
                <w:highlight w:val="none"/>
              </w:rPr>
              <w:t>响应文件正本和副本的封面上均应标明：采购项目名</w:t>
            </w:r>
            <w:r>
              <w:rPr>
                <w:rFonts w:ascii="宋体" w:eastAsia="宋体"/>
                <w:spacing w:val="2"/>
                <w:sz w:val="24"/>
                <w:highlight w:val="none"/>
              </w:rPr>
              <w:t>称、采</w:t>
            </w:r>
            <w:r>
              <w:rPr>
                <w:rFonts w:ascii="宋体" w:eastAsia="宋体"/>
                <w:spacing w:val="13"/>
                <w:sz w:val="24"/>
                <w:highlight w:val="none"/>
              </w:rPr>
              <w:t>购项目编号、供应商名称、年月日；并分别在右上角标明</w:t>
            </w:r>
            <w:r>
              <w:rPr>
                <w:rFonts w:ascii="宋体" w:eastAsia="宋体"/>
                <w:spacing w:val="-6"/>
                <w:sz w:val="24"/>
                <w:highlight w:val="none"/>
              </w:rPr>
              <w:t>“正本</w:t>
            </w:r>
            <w:r>
              <w:rPr>
                <w:rFonts w:ascii="宋体" w:eastAsia="宋体"/>
                <w:spacing w:val="-86"/>
                <w:sz w:val="24"/>
                <w:highlight w:val="none"/>
              </w:rPr>
              <w:t xml:space="preserve"> </w:t>
            </w:r>
            <w:r>
              <w:rPr>
                <w:rFonts w:ascii="宋体" w:eastAsia="宋体"/>
                <w:spacing w:val="-6"/>
                <w:sz w:val="24"/>
                <w:highlight w:val="none"/>
              </w:rPr>
              <w:t>”和“副本</w:t>
            </w:r>
            <w:r>
              <w:rPr>
                <w:rFonts w:ascii="宋体" w:eastAsia="宋体"/>
                <w:spacing w:val="-88"/>
                <w:sz w:val="24"/>
                <w:highlight w:val="none"/>
              </w:rPr>
              <w:t xml:space="preserve"> </w:t>
            </w:r>
            <w:r>
              <w:rPr>
                <w:rFonts w:ascii="宋体" w:eastAsia="宋体"/>
                <w:spacing w:val="-6"/>
                <w:sz w:val="24"/>
                <w:highlight w:val="none"/>
              </w:rPr>
              <w:t>”字样</w:t>
            </w:r>
          </w:p>
        </w:tc>
      </w:tr>
      <w:tr w14:paraId="36C5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177F93D6">
            <w:pPr>
              <w:pStyle w:val="16"/>
              <w:snapToGrid w:val="0"/>
              <w:spacing w:before="7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28</w:t>
            </w:r>
          </w:p>
        </w:tc>
        <w:tc>
          <w:tcPr>
            <w:tcW w:w="1799" w:type="dxa"/>
            <w:shd w:val="clear" w:color="auto" w:fill="auto"/>
            <w:vAlign w:val="center"/>
          </w:tcPr>
          <w:p w14:paraId="31FC841E">
            <w:pPr>
              <w:pStyle w:val="16"/>
              <w:snapToGrid w:val="0"/>
              <w:spacing w:before="7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1"/>
                <w:sz w:val="24"/>
                <w:highlight w:val="none"/>
              </w:rPr>
              <w:t>封套上应载明的信息</w:t>
            </w:r>
          </w:p>
        </w:tc>
        <w:tc>
          <w:tcPr>
            <w:tcW w:w="7257" w:type="dxa"/>
            <w:shd w:val="clear" w:color="auto" w:fill="auto"/>
            <w:vAlign w:val="center"/>
          </w:tcPr>
          <w:p w14:paraId="51B397A9">
            <w:pPr>
              <w:pStyle w:val="16"/>
              <w:snapToGrid w:val="0"/>
              <w:spacing w:before="42" w:line="360" w:lineRule="auto"/>
              <w:ind w:left="0" w:leftChars="0" w:right="0" w:rightChars="0" w:firstLine="0" w:firstLineChars="0"/>
              <w:jc w:val="left"/>
              <w:rPr>
                <w:rFonts w:ascii="宋体" w:eastAsia="宋体"/>
                <w:sz w:val="24"/>
                <w:highlight w:val="none"/>
              </w:rPr>
            </w:pPr>
            <w:r>
              <w:rPr>
                <w:rFonts w:ascii="宋体" w:eastAsia="宋体"/>
                <w:spacing w:val="-3"/>
                <w:sz w:val="24"/>
                <w:highlight w:val="none"/>
              </w:rPr>
              <w:t>征集人名称：</w:t>
            </w:r>
          </w:p>
          <w:p w14:paraId="63D6FCBB">
            <w:pPr>
              <w:pStyle w:val="16"/>
              <w:snapToGrid w:val="0"/>
              <w:spacing w:before="26" w:line="360" w:lineRule="auto"/>
              <w:ind w:left="0" w:leftChars="0" w:right="0" w:rightChars="0" w:firstLine="0" w:firstLineChars="0"/>
              <w:jc w:val="left"/>
              <w:rPr>
                <w:rFonts w:ascii="宋体" w:eastAsia="宋体"/>
                <w:sz w:val="24"/>
                <w:highlight w:val="none"/>
              </w:rPr>
            </w:pPr>
            <w:r>
              <w:rPr>
                <w:rFonts w:ascii="宋体" w:eastAsia="宋体"/>
                <w:spacing w:val="-2"/>
                <w:sz w:val="24"/>
                <w:highlight w:val="none"/>
              </w:rPr>
              <w:t>采购项目名称：</w:t>
            </w:r>
          </w:p>
          <w:p w14:paraId="2196EF49">
            <w:pPr>
              <w:pStyle w:val="16"/>
              <w:snapToGrid w:val="0"/>
              <w:spacing w:before="24" w:line="360" w:lineRule="auto"/>
              <w:ind w:left="0" w:leftChars="0" w:right="0" w:rightChars="0" w:firstLine="0" w:firstLineChars="0"/>
              <w:jc w:val="left"/>
              <w:rPr>
                <w:rFonts w:ascii="宋体" w:eastAsia="宋体"/>
                <w:sz w:val="24"/>
                <w:highlight w:val="none"/>
              </w:rPr>
            </w:pPr>
            <w:r>
              <w:rPr>
                <w:rFonts w:ascii="宋体" w:eastAsia="宋体"/>
                <w:spacing w:val="-2"/>
                <w:sz w:val="24"/>
                <w:highlight w:val="none"/>
              </w:rPr>
              <w:t>采购项目编号：</w:t>
            </w:r>
          </w:p>
          <w:p w14:paraId="3F5B8662">
            <w:pPr>
              <w:pStyle w:val="16"/>
              <w:snapToGrid w:val="0"/>
              <w:spacing w:before="27" w:line="360" w:lineRule="auto"/>
              <w:ind w:left="0" w:leftChars="0" w:right="0" w:rightChars="0" w:firstLine="0" w:firstLineChars="0"/>
              <w:jc w:val="left"/>
              <w:rPr>
                <w:rFonts w:ascii="宋体" w:eastAsia="宋体"/>
                <w:sz w:val="24"/>
                <w:highlight w:val="none"/>
              </w:rPr>
            </w:pPr>
            <w:r>
              <w:rPr>
                <w:rFonts w:ascii="宋体" w:eastAsia="宋体"/>
                <w:spacing w:val="-2"/>
                <w:sz w:val="24"/>
                <w:highlight w:val="none"/>
              </w:rPr>
              <w:t>供应商名称：</w:t>
            </w:r>
          </w:p>
          <w:p w14:paraId="2B05EEF6">
            <w:pPr>
              <w:pStyle w:val="16"/>
              <w:snapToGrid w:val="0"/>
              <w:spacing w:before="26" w:line="360" w:lineRule="auto"/>
              <w:ind w:left="0" w:leftChars="0" w:right="0" w:rightChars="0" w:firstLine="0" w:firstLineChars="0"/>
              <w:jc w:val="left"/>
              <w:rPr>
                <w:rFonts w:ascii="宋体" w:eastAsia="宋体"/>
                <w:sz w:val="24"/>
                <w:highlight w:val="none"/>
              </w:rPr>
            </w:pPr>
            <w:r>
              <w:rPr>
                <w:rFonts w:ascii="宋体" w:eastAsia="宋体"/>
                <w:spacing w:val="-8"/>
                <w:sz w:val="24"/>
                <w:highlight w:val="none"/>
              </w:rPr>
              <w:t>在</w:t>
            </w:r>
            <w:r>
              <w:rPr>
                <w:rFonts w:ascii="宋体" w:eastAsia="宋体"/>
                <w:spacing w:val="2"/>
                <w:sz w:val="24"/>
                <w:highlight w:val="none"/>
              </w:rPr>
              <w:t xml:space="preserve">    </w:t>
            </w:r>
            <w:r>
              <w:rPr>
                <w:rFonts w:ascii="宋体" w:eastAsia="宋体"/>
                <w:spacing w:val="-8"/>
                <w:sz w:val="24"/>
                <w:highlight w:val="none"/>
              </w:rPr>
              <w:t>年  月</w:t>
            </w:r>
            <w:r>
              <w:rPr>
                <w:rFonts w:ascii="宋体" w:eastAsia="宋体"/>
                <w:spacing w:val="26"/>
                <w:sz w:val="24"/>
                <w:highlight w:val="none"/>
              </w:rPr>
              <w:t xml:space="preserve">  </w:t>
            </w:r>
            <w:r>
              <w:rPr>
                <w:rFonts w:ascii="宋体" w:eastAsia="宋体"/>
                <w:spacing w:val="-8"/>
                <w:sz w:val="24"/>
                <w:highlight w:val="none"/>
              </w:rPr>
              <w:t>日</w:t>
            </w:r>
            <w:r>
              <w:rPr>
                <w:rFonts w:ascii="宋体" w:eastAsia="宋体"/>
                <w:spacing w:val="11"/>
                <w:sz w:val="24"/>
                <w:highlight w:val="none"/>
              </w:rPr>
              <w:t xml:space="preserve">  </w:t>
            </w:r>
            <w:r>
              <w:rPr>
                <w:rFonts w:ascii="宋体" w:eastAsia="宋体"/>
                <w:spacing w:val="-8"/>
                <w:sz w:val="24"/>
                <w:highlight w:val="none"/>
              </w:rPr>
              <w:t>时</w:t>
            </w:r>
            <w:r>
              <w:rPr>
                <w:rFonts w:ascii="宋体" w:eastAsia="宋体"/>
                <w:spacing w:val="6"/>
                <w:sz w:val="24"/>
                <w:highlight w:val="none"/>
              </w:rPr>
              <w:t xml:space="preserve">  </w:t>
            </w:r>
            <w:r>
              <w:rPr>
                <w:rFonts w:ascii="宋体" w:eastAsia="宋体"/>
                <w:spacing w:val="-8"/>
                <w:sz w:val="24"/>
                <w:highlight w:val="none"/>
              </w:rPr>
              <w:t>分前不得开启</w:t>
            </w:r>
          </w:p>
          <w:p w14:paraId="055F201E">
            <w:pPr>
              <w:pStyle w:val="16"/>
              <w:snapToGrid w:val="0"/>
              <w:spacing w:before="26"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“正本</w:t>
            </w:r>
            <w:r>
              <w:rPr>
                <w:rFonts w:ascii="宋体" w:eastAsia="宋体"/>
                <w:spacing w:val="-79"/>
                <w:sz w:val="24"/>
                <w:highlight w:val="none"/>
              </w:rPr>
              <w:t xml:space="preserve"> </w:t>
            </w:r>
            <w:r>
              <w:rPr>
                <w:rFonts w:ascii="宋体" w:eastAsia="宋体"/>
                <w:spacing w:val="-7"/>
                <w:sz w:val="24"/>
                <w:highlight w:val="none"/>
              </w:rPr>
              <w:t>”或“副本</w:t>
            </w:r>
            <w:r>
              <w:rPr>
                <w:rFonts w:ascii="宋体" w:eastAsia="宋体"/>
                <w:spacing w:val="-88"/>
                <w:sz w:val="24"/>
                <w:highlight w:val="none"/>
              </w:rPr>
              <w:t xml:space="preserve"> </w:t>
            </w:r>
            <w:r>
              <w:rPr>
                <w:rFonts w:ascii="宋体" w:eastAsia="宋体"/>
                <w:spacing w:val="-7"/>
                <w:sz w:val="24"/>
                <w:highlight w:val="none"/>
              </w:rPr>
              <w:t>”字样</w:t>
            </w:r>
          </w:p>
        </w:tc>
      </w:tr>
      <w:tr w14:paraId="44A1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4B054988">
            <w:pPr>
              <w:pStyle w:val="16"/>
              <w:snapToGrid w:val="0"/>
              <w:spacing w:before="176"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7"/>
                <w:sz w:val="24"/>
                <w:highlight w:val="none"/>
              </w:rPr>
              <w:t>29</w:t>
            </w:r>
          </w:p>
        </w:tc>
        <w:tc>
          <w:tcPr>
            <w:tcW w:w="1799" w:type="dxa"/>
            <w:shd w:val="clear" w:color="auto" w:fill="auto"/>
            <w:vAlign w:val="center"/>
          </w:tcPr>
          <w:p w14:paraId="656E2070">
            <w:pPr>
              <w:pStyle w:val="16"/>
              <w:snapToGrid w:val="0"/>
              <w:spacing w:before="176"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3"/>
                <w:sz w:val="24"/>
                <w:highlight w:val="none"/>
              </w:rPr>
              <w:t>需要补充的其他内容</w:t>
            </w:r>
          </w:p>
        </w:tc>
        <w:tc>
          <w:tcPr>
            <w:tcW w:w="7257" w:type="dxa"/>
            <w:vAlign w:val="center"/>
          </w:tcPr>
          <w:p w14:paraId="47161AE4">
            <w:pPr>
              <w:pStyle w:val="16"/>
              <w:snapToGrid w:val="0"/>
              <w:spacing w:before="196" w:line="360" w:lineRule="auto"/>
              <w:ind w:left="0" w:leftChars="0" w:right="0" w:rightChars="0" w:firstLine="0" w:firstLineChars="0"/>
              <w:jc w:val="left"/>
              <w:rPr>
                <w:rFonts w:hint="default" w:ascii="宋体" w:eastAsia="宋体"/>
                <w:spacing w:val="-2"/>
                <w:sz w:val="24"/>
                <w:highlight w:val="none"/>
                <w:lang w:val="en-US" w:eastAsia="zh-CN"/>
              </w:rPr>
            </w:pPr>
            <w:r>
              <w:rPr>
                <w:rFonts w:hint="eastAsia" w:ascii="宋体" w:eastAsia="宋体"/>
                <w:spacing w:val="-2"/>
                <w:sz w:val="24"/>
                <w:highlight w:val="none"/>
                <w:lang w:val="en-US" w:eastAsia="zh-CN"/>
              </w:rPr>
              <w:t>密封共分为2个密封袋；其中“正本和电子版”装在一个密封袋；所有副本装在一个密封袋。</w:t>
            </w:r>
          </w:p>
        </w:tc>
      </w:tr>
      <w:tr w14:paraId="6189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76AC29D0">
            <w:pPr>
              <w:pStyle w:val="16"/>
              <w:snapToGrid w:val="0"/>
              <w:spacing w:before="7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4"/>
                <w:sz w:val="24"/>
                <w:highlight w:val="none"/>
              </w:rPr>
              <w:t>29.1</w:t>
            </w:r>
          </w:p>
        </w:tc>
        <w:tc>
          <w:tcPr>
            <w:tcW w:w="1799" w:type="dxa"/>
            <w:shd w:val="clear" w:color="auto" w:fill="auto"/>
            <w:vAlign w:val="center"/>
          </w:tcPr>
          <w:p w14:paraId="1955821A">
            <w:pPr>
              <w:pStyle w:val="16"/>
              <w:snapToGrid w:val="0"/>
              <w:spacing w:before="78" w:line="360" w:lineRule="auto"/>
              <w:ind w:left="0" w:leftChars="0" w:right="0" w:rightChars="0" w:firstLine="0" w:firstLineChars="0"/>
              <w:jc w:val="center"/>
              <w:rPr>
                <w:rFonts w:ascii="宋体" w:hAnsi="宋体" w:eastAsia="宋体" w:cs="宋体"/>
                <w:snapToGrid w:val="0"/>
                <w:color w:val="000000"/>
                <w:kern w:val="0"/>
                <w:sz w:val="24"/>
                <w:szCs w:val="24"/>
                <w:highlight w:val="none"/>
                <w:lang w:val="en-US" w:eastAsia="en-US" w:bidi="ar-SA"/>
              </w:rPr>
            </w:pPr>
            <w:r>
              <w:rPr>
                <w:rFonts w:ascii="宋体" w:eastAsia="宋体"/>
                <w:spacing w:val="-3"/>
                <w:sz w:val="24"/>
                <w:highlight w:val="none"/>
              </w:rPr>
              <w:t>关于信用记录</w:t>
            </w:r>
            <w:r>
              <w:rPr>
                <w:rFonts w:ascii="宋体" w:eastAsia="宋体"/>
                <w:spacing w:val="-5"/>
                <w:sz w:val="24"/>
                <w:highlight w:val="none"/>
              </w:rPr>
              <w:t>的查询和使用</w:t>
            </w:r>
          </w:p>
        </w:tc>
        <w:tc>
          <w:tcPr>
            <w:tcW w:w="7257" w:type="dxa"/>
            <w:shd w:val="clear" w:color="auto" w:fill="auto"/>
            <w:vAlign w:val="center"/>
          </w:tcPr>
          <w:p w14:paraId="1141E46D">
            <w:pPr>
              <w:pStyle w:val="16"/>
              <w:snapToGrid w:val="0"/>
              <w:spacing w:before="27" w:line="360" w:lineRule="auto"/>
              <w:ind w:left="0" w:leftChars="0" w:right="0" w:rightChars="0" w:firstLine="0" w:firstLineChars="0"/>
              <w:jc w:val="left"/>
              <w:rPr>
                <w:rFonts w:ascii="宋体" w:hAnsi="宋体" w:eastAsia="宋体" w:cs="宋体"/>
                <w:snapToGrid w:val="0"/>
                <w:color w:val="000000"/>
                <w:kern w:val="0"/>
                <w:sz w:val="24"/>
                <w:szCs w:val="24"/>
                <w:highlight w:val="none"/>
                <w:lang w:val="en-US" w:eastAsia="en-US" w:bidi="ar-SA"/>
              </w:rPr>
            </w:pPr>
            <w:r>
              <w:rPr>
                <w:rFonts w:hint="eastAsia" w:ascii="宋体" w:eastAsia="宋体"/>
                <w:sz w:val="24"/>
                <w:highlight w:val="none"/>
              </w:rPr>
              <w:t>供应商通过“信用中国”网站(www.creditchina.gov.cn)、中国政府采购网(www.ccgp.gov.cn )等查询相关主体信用记录；</w:t>
            </w:r>
          </w:p>
        </w:tc>
      </w:tr>
      <w:tr w14:paraId="5087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1AF30BA9">
            <w:pPr>
              <w:pStyle w:val="16"/>
              <w:snapToGrid w:val="0"/>
              <w:spacing w:before="78" w:line="360" w:lineRule="auto"/>
              <w:ind w:left="0" w:leftChars="0" w:right="0" w:rightChars="0" w:firstLine="0" w:firstLineChars="0"/>
              <w:jc w:val="center"/>
              <w:rPr>
                <w:rFonts w:ascii="宋体" w:eastAsia="宋体"/>
                <w:spacing w:val="-4"/>
                <w:sz w:val="24"/>
                <w:highlight w:val="none"/>
              </w:rPr>
            </w:pPr>
            <w:r>
              <w:rPr>
                <w:spacing w:val="-4"/>
                <w:highlight w:val="none"/>
              </w:rPr>
              <w:t>29.2</w:t>
            </w:r>
          </w:p>
        </w:tc>
        <w:tc>
          <w:tcPr>
            <w:tcW w:w="1799" w:type="dxa"/>
            <w:shd w:val="clear" w:color="auto" w:fill="auto"/>
            <w:vAlign w:val="center"/>
          </w:tcPr>
          <w:p w14:paraId="3CBA51F0">
            <w:pPr>
              <w:pStyle w:val="16"/>
              <w:snapToGrid w:val="0"/>
              <w:spacing w:before="78" w:line="360" w:lineRule="auto"/>
              <w:ind w:left="0" w:leftChars="0" w:right="0" w:rightChars="0" w:firstLine="0" w:firstLineChars="0"/>
              <w:jc w:val="center"/>
              <w:rPr>
                <w:rFonts w:ascii="宋体" w:eastAsia="宋体"/>
                <w:spacing w:val="-3"/>
                <w:sz w:val="24"/>
                <w:highlight w:val="none"/>
              </w:rPr>
            </w:pPr>
            <w:r>
              <w:rPr>
                <w:spacing w:val="-2"/>
                <w:highlight w:val="none"/>
              </w:rPr>
              <w:t>招标代理服务费</w:t>
            </w:r>
          </w:p>
        </w:tc>
        <w:tc>
          <w:tcPr>
            <w:tcW w:w="7257" w:type="dxa"/>
            <w:shd w:val="clear" w:color="auto" w:fill="auto"/>
            <w:vAlign w:val="center"/>
          </w:tcPr>
          <w:p w14:paraId="4B224790">
            <w:pPr>
              <w:pStyle w:val="16"/>
              <w:snapToGrid w:val="0"/>
              <w:spacing w:before="34" w:line="360" w:lineRule="auto"/>
              <w:ind w:left="0" w:leftChars="0" w:right="0" w:rightChars="0" w:firstLine="0" w:firstLineChars="0"/>
              <w:jc w:val="left"/>
              <w:rPr>
                <w:rFonts w:hint="eastAsia" w:ascii="宋体" w:eastAsia="宋体"/>
                <w:sz w:val="24"/>
                <w:highlight w:val="none"/>
              </w:rPr>
            </w:pPr>
            <w:r>
              <w:rPr>
                <w:highlight w:val="none"/>
              </w:rPr>
              <w:t>代理服务费收取标准：定额人民币叁仟元整</w:t>
            </w:r>
            <w:r>
              <w:rPr>
                <w:spacing w:val="-1"/>
                <w:highlight w:val="none"/>
              </w:rPr>
              <w:t xml:space="preserve"> (￥3000.00元）/家。招标代理服务费公布方式：代理服务费金额将在成交公告中明确，成交供应商在领取入围通知书前，须向采购代理机构一次性支付招标代理服务费。</w:t>
            </w:r>
          </w:p>
        </w:tc>
      </w:tr>
      <w:tr w14:paraId="38B0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6B62A1DF">
            <w:pPr>
              <w:pStyle w:val="16"/>
              <w:snapToGrid w:val="0"/>
              <w:spacing w:before="78" w:line="360" w:lineRule="auto"/>
              <w:ind w:left="0" w:leftChars="0" w:right="0" w:rightChars="0" w:firstLine="0" w:firstLineChars="0"/>
              <w:jc w:val="center"/>
              <w:rPr>
                <w:rFonts w:ascii="宋体" w:eastAsia="宋体"/>
                <w:spacing w:val="-4"/>
                <w:sz w:val="24"/>
                <w:highlight w:val="none"/>
              </w:rPr>
            </w:pPr>
            <w:r>
              <w:rPr>
                <w:spacing w:val="-4"/>
                <w:highlight w:val="none"/>
              </w:rPr>
              <w:t>29.3</w:t>
            </w:r>
          </w:p>
        </w:tc>
        <w:tc>
          <w:tcPr>
            <w:tcW w:w="1799" w:type="dxa"/>
            <w:shd w:val="clear" w:color="auto" w:fill="auto"/>
            <w:vAlign w:val="center"/>
          </w:tcPr>
          <w:p w14:paraId="47514FE1">
            <w:pPr>
              <w:pStyle w:val="16"/>
              <w:snapToGrid w:val="0"/>
              <w:spacing w:before="78" w:line="360" w:lineRule="auto"/>
              <w:ind w:left="0" w:leftChars="0" w:right="0" w:rightChars="0" w:firstLine="0" w:firstLineChars="0"/>
              <w:jc w:val="center"/>
              <w:rPr>
                <w:rFonts w:ascii="宋体" w:eastAsia="宋体"/>
                <w:spacing w:val="-3"/>
                <w:sz w:val="24"/>
                <w:highlight w:val="none"/>
              </w:rPr>
            </w:pPr>
            <w:r>
              <w:rPr>
                <w:spacing w:val="-2"/>
                <w:highlight w:val="none"/>
              </w:rPr>
              <w:t>代理服务费账户</w:t>
            </w:r>
          </w:p>
        </w:tc>
        <w:tc>
          <w:tcPr>
            <w:tcW w:w="7257" w:type="dxa"/>
            <w:shd w:val="clear" w:color="auto" w:fill="auto"/>
            <w:vAlign w:val="center"/>
          </w:tcPr>
          <w:p w14:paraId="01ABF455">
            <w:pPr>
              <w:pStyle w:val="16"/>
              <w:snapToGrid w:val="0"/>
              <w:spacing w:before="25" w:line="360" w:lineRule="auto"/>
              <w:ind w:left="0" w:leftChars="0" w:right="0" w:rightChars="0" w:firstLine="0" w:firstLineChars="0"/>
              <w:jc w:val="left"/>
              <w:rPr>
                <w:spacing w:val="-4"/>
                <w:highlight w:val="none"/>
              </w:rPr>
            </w:pPr>
            <w:r>
              <w:rPr>
                <w:spacing w:val="-4"/>
                <w:highlight w:val="none"/>
              </w:rPr>
              <w:t>代理服务费以转账形式缴纳至以下账户：</w:t>
            </w:r>
          </w:p>
          <w:p w14:paraId="503A99B2">
            <w:pPr>
              <w:pStyle w:val="16"/>
              <w:snapToGrid w:val="0"/>
              <w:spacing w:before="25" w:line="360" w:lineRule="auto"/>
              <w:ind w:left="0" w:leftChars="0" w:right="0" w:rightChars="0" w:firstLine="0" w:firstLineChars="0"/>
              <w:jc w:val="left"/>
              <w:rPr>
                <w:rFonts w:hint="eastAsia"/>
                <w:spacing w:val="-4"/>
                <w:highlight w:val="none"/>
                <w:lang w:eastAsia="zh-CN"/>
              </w:rPr>
            </w:pPr>
            <w:r>
              <w:rPr>
                <w:rFonts w:hint="eastAsia"/>
                <w:spacing w:val="-4"/>
                <w:highlight w:val="none"/>
                <w:lang w:eastAsia="zh-CN"/>
              </w:rPr>
              <w:t>①开户名称：陕西至诚项目管理集团有限公司</w:t>
            </w:r>
          </w:p>
          <w:p w14:paraId="0F7DDFBA">
            <w:pPr>
              <w:pStyle w:val="16"/>
              <w:snapToGrid w:val="0"/>
              <w:spacing w:before="25" w:line="360" w:lineRule="auto"/>
              <w:ind w:left="0" w:leftChars="0" w:right="0" w:rightChars="0" w:firstLine="0" w:firstLineChars="0"/>
              <w:jc w:val="left"/>
              <w:rPr>
                <w:rFonts w:hint="eastAsia"/>
                <w:spacing w:val="-4"/>
                <w:highlight w:val="none"/>
                <w:lang w:eastAsia="zh-CN"/>
              </w:rPr>
            </w:pPr>
            <w:r>
              <w:rPr>
                <w:rFonts w:hint="eastAsia"/>
                <w:spacing w:val="-4"/>
                <w:highlight w:val="none"/>
                <w:lang w:eastAsia="zh-CN"/>
              </w:rPr>
              <w:t>②开户行：中国建设银行股份有限公司西安高新技术产业开发区支行</w:t>
            </w:r>
          </w:p>
          <w:p w14:paraId="5DFE98AA">
            <w:pPr>
              <w:pStyle w:val="16"/>
              <w:snapToGrid w:val="0"/>
              <w:spacing w:before="25" w:line="360" w:lineRule="auto"/>
              <w:ind w:left="0" w:leftChars="0" w:right="0" w:rightChars="0" w:firstLine="0" w:firstLineChars="0"/>
              <w:jc w:val="left"/>
              <w:rPr>
                <w:rFonts w:hint="eastAsia" w:ascii="宋体" w:eastAsia="宋体"/>
                <w:sz w:val="24"/>
                <w:highlight w:val="none"/>
              </w:rPr>
            </w:pPr>
            <w:r>
              <w:rPr>
                <w:rFonts w:hint="eastAsia"/>
                <w:spacing w:val="-4"/>
                <w:highlight w:val="none"/>
                <w:lang w:eastAsia="zh-CN"/>
              </w:rPr>
              <w:t>③账号：61050192090000002152。</w:t>
            </w:r>
          </w:p>
        </w:tc>
      </w:tr>
      <w:tr w14:paraId="3CAA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63DA9CB9">
            <w:pPr>
              <w:pStyle w:val="16"/>
              <w:snapToGrid w:val="0"/>
              <w:spacing w:before="197" w:line="360" w:lineRule="auto"/>
              <w:ind w:left="0" w:leftChars="0" w:right="0" w:rightChars="0" w:firstLine="0" w:firstLineChars="0"/>
              <w:jc w:val="center"/>
              <w:rPr>
                <w:rFonts w:ascii="宋体" w:eastAsia="宋体"/>
                <w:spacing w:val="-4"/>
                <w:sz w:val="24"/>
                <w:highlight w:val="none"/>
              </w:rPr>
            </w:pPr>
            <w:r>
              <w:rPr>
                <w:spacing w:val="-4"/>
                <w:highlight w:val="none"/>
              </w:rPr>
              <w:t>29.4</w:t>
            </w:r>
          </w:p>
        </w:tc>
        <w:tc>
          <w:tcPr>
            <w:tcW w:w="1799" w:type="dxa"/>
            <w:shd w:val="clear" w:color="auto" w:fill="auto"/>
            <w:vAlign w:val="center"/>
          </w:tcPr>
          <w:p w14:paraId="532B750A">
            <w:pPr>
              <w:pStyle w:val="16"/>
              <w:snapToGrid w:val="0"/>
              <w:spacing w:before="197" w:line="360" w:lineRule="auto"/>
              <w:ind w:left="0" w:leftChars="0" w:right="0" w:rightChars="0" w:firstLine="0" w:firstLineChars="0"/>
              <w:jc w:val="center"/>
              <w:rPr>
                <w:rFonts w:ascii="宋体" w:eastAsia="宋体"/>
                <w:spacing w:val="-3"/>
                <w:sz w:val="24"/>
                <w:highlight w:val="none"/>
              </w:rPr>
            </w:pPr>
            <w:r>
              <w:rPr>
                <w:spacing w:val="-2"/>
                <w:highlight w:val="none"/>
              </w:rPr>
              <w:t>项目属性及所属行业</w:t>
            </w:r>
          </w:p>
        </w:tc>
        <w:tc>
          <w:tcPr>
            <w:tcW w:w="7257" w:type="dxa"/>
            <w:shd w:val="clear" w:color="auto" w:fill="auto"/>
            <w:vAlign w:val="center"/>
          </w:tcPr>
          <w:p w14:paraId="549C986B">
            <w:pPr>
              <w:pStyle w:val="16"/>
              <w:snapToGrid w:val="0"/>
              <w:spacing w:before="44" w:line="360" w:lineRule="auto"/>
              <w:ind w:left="0" w:leftChars="0" w:right="0" w:rightChars="0" w:firstLine="0" w:firstLineChars="0"/>
              <w:jc w:val="left"/>
              <w:rPr>
                <w:highlight w:val="none"/>
              </w:rPr>
            </w:pPr>
            <w:r>
              <w:rPr>
                <w:spacing w:val="-3"/>
                <w:highlight w:val="none"/>
              </w:rPr>
              <w:t>1、本项目属性：服务类。</w:t>
            </w:r>
          </w:p>
          <w:p w14:paraId="7BACF291">
            <w:pPr>
              <w:pStyle w:val="16"/>
              <w:snapToGrid w:val="0"/>
              <w:spacing w:before="24" w:line="360" w:lineRule="auto"/>
              <w:ind w:left="0" w:leftChars="0" w:right="0" w:rightChars="0" w:firstLine="0" w:firstLineChars="0"/>
              <w:jc w:val="left"/>
              <w:rPr>
                <w:rFonts w:hint="eastAsia" w:ascii="宋体" w:eastAsia="宋体"/>
                <w:sz w:val="24"/>
                <w:highlight w:val="none"/>
              </w:rPr>
            </w:pPr>
            <w:r>
              <w:rPr>
                <w:spacing w:val="-1"/>
                <w:highlight w:val="none"/>
              </w:rPr>
              <w:t>2、本项目采购标的所属行业为：其他未列明行业。</w:t>
            </w:r>
          </w:p>
        </w:tc>
      </w:tr>
      <w:tr w14:paraId="6349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78EB390F">
            <w:pPr>
              <w:pStyle w:val="16"/>
              <w:snapToGrid w:val="0"/>
              <w:spacing w:before="171" w:line="360" w:lineRule="auto"/>
              <w:ind w:left="0" w:leftChars="0" w:right="0" w:rightChars="0" w:firstLine="0" w:firstLineChars="0"/>
              <w:jc w:val="center"/>
              <w:rPr>
                <w:rFonts w:ascii="宋体" w:eastAsia="宋体"/>
                <w:spacing w:val="-4"/>
                <w:sz w:val="24"/>
                <w:highlight w:val="none"/>
              </w:rPr>
            </w:pPr>
            <w:r>
              <w:rPr>
                <w:spacing w:val="-4"/>
                <w:highlight w:val="none"/>
              </w:rPr>
              <w:t>29.5</w:t>
            </w:r>
          </w:p>
        </w:tc>
        <w:tc>
          <w:tcPr>
            <w:tcW w:w="1799" w:type="dxa"/>
            <w:shd w:val="clear" w:color="auto" w:fill="auto"/>
            <w:vAlign w:val="center"/>
          </w:tcPr>
          <w:p w14:paraId="13FCFCAB">
            <w:pPr>
              <w:pStyle w:val="16"/>
              <w:snapToGrid w:val="0"/>
              <w:spacing w:before="174" w:line="360" w:lineRule="auto"/>
              <w:ind w:left="0" w:leftChars="0" w:right="0" w:rightChars="0" w:firstLine="0" w:firstLineChars="0"/>
              <w:jc w:val="center"/>
              <w:rPr>
                <w:rFonts w:ascii="宋体" w:eastAsia="宋体"/>
                <w:spacing w:val="-3"/>
                <w:sz w:val="24"/>
                <w:highlight w:val="none"/>
              </w:rPr>
            </w:pPr>
            <w:r>
              <w:rPr>
                <w:spacing w:val="-5"/>
                <w:highlight w:val="none"/>
              </w:rPr>
              <w:t>一致性</w:t>
            </w:r>
          </w:p>
        </w:tc>
        <w:tc>
          <w:tcPr>
            <w:tcW w:w="7257" w:type="dxa"/>
            <w:shd w:val="clear" w:color="auto" w:fill="auto"/>
            <w:vAlign w:val="center"/>
          </w:tcPr>
          <w:p w14:paraId="154B1A3F">
            <w:pPr>
              <w:pStyle w:val="16"/>
              <w:snapToGrid w:val="0"/>
              <w:spacing w:before="172" w:line="360" w:lineRule="auto"/>
              <w:ind w:left="0" w:leftChars="0" w:right="0" w:rightChars="0" w:firstLine="0" w:firstLineChars="0"/>
              <w:jc w:val="left"/>
              <w:rPr>
                <w:rFonts w:hint="eastAsia" w:ascii="宋体" w:eastAsia="宋体"/>
                <w:sz w:val="24"/>
                <w:highlight w:val="none"/>
              </w:rPr>
            </w:pPr>
            <w:r>
              <w:rPr>
                <w:spacing w:val="-1"/>
                <w:highlight w:val="none"/>
              </w:rPr>
              <w:t>供应商须知前附表和须知不一致的地方，以前附表为准。</w:t>
            </w:r>
          </w:p>
        </w:tc>
      </w:tr>
      <w:tr w14:paraId="16A3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05" w:type="dxa"/>
            <w:shd w:val="clear" w:color="auto" w:fill="auto"/>
            <w:vAlign w:val="center"/>
          </w:tcPr>
          <w:p w14:paraId="492D6A02">
            <w:pPr>
              <w:pStyle w:val="16"/>
              <w:snapToGrid w:val="0"/>
              <w:spacing w:before="78" w:line="360" w:lineRule="auto"/>
              <w:ind w:left="0" w:leftChars="0" w:right="0" w:rightChars="0" w:firstLine="0" w:firstLineChars="0"/>
              <w:jc w:val="center"/>
              <w:rPr>
                <w:rFonts w:ascii="宋体" w:eastAsia="宋体"/>
                <w:spacing w:val="-4"/>
                <w:sz w:val="24"/>
                <w:highlight w:val="none"/>
              </w:rPr>
            </w:pPr>
            <w:r>
              <w:rPr>
                <w:spacing w:val="-8"/>
                <w:highlight w:val="none"/>
              </w:rPr>
              <w:t>30</w:t>
            </w:r>
          </w:p>
        </w:tc>
        <w:tc>
          <w:tcPr>
            <w:tcW w:w="1799" w:type="dxa"/>
            <w:shd w:val="clear" w:color="auto" w:fill="auto"/>
            <w:vAlign w:val="center"/>
          </w:tcPr>
          <w:p w14:paraId="6170D3D8">
            <w:pPr>
              <w:pStyle w:val="16"/>
              <w:snapToGrid w:val="0"/>
              <w:spacing w:before="78" w:line="360" w:lineRule="auto"/>
              <w:ind w:left="0" w:leftChars="0" w:right="0" w:rightChars="0" w:firstLine="0" w:firstLineChars="0"/>
              <w:jc w:val="center"/>
              <w:rPr>
                <w:rFonts w:ascii="宋体" w:eastAsia="宋体"/>
                <w:spacing w:val="-3"/>
                <w:sz w:val="24"/>
                <w:highlight w:val="none"/>
              </w:rPr>
            </w:pPr>
            <w:r>
              <w:rPr>
                <w:spacing w:val="-6"/>
                <w:highlight w:val="none"/>
              </w:rPr>
              <w:t>其他</w:t>
            </w:r>
          </w:p>
        </w:tc>
        <w:tc>
          <w:tcPr>
            <w:tcW w:w="7257" w:type="dxa"/>
            <w:shd w:val="clear" w:color="auto" w:fill="auto"/>
            <w:vAlign w:val="center"/>
          </w:tcPr>
          <w:p w14:paraId="527B6E13">
            <w:pPr>
              <w:pStyle w:val="16"/>
              <w:snapToGrid w:val="0"/>
              <w:spacing w:before="49" w:line="360" w:lineRule="auto"/>
              <w:ind w:left="0" w:leftChars="0" w:right="0" w:rightChars="0" w:firstLine="0" w:firstLineChars="0"/>
              <w:jc w:val="left"/>
              <w:rPr>
                <w:highlight w:val="none"/>
              </w:rPr>
            </w:pPr>
            <w:r>
              <w:rPr>
                <w:spacing w:val="-2"/>
                <w:highlight w:val="none"/>
              </w:rPr>
              <w:t>1、本项目采购标的所属行业为</w:t>
            </w:r>
            <w:r>
              <w:rPr>
                <w:b/>
                <w:bCs/>
                <w:spacing w:val="-2"/>
                <w:highlight w:val="none"/>
              </w:rPr>
              <w:t>其他未列明行业</w:t>
            </w:r>
          </w:p>
          <w:p w14:paraId="264D13C6">
            <w:pPr>
              <w:pStyle w:val="16"/>
              <w:snapToGrid w:val="0"/>
              <w:spacing w:before="28" w:line="360" w:lineRule="auto"/>
              <w:ind w:left="0" w:leftChars="0" w:right="0" w:rightChars="0" w:firstLine="0" w:firstLineChars="0"/>
              <w:jc w:val="left"/>
              <w:rPr>
                <w:highlight w:val="none"/>
              </w:rPr>
            </w:pPr>
            <w:r>
              <w:rPr>
                <w:spacing w:val="10"/>
                <w:highlight w:val="none"/>
              </w:rPr>
              <w:t>从业人员</w:t>
            </w:r>
            <w:r>
              <w:rPr>
                <w:spacing w:val="-14"/>
                <w:highlight w:val="none"/>
              </w:rPr>
              <w:t xml:space="preserve"> </w:t>
            </w:r>
            <w:r>
              <w:rPr>
                <w:spacing w:val="10"/>
                <w:highlight w:val="none"/>
              </w:rPr>
              <w:t>300</w:t>
            </w:r>
            <w:r>
              <w:rPr>
                <w:spacing w:val="-34"/>
                <w:highlight w:val="none"/>
              </w:rPr>
              <w:t xml:space="preserve"> </w:t>
            </w:r>
            <w:r>
              <w:rPr>
                <w:spacing w:val="10"/>
                <w:highlight w:val="none"/>
              </w:rPr>
              <w:t>人以下的为中小微型企业。其中，从业人员</w:t>
            </w:r>
            <w:r>
              <w:rPr>
                <w:spacing w:val="-1"/>
                <w:highlight w:val="none"/>
              </w:rPr>
              <w:t>100</w:t>
            </w:r>
            <w:r>
              <w:rPr>
                <w:spacing w:val="-44"/>
                <w:highlight w:val="none"/>
              </w:rPr>
              <w:t xml:space="preserve"> </w:t>
            </w:r>
            <w:r>
              <w:rPr>
                <w:spacing w:val="-1"/>
                <w:highlight w:val="none"/>
              </w:rPr>
              <w:t>人及以上的为中型企业；从业人员</w:t>
            </w:r>
            <w:r>
              <w:rPr>
                <w:spacing w:val="-31"/>
                <w:highlight w:val="none"/>
              </w:rPr>
              <w:t xml:space="preserve"> </w:t>
            </w:r>
            <w:r>
              <w:rPr>
                <w:spacing w:val="-1"/>
                <w:highlight w:val="none"/>
              </w:rPr>
              <w:t>10</w:t>
            </w:r>
            <w:r>
              <w:rPr>
                <w:spacing w:val="-46"/>
                <w:highlight w:val="none"/>
              </w:rPr>
              <w:t xml:space="preserve"> </w:t>
            </w:r>
            <w:r>
              <w:rPr>
                <w:spacing w:val="-1"/>
                <w:highlight w:val="none"/>
              </w:rPr>
              <w:t>人及以上的为小型</w:t>
            </w:r>
            <w:r>
              <w:rPr>
                <w:spacing w:val="-3"/>
                <w:highlight w:val="none"/>
              </w:rPr>
              <w:t>企业；从业人员</w:t>
            </w:r>
            <w:r>
              <w:rPr>
                <w:spacing w:val="-29"/>
                <w:highlight w:val="none"/>
              </w:rPr>
              <w:t xml:space="preserve"> </w:t>
            </w:r>
            <w:r>
              <w:rPr>
                <w:spacing w:val="-3"/>
                <w:highlight w:val="none"/>
              </w:rPr>
              <w:t>10</w:t>
            </w:r>
            <w:r>
              <w:rPr>
                <w:spacing w:val="-49"/>
                <w:highlight w:val="none"/>
              </w:rPr>
              <w:t xml:space="preserve"> </w:t>
            </w:r>
            <w:r>
              <w:rPr>
                <w:spacing w:val="-3"/>
                <w:highlight w:val="none"/>
              </w:rPr>
              <w:t>人以下的为微型企业。</w:t>
            </w:r>
          </w:p>
          <w:p w14:paraId="39081041">
            <w:pPr>
              <w:pStyle w:val="16"/>
              <w:snapToGrid w:val="0"/>
              <w:spacing w:line="360" w:lineRule="auto"/>
              <w:ind w:left="0" w:leftChars="0" w:right="0" w:rightChars="0" w:firstLine="0" w:firstLineChars="0"/>
              <w:jc w:val="left"/>
              <w:rPr>
                <w:highlight w:val="none"/>
              </w:rPr>
            </w:pPr>
            <w:r>
              <w:rPr>
                <w:b/>
                <w:bCs/>
                <w:spacing w:val="-8"/>
                <w:highlight w:val="none"/>
              </w:rPr>
              <w:t>注：</w:t>
            </w:r>
          </w:p>
          <w:p w14:paraId="5F3A5242">
            <w:pPr>
              <w:pStyle w:val="16"/>
              <w:snapToGrid w:val="0"/>
              <w:spacing w:before="15" w:line="360" w:lineRule="auto"/>
              <w:ind w:left="0" w:leftChars="0" w:right="0" w:rightChars="0" w:firstLine="0" w:firstLineChars="0"/>
              <w:jc w:val="left"/>
              <w:rPr>
                <w:highlight w:val="none"/>
              </w:rPr>
            </w:pPr>
            <w:r>
              <w:rPr>
                <w:spacing w:val="8"/>
                <w:highlight w:val="none"/>
              </w:rPr>
              <w:t>（1）坚持优价优质采购结果。坚决杜绝供应商</w:t>
            </w:r>
            <w:r>
              <w:rPr>
                <w:spacing w:val="7"/>
                <w:highlight w:val="none"/>
              </w:rPr>
              <w:t>以牺牲质量</w:t>
            </w:r>
            <w:r>
              <w:rPr>
                <w:spacing w:val="3"/>
                <w:highlight w:val="none"/>
              </w:rPr>
              <w:t>为前提的低价竞争，供应商的报价明显低于其他通过符合性</w:t>
            </w:r>
            <w:r>
              <w:rPr>
                <w:spacing w:val="13"/>
                <w:highlight w:val="none"/>
              </w:rPr>
              <w:t>审查供应商报价，有可能影响项目质量或者不能诚信履约</w:t>
            </w:r>
            <w:r>
              <w:rPr>
                <w:spacing w:val="3"/>
                <w:highlight w:val="none"/>
              </w:rPr>
              <w:t>的，采购代理机构应当提示评标委员会要求供应商在评标现</w:t>
            </w:r>
            <w:r>
              <w:rPr>
                <w:spacing w:val="6"/>
                <w:highlight w:val="none"/>
              </w:rPr>
              <w:t>场合理时限内提供书面说明</w:t>
            </w:r>
            <w:r>
              <w:rPr>
                <w:spacing w:val="54"/>
                <w:highlight w:val="none"/>
              </w:rPr>
              <w:t xml:space="preserve"> </w:t>
            </w:r>
            <w:r>
              <w:rPr>
                <w:spacing w:val="6"/>
                <w:highlight w:val="none"/>
              </w:rPr>
              <w:t>，必要时提交相关证明材料；</w:t>
            </w:r>
            <w:r>
              <w:rPr>
                <w:spacing w:val="3"/>
                <w:highlight w:val="none"/>
              </w:rPr>
              <w:t>供应商不能证明其报价合理性的，评标委员会应当将其作为</w:t>
            </w:r>
            <w:r>
              <w:rPr>
                <w:spacing w:val="-2"/>
                <w:highlight w:val="none"/>
              </w:rPr>
              <w:t>无效投标处理。</w:t>
            </w:r>
          </w:p>
          <w:p w14:paraId="39D07A17">
            <w:pPr>
              <w:pStyle w:val="16"/>
              <w:snapToGrid w:val="0"/>
              <w:spacing w:before="25" w:line="360" w:lineRule="auto"/>
              <w:ind w:left="0" w:leftChars="0" w:right="0" w:rightChars="0" w:firstLine="0" w:firstLineChars="0"/>
              <w:jc w:val="left"/>
              <w:rPr>
                <w:rFonts w:hint="eastAsia" w:ascii="宋体" w:eastAsia="宋体"/>
                <w:sz w:val="24"/>
                <w:highlight w:val="none"/>
              </w:rPr>
            </w:pPr>
            <w:r>
              <w:rPr>
                <w:b/>
                <w:bCs/>
                <w:spacing w:val="12"/>
                <w:highlight w:val="none"/>
              </w:rPr>
              <w:t>（2）供应商登记免费领取采购文件的，如不参与项目投</w:t>
            </w:r>
            <w:r>
              <w:rPr>
                <w:b/>
                <w:bCs/>
                <w:spacing w:val="1"/>
                <w:highlight w:val="none"/>
              </w:rPr>
              <w:t>标，应在递交投标（或相应）文件截止时间前一日以书面形</w:t>
            </w:r>
            <w:r>
              <w:rPr>
                <w:b/>
                <w:bCs/>
                <w:spacing w:val="4"/>
                <w:highlight w:val="none"/>
              </w:rPr>
              <w:t>式告知采购代理机构。否则</w:t>
            </w:r>
            <w:r>
              <w:rPr>
                <w:b/>
                <w:bCs/>
                <w:spacing w:val="48"/>
                <w:highlight w:val="none"/>
              </w:rPr>
              <w:t xml:space="preserve"> </w:t>
            </w:r>
            <w:r>
              <w:rPr>
                <w:b/>
                <w:bCs/>
                <w:spacing w:val="4"/>
                <w:highlight w:val="none"/>
              </w:rPr>
              <w:t>，采购代理机构可以向财政部</w:t>
            </w:r>
            <w:r>
              <w:rPr>
                <w:b/>
                <w:bCs/>
                <w:highlight w:val="none"/>
              </w:rPr>
              <w:t>门反映情况并提供相应的佐证。供应商一年内累计出现三次</w:t>
            </w:r>
            <w:r>
              <w:rPr>
                <w:b/>
                <w:bCs/>
                <w:spacing w:val="-3"/>
                <w:highlight w:val="none"/>
              </w:rPr>
              <w:t>该情形，将被监管部门记录为失信行为。</w:t>
            </w:r>
          </w:p>
        </w:tc>
      </w:tr>
    </w:tbl>
    <w:p w14:paraId="05B5509F">
      <w:pPr>
        <w:spacing w:line="89" w:lineRule="auto"/>
        <w:rPr>
          <w:rFonts w:ascii="Arial"/>
          <w:sz w:val="2"/>
          <w:highlight w:val="none"/>
        </w:rPr>
      </w:pPr>
    </w:p>
    <w:p w14:paraId="2FE3275E">
      <w:pPr>
        <w:pStyle w:val="5"/>
        <w:spacing w:line="104" w:lineRule="exact"/>
        <w:rPr>
          <w:sz w:val="9"/>
          <w:highlight w:val="none"/>
        </w:rPr>
      </w:pPr>
    </w:p>
    <w:p w14:paraId="11732E1B">
      <w:pPr>
        <w:spacing w:line="104" w:lineRule="exact"/>
        <w:rPr>
          <w:sz w:val="9"/>
          <w:szCs w:val="9"/>
          <w:highlight w:val="none"/>
        </w:rPr>
        <w:sectPr>
          <w:footerReference r:id="rId6" w:type="default"/>
          <w:pgSz w:w="11907" w:h="16840"/>
          <w:pgMar w:top="1431" w:right="1181" w:bottom="1199" w:left="1181" w:header="0" w:footer="984" w:gutter="0"/>
          <w:pgNumType w:fmt="decimal" w:start="1"/>
          <w:cols w:space="720" w:num="1"/>
        </w:sectPr>
      </w:pPr>
    </w:p>
    <w:p w14:paraId="119D0990">
      <w:pPr>
        <w:spacing w:line="89" w:lineRule="auto"/>
        <w:rPr>
          <w:rFonts w:ascii="Arial"/>
          <w:sz w:val="2"/>
          <w:highlight w:val="none"/>
        </w:rPr>
      </w:pPr>
    </w:p>
    <w:p w14:paraId="6D6FC6E0">
      <w:pPr>
        <w:pStyle w:val="5"/>
        <w:rPr>
          <w:highlight w:val="none"/>
        </w:rPr>
      </w:pPr>
    </w:p>
    <w:p w14:paraId="3DB72B10">
      <w:pPr>
        <w:spacing w:before="47" w:line="221" w:lineRule="auto"/>
        <w:ind w:left="3944"/>
        <w:rPr>
          <w:rFonts w:ascii="宋体" w:hAnsi="宋体" w:eastAsia="宋体" w:cs="宋体"/>
          <w:sz w:val="24"/>
          <w:szCs w:val="24"/>
          <w:highlight w:val="none"/>
        </w:rPr>
      </w:pPr>
      <w:r>
        <w:rPr>
          <w:rFonts w:ascii="宋体" w:hAnsi="宋体" w:eastAsia="宋体" w:cs="宋体"/>
          <w:b/>
          <w:bCs/>
          <w:spacing w:val="-6"/>
          <w:sz w:val="24"/>
          <w:szCs w:val="24"/>
          <w:highlight w:val="none"/>
        </w:rPr>
        <w:t>一.总</w:t>
      </w:r>
      <w:r>
        <w:rPr>
          <w:rFonts w:ascii="宋体" w:hAnsi="宋体" w:eastAsia="宋体" w:cs="宋体"/>
          <w:spacing w:val="8"/>
          <w:sz w:val="24"/>
          <w:szCs w:val="24"/>
          <w:highlight w:val="none"/>
        </w:rPr>
        <w:t xml:space="preserve">  </w:t>
      </w:r>
      <w:r>
        <w:rPr>
          <w:rFonts w:ascii="宋体" w:hAnsi="宋体" w:eastAsia="宋体" w:cs="宋体"/>
          <w:b/>
          <w:bCs/>
          <w:spacing w:val="-6"/>
          <w:sz w:val="24"/>
          <w:szCs w:val="24"/>
          <w:highlight w:val="none"/>
        </w:rPr>
        <w:t>则</w:t>
      </w:r>
    </w:p>
    <w:p w14:paraId="4B6F2DCD">
      <w:pPr>
        <w:spacing w:before="300" w:line="221" w:lineRule="auto"/>
        <w:ind w:left="19"/>
        <w:outlineLvl w:val="1"/>
        <w:rPr>
          <w:rFonts w:ascii="宋体" w:hAnsi="宋体" w:eastAsia="宋体" w:cs="宋体"/>
          <w:sz w:val="24"/>
          <w:szCs w:val="24"/>
          <w:highlight w:val="none"/>
        </w:rPr>
      </w:pPr>
      <w:r>
        <w:rPr>
          <w:rFonts w:ascii="宋体" w:hAnsi="宋体" w:eastAsia="宋体" w:cs="宋体"/>
          <w:b/>
          <w:bCs/>
          <w:spacing w:val="-8"/>
          <w:sz w:val="24"/>
          <w:szCs w:val="24"/>
          <w:highlight w:val="none"/>
        </w:rPr>
        <w:t>1.1</w:t>
      </w:r>
      <w:r>
        <w:rPr>
          <w:rFonts w:ascii="宋体" w:hAnsi="宋体" w:eastAsia="宋体" w:cs="宋体"/>
          <w:spacing w:val="-45"/>
          <w:sz w:val="24"/>
          <w:szCs w:val="24"/>
          <w:highlight w:val="none"/>
        </w:rPr>
        <w:t xml:space="preserve"> </w:t>
      </w:r>
      <w:r>
        <w:rPr>
          <w:rFonts w:ascii="宋体" w:hAnsi="宋体" w:eastAsia="宋体" w:cs="宋体"/>
          <w:b/>
          <w:bCs/>
          <w:spacing w:val="-8"/>
          <w:sz w:val="24"/>
          <w:szCs w:val="24"/>
          <w:highlight w:val="none"/>
        </w:rPr>
        <w:t>适用范围</w:t>
      </w:r>
    </w:p>
    <w:p w14:paraId="67F25268">
      <w:pPr>
        <w:spacing w:before="301" w:line="290" w:lineRule="auto"/>
        <w:ind w:firstLine="499"/>
        <w:rPr>
          <w:rFonts w:ascii="宋体" w:hAnsi="宋体" w:eastAsia="宋体" w:cs="宋体"/>
          <w:spacing w:val="2"/>
          <w:sz w:val="24"/>
          <w:szCs w:val="24"/>
          <w:highlight w:val="none"/>
        </w:rPr>
      </w:pPr>
      <w:r>
        <w:rPr>
          <w:rFonts w:ascii="宋体" w:hAnsi="宋体" w:eastAsia="宋体" w:cs="宋体"/>
          <w:spacing w:val="2"/>
          <w:sz w:val="24"/>
          <w:szCs w:val="24"/>
          <w:highlight w:val="none"/>
        </w:rPr>
        <w:t>1.1.1 根据《中华人民共和国政府采购法》及实施条例和《政府采购框架协议采购方式管理暂行办法》（财政部 110 号令）等有关法律、法规和规章的规定，本项目已具备征集条件，现对该项目进行公开征集采购。</w:t>
      </w:r>
    </w:p>
    <w:p w14:paraId="74815765">
      <w:pPr>
        <w:spacing w:before="113" w:line="220" w:lineRule="auto"/>
        <w:ind w:left="22"/>
        <w:rPr>
          <w:rFonts w:ascii="宋体" w:hAnsi="宋体" w:eastAsia="宋体" w:cs="宋体"/>
          <w:sz w:val="24"/>
          <w:szCs w:val="24"/>
          <w:highlight w:val="none"/>
        </w:rPr>
      </w:pPr>
      <w:r>
        <w:rPr>
          <w:rFonts w:ascii="宋体" w:hAnsi="宋体" w:eastAsia="宋体" w:cs="宋体"/>
          <w:b/>
          <w:bCs/>
          <w:spacing w:val="-8"/>
          <w:sz w:val="24"/>
          <w:szCs w:val="24"/>
          <w:highlight w:val="none"/>
        </w:rPr>
        <w:t>1.2</w:t>
      </w:r>
      <w:r>
        <w:rPr>
          <w:rFonts w:ascii="宋体" w:hAnsi="宋体" w:eastAsia="宋体" w:cs="宋体"/>
          <w:spacing w:val="-48"/>
          <w:sz w:val="24"/>
          <w:szCs w:val="24"/>
          <w:highlight w:val="none"/>
        </w:rPr>
        <w:t xml:space="preserve"> </w:t>
      </w:r>
      <w:r>
        <w:rPr>
          <w:rFonts w:ascii="宋体" w:hAnsi="宋体" w:eastAsia="宋体" w:cs="宋体"/>
          <w:b/>
          <w:bCs/>
          <w:spacing w:val="-8"/>
          <w:sz w:val="24"/>
          <w:szCs w:val="24"/>
          <w:highlight w:val="none"/>
        </w:rPr>
        <w:t>名词解释</w:t>
      </w:r>
    </w:p>
    <w:p w14:paraId="78C80038">
      <w:pPr>
        <w:spacing w:before="301" w:line="290" w:lineRule="auto"/>
        <w:ind w:firstLine="499"/>
        <w:rPr>
          <w:rFonts w:ascii="宋体" w:hAnsi="宋体" w:eastAsia="宋体" w:cs="宋体"/>
          <w:sz w:val="24"/>
          <w:szCs w:val="24"/>
          <w:highlight w:val="none"/>
        </w:rPr>
      </w:pPr>
      <w:r>
        <w:rPr>
          <w:rFonts w:ascii="宋体" w:hAnsi="宋体" w:eastAsia="宋体" w:cs="宋体"/>
          <w:spacing w:val="2"/>
          <w:sz w:val="24"/>
          <w:szCs w:val="24"/>
          <w:highlight w:val="none"/>
        </w:rPr>
        <w:t>1.2.1</w:t>
      </w:r>
      <w:r>
        <w:rPr>
          <w:rFonts w:ascii="宋体" w:hAnsi="宋体" w:eastAsia="宋体" w:cs="宋体"/>
          <w:spacing w:val="-31"/>
          <w:sz w:val="24"/>
          <w:szCs w:val="24"/>
          <w:highlight w:val="none"/>
        </w:rPr>
        <w:t xml:space="preserve"> </w:t>
      </w:r>
      <w:r>
        <w:rPr>
          <w:rFonts w:ascii="宋体" w:hAnsi="宋体" w:eastAsia="宋体" w:cs="宋体"/>
          <w:b/>
          <w:bCs/>
          <w:spacing w:val="2"/>
          <w:sz w:val="24"/>
          <w:szCs w:val="24"/>
          <w:highlight w:val="none"/>
        </w:rPr>
        <w:t>征集人</w:t>
      </w:r>
      <w:r>
        <w:rPr>
          <w:rFonts w:ascii="宋体" w:hAnsi="宋体" w:eastAsia="宋体" w:cs="宋体"/>
          <w:spacing w:val="2"/>
          <w:sz w:val="24"/>
          <w:szCs w:val="24"/>
          <w:highlight w:val="none"/>
        </w:rPr>
        <w:t>系指依法进行政府采购的国家机关、事业单位、团体组织。本次采</w:t>
      </w:r>
      <w:r>
        <w:rPr>
          <w:rFonts w:ascii="宋体" w:hAnsi="宋体" w:eastAsia="宋体" w:cs="宋体"/>
          <w:spacing w:val="-1"/>
          <w:sz w:val="24"/>
          <w:szCs w:val="24"/>
          <w:highlight w:val="none"/>
        </w:rPr>
        <w:t>购的征集人名称、地址、电话、联系人见供应商须知前附表。</w:t>
      </w:r>
    </w:p>
    <w:p w14:paraId="0DF3B7CB">
      <w:pPr>
        <w:spacing w:before="180" w:line="289" w:lineRule="auto"/>
        <w:ind w:left="6" w:firstLine="492"/>
        <w:rPr>
          <w:rFonts w:ascii="宋体" w:hAnsi="宋体" w:eastAsia="宋体" w:cs="宋体"/>
          <w:sz w:val="24"/>
          <w:szCs w:val="24"/>
          <w:highlight w:val="none"/>
        </w:rPr>
      </w:pPr>
      <w:r>
        <w:rPr>
          <w:rFonts w:ascii="宋体" w:hAnsi="宋体" w:eastAsia="宋体" w:cs="宋体"/>
          <w:spacing w:val="2"/>
          <w:sz w:val="24"/>
          <w:szCs w:val="24"/>
          <w:highlight w:val="none"/>
        </w:rPr>
        <w:t>1.2.2</w:t>
      </w:r>
      <w:r>
        <w:rPr>
          <w:rFonts w:ascii="宋体" w:hAnsi="宋体" w:eastAsia="宋体" w:cs="宋体"/>
          <w:spacing w:val="-34"/>
          <w:sz w:val="24"/>
          <w:szCs w:val="24"/>
          <w:highlight w:val="none"/>
        </w:rPr>
        <w:t xml:space="preserve"> </w:t>
      </w:r>
      <w:r>
        <w:rPr>
          <w:rFonts w:ascii="宋体" w:hAnsi="宋体" w:eastAsia="宋体" w:cs="宋体"/>
          <w:b/>
          <w:bCs/>
          <w:spacing w:val="2"/>
          <w:sz w:val="24"/>
          <w:szCs w:val="24"/>
          <w:highlight w:val="none"/>
        </w:rPr>
        <w:t>监督机构</w:t>
      </w:r>
      <w:r>
        <w:rPr>
          <w:rFonts w:ascii="宋体" w:hAnsi="宋体" w:eastAsia="宋体" w:cs="宋体"/>
          <w:spacing w:val="2"/>
          <w:sz w:val="24"/>
          <w:szCs w:val="24"/>
          <w:highlight w:val="none"/>
        </w:rPr>
        <w:t>系指政府采购行政监督管理部门。本次采购的监督机构：见供应</w:t>
      </w:r>
      <w:r>
        <w:rPr>
          <w:rFonts w:ascii="宋体" w:hAnsi="宋体" w:eastAsia="宋体" w:cs="宋体"/>
          <w:spacing w:val="-3"/>
          <w:sz w:val="24"/>
          <w:szCs w:val="24"/>
          <w:highlight w:val="none"/>
        </w:rPr>
        <w:t>商须知前附表。</w:t>
      </w:r>
    </w:p>
    <w:p w14:paraId="39DB15B1">
      <w:pPr>
        <w:spacing w:before="181" w:line="313" w:lineRule="auto"/>
        <w:ind w:left="5" w:firstLine="493"/>
        <w:rPr>
          <w:rFonts w:ascii="宋体" w:hAnsi="宋体" w:eastAsia="宋体" w:cs="宋体"/>
          <w:sz w:val="24"/>
          <w:szCs w:val="24"/>
          <w:highlight w:val="none"/>
        </w:rPr>
      </w:pPr>
      <w:r>
        <w:rPr>
          <w:rFonts w:ascii="宋体" w:hAnsi="宋体" w:eastAsia="宋体" w:cs="宋体"/>
          <w:spacing w:val="2"/>
          <w:sz w:val="24"/>
          <w:szCs w:val="24"/>
          <w:highlight w:val="none"/>
        </w:rPr>
        <w:t>1.2.3</w:t>
      </w:r>
      <w:r>
        <w:rPr>
          <w:rFonts w:ascii="宋体" w:hAnsi="宋体" w:eastAsia="宋体" w:cs="宋体"/>
          <w:spacing w:val="-41"/>
          <w:sz w:val="24"/>
          <w:szCs w:val="24"/>
          <w:highlight w:val="none"/>
        </w:rPr>
        <w:t xml:space="preserve"> </w:t>
      </w:r>
      <w:r>
        <w:rPr>
          <w:rFonts w:ascii="宋体" w:hAnsi="宋体" w:eastAsia="宋体" w:cs="宋体"/>
          <w:b/>
          <w:bCs/>
          <w:spacing w:val="2"/>
          <w:sz w:val="24"/>
          <w:szCs w:val="24"/>
          <w:highlight w:val="none"/>
        </w:rPr>
        <w:t>采购代理机构</w:t>
      </w:r>
      <w:r>
        <w:rPr>
          <w:rFonts w:ascii="宋体" w:hAnsi="宋体" w:eastAsia="宋体" w:cs="宋体"/>
          <w:spacing w:val="2"/>
          <w:sz w:val="24"/>
          <w:szCs w:val="24"/>
          <w:highlight w:val="none"/>
        </w:rPr>
        <w:t>系指接受征集人委托，代理采购项目的依法经财政部门认定资格的采购代理机构。本次采购的采购代理机构名称、地址、</w:t>
      </w:r>
      <w:r>
        <w:rPr>
          <w:rFonts w:ascii="宋体" w:hAnsi="宋体" w:eastAsia="宋体" w:cs="宋体"/>
          <w:spacing w:val="1"/>
          <w:sz w:val="24"/>
          <w:szCs w:val="24"/>
          <w:highlight w:val="none"/>
        </w:rPr>
        <w:t>电话、联系人见供应商</w:t>
      </w:r>
      <w:r>
        <w:rPr>
          <w:rFonts w:ascii="宋体" w:hAnsi="宋体" w:eastAsia="宋体" w:cs="宋体"/>
          <w:spacing w:val="-3"/>
          <w:sz w:val="24"/>
          <w:szCs w:val="24"/>
          <w:highlight w:val="none"/>
        </w:rPr>
        <w:t>须知前附表。</w:t>
      </w:r>
    </w:p>
    <w:p w14:paraId="7B5EEB16">
      <w:pPr>
        <w:spacing w:before="183" w:line="219" w:lineRule="auto"/>
        <w:ind w:left="499"/>
        <w:rPr>
          <w:rFonts w:ascii="宋体" w:hAnsi="宋体" w:eastAsia="宋体" w:cs="宋体"/>
          <w:sz w:val="24"/>
          <w:szCs w:val="24"/>
          <w:highlight w:val="none"/>
        </w:rPr>
      </w:pPr>
      <w:r>
        <w:rPr>
          <w:rFonts w:ascii="宋体" w:hAnsi="宋体" w:eastAsia="宋体" w:cs="宋体"/>
          <w:spacing w:val="-1"/>
          <w:sz w:val="24"/>
          <w:szCs w:val="24"/>
          <w:highlight w:val="none"/>
        </w:rPr>
        <w:t xml:space="preserve">1.2.4 </w:t>
      </w:r>
      <w:r>
        <w:rPr>
          <w:rFonts w:ascii="宋体" w:hAnsi="宋体" w:eastAsia="宋体" w:cs="宋体"/>
          <w:b/>
          <w:bCs/>
          <w:spacing w:val="-1"/>
          <w:sz w:val="24"/>
          <w:szCs w:val="24"/>
          <w:highlight w:val="none"/>
        </w:rPr>
        <w:t>供应商</w:t>
      </w:r>
      <w:r>
        <w:rPr>
          <w:rFonts w:ascii="宋体" w:hAnsi="宋体" w:eastAsia="宋体" w:cs="宋体"/>
          <w:spacing w:val="-1"/>
          <w:sz w:val="24"/>
          <w:szCs w:val="24"/>
          <w:highlight w:val="none"/>
        </w:rPr>
        <w:t>是指响应招标，参加投标竞争的法人或其他组织或个人。</w:t>
      </w:r>
    </w:p>
    <w:p w14:paraId="144451AD">
      <w:pPr>
        <w:spacing w:before="301" w:line="219" w:lineRule="auto"/>
        <w:ind w:left="19"/>
        <w:rPr>
          <w:rFonts w:ascii="宋体" w:hAnsi="宋体" w:eastAsia="宋体" w:cs="宋体"/>
          <w:sz w:val="24"/>
          <w:szCs w:val="24"/>
          <w:highlight w:val="none"/>
        </w:rPr>
      </w:pPr>
      <w:r>
        <w:rPr>
          <w:rFonts w:ascii="宋体" w:hAnsi="宋体" w:eastAsia="宋体" w:cs="宋体"/>
          <w:b/>
          <w:bCs/>
          <w:spacing w:val="-6"/>
          <w:sz w:val="24"/>
          <w:szCs w:val="24"/>
          <w:highlight w:val="none"/>
        </w:rPr>
        <w:t>1.3</w:t>
      </w:r>
      <w:r>
        <w:rPr>
          <w:rFonts w:ascii="宋体" w:hAnsi="宋体" w:eastAsia="宋体" w:cs="宋体"/>
          <w:spacing w:val="-50"/>
          <w:sz w:val="24"/>
          <w:szCs w:val="24"/>
          <w:highlight w:val="none"/>
        </w:rPr>
        <w:t xml:space="preserve"> </w:t>
      </w:r>
      <w:r>
        <w:rPr>
          <w:rFonts w:ascii="宋体" w:hAnsi="宋体" w:eastAsia="宋体" w:cs="宋体"/>
          <w:b/>
          <w:bCs/>
          <w:spacing w:val="-6"/>
          <w:sz w:val="24"/>
          <w:szCs w:val="24"/>
          <w:highlight w:val="none"/>
        </w:rPr>
        <w:t>合格的供应商</w:t>
      </w:r>
    </w:p>
    <w:p w14:paraId="2C87659C">
      <w:pPr>
        <w:spacing w:before="303" w:line="219" w:lineRule="auto"/>
        <w:ind w:left="490"/>
        <w:rPr>
          <w:rFonts w:ascii="宋体" w:hAnsi="宋体" w:eastAsia="宋体" w:cs="宋体"/>
          <w:sz w:val="24"/>
          <w:szCs w:val="24"/>
          <w:highlight w:val="none"/>
        </w:rPr>
      </w:pPr>
      <w:r>
        <w:rPr>
          <w:rFonts w:ascii="宋体" w:hAnsi="宋体" w:eastAsia="宋体" w:cs="宋体"/>
          <w:spacing w:val="-2"/>
          <w:sz w:val="24"/>
          <w:szCs w:val="24"/>
          <w:highlight w:val="none"/>
        </w:rPr>
        <w:t>1.3.1 合格的供应商应具备以下条件：</w:t>
      </w:r>
    </w:p>
    <w:p w14:paraId="4A30E84D">
      <w:pPr>
        <w:spacing w:before="181" w:line="219"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（1）具备且满足本征集文件规定的供应商资格条件；</w:t>
      </w:r>
    </w:p>
    <w:p w14:paraId="45BBB7BD">
      <w:pPr>
        <w:spacing w:before="183" w:line="219" w:lineRule="auto"/>
        <w:ind w:left="493"/>
        <w:rPr>
          <w:rFonts w:ascii="宋体" w:hAnsi="宋体" w:eastAsia="宋体" w:cs="宋体"/>
          <w:sz w:val="24"/>
          <w:szCs w:val="24"/>
          <w:highlight w:val="none"/>
        </w:rPr>
      </w:pPr>
      <w:r>
        <w:rPr>
          <w:rFonts w:ascii="宋体" w:hAnsi="宋体" w:eastAsia="宋体" w:cs="宋体"/>
          <w:spacing w:val="-2"/>
          <w:sz w:val="24"/>
          <w:szCs w:val="24"/>
          <w:highlight w:val="none"/>
        </w:rPr>
        <w:t>（2）从采购代理机构购获取了征集文件；</w:t>
      </w:r>
    </w:p>
    <w:p w14:paraId="5093C743">
      <w:pPr>
        <w:spacing w:before="179" w:line="219"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w:t>
      </w:r>
      <w:r>
        <w:rPr>
          <w:rFonts w:hint="eastAsia" w:ascii="宋体" w:hAnsi="宋体" w:eastAsia="宋体" w:cs="宋体"/>
          <w:spacing w:val="-1"/>
          <w:sz w:val="24"/>
          <w:szCs w:val="24"/>
          <w:highlight w:val="none"/>
          <w:lang w:val="en-US" w:eastAsia="zh-CN"/>
        </w:rPr>
        <w:t>3）</w:t>
      </w:r>
      <w:r>
        <w:rPr>
          <w:rFonts w:ascii="宋体" w:hAnsi="宋体" w:eastAsia="宋体" w:cs="宋体"/>
          <w:spacing w:val="-1"/>
          <w:sz w:val="24"/>
          <w:szCs w:val="24"/>
          <w:highlight w:val="none"/>
        </w:rPr>
        <w:t>遵守国家和地方有关的法律法规、规章和规范性文件要求。</w:t>
      </w:r>
    </w:p>
    <w:p w14:paraId="38C7074E">
      <w:pPr>
        <w:spacing w:before="183" w:line="219" w:lineRule="auto"/>
        <w:ind w:left="499"/>
        <w:rPr>
          <w:rFonts w:ascii="宋体" w:hAnsi="宋体" w:eastAsia="宋体" w:cs="宋体"/>
          <w:sz w:val="24"/>
          <w:szCs w:val="24"/>
          <w:highlight w:val="none"/>
        </w:rPr>
      </w:pPr>
      <w:r>
        <w:rPr>
          <w:rFonts w:ascii="宋体" w:hAnsi="宋体" w:eastAsia="宋体" w:cs="宋体"/>
          <w:spacing w:val="-2"/>
          <w:sz w:val="24"/>
          <w:szCs w:val="24"/>
          <w:highlight w:val="none"/>
        </w:rPr>
        <w:t>1.3.2 供应商不得存在下列情形之一：</w:t>
      </w:r>
    </w:p>
    <w:p w14:paraId="0046BB01">
      <w:pPr>
        <w:spacing w:before="183" w:line="358" w:lineRule="auto"/>
        <w:ind w:left="2" w:firstLine="490"/>
        <w:rPr>
          <w:rFonts w:ascii="宋体" w:hAnsi="宋体" w:eastAsia="宋体" w:cs="宋体"/>
          <w:sz w:val="24"/>
          <w:szCs w:val="24"/>
          <w:highlight w:val="none"/>
        </w:rPr>
      </w:pPr>
      <w:r>
        <w:rPr>
          <w:rFonts w:ascii="宋体" w:hAnsi="宋体" w:eastAsia="宋体" w:cs="宋体"/>
          <w:spacing w:val="5"/>
          <w:sz w:val="24"/>
          <w:szCs w:val="24"/>
          <w:highlight w:val="none"/>
        </w:rPr>
        <w:t>（l）与征集人、采购代理机构存在隶属关系或者其他利害关系，且可能影响招</w:t>
      </w:r>
      <w:r>
        <w:rPr>
          <w:rFonts w:ascii="宋体" w:hAnsi="宋体" w:eastAsia="宋体" w:cs="宋体"/>
          <w:spacing w:val="-3"/>
          <w:sz w:val="24"/>
          <w:szCs w:val="24"/>
          <w:highlight w:val="none"/>
        </w:rPr>
        <w:t>标公正性；</w:t>
      </w:r>
    </w:p>
    <w:p w14:paraId="65F51A17">
      <w:pPr>
        <w:spacing w:before="1" w:line="219"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（2）与本采购项目其他供应商的法定代表人（或者负责人）为同一人；</w:t>
      </w:r>
    </w:p>
    <w:p w14:paraId="796E981B">
      <w:pPr>
        <w:spacing w:before="183" w:line="219"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（3）与本采购项目其他供应商存在控股、管理关系；</w:t>
      </w:r>
    </w:p>
    <w:p w14:paraId="65E9C8B9">
      <w:pPr>
        <w:spacing w:before="181" w:line="219" w:lineRule="auto"/>
        <w:ind w:left="493"/>
        <w:rPr>
          <w:rFonts w:ascii="宋体" w:hAnsi="宋体" w:eastAsia="宋体" w:cs="宋体"/>
          <w:sz w:val="24"/>
          <w:szCs w:val="24"/>
          <w:highlight w:val="none"/>
        </w:rPr>
      </w:pPr>
      <w:r>
        <w:rPr>
          <w:rFonts w:ascii="宋体" w:hAnsi="宋体" w:eastAsia="宋体" w:cs="宋体"/>
          <w:spacing w:val="-2"/>
          <w:sz w:val="24"/>
          <w:szCs w:val="24"/>
          <w:highlight w:val="none"/>
        </w:rPr>
        <w:t>（4）为本项目采购代理机构；</w:t>
      </w:r>
    </w:p>
    <w:p w14:paraId="29BD5144">
      <w:pPr>
        <w:spacing w:before="183" w:line="219"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（5）为本项目代理投标的为其采购代理机构；</w:t>
      </w:r>
    </w:p>
    <w:p w14:paraId="289397B2">
      <w:pPr>
        <w:spacing w:before="48" w:line="290" w:lineRule="auto"/>
        <w:ind w:left="1" w:firstLine="489"/>
        <w:rPr>
          <w:rFonts w:ascii="宋体" w:hAnsi="宋体" w:eastAsia="宋体" w:cs="宋体"/>
          <w:sz w:val="24"/>
          <w:szCs w:val="24"/>
          <w:highlight w:val="none"/>
        </w:rPr>
      </w:pPr>
      <w:r>
        <w:rPr>
          <w:rFonts w:ascii="宋体" w:hAnsi="宋体" w:eastAsia="宋体" w:cs="宋体"/>
          <w:spacing w:val="12"/>
          <w:sz w:val="24"/>
          <w:szCs w:val="24"/>
          <w:highlight w:val="none"/>
        </w:rPr>
        <w:t>（6）为本项目提供整体设计、规范编制或者项目管理、监理、检测、咨询服</w:t>
      </w:r>
      <w:r>
        <w:rPr>
          <w:rFonts w:ascii="宋体" w:hAnsi="宋体" w:eastAsia="宋体" w:cs="宋体"/>
          <w:spacing w:val="-6"/>
          <w:sz w:val="24"/>
          <w:szCs w:val="24"/>
          <w:highlight w:val="none"/>
        </w:rPr>
        <w:t>务；</w:t>
      </w:r>
    </w:p>
    <w:p w14:paraId="0283AF3D">
      <w:pPr>
        <w:spacing w:before="179" w:line="221" w:lineRule="auto"/>
        <w:ind w:left="491"/>
        <w:rPr>
          <w:rFonts w:ascii="宋体" w:hAnsi="宋体" w:eastAsia="宋体" w:cs="宋体"/>
          <w:sz w:val="24"/>
          <w:szCs w:val="24"/>
          <w:highlight w:val="none"/>
        </w:rPr>
      </w:pPr>
      <w:r>
        <w:rPr>
          <w:rFonts w:ascii="宋体" w:hAnsi="宋体" w:eastAsia="宋体" w:cs="宋体"/>
          <w:spacing w:val="-3"/>
          <w:sz w:val="24"/>
          <w:szCs w:val="24"/>
          <w:highlight w:val="none"/>
        </w:rPr>
        <w:t>（7）受到刑事处罚；</w:t>
      </w:r>
    </w:p>
    <w:p w14:paraId="06D5265C">
      <w:pPr>
        <w:spacing w:before="181" w:line="220" w:lineRule="auto"/>
        <w:ind w:left="491"/>
        <w:rPr>
          <w:rFonts w:ascii="宋体" w:hAnsi="宋体" w:eastAsia="宋体" w:cs="宋体"/>
          <w:sz w:val="24"/>
          <w:szCs w:val="24"/>
          <w:highlight w:val="none"/>
        </w:rPr>
      </w:pPr>
      <w:r>
        <w:rPr>
          <w:rFonts w:ascii="宋体" w:hAnsi="宋体" w:eastAsia="宋体" w:cs="宋体"/>
          <w:spacing w:val="-3"/>
          <w:sz w:val="24"/>
          <w:szCs w:val="24"/>
          <w:highlight w:val="none"/>
        </w:rPr>
        <w:t>（8）受到 “较大数额罚款</w:t>
      </w:r>
      <w:r>
        <w:rPr>
          <w:rFonts w:ascii="宋体" w:hAnsi="宋体" w:eastAsia="宋体" w:cs="宋体"/>
          <w:spacing w:val="-82"/>
          <w:sz w:val="24"/>
          <w:szCs w:val="24"/>
          <w:highlight w:val="none"/>
        </w:rPr>
        <w:t xml:space="preserve"> </w:t>
      </w:r>
      <w:r>
        <w:rPr>
          <w:rFonts w:ascii="宋体" w:hAnsi="宋体" w:eastAsia="宋体" w:cs="宋体"/>
          <w:spacing w:val="-3"/>
          <w:sz w:val="24"/>
          <w:szCs w:val="24"/>
          <w:highlight w:val="none"/>
        </w:rPr>
        <w:t>”的行政处罚；</w:t>
      </w:r>
    </w:p>
    <w:p w14:paraId="1872D2C5">
      <w:pPr>
        <w:spacing w:before="179" w:line="219" w:lineRule="auto"/>
        <w:ind w:left="491"/>
        <w:rPr>
          <w:rFonts w:ascii="宋体" w:hAnsi="宋体" w:eastAsia="宋体" w:cs="宋体"/>
          <w:sz w:val="24"/>
          <w:szCs w:val="24"/>
          <w:highlight w:val="none"/>
        </w:rPr>
      </w:pPr>
      <w:r>
        <w:rPr>
          <w:rFonts w:ascii="宋体" w:hAnsi="宋体" w:eastAsia="宋体" w:cs="宋体"/>
          <w:spacing w:val="-1"/>
          <w:sz w:val="24"/>
          <w:szCs w:val="24"/>
          <w:highlight w:val="none"/>
        </w:rPr>
        <w:t>（9）被责令停产停业、暂扣或者吊销许可证、暂扣或者吊销执照的行政处罚；</w:t>
      </w:r>
    </w:p>
    <w:p w14:paraId="011688A3">
      <w:pPr>
        <w:spacing w:before="182" w:line="220"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（10）被列入失信被执行人名单；</w:t>
      </w:r>
    </w:p>
    <w:p w14:paraId="7839A5E8">
      <w:pPr>
        <w:spacing w:before="180" w:line="220" w:lineRule="auto"/>
        <w:ind w:left="491"/>
        <w:rPr>
          <w:rFonts w:ascii="宋体" w:hAnsi="宋体" w:eastAsia="宋体" w:cs="宋体"/>
          <w:sz w:val="24"/>
          <w:szCs w:val="24"/>
          <w:highlight w:val="none"/>
        </w:rPr>
      </w:pPr>
      <w:r>
        <w:rPr>
          <w:rFonts w:ascii="宋体" w:hAnsi="宋体" w:eastAsia="宋体" w:cs="宋体"/>
          <w:spacing w:val="-1"/>
          <w:sz w:val="24"/>
          <w:szCs w:val="24"/>
          <w:highlight w:val="none"/>
        </w:rPr>
        <w:t>（11）被列入重大税收违法案件当事人名单；</w:t>
      </w:r>
    </w:p>
    <w:p w14:paraId="5D7BCD80">
      <w:pPr>
        <w:spacing w:before="182" w:line="291" w:lineRule="auto"/>
        <w:ind w:firstLine="490"/>
        <w:rPr>
          <w:rFonts w:ascii="宋体" w:hAnsi="宋体" w:eastAsia="宋体" w:cs="宋体"/>
          <w:sz w:val="24"/>
          <w:szCs w:val="24"/>
          <w:highlight w:val="none"/>
        </w:rPr>
      </w:pPr>
      <w:r>
        <w:rPr>
          <w:rFonts w:ascii="宋体" w:hAnsi="宋体" w:eastAsia="宋体" w:cs="宋体"/>
          <w:spacing w:val="2"/>
          <w:sz w:val="24"/>
          <w:szCs w:val="24"/>
          <w:highlight w:val="none"/>
        </w:rPr>
        <w:t>（12）被禁止在一至三年内参加政府采购活动</w:t>
      </w:r>
      <w:r>
        <w:rPr>
          <w:rFonts w:ascii="宋体" w:hAnsi="宋体" w:eastAsia="宋体" w:cs="宋体"/>
          <w:spacing w:val="1"/>
          <w:sz w:val="24"/>
          <w:szCs w:val="24"/>
          <w:highlight w:val="none"/>
        </w:rPr>
        <w:t>或存在财政部门认定的其他重大违</w:t>
      </w:r>
      <w:r>
        <w:rPr>
          <w:rFonts w:ascii="宋体" w:hAnsi="宋体" w:eastAsia="宋体" w:cs="宋体"/>
          <w:spacing w:val="-3"/>
          <w:sz w:val="24"/>
          <w:szCs w:val="24"/>
          <w:highlight w:val="none"/>
        </w:rPr>
        <w:t>法记录；</w:t>
      </w:r>
    </w:p>
    <w:p w14:paraId="5EC26AA4">
      <w:pPr>
        <w:spacing w:before="177" w:line="220"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（13）法律法规规定的其他情形。</w:t>
      </w:r>
    </w:p>
    <w:p w14:paraId="5F05896A">
      <w:pPr>
        <w:spacing w:before="299" w:line="220" w:lineRule="auto"/>
        <w:ind w:left="17"/>
        <w:rPr>
          <w:rFonts w:ascii="宋体" w:hAnsi="宋体" w:eastAsia="宋体" w:cs="宋体"/>
          <w:sz w:val="24"/>
          <w:szCs w:val="24"/>
          <w:highlight w:val="none"/>
        </w:rPr>
      </w:pPr>
      <w:r>
        <w:rPr>
          <w:rFonts w:ascii="宋体" w:hAnsi="宋体" w:eastAsia="宋体" w:cs="宋体"/>
          <w:b/>
          <w:bCs/>
          <w:spacing w:val="-5"/>
          <w:sz w:val="24"/>
          <w:szCs w:val="24"/>
          <w:highlight w:val="none"/>
        </w:rPr>
        <w:t>1.4</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合格的服务</w:t>
      </w:r>
    </w:p>
    <w:p w14:paraId="298A7747">
      <w:pPr>
        <w:spacing w:before="302" w:line="359" w:lineRule="auto"/>
        <w:ind w:left="19" w:firstLine="478"/>
        <w:rPr>
          <w:rFonts w:ascii="宋体" w:hAnsi="宋体" w:eastAsia="宋体" w:cs="宋体"/>
          <w:sz w:val="24"/>
          <w:szCs w:val="24"/>
          <w:highlight w:val="none"/>
        </w:rPr>
      </w:pPr>
      <w:r>
        <w:rPr>
          <w:rFonts w:ascii="宋体" w:hAnsi="宋体" w:eastAsia="宋体" w:cs="宋体"/>
          <w:spacing w:val="1"/>
          <w:sz w:val="24"/>
          <w:szCs w:val="24"/>
          <w:highlight w:val="none"/>
        </w:rPr>
        <w:t>1.4.1 供应商提供的所有服务，符合国家有关标准和规范，并满足征集文件规定</w:t>
      </w:r>
      <w:r>
        <w:rPr>
          <w:rFonts w:ascii="宋体" w:hAnsi="宋体" w:eastAsia="宋体" w:cs="宋体"/>
          <w:spacing w:val="-5"/>
          <w:sz w:val="24"/>
          <w:szCs w:val="24"/>
          <w:highlight w:val="none"/>
        </w:rPr>
        <w:t>的服务要求。</w:t>
      </w:r>
    </w:p>
    <w:p w14:paraId="0F6CED5A">
      <w:pPr>
        <w:spacing w:before="2" w:line="359" w:lineRule="auto"/>
        <w:ind w:firstLine="480"/>
        <w:jc w:val="both"/>
        <w:rPr>
          <w:rFonts w:ascii="宋体" w:hAnsi="宋体" w:eastAsia="宋体" w:cs="宋体"/>
          <w:sz w:val="24"/>
          <w:szCs w:val="24"/>
          <w:highlight w:val="none"/>
        </w:rPr>
      </w:pPr>
      <w:r>
        <w:rPr>
          <w:rFonts w:ascii="宋体" w:hAnsi="宋体" w:eastAsia="宋体" w:cs="宋体"/>
          <w:spacing w:val="2"/>
          <w:sz w:val="24"/>
          <w:szCs w:val="24"/>
          <w:highlight w:val="none"/>
        </w:rPr>
        <w:t>若本项目（包）包括采购货物的，所供货物必须是合法生产、合法来源，</w:t>
      </w:r>
      <w:r>
        <w:rPr>
          <w:rFonts w:ascii="宋体" w:hAnsi="宋体" w:eastAsia="宋体" w:cs="宋体"/>
          <w:spacing w:val="1"/>
          <w:sz w:val="24"/>
          <w:szCs w:val="24"/>
          <w:highlight w:val="none"/>
        </w:rPr>
        <w:t>符合国</w:t>
      </w:r>
      <w:r>
        <w:rPr>
          <w:rFonts w:ascii="宋体" w:hAnsi="宋体" w:eastAsia="宋体" w:cs="宋体"/>
          <w:spacing w:val="2"/>
          <w:sz w:val="24"/>
          <w:szCs w:val="24"/>
          <w:highlight w:val="none"/>
        </w:rPr>
        <w:t>家有关标准要求，并满足征集文件规定的规格、参数、质量、有效期、</w:t>
      </w:r>
      <w:r>
        <w:rPr>
          <w:rFonts w:ascii="宋体" w:hAnsi="宋体" w:eastAsia="宋体" w:cs="宋体"/>
          <w:spacing w:val="1"/>
          <w:sz w:val="24"/>
          <w:szCs w:val="24"/>
          <w:highlight w:val="none"/>
        </w:rPr>
        <w:t>售后服务及供</w:t>
      </w:r>
      <w:r>
        <w:rPr>
          <w:rFonts w:ascii="宋体" w:hAnsi="宋体" w:eastAsia="宋体" w:cs="宋体"/>
          <w:sz w:val="24"/>
          <w:szCs w:val="24"/>
          <w:highlight w:val="none"/>
        </w:rPr>
        <w:t>应商须承担的运输、安装、技术支持、培训和征集文件规定</w:t>
      </w:r>
      <w:r>
        <w:rPr>
          <w:rFonts w:ascii="宋体" w:hAnsi="宋体" w:eastAsia="宋体" w:cs="宋体"/>
          <w:spacing w:val="-1"/>
          <w:sz w:val="24"/>
          <w:szCs w:val="24"/>
          <w:highlight w:val="none"/>
        </w:rPr>
        <w:t>的其它伴随服务等要求。</w:t>
      </w:r>
    </w:p>
    <w:p w14:paraId="69EB04B0">
      <w:pPr>
        <w:spacing w:before="2" w:line="359" w:lineRule="auto"/>
        <w:ind w:firstLine="497"/>
        <w:rPr>
          <w:rFonts w:ascii="宋体" w:hAnsi="宋体" w:eastAsia="宋体" w:cs="宋体"/>
          <w:sz w:val="24"/>
          <w:szCs w:val="24"/>
          <w:highlight w:val="none"/>
        </w:rPr>
      </w:pPr>
      <w:r>
        <w:rPr>
          <w:rFonts w:ascii="宋体" w:hAnsi="宋体" w:eastAsia="宋体" w:cs="宋体"/>
          <w:spacing w:val="1"/>
          <w:sz w:val="24"/>
          <w:szCs w:val="24"/>
          <w:highlight w:val="none"/>
        </w:rPr>
        <w:t>1.4.2 征集人有权拒绝接受任何不合格的服务，由此产生的费用及相关后果均由</w:t>
      </w:r>
      <w:r>
        <w:rPr>
          <w:rFonts w:ascii="宋体" w:hAnsi="宋体" w:eastAsia="宋体" w:cs="宋体"/>
          <w:spacing w:val="-2"/>
          <w:sz w:val="24"/>
          <w:szCs w:val="24"/>
          <w:highlight w:val="none"/>
        </w:rPr>
        <w:t>供应商自行承担。</w:t>
      </w:r>
    </w:p>
    <w:p w14:paraId="6626236B">
      <w:pPr>
        <w:spacing w:before="118" w:line="220" w:lineRule="auto"/>
        <w:ind w:left="17"/>
        <w:rPr>
          <w:rFonts w:ascii="宋体" w:hAnsi="宋体" w:eastAsia="宋体" w:cs="宋体"/>
          <w:sz w:val="24"/>
          <w:szCs w:val="24"/>
          <w:highlight w:val="none"/>
        </w:rPr>
      </w:pPr>
      <w:r>
        <w:rPr>
          <w:rFonts w:ascii="宋体" w:hAnsi="宋体" w:eastAsia="宋体" w:cs="宋体"/>
          <w:b/>
          <w:bCs/>
          <w:spacing w:val="-8"/>
          <w:sz w:val="24"/>
          <w:szCs w:val="24"/>
          <w:highlight w:val="none"/>
        </w:rPr>
        <w:t>1.5</w:t>
      </w:r>
      <w:r>
        <w:rPr>
          <w:rFonts w:ascii="宋体" w:hAnsi="宋体" w:eastAsia="宋体" w:cs="宋体"/>
          <w:spacing w:val="15"/>
          <w:sz w:val="24"/>
          <w:szCs w:val="24"/>
          <w:highlight w:val="none"/>
        </w:rPr>
        <w:t xml:space="preserve"> </w:t>
      </w:r>
      <w:r>
        <w:rPr>
          <w:rFonts w:ascii="宋体" w:hAnsi="宋体" w:eastAsia="宋体" w:cs="宋体"/>
          <w:b/>
          <w:bCs/>
          <w:spacing w:val="-8"/>
          <w:sz w:val="24"/>
          <w:szCs w:val="24"/>
          <w:highlight w:val="none"/>
        </w:rPr>
        <w:t>知识产权</w:t>
      </w:r>
    </w:p>
    <w:p w14:paraId="24558BC7">
      <w:pPr>
        <w:spacing w:before="297" w:line="325" w:lineRule="auto"/>
        <w:ind w:firstLine="497"/>
        <w:rPr>
          <w:rFonts w:ascii="宋体" w:hAnsi="宋体" w:eastAsia="宋体" w:cs="宋体"/>
          <w:sz w:val="24"/>
          <w:szCs w:val="24"/>
          <w:highlight w:val="none"/>
        </w:rPr>
      </w:pPr>
      <w:r>
        <w:rPr>
          <w:rFonts w:ascii="宋体" w:hAnsi="宋体" w:eastAsia="宋体" w:cs="宋体"/>
          <w:spacing w:val="1"/>
          <w:sz w:val="24"/>
          <w:szCs w:val="24"/>
          <w:highlight w:val="none"/>
        </w:rPr>
        <w:t>1.5.1 供应商应保证在本项目提供的任何服务和产品（包括部分使用）时，不会</w:t>
      </w:r>
      <w:r>
        <w:rPr>
          <w:rFonts w:ascii="宋体" w:hAnsi="宋体" w:eastAsia="宋体" w:cs="宋体"/>
          <w:spacing w:val="2"/>
          <w:sz w:val="24"/>
          <w:szCs w:val="24"/>
          <w:highlight w:val="none"/>
        </w:rPr>
        <w:t>产生因第三方提出侵犯其专利权、商标权或其它知识产权而引起的法律</w:t>
      </w:r>
      <w:r>
        <w:rPr>
          <w:rFonts w:ascii="宋体" w:hAnsi="宋体" w:eastAsia="宋体" w:cs="宋体"/>
          <w:spacing w:val="1"/>
          <w:sz w:val="24"/>
          <w:szCs w:val="24"/>
          <w:highlight w:val="none"/>
        </w:rPr>
        <w:t>和经济纠纷，</w:t>
      </w:r>
      <w:r>
        <w:rPr>
          <w:rFonts w:ascii="宋体" w:hAnsi="宋体" w:eastAsia="宋体" w:cs="宋体"/>
          <w:spacing w:val="2"/>
          <w:sz w:val="24"/>
          <w:szCs w:val="24"/>
          <w:highlight w:val="none"/>
        </w:rPr>
        <w:t>如因专利权、商标权或其它知识产权而引起法律和经济纠纷，由供应商</w:t>
      </w:r>
      <w:r>
        <w:rPr>
          <w:rFonts w:ascii="宋体" w:hAnsi="宋体" w:eastAsia="宋体" w:cs="宋体"/>
          <w:spacing w:val="1"/>
          <w:sz w:val="24"/>
          <w:szCs w:val="24"/>
          <w:highlight w:val="none"/>
        </w:rPr>
        <w:t>承担所有相关</w:t>
      </w:r>
      <w:r>
        <w:rPr>
          <w:rFonts w:ascii="宋体" w:hAnsi="宋体" w:eastAsia="宋体" w:cs="宋体"/>
          <w:spacing w:val="-4"/>
          <w:sz w:val="24"/>
          <w:szCs w:val="24"/>
          <w:highlight w:val="none"/>
        </w:rPr>
        <w:t>责任。</w:t>
      </w:r>
    </w:p>
    <w:p w14:paraId="24A34FBB">
      <w:pPr>
        <w:spacing w:before="183" w:line="219" w:lineRule="auto"/>
        <w:ind w:left="497"/>
        <w:rPr>
          <w:rFonts w:ascii="宋体" w:hAnsi="宋体" w:eastAsia="宋体" w:cs="宋体"/>
          <w:sz w:val="24"/>
          <w:szCs w:val="24"/>
          <w:highlight w:val="none"/>
        </w:rPr>
      </w:pPr>
      <w:r>
        <w:rPr>
          <w:rFonts w:ascii="宋体" w:hAnsi="宋体" w:eastAsia="宋体" w:cs="宋体"/>
          <w:spacing w:val="-1"/>
          <w:sz w:val="24"/>
          <w:szCs w:val="24"/>
          <w:highlight w:val="none"/>
        </w:rPr>
        <w:t>1.5.2 征集人享有本项目实施过程中产生的知识成果及知识产权。</w:t>
      </w:r>
    </w:p>
    <w:p w14:paraId="34F8493F">
      <w:pPr>
        <w:spacing w:before="182" w:line="312" w:lineRule="auto"/>
        <w:ind w:firstLine="497"/>
        <w:rPr>
          <w:rFonts w:ascii="宋体" w:hAnsi="宋体" w:eastAsia="宋体" w:cs="宋体"/>
          <w:sz w:val="24"/>
          <w:szCs w:val="24"/>
          <w:highlight w:val="none"/>
        </w:rPr>
      </w:pPr>
      <w:r>
        <w:rPr>
          <w:rFonts w:ascii="宋体" w:hAnsi="宋体" w:eastAsia="宋体" w:cs="宋体"/>
          <w:spacing w:val="1"/>
          <w:sz w:val="24"/>
          <w:szCs w:val="24"/>
          <w:highlight w:val="none"/>
        </w:rPr>
        <w:t>1.5.3 供应商如欲在项目实施过程中采用自有知识成果，需在响应文件中声明，</w:t>
      </w:r>
      <w:r>
        <w:rPr>
          <w:rFonts w:ascii="宋体" w:hAnsi="宋体" w:eastAsia="宋体" w:cs="宋体"/>
          <w:spacing w:val="2"/>
          <w:sz w:val="24"/>
          <w:szCs w:val="24"/>
          <w:highlight w:val="none"/>
        </w:rPr>
        <w:t>并提供相关知识产权证明文件。使用该知识成果后，供应商需提供开发</w:t>
      </w:r>
      <w:r>
        <w:rPr>
          <w:rFonts w:ascii="宋体" w:hAnsi="宋体" w:eastAsia="宋体" w:cs="宋体"/>
          <w:spacing w:val="1"/>
          <w:sz w:val="24"/>
          <w:szCs w:val="24"/>
          <w:highlight w:val="none"/>
        </w:rPr>
        <w:t>接口和开发手</w:t>
      </w:r>
      <w:r>
        <w:rPr>
          <w:rFonts w:ascii="宋体" w:hAnsi="宋体" w:eastAsia="宋体" w:cs="宋体"/>
          <w:sz w:val="24"/>
          <w:szCs w:val="24"/>
          <w:highlight w:val="none"/>
        </w:rPr>
        <w:t>册等技术文档，并承诺提供无限期技术支持，</w:t>
      </w:r>
      <w:r>
        <w:rPr>
          <w:rFonts w:ascii="宋体" w:hAnsi="宋体" w:eastAsia="宋体" w:cs="宋体"/>
          <w:spacing w:val="-1"/>
          <w:sz w:val="24"/>
          <w:szCs w:val="24"/>
          <w:highlight w:val="none"/>
        </w:rPr>
        <w:t>征集人享有永久使用权。</w:t>
      </w:r>
    </w:p>
    <w:p w14:paraId="0660A274">
      <w:pPr>
        <w:spacing w:before="181" w:line="290" w:lineRule="auto"/>
        <w:ind w:left="4" w:right="2" w:firstLine="492"/>
        <w:rPr>
          <w:rFonts w:ascii="宋体" w:hAnsi="宋体" w:eastAsia="宋体" w:cs="宋体"/>
          <w:sz w:val="24"/>
          <w:szCs w:val="24"/>
          <w:highlight w:val="none"/>
        </w:rPr>
      </w:pPr>
      <w:r>
        <w:rPr>
          <w:rFonts w:ascii="宋体" w:hAnsi="宋体" w:eastAsia="宋体" w:cs="宋体"/>
          <w:spacing w:val="1"/>
          <w:sz w:val="24"/>
          <w:szCs w:val="24"/>
          <w:highlight w:val="none"/>
        </w:rPr>
        <w:t>1.5.3 如采用供应商所不拥有的知识产权，则在申请报价中必须包括合法获取该</w:t>
      </w:r>
      <w:r>
        <w:rPr>
          <w:rFonts w:ascii="宋体" w:hAnsi="宋体" w:eastAsia="宋体" w:cs="宋体"/>
          <w:spacing w:val="-2"/>
          <w:sz w:val="24"/>
          <w:szCs w:val="24"/>
          <w:highlight w:val="none"/>
        </w:rPr>
        <w:t>知识产权的相关费用。</w:t>
      </w:r>
    </w:p>
    <w:p w14:paraId="0541F753">
      <w:pPr>
        <w:spacing w:before="47" w:line="221" w:lineRule="auto"/>
        <w:ind w:left="18"/>
        <w:rPr>
          <w:rFonts w:ascii="宋体" w:hAnsi="宋体" w:eastAsia="宋体" w:cs="宋体"/>
          <w:sz w:val="24"/>
          <w:szCs w:val="24"/>
          <w:highlight w:val="none"/>
        </w:rPr>
      </w:pPr>
      <w:r>
        <w:rPr>
          <w:rFonts w:ascii="宋体" w:hAnsi="宋体" w:eastAsia="宋体" w:cs="宋体"/>
          <w:b/>
          <w:bCs/>
          <w:spacing w:val="-8"/>
          <w:sz w:val="24"/>
          <w:szCs w:val="24"/>
          <w:highlight w:val="none"/>
        </w:rPr>
        <w:t>1.6</w:t>
      </w:r>
      <w:r>
        <w:rPr>
          <w:rFonts w:ascii="宋体" w:hAnsi="宋体" w:eastAsia="宋体" w:cs="宋体"/>
          <w:spacing w:val="-45"/>
          <w:sz w:val="24"/>
          <w:szCs w:val="24"/>
          <w:highlight w:val="none"/>
        </w:rPr>
        <w:t xml:space="preserve"> </w:t>
      </w:r>
      <w:r>
        <w:rPr>
          <w:rFonts w:ascii="宋体" w:hAnsi="宋体" w:eastAsia="宋体" w:cs="宋体"/>
          <w:b/>
          <w:bCs/>
          <w:spacing w:val="-8"/>
          <w:sz w:val="24"/>
          <w:szCs w:val="24"/>
          <w:highlight w:val="none"/>
        </w:rPr>
        <w:t>投标费用</w:t>
      </w:r>
    </w:p>
    <w:p w14:paraId="06159032">
      <w:pPr>
        <w:spacing w:before="301" w:line="219" w:lineRule="auto"/>
        <w:ind w:left="496"/>
        <w:rPr>
          <w:rFonts w:ascii="宋体" w:hAnsi="宋体" w:eastAsia="宋体" w:cs="宋体"/>
          <w:sz w:val="24"/>
          <w:szCs w:val="24"/>
          <w:highlight w:val="none"/>
        </w:rPr>
      </w:pPr>
      <w:r>
        <w:rPr>
          <w:rFonts w:ascii="宋体" w:hAnsi="宋体" w:eastAsia="宋体" w:cs="宋体"/>
          <w:spacing w:val="-1"/>
          <w:sz w:val="24"/>
          <w:szCs w:val="24"/>
          <w:highlight w:val="none"/>
        </w:rPr>
        <w:t>不论投标结果如何，供应商准备和参加投标活动发生的费用自理。</w:t>
      </w:r>
    </w:p>
    <w:p w14:paraId="6AB4DD1A">
      <w:pPr>
        <w:spacing w:before="300" w:line="221" w:lineRule="auto"/>
        <w:ind w:left="18"/>
        <w:rPr>
          <w:rFonts w:ascii="宋体" w:hAnsi="宋体" w:eastAsia="宋体" w:cs="宋体"/>
          <w:sz w:val="24"/>
          <w:szCs w:val="24"/>
          <w:highlight w:val="none"/>
        </w:rPr>
      </w:pPr>
      <w:r>
        <w:rPr>
          <w:rFonts w:ascii="宋体" w:hAnsi="宋体" w:eastAsia="宋体" w:cs="宋体"/>
          <w:b/>
          <w:bCs/>
          <w:spacing w:val="-10"/>
          <w:sz w:val="24"/>
          <w:szCs w:val="24"/>
          <w:highlight w:val="none"/>
        </w:rPr>
        <w:t>1.7</w:t>
      </w:r>
      <w:r>
        <w:rPr>
          <w:rFonts w:ascii="宋体" w:hAnsi="宋体" w:eastAsia="宋体" w:cs="宋体"/>
          <w:spacing w:val="11"/>
          <w:sz w:val="24"/>
          <w:szCs w:val="24"/>
          <w:highlight w:val="none"/>
        </w:rPr>
        <w:t xml:space="preserve"> </w:t>
      </w:r>
      <w:r>
        <w:rPr>
          <w:rFonts w:ascii="宋体" w:hAnsi="宋体" w:eastAsia="宋体" w:cs="宋体"/>
          <w:b/>
          <w:bCs/>
          <w:spacing w:val="-10"/>
          <w:sz w:val="24"/>
          <w:szCs w:val="24"/>
          <w:highlight w:val="none"/>
        </w:rPr>
        <w:t>保密</w:t>
      </w:r>
    </w:p>
    <w:p w14:paraId="1D39C1CB">
      <w:pPr>
        <w:spacing w:before="301" w:line="360" w:lineRule="auto"/>
        <w:ind w:left="16" w:firstLine="466"/>
        <w:rPr>
          <w:rFonts w:ascii="宋体" w:hAnsi="宋体" w:eastAsia="宋体" w:cs="宋体"/>
          <w:sz w:val="24"/>
          <w:szCs w:val="24"/>
          <w:highlight w:val="none"/>
        </w:rPr>
      </w:pPr>
      <w:r>
        <w:rPr>
          <w:rFonts w:ascii="宋体" w:hAnsi="宋体" w:eastAsia="宋体" w:cs="宋体"/>
          <w:spacing w:val="2"/>
          <w:sz w:val="24"/>
          <w:szCs w:val="24"/>
          <w:highlight w:val="none"/>
        </w:rPr>
        <w:t>参与采购活动的当事人应对征集文件和响应文件中的商业秘密、技术秘</w:t>
      </w:r>
      <w:r>
        <w:rPr>
          <w:rFonts w:ascii="宋体" w:hAnsi="宋体" w:eastAsia="宋体" w:cs="宋体"/>
          <w:spacing w:val="1"/>
          <w:sz w:val="24"/>
          <w:szCs w:val="24"/>
          <w:highlight w:val="none"/>
        </w:rPr>
        <w:t>密和个人</w:t>
      </w:r>
      <w:r>
        <w:rPr>
          <w:rFonts w:ascii="宋体" w:hAnsi="宋体" w:eastAsia="宋体" w:cs="宋体"/>
          <w:spacing w:val="-1"/>
          <w:sz w:val="24"/>
          <w:szCs w:val="24"/>
          <w:highlight w:val="none"/>
        </w:rPr>
        <w:t>隐私等保密，违者应对由此造成的后果承担法律责</w:t>
      </w:r>
      <w:r>
        <w:rPr>
          <w:rFonts w:ascii="宋体" w:hAnsi="宋体" w:eastAsia="宋体" w:cs="宋体"/>
          <w:spacing w:val="-2"/>
          <w:sz w:val="24"/>
          <w:szCs w:val="24"/>
          <w:highlight w:val="none"/>
        </w:rPr>
        <w:t>任。</w:t>
      </w:r>
    </w:p>
    <w:p w14:paraId="71C40173">
      <w:pPr>
        <w:spacing w:before="117" w:line="220" w:lineRule="auto"/>
        <w:ind w:left="18"/>
        <w:rPr>
          <w:rFonts w:ascii="宋体" w:hAnsi="宋体" w:eastAsia="宋体" w:cs="宋体"/>
          <w:sz w:val="24"/>
          <w:szCs w:val="24"/>
          <w:highlight w:val="none"/>
        </w:rPr>
      </w:pPr>
      <w:r>
        <w:rPr>
          <w:rFonts w:ascii="宋体" w:hAnsi="宋体" w:eastAsia="宋体" w:cs="宋体"/>
          <w:b/>
          <w:bCs/>
          <w:spacing w:val="-8"/>
          <w:sz w:val="24"/>
          <w:szCs w:val="24"/>
          <w:highlight w:val="none"/>
        </w:rPr>
        <w:t>1.8</w:t>
      </w:r>
      <w:r>
        <w:rPr>
          <w:rFonts w:ascii="宋体" w:hAnsi="宋体" w:eastAsia="宋体" w:cs="宋体"/>
          <w:spacing w:val="-45"/>
          <w:sz w:val="24"/>
          <w:szCs w:val="24"/>
          <w:highlight w:val="none"/>
        </w:rPr>
        <w:t xml:space="preserve"> </w:t>
      </w:r>
      <w:r>
        <w:rPr>
          <w:rFonts w:ascii="宋体" w:hAnsi="宋体" w:eastAsia="宋体" w:cs="宋体"/>
          <w:b/>
          <w:bCs/>
          <w:spacing w:val="-8"/>
          <w:sz w:val="24"/>
          <w:szCs w:val="24"/>
          <w:highlight w:val="none"/>
        </w:rPr>
        <w:t>语言文字</w:t>
      </w:r>
    </w:p>
    <w:p w14:paraId="7CE31B62">
      <w:pPr>
        <w:spacing w:before="299" w:line="290" w:lineRule="auto"/>
        <w:ind w:firstLine="424"/>
        <w:rPr>
          <w:rFonts w:ascii="宋体" w:hAnsi="宋体" w:eastAsia="宋体" w:cs="宋体"/>
          <w:sz w:val="24"/>
          <w:szCs w:val="24"/>
          <w:highlight w:val="none"/>
        </w:rPr>
      </w:pPr>
      <w:r>
        <w:rPr>
          <w:rFonts w:ascii="宋体" w:hAnsi="宋体" w:eastAsia="宋体" w:cs="宋体"/>
          <w:spacing w:val="10"/>
          <w:sz w:val="24"/>
          <w:szCs w:val="24"/>
          <w:highlight w:val="none"/>
        </w:rPr>
        <w:t>1.8.1 招标响应文件使用的语言为中文。专用术语使用外文的，应</w:t>
      </w:r>
      <w:r>
        <w:rPr>
          <w:rFonts w:ascii="宋体" w:hAnsi="宋体" w:eastAsia="宋体" w:cs="宋体"/>
          <w:spacing w:val="9"/>
          <w:sz w:val="24"/>
          <w:szCs w:val="24"/>
          <w:highlight w:val="none"/>
        </w:rPr>
        <w:t>附有中文注</w:t>
      </w:r>
      <w:r>
        <w:rPr>
          <w:rFonts w:ascii="宋体" w:hAnsi="宋体" w:eastAsia="宋体" w:cs="宋体"/>
          <w:spacing w:val="-5"/>
          <w:sz w:val="24"/>
          <w:szCs w:val="24"/>
          <w:highlight w:val="none"/>
        </w:rPr>
        <w:t>释。</w:t>
      </w:r>
    </w:p>
    <w:p w14:paraId="03B5B533">
      <w:pPr>
        <w:spacing w:before="181" w:line="289" w:lineRule="auto"/>
        <w:ind w:left="9" w:firstLine="489"/>
        <w:rPr>
          <w:rFonts w:ascii="宋体" w:hAnsi="宋体" w:eastAsia="宋体" w:cs="宋体"/>
          <w:sz w:val="24"/>
          <w:szCs w:val="24"/>
          <w:highlight w:val="none"/>
        </w:rPr>
      </w:pPr>
      <w:r>
        <w:rPr>
          <w:rFonts w:ascii="宋体" w:hAnsi="宋体" w:eastAsia="宋体" w:cs="宋体"/>
          <w:spacing w:val="1"/>
          <w:sz w:val="24"/>
          <w:szCs w:val="24"/>
          <w:highlight w:val="none"/>
        </w:rPr>
        <w:t>1.8.2 响应文件中如附有外文资料，必须逐一对应翻译成中文并加盖供应商单位</w:t>
      </w:r>
      <w:r>
        <w:rPr>
          <w:rFonts w:ascii="宋体" w:hAnsi="宋体" w:eastAsia="宋体" w:cs="宋体"/>
          <w:spacing w:val="-1"/>
          <w:sz w:val="24"/>
          <w:szCs w:val="24"/>
          <w:highlight w:val="none"/>
        </w:rPr>
        <w:t>章后附在相关外文资料后面，否则，供应商的响应文件将作为无效投标处理。</w:t>
      </w:r>
    </w:p>
    <w:p w14:paraId="64E94A7E">
      <w:pPr>
        <w:spacing w:before="179" w:line="325" w:lineRule="auto"/>
        <w:ind w:firstLine="497"/>
        <w:rPr>
          <w:rFonts w:ascii="宋体" w:hAnsi="宋体" w:eastAsia="宋体" w:cs="宋体"/>
          <w:sz w:val="24"/>
          <w:szCs w:val="24"/>
          <w:highlight w:val="none"/>
        </w:rPr>
      </w:pPr>
      <w:r>
        <w:rPr>
          <w:rFonts w:ascii="宋体" w:hAnsi="宋体" w:eastAsia="宋体" w:cs="宋体"/>
          <w:spacing w:val="1"/>
          <w:sz w:val="24"/>
          <w:szCs w:val="24"/>
          <w:highlight w:val="none"/>
        </w:rPr>
        <w:t>1.8.3 响应文件中翻译的中文资料与外文资料如果出现差异和矛盾时，以中文为</w:t>
      </w:r>
      <w:r>
        <w:rPr>
          <w:rFonts w:ascii="宋体" w:hAnsi="宋体" w:eastAsia="宋体" w:cs="宋体"/>
          <w:spacing w:val="2"/>
          <w:sz w:val="24"/>
          <w:szCs w:val="24"/>
          <w:highlight w:val="none"/>
        </w:rPr>
        <w:t>准。但不能故意错误翻译，否则，供应商的响应文件将作为无效投标处</w:t>
      </w:r>
      <w:r>
        <w:rPr>
          <w:rFonts w:ascii="宋体" w:hAnsi="宋体" w:eastAsia="宋体" w:cs="宋体"/>
          <w:spacing w:val="1"/>
          <w:sz w:val="24"/>
          <w:szCs w:val="24"/>
          <w:highlight w:val="none"/>
        </w:rPr>
        <w:t>理。必要时征</w:t>
      </w:r>
      <w:r>
        <w:rPr>
          <w:rFonts w:ascii="宋体" w:hAnsi="宋体" w:eastAsia="宋体" w:cs="宋体"/>
          <w:spacing w:val="2"/>
          <w:sz w:val="24"/>
          <w:szCs w:val="24"/>
          <w:highlight w:val="none"/>
        </w:rPr>
        <w:t>集人可以要求供应商提供附有公证书的中文翻译文件或者与原版文件签</w:t>
      </w:r>
      <w:r>
        <w:rPr>
          <w:rFonts w:ascii="宋体" w:hAnsi="宋体" w:eastAsia="宋体" w:cs="宋体"/>
          <w:spacing w:val="1"/>
          <w:sz w:val="24"/>
          <w:szCs w:val="24"/>
          <w:highlight w:val="none"/>
        </w:rPr>
        <w:t>章相一致的中</w:t>
      </w:r>
      <w:r>
        <w:rPr>
          <w:rFonts w:ascii="宋体" w:hAnsi="宋体" w:eastAsia="宋体" w:cs="宋体"/>
          <w:spacing w:val="-2"/>
          <w:sz w:val="24"/>
          <w:szCs w:val="24"/>
          <w:highlight w:val="none"/>
        </w:rPr>
        <w:t>文翻译文件。</w:t>
      </w:r>
    </w:p>
    <w:p w14:paraId="234DFB1C">
      <w:pPr>
        <w:spacing w:before="301" w:line="221" w:lineRule="auto"/>
        <w:ind w:left="18"/>
        <w:rPr>
          <w:rFonts w:ascii="宋体" w:hAnsi="宋体" w:eastAsia="宋体" w:cs="宋体"/>
          <w:sz w:val="24"/>
          <w:szCs w:val="24"/>
          <w:highlight w:val="none"/>
        </w:rPr>
      </w:pPr>
      <w:r>
        <w:rPr>
          <w:rFonts w:ascii="宋体" w:hAnsi="宋体" w:eastAsia="宋体" w:cs="宋体"/>
          <w:b/>
          <w:bCs/>
          <w:spacing w:val="-8"/>
          <w:sz w:val="24"/>
          <w:szCs w:val="24"/>
          <w:highlight w:val="none"/>
        </w:rPr>
        <w:t>1.9</w:t>
      </w:r>
      <w:r>
        <w:rPr>
          <w:rFonts w:ascii="宋体" w:hAnsi="宋体" w:eastAsia="宋体" w:cs="宋体"/>
          <w:spacing w:val="-45"/>
          <w:sz w:val="24"/>
          <w:szCs w:val="24"/>
          <w:highlight w:val="none"/>
        </w:rPr>
        <w:t xml:space="preserve"> </w:t>
      </w:r>
      <w:r>
        <w:rPr>
          <w:rFonts w:ascii="宋体" w:hAnsi="宋体" w:eastAsia="宋体" w:cs="宋体"/>
          <w:b/>
          <w:bCs/>
          <w:spacing w:val="-8"/>
          <w:sz w:val="24"/>
          <w:szCs w:val="24"/>
          <w:highlight w:val="none"/>
        </w:rPr>
        <w:t>计量单位</w:t>
      </w:r>
    </w:p>
    <w:p w14:paraId="32CBC86F">
      <w:pPr>
        <w:spacing w:before="299" w:line="219" w:lineRule="auto"/>
        <w:ind w:left="406"/>
        <w:rPr>
          <w:rFonts w:ascii="宋体" w:hAnsi="宋体" w:eastAsia="宋体" w:cs="宋体"/>
          <w:sz w:val="24"/>
          <w:szCs w:val="24"/>
          <w:highlight w:val="none"/>
        </w:rPr>
      </w:pPr>
      <w:r>
        <w:rPr>
          <w:rFonts w:ascii="宋体" w:hAnsi="宋体" w:eastAsia="宋体" w:cs="宋体"/>
          <w:spacing w:val="-1"/>
          <w:sz w:val="24"/>
          <w:szCs w:val="24"/>
          <w:highlight w:val="none"/>
        </w:rPr>
        <w:t>所有计量单位均采用中华人民共和国法定计量单位。</w:t>
      </w:r>
    </w:p>
    <w:p w14:paraId="1C63C570">
      <w:pPr>
        <w:spacing w:before="303" w:line="221" w:lineRule="auto"/>
        <w:ind w:left="18"/>
        <w:rPr>
          <w:rFonts w:ascii="宋体" w:hAnsi="宋体" w:eastAsia="宋体" w:cs="宋体"/>
          <w:sz w:val="24"/>
          <w:szCs w:val="24"/>
          <w:highlight w:val="none"/>
        </w:rPr>
      </w:pPr>
      <w:r>
        <w:rPr>
          <w:rFonts w:ascii="宋体" w:hAnsi="宋体" w:eastAsia="宋体" w:cs="宋体"/>
          <w:b/>
          <w:bCs/>
          <w:spacing w:val="-9"/>
          <w:sz w:val="24"/>
          <w:szCs w:val="24"/>
          <w:highlight w:val="none"/>
        </w:rPr>
        <w:t>1.10</w:t>
      </w:r>
      <w:r>
        <w:rPr>
          <w:rFonts w:ascii="宋体" w:hAnsi="宋体" w:eastAsia="宋体" w:cs="宋体"/>
          <w:spacing w:val="-47"/>
          <w:sz w:val="24"/>
          <w:szCs w:val="24"/>
          <w:highlight w:val="none"/>
        </w:rPr>
        <w:t xml:space="preserve"> </w:t>
      </w:r>
      <w:r>
        <w:rPr>
          <w:rFonts w:ascii="宋体" w:hAnsi="宋体" w:eastAsia="宋体" w:cs="宋体"/>
          <w:b/>
          <w:bCs/>
          <w:spacing w:val="-9"/>
          <w:sz w:val="24"/>
          <w:szCs w:val="24"/>
          <w:highlight w:val="none"/>
        </w:rPr>
        <w:t>分包</w:t>
      </w:r>
    </w:p>
    <w:p w14:paraId="557FDE8D">
      <w:pPr>
        <w:spacing w:before="299" w:line="219" w:lineRule="auto"/>
        <w:ind w:left="438"/>
        <w:rPr>
          <w:rFonts w:ascii="宋体" w:hAnsi="宋体" w:eastAsia="宋体" w:cs="宋体"/>
          <w:sz w:val="24"/>
          <w:szCs w:val="24"/>
          <w:highlight w:val="none"/>
        </w:rPr>
      </w:pPr>
      <w:r>
        <w:rPr>
          <w:rFonts w:ascii="宋体" w:hAnsi="宋体" w:eastAsia="宋体" w:cs="宋体"/>
          <w:spacing w:val="-2"/>
          <w:sz w:val="24"/>
          <w:szCs w:val="24"/>
          <w:highlight w:val="none"/>
        </w:rPr>
        <w:t>1.10.1 本项目不允许分包。</w:t>
      </w:r>
    </w:p>
    <w:p w14:paraId="78317E5E">
      <w:pPr>
        <w:spacing w:before="182" w:line="289" w:lineRule="auto"/>
        <w:ind w:left="3" w:firstLine="434"/>
        <w:rPr>
          <w:rFonts w:ascii="宋体" w:hAnsi="宋体" w:eastAsia="宋体" w:cs="宋体"/>
          <w:sz w:val="24"/>
          <w:szCs w:val="24"/>
          <w:highlight w:val="none"/>
        </w:rPr>
      </w:pPr>
      <w:r>
        <w:rPr>
          <w:rFonts w:ascii="宋体" w:hAnsi="宋体" w:eastAsia="宋体" w:cs="宋体"/>
          <w:sz w:val="24"/>
          <w:szCs w:val="24"/>
          <w:highlight w:val="none"/>
        </w:rPr>
        <w:t>1.10.2 享受中小企业发展政策获得政府采购合同的小微企业</w:t>
      </w:r>
      <w:r>
        <w:rPr>
          <w:rFonts w:ascii="宋体" w:hAnsi="宋体" w:eastAsia="宋体" w:cs="宋体"/>
          <w:spacing w:val="-1"/>
          <w:sz w:val="24"/>
          <w:szCs w:val="24"/>
          <w:highlight w:val="none"/>
        </w:rPr>
        <w:t>，不得将合同分包给大中型企业；否则，将依法追究法律责任。</w:t>
      </w:r>
    </w:p>
    <w:p w14:paraId="40E0651B">
      <w:pPr>
        <w:spacing w:before="182" w:line="289" w:lineRule="auto"/>
        <w:ind w:firstLine="437"/>
        <w:rPr>
          <w:rFonts w:ascii="宋体" w:hAnsi="宋体" w:eastAsia="宋体" w:cs="宋体"/>
          <w:sz w:val="24"/>
          <w:szCs w:val="24"/>
          <w:highlight w:val="none"/>
        </w:rPr>
      </w:pPr>
      <w:r>
        <w:rPr>
          <w:rFonts w:ascii="宋体" w:hAnsi="宋体" w:eastAsia="宋体" w:cs="宋体"/>
          <w:spacing w:val="1"/>
          <w:sz w:val="24"/>
          <w:szCs w:val="24"/>
          <w:highlight w:val="none"/>
        </w:rPr>
        <w:t>1.10.3</w:t>
      </w:r>
      <w:r>
        <w:rPr>
          <w:rFonts w:ascii="宋体" w:hAnsi="宋体" w:eastAsia="宋体" w:cs="宋体"/>
          <w:spacing w:val="-47"/>
          <w:sz w:val="24"/>
          <w:szCs w:val="24"/>
          <w:highlight w:val="none"/>
        </w:rPr>
        <w:t xml:space="preserve"> </w:t>
      </w:r>
      <w:r>
        <w:rPr>
          <w:rFonts w:ascii="宋体" w:hAnsi="宋体" w:eastAsia="宋体" w:cs="宋体"/>
          <w:spacing w:val="1"/>
          <w:sz w:val="24"/>
          <w:szCs w:val="24"/>
          <w:highlight w:val="none"/>
        </w:rPr>
        <w:t>供应商须知前附表规定征集人允许大中型企业向小微企业分包的，成交供</w:t>
      </w:r>
      <w:r>
        <w:rPr>
          <w:rFonts w:ascii="宋体" w:hAnsi="宋体" w:eastAsia="宋体" w:cs="宋体"/>
          <w:sz w:val="24"/>
          <w:szCs w:val="24"/>
          <w:highlight w:val="none"/>
        </w:rPr>
        <w:t>应商可以将采购项目分包给小微企业完成，并在响应文</w:t>
      </w:r>
      <w:r>
        <w:rPr>
          <w:rFonts w:ascii="宋体" w:hAnsi="宋体" w:eastAsia="宋体" w:cs="宋体"/>
          <w:spacing w:val="-1"/>
          <w:sz w:val="24"/>
          <w:szCs w:val="24"/>
          <w:highlight w:val="none"/>
        </w:rPr>
        <w:t>件中提供分包意向协议。</w:t>
      </w:r>
    </w:p>
    <w:p w14:paraId="788F2E9C">
      <w:pPr>
        <w:spacing w:before="182" w:line="362" w:lineRule="auto"/>
        <w:ind w:left="4" w:right="2" w:firstLine="415"/>
        <w:rPr>
          <w:rFonts w:ascii="宋体" w:hAnsi="宋体" w:eastAsia="宋体" w:cs="宋体"/>
          <w:sz w:val="24"/>
          <w:szCs w:val="24"/>
          <w:highlight w:val="none"/>
        </w:rPr>
      </w:pPr>
      <w:r>
        <w:rPr>
          <w:rFonts w:ascii="宋体" w:hAnsi="宋体" w:eastAsia="宋体" w:cs="宋体"/>
          <w:spacing w:val="4"/>
          <w:sz w:val="24"/>
          <w:szCs w:val="24"/>
          <w:highlight w:val="none"/>
        </w:rPr>
        <w:t>接受分包的供应商不得再次分包。采购合同实行分</w:t>
      </w:r>
      <w:r>
        <w:rPr>
          <w:rFonts w:ascii="宋体" w:hAnsi="宋体" w:eastAsia="宋体" w:cs="宋体"/>
          <w:spacing w:val="3"/>
          <w:sz w:val="24"/>
          <w:szCs w:val="24"/>
          <w:highlight w:val="none"/>
        </w:rPr>
        <w:t>包履行的，成交供应商就采购</w:t>
      </w:r>
      <w:r>
        <w:rPr>
          <w:rFonts w:ascii="宋体" w:hAnsi="宋体" w:eastAsia="宋体" w:cs="宋体"/>
          <w:spacing w:val="-1"/>
          <w:sz w:val="24"/>
          <w:szCs w:val="24"/>
          <w:highlight w:val="none"/>
        </w:rPr>
        <w:t>项目和分包项目向征集人负责，分包供应商就分包项目承担责任。</w:t>
      </w:r>
    </w:p>
    <w:p w14:paraId="7A962B24">
      <w:pPr>
        <w:spacing w:before="114" w:line="220" w:lineRule="auto"/>
        <w:ind w:left="18"/>
        <w:rPr>
          <w:rFonts w:ascii="宋体" w:hAnsi="宋体" w:eastAsia="宋体" w:cs="宋体"/>
          <w:sz w:val="24"/>
          <w:szCs w:val="24"/>
          <w:highlight w:val="none"/>
        </w:rPr>
      </w:pPr>
      <w:r>
        <w:rPr>
          <w:rFonts w:ascii="宋体" w:hAnsi="宋体" w:eastAsia="宋体" w:cs="宋体"/>
          <w:b/>
          <w:bCs/>
          <w:spacing w:val="-7"/>
          <w:sz w:val="24"/>
          <w:szCs w:val="24"/>
          <w:highlight w:val="none"/>
        </w:rPr>
        <w:t>1.11</w:t>
      </w:r>
      <w:r>
        <w:rPr>
          <w:rFonts w:ascii="宋体" w:hAnsi="宋体" w:eastAsia="宋体" w:cs="宋体"/>
          <w:spacing w:val="-41"/>
          <w:sz w:val="24"/>
          <w:szCs w:val="24"/>
          <w:highlight w:val="none"/>
        </w:rPr>
        <w:t xml:space="preserve"> </w:t>
      </w:r>
      <w:r>
        <w:rPr>
          <w:rFonts w:ascii="宋体" w:hAnsi="宋体" w:eastAsia="宋体" w:cs="宋体"/>
          <w:b/>
          <w:bCs/>
          <w:spacing w:val="-7"/>
          <w:sz w:val="24"/>
          <w:szCs w:val="24"/>
          <w:highlight w:val="none"/>
        </w:rPr>
        <w:t>响应与偏离</w:t>
      </w:r>
    </w:p>
    <w:p w14:paraId="1B2709B6">
      <w:pPr>
        <w:spacing w:before="298" w:line="362" w:lineRule="auto"/>
        <w:ind w:left="13" w:firstLine="485"/>
        <w:rPr>
          <w:rFonts w:ascii="宋体" w:hAnsi="宋体" w:eastAsia="宋体" w:cs="宋体"/>
          <w:sz w:val="24"/>
          <w:szCs w:val="24"/>
          <w:highlight w:val="none"/>
        </w:rPr>
      </w:pPr>
      <w:r>
        <w:rPr>
          <w:rFonts w:ascii="宋体" w:hAnsi="宋体" w:eastAsia="宋体" w:cs="宋体"/>
          <w:spacing w:val="-1"/>
          <w:sz w:val="24"/>
          <w:szCs w:val="24"/>
          <w:highlight w:val="none"/>
        </w:rPr>
        <w:t>1.11.1</w:t>
      </w:r>
      <w:r>
        <w:rPr>
          <w:rFonts w:ascii="宋体" w:hAnsi="宋体" w:eastAsia="宋体" w:cs="宋体"/>
          <w:spacing w:val="-31"/>
          <w:sz w:val="24"/>
          <w:szCs w:val="24"/>
          <w:highlight w:val="none"/>
        </w:rPr>
        <w:t xml:space="preserve"> </w:t>
      </w:r>
      <w:r>
        <w:rPr>
          <w:rFonts w:ascii="宋体" w:hAnsi="宋体" w:eastAsia="宋体" w:cs="宋体"/>
          <w:spacing w:val="-1"/>
          <w:sz w:val="24"/>
          <w:szCs w:val="24"/>
          <w:highlight w:val="none"/>
        </w:rPr>
        <w:t>响应文件应当对征集文件实质性要求和条件作出满足性或有利于征集人的</w:t>
      </w:r>
      <w:r>
        <w:rPr>
          <w:rFonts w:ascii="宋体" w:hAnsi="宋体" w:eastAsia="宋体" w:cs="宋体"/>
          <w:spacing w:val="-2"/>
          <w:sz w:val="24"/>
          <w:szCs w:val="24"/>
          <w:highlight w:val="none"/>
        </w:rPr>
        <w:t>响应，否则，供应商的投标无效。</w:t>
      </w:r>
    </w:p>
    <w:p w14:paraId="3B1B6A98">
      <w:pPr>
        <w:spacing w:before="48" w:line="290" w:lineRule="auto"/>
        <w:ind w:left="14" w:firstLine="496"/>
        <w:rPr>
          <w:rFonts w:ascii="宋体" w:hAnsi="宋体" w:eastAsia="宋体" w:cs="宋体"/>
          <w:sz w:val="24"/>
          <w:szCs w:val="24"/>
          <w:highlight w:val="none"/>
        </w:rPr>
      </w:pPr>
      <w:r>
        <w:rPr>
          <w:rFonts w:ascii="宋体" w:hAnsi="宋体" w:eastAsia="宋体" w:cs="宋体"/>
          <w:spacing w:val="-1"/>
          <w:sz w:val="24"/>
          <w:szCs w:val="24"/>
          <w:highlight w:val="none"/>
        </w:rPr>
        <w:t>1.11.2</w:t>
      </w:r>
      <w:r>
        <w:rPr>
          <w:rFonts w:ascii="宋体" w:hAnsi="宋体" w:eastAsia="宋体" w:cs="宋体"/>
          <w:spacing w:val="-36"/>
          <w:sz w:val="24"/>
          <w:szCs w:val="24"/>
          <w:highlight w:val="none"/>
        </w:rPr>
        <w:t xml:space="preserve"> </w:t>
      </w:r>
      <w:r>
        <w:rPr>
          <w:rFonts w:ascii="宋体" w:hAnsi="宋体" w:eastAsia="宋体" w:cs="宋体"/>
          <w:b/>
          <w:bCs/>
          <w:spacing w:val="-1"/>
          <w:sz w:val="24"/>
          <w:szCs w:val="24"/>
          <w:highlight w:val="none"/>
        </w:rPr>
        <w:t>偏离</w:t>
      </w:r>
      <w:r>
        <w:rPr>
          <w:rFonts w:ascii="宋体" w:hAnsi="宋体" w:eastAsia="宋体" w:cs="宋体"/>
          <w:spacing w:val="-1"/>
          <w:sz w:val="24"/>
          <w:szCs w:val="24"/>
          <w:highlight w:val="none"/>
        </w:rPr>
        <w:t>是指响应文件不响应或者不满足征集文件提出的要求和条件，分为实质性偏离和非实质性偏离。</w:t>
      </w:r>
    </w:p>
    <w:p w14:paraId="4332B006">
      <w:pPr>
        <w:spacing w:before="178" w:line="313" w:lineRule="auto"/>
        <w:ind w:firstLine="511"/>
        <w:rPr>
          <w:rFonts w:ascii="宋体" w:hAnsi="宋体" w:eastAsia="宋体" w:cs="宋体"/>
          <w:sz w:val="24"/>
          <w:szCs w:val="24"/>
          <w:highlight w:val="none"/>
        </w:rPr>
      </w:pPr>
      <w:r>
        <w:rPr>
          <w:rFonts w:ascii="宋体" w:hAnsi="宋体" w:eastAsia="宋体" w:cs="宋体"/>
          <w:spacing w:val="12"/>
          <w:sz w:val="24"/>
          <w:szCs w:val="24"/>
          <w:highlight w:val="none"/>
        </w:rPr>
        <w:t>1.11.3</w:t>
      </w:r>
      <w:r>
        <w:rPr>
          <w:rFonts w:ascii="宋体" w:hAnsi="宋体" w:eastAsia="宋体" w:cs="宋体"/>
          <w:spacing w:val="-19"/>
          <w:sz w:val="24"/>
          <w:szCs w:val="24"/>
          <w:highlight w:val="none"/>
        </w:rPr>
        <w:t xml:space="preserve"> </w:t>
      </w:r>
      <w:r>
        <w:rPr>
          <w:rFonts w:ascii="宋体" w:hAnsi="宋体" w:eastAsia="宋体" w:cs="宋体"/>
          <w:spacing w:val="12"/>
          <w:sz w:val="24"/>
          <w:szCs w:val="24"/>
          <w:highlight w:val="none"/>
        </w:rPr>
        <w:t>除法律、法规和征集文件规定的其他投标无效情形外，征集文件</w:t>
      </w:r>
      <w:r>
        <w:rPr>
          <w:rFonts w:ascii="宋体" w:hAnsi="宋体" w:eastAsia="宋体" w:cs="宋体"/>
          <w:spacing w:val="11"/>
          <w:sz w:val="24"/>
          <w:szCs w:val="24"/>
          <w:highlight w:val="none"/>
        </w:rPr>
        <w:t>中用</w:t>
      </w:r>
      <w:r>
        <w:rPr>
          <w:rFonts w:ascii="宋体" w:hAnsi="宋体" w:eastAsia="宋体" w:cs="宋体"/>
          <w:spacing w:val="1"/>
          <w:sz w:val="24"/>
          <w:szCs w:val="24"/>
          <w:highlight w:val="none"/>
        </w:rPr>
        <w:t>“☆</w:t>
      </w:r>
      <w:r>
        <w:rPr>
          <w:rFonts w:ascii="宋体" w:hAnsi="宋体" w:eastAsia="宋体" w:cs="宋体"/>
          <w:spacing w:val="-75"/>
          <w:sz w:val="24"/>
          <w:szCs w:val="24"/>
          <w:highlight w:val="none"/>
        </w:rPr>
        <w:t xml:space="preserve"> </w:t>
      </w:r>
      <w:r>
        <w:rPr>
          <w:rFonts w:ascii="宋体" w:hAnsi="宋体" w:eastAsia="宋体" w:cs="宋体"/>
          <w:spacing w:val="1"/>
          <w:sz w:val="24"/>
          <w:szCs w:val="24"/>
          <w:highlight w:val="none"/>
        </w:rPr>
        <w:t>”符号标明的条款为实质性要求和条件，响应文件对其中任何一条的偏离，为实</w:t>
      </w:r>
      <w:r>
        <w:rPr>
          <w:rFonts w:ascii="宋体" w:hAnsi="宋体" w:eastAsia="宋体" w:cs="宋体"/>
          <w:sz w:val="24"/>
          <w:szCs w:val="24"/>
          <w:highlight w:val="none"/>
        </w:rPr>
        <w:t>质性偏离，其投标无效。</w:t>
      </w:r>
    </w:p>
    <w:p w14:paraId="48E7E2C4">
      <w:pPr>
        <w:spacing w:before="181" w:line="313" w:lineRule="auto"/>
        <w:ind w:left="13" w:right="19" w:firstLine="497"/>
        <w:rPr>
          <w:rFonts w:ascii="宋体" w:hAnsi="宋体" w:eastAsia="宋体" w:cs="宋体"/>
          <w:sz w:val="24"/>
          <w:szCs w:val="24"/>
          <w:highlight w:val="none"/>
        </w:rPr>
      </w:pPr>
      <w:r>
        <w:rPr>
          <w:rFonts w:ascii="宋体" w:hAnsi="宋体" w:eastAsia="宋体" w:cs="宋体"/>
          <w:spacing w:val="-1"/>
          <w:sz w:val="24"/>
          <w:szCs w:val="24"/>
          <w:highlight w:val="none"/>
        </w:rPr>
        <w:t>1.11.4</w:t>
      </w:r>
      <w:r>
        <w:rPr>
          <w:rFonts w:ascii="宋体" w:hAnsi="宋体" w:eastAsia="宋体" w:cs="宋体"/>
          <w:spacing w:val="-39"/>
          <w:sz w:val="24"/>
          <w:szCs w:val="24"/>
          <w:highlight w:val="none"/>
        </w:rPr>
        <w:t xml:space="preserve"> </w:t>
      </w:r>
      <w:r>
        <w:rPr>
          <w:rFonts w:ascii="宋体" w:hAnsi="宋体" w:eastAsia="宋体" w:cs="宋体"/>
          <w:spacing w:val="-1"/>
          <w:sz w:val="24"/>
          <w:szCs w:val="24"/>
          <w:highlight w:val="none"/>
        </w:rPr>
        <w:t>响应文件偏离征集文件的非实质性要求和条件</w:t>
      </w:r>
      <w:r>
        <w:rPr>
          <w:rFonts w:ascii="宋体" w:hAnsi="宋体" w:eastAsia="宋体" w:cs="宋体"/>
          <w:spacing w:val="-2"/>
          <w:sz w:val="24"/>
          <w:szCs w:val="24"/>
          <w:highlight w:val="none"/>
        </w:rPr>
        <w:t>，为非实质性偏离。非实质</w:t>
      </w:r>
      <w:r>
        <w:rPr>
          <w:rFonts w:ascii="宋体" w:hAnsi="宋体" w:eastAsia="宋体" w:cs="宋体"/>
          <w:sz w:val="24"/>
          <w:szCs w:val="24"/>
          <w:highlight w:val="none"/>
        </w:rPr>
        <w:t>性偏离的范围和项数应当符合投标须知前附表的规定，超出</w:t>
      </w:r>
      <w:r>
        <w:rPr>
          <w:rFonts w:ascii="宋体" w:hAnsi="宋体" w:eastAsia="宋体" w:cs="宋体"/>
          <w:spacing w:val="-1"/>
          <w:sz w:val="24"/>
          <w:szCs w:val="24"/>
          <w:highlight w:val="none"/>
        </w:rPr>
        <w:t>偏离范围和最高项数的投</w:t>
      </w:r>
      <w:r>
        <w:rPr>
          <w:rFonts w:ascii="宋体" w:hAnsi="宋体" w:eastAsia="宋体" w:cs="宋体"/>
          <w:spacing w:val="-3"/>
          <w:sz w:val="24"/>
          <w:szCs w:val="24"/>
          <w:highlight w:val="none"/>
        </w:rPr>
        <w:t>标无效。</w:t>
      </w:r>
    </w:p>
    <w:p w14:paraId="76FF3126">
      <w:pPr>
        <w:spacing w:before="180" w:line="289" w:lineRule="auto"/>
        <w:ind w:left="15" w:right="19" w:firstLine="495"/>
        <w:rPr>
          <w:rFonts w:ascii="宋体" w:hAnsi="宋体" w:eastAsia="宋体" w:cs="宋体"/>
          <w:sz w:val="24"/>
          <w:szCs w:val="24"/>
          <w:highlight w:val="none"/>
        </w:rPr>
      </w:pPr>
      <w:r>
        <w:rPr>
          <w:rFonts w:ascii="宋体" w:hAnsi="宋体" w:eastAsia="宋体" w:cs="宋体"/>
          <w:spacing w:val="-1"/>
          <w:sz w:val="24"/>
          <w:szCs w:val="24"/>
          <w:highlight w:val="none"/>
        </w:rPr>
        <w:t>1.11.5</w:t>
      </w:r>
      <w:r>
        <w:rPr>
          <w:rFonts w:ascii="宋体" w:hAnsi="宋体" w:eastAsia="宋体" w:cs="宋体"/>
          <w:spacing w:val="-39"/>
          <w:sz w:val="24"/>
          <w:szCs w:val="24"/>
          <w:highlight w:val="none"/>
        </w:rPr>
        <w:t xml:space="preserve"> </w:t>
      </w:r>
      <w:r>
        <w:rPr>
          <w:rFonts w:ascii="宋体" w:hAnsi="宋体" w:eastAsia="宋体" w:cs="宋体"/>
          <w:spacing w:val="-1"/>
          <w:sz w:val="24"/>
          <w:szCs w:val="24"/>
          <w:highlight w:val="none"/>
        </w:rPr>
        <w:t>响应文件对征集文件的全部偏离，均应在响应</w:t>
      </w:r>
      <w:r>
        <w:rPr>
          <w:rFonts w:ascii="宋体" w:hAnsi="宋体" w:eastAsia="宋体" w:cs="宋体"/>
          <w:spacing w:val="-2"/>
          <w:sz w:val="24"/>
          <w:szCs w:val="24"/>
          <w:highlight w:val="none"/>
        </w:rPr>
        <w:t>文件商务条款偏离表和技术</w:t>
      </w:r>
      <w:r>
        <w:rPr>
          <w:rFonts w:ascii="宋体" w:hAnsi="宋体" w:eastAsia="宋体" w:cs="宋体"/>
          <w:sz w:val="24"/>
          <w:szCs w:val="24"/>
          <w:highlight w:val="none"/>
        </w:rPr>
        <w:t>参数偏离表中列明，除列明的内容外，视为供应</w:t>
      </w:r>
      <w:r>
        <w:rPr>
          <w:rFonts w:ascii="宋体" w:hAnsi="宋体" w:eastAsia="宋体" w:cs="宋体"/>
          <w:spacing w:val="-1"/>
          <w:sz w:val="24"/>
          <w:szCs w:val="24"/>
          <w:highlight w:val="none"/>
        </w:rPr>
        <w:t>商响应征集文件的全部要求。</w:t>
      </w:r>
    </w:p>
    <w:p w14:paraId="64EA0BF3">
      <w:pPr>
        <w:spacing w:before="300" w:line="220" w:lineRule="auto"/>
        <w:ind w:left="16"/>
        <w:rPr>
          <w:rFonts w:ascii="宋体" w:hAnsi="宋体" w:eastAsia="宋体" w:cs="宋体"/>
          <w:sz w:val="24"/>
          <w:szCs w:val="24"/>
          <w:highlight w:val="none"/>
        </w:rPr>
      </w:pPr>
      <w:r>
        <w:rPr>
          <w:rFonts w:ascii="宋体" w:hAnsi="宋体" w:eastAsia="宋体" w:cs="宋体"/>
          <w:b/>
          <w:bCs/>
          <w:spacing w:val="-4"/>
          <w:sz w:val="24"/>
          <w:szCs w:val="24"/>
          <w:highlight w:val="none"/>
        </w:rPr>
        <w:t>2.征集文件</w:t>
      </w:r>
    </w:p>
    <w:p w14:paraId="2AF2273C">
      <w:pPr>
        <w:spacing w:before="302" w:line="220" w:lineRule="auto"/>
        <w:ind w:left="16"/>
        <w:rPr>
          <w:rFonts w:ascii="宋体" w:hAnsi="宋体" w:eastAsia="宋体" w:cs="宋体"/>
          <w:sz w:val="24"/>
          <w:szCs w:val="24"/>
          <w:highlight w:val="none"/>
        </w:rPr>
      </w:pPr>
      <w:r>
        <w:rPr>
          <w:rFonts w:ascii="宋体" w:hAnsi="宋体" w:eastAsia="宋体" w:cs="宋体"/>
          <w:b/>
          <w:bCs/>
          <w:spacing w:val="-5"/>
          <w:sz w:val="24"/>
          <w:szCs w:val="24"/>
          <w:highlight w:val="none"/>
        </w:rPr>
        <w:t>2.1</w:t>
      </w:r>
      <w:r>
        <w:rPr>
          <w:rFonts w:ascii="宋体" w:hAnsi="宋体" w:eastAsia="宋体" w:cs="宋体"/>
          <w:spacing w:val="-39"/>
          <w:sz w:val="24"/>
          <w:szCs w:val="24"/>
          <w:highlight w:val="none"/>
        </w:rPr>
        <w:t xml:space="preserve"> </w:t>
      </w:r>
      <w:r>
        <w:rPr>
          <w:rFonts w:ascii="宋体" w:hAnsi="宋体" w:eastAsia="宋体" w:cs="宋体"/>
          <w:b/>
          <w:bCs/>
          <w:spacing w:val="-5"/>
          <w:sz w:val="24"/>
          <w:szCs w:val="24"/>
          <w:highlight w:val="none"/>
        </w:rPr>
        <w:t>征集文件的组成</w:t>
      </w:r>
    </w:p>
    <w:p w14:paraId="7615BB1C">
      <w:pPr>
        <w:spacing w:before="302" w:line="359" w:lineRule="auto"/>
        <w:ind w:left="14" w:firstLine="481"/>
        <w:rPr>
          <w:rFonts w:ascii="宋体" w:hAnsi="宋体" w:eastAsia="宋体" w:cs="宋体"/>
          <w:sz w:val="24"/>
          <w:szCs w:val="24"/>
          <w:highlight w:val="none"/>
        </w:rPr>
      </w:pPr>
      <w:r>
        <w:rPr>
          <w:rFonts w:ascii="宋体" w:hAnsi="宋体" w:eastAsia="宋体" w:cs="宋体"/>
          <w:spacing w:val="2"/>
          <w:sz w:val="24"/>
          <w:szCs w:val="24"/>
          <w:highlight w:val="none"/>
        </w:rPr>
        <w:t>2.1.1 征集文件要求提供的服务，征集程序和框架协议</w:t>
      </w:r>
      <w:r>
        <w:rPr>
          <w:rFonts w:ascii="宋体" w:hAnsi="宋体" w:eastAsia="宋体" w:cs="宋体"/>
          <w:spacing w:val="1"/>
          <w:sz w:val="24"/>
          <w:szCs w:val="24"/>
          <w:highlight w:val="none"/>
        </w:rPr>
        <w:t>基本条款在征集文件中均</w:t>
      </w:r>
      <w:r>
        <w:rPr>
          <w:rFonts w:ascii="宋体" w:hAnsi="宋体" w:eastAsia="宋体" w:cs="宋体"/>
          <w:spacing w:val="-1"/>
          <w:sz w:val="24"/>
          <w:szCs w:val="24"/>
          <w:highlight w:val="none"/>
        </w:rPr>
        <w:t>有说明。征集文件共六章，内容如下：</w:t>
      </w:r>
    </w:p>
    <w:p w14:paraId="7DC75470">
      <w:pPr>
        <w:spacing w:before="1" w:line="218" w:lineRule="auto"/>
        <w:ind w:left="505"/>
        <w:rPr>
          <w:rFonts w:ascii="宋体" w:hAnsi="宋体" w:eastAsia="宋体" w:cs="宋体"/>
          <w:sz w:val="24"/>
          <w:szCs w:val="24"/>
          <w:highlight w:val="none"/>
        </w:rPr>
      </w:pPr>
      <w:r>
        <w:rPr>
          <w:rFonts w:ascii="宋体" w:hAnsi="宋体" w:eastAsia="宋体" w:cs="宋体"/>
          <w:spacing w:val="-3"/>
          <w:sz w:val="24"/>
          <w:szCs w:val="24"/>
          <w:highlight w:val="none"/>
        </w:rPr>
        <w:t>（1）征集公告；</w:t>
      </w:r>
    </w:p>
    <w:p w14:paraId="7C6CBE19">
      <w:pPr>
        <w:spacing w:before="182" w:line="219" w:lineRule="auto"/>
        <w:ind w:left="505"/>
        <w:rPr>
          <w:rFonts w:ascii="宋体" w:hAnsi="宋体" w:eastAsia="宋体" w:cs="宋体"/>
          <w:sz w:val="24"/>
          <w:szCs w:val="24"/>
          <w:highlight w:val="none"/>
        </w:rPr>
      </w:pPr>
      <w:r>
        <w:rPr>
          <w:rFonts w:ascii="宋体" w:hAnsi="宋体" w:eastAsia="宋体" w:cs="宋体"/>
          <w:spacing w:val="-3"/>
          <w:sz w:val="24"/>
          <w:szCs w:val="24"/>
          <w:highlight w:val="none"/>
        </w:rPr>
        <w:t>（2）供应商须知；</w:t>
      </w:r>
    </w:p>
    <w:p w14:paraId="087B4354">
      <w:pPr>
        <w:spacing w:before="183" w:line="219" w:lineRule="auto"/>
        <w:ind w:left="505"/>
        <w:rPr>
          <w:rFonts w:ascii="宋体" w:hAnsi="宋体" w:eastAsia="宋体" w:cs="宋体"/>
          <w:sz w:val="24"/>
          <w:szCs w:val="24"/>
          <w:highlight w:val="none"/>
        </w:rPr>
      </w:pPr>
      <w:r>
        <w:rPr>
          <w:rFonts w:ascii="宋体" w:hAnsi="宋体" w:eastAsia="宋体" w:cs="宋体"/>
          <w:spacing w:val="-3"/>
          <w:sz w:val="24"/>
          <w:szCs w:val="24"/>
          <w:highlight w:val="none"/>
        </w:rPr>
        <w:t>（3）框架协议文本；</w:t>
      </w:r>
    </w:p>
    <w:p w14:paraId="64846648">
      <w:pPr>
        <w:spacing w:before="181" w:line="219" w:lineRule="auto"/>
        <w:ind w:left="505"/>
        <w:rPr>
          <w:rFonts w:ascii="宋体" w:hAnsi="宋体" w:eastAsia="宋体" w:cs="宋体"/>
          <w:sz w:val="24"/>
          <w:szCs w:val="24"/>
          <w:highlight w:val="none"/>
        </w:rPr>
      </w:pPr>
      <w:r>
        <w:rPr>
          <w:rFonts w:ascii="宋体" w:hAnsi="宋体" w:eastAsia="宋体" w:cs="宋体"/>
          <w:spacing w:val="-2"/>
          <w:sz w:val="24"/>
          <w:szCs w:val="24"/>
          <w:highlight w:val="none"/>
        </w:rPr>
        <w:t>（4）征集内容及采购需求；</w:t>
      </w:r>
    </w:p>
    <w:p w14:paraId="121BC9FE">
      <w:pPr>
        <w:spacing w:before="183" w:line="220" w:lineRule="auto"/>
        <w:ind w:left="505"/>
        <w:rPr>
          <w:rFonts w:ascii="宋体" w:hAnsi="宋体" w:eastAsia="宋体" w:cs="宋体"/>
          <w:sz w:val="24"/>
          <w:szCs w:val="24"/>
          <w:highlight w:val="none"/>
        </w:rPr>
      </w:pPr>
      <w:r>
        <w:rPr>
          <w:rFonts w:ascii="宋体" w:hAnsi="宋体" w:eastAsia="宋体" w:cs="宋体"/>
          <w:spacing w:val="-3"/>
          <w:sz w:val="24"/>
          <w:szCs w:val="24"/>
          <w:highlight w:val="none"/>
        </w:rPr>
        <w:t>（5）合同格式；</w:t>
      </w:r>
    </w:p>
    <w:p w14:paraId="4E605166">
      <w:pPr>
        <w:spacing w:before="179" w:line="221" w:lineRule="auto"/>
        <w:ind w:left="505"/>
        <w:rPr>
          <w:rFonts w:ascii="宋体" w:hAnsi="宋体" w:eastAsia="宋体" w:cs="宋体"/>
          <w:sz w:val="24"/>
          <w:szCs w:val="24"/>
          <w:highlight w:val="none"/>
        </w:rPr>
      </w:pPr>
      <w:r>
        <w:rPr>
          <w:rFonts w:ascii="宋体" w:hAnsi="宋体" w:eastAsia="宋体" w:cs="宋体"/>
          <w:spacing w:val="-2"/>
          <w:sz w:val="24"/>
          <w:szCs w:val="24"/>
          <w:highlight w:val="none"/>
        </w:rPr>
        <w:t>（6）评审方法及标准；</w:t>
      </w:r>
    </w:p>
    <w:p w14:paraId="3A8D2553">
      <w:pPr>
        <w:spacing w:before="181" w:line="220" w:lineRule="auto"/>
        <w:ind w:left="505"/>
        <w:rPr>
          <w:rFonts w:ascii="宋体" w:hAnsi="宋体" w:eastAsia="宋体" w:cs="宋体"/>
          <w:sz w:val="24"/>
          <w:szCs w:val="24"/>
          <w:highlight w:val="none"/>
        </w:rPr>
      </w:pPr>
      <w:r>
        <w:rPr>
          <w:rFonts w:ascii="宋体" w:hAnsi="宋体" w:eastAsia="宋体" w:cs="宋体"/>
          <w:spacing w:val="-2"/>
          <w:sz w:val="24"/>
          <w:szCs w:val="24"/>
          <w:highlight w:val="none"/>
        </w:rPr>
        <w:t>（7）响应文件构成及格式；</w:t>
      </w:r>
    </w:p>
    <w:p w14:paraId="5E809822">
      <w:pPr>
        <w:spacing w:before="180" w:line="361" w:lineRule="auto"/>
        <w:ind w:left="14" w:firstLine="481"/>
        <w:jc w:val="both"/>
        <w:rPr>
          <w:rFonts w:ascii="宋体" w:hAnsi="宋体" w:eastAsia="宋体" w:cs="宋体"/>
          <w:sz w:val="24"/>
          <w:szCs w:val="24"/>
          <w:highlight w:val="none"/>
        </w:rPr>
      </w:pPr>
      <w:r>
        <w:rPr>
          <w:rFonts w:ascii="宋体" w:hAnsi="宋体" w:eastAsia="宋体" w:cs="宋体"/>
          <w:spacing w:val="3"/>
          <w:sz w:val="24"/>
          <w:szCs w:val="24"/>
          <w:highlight w:val="none"/>
        </w:rPr>
        <w:t>2.1.2</w:t>
      </w:r>
      <w:r>
        <w:rPr>
          <w:rFonts w:ascii="宋体" w:hAnsi="宋体" w:eastAsia="宋体" w:cs="宋体"/>
          <w:spacing w:val="-46"/>
          <w:sz w:val="24"/>
          <w:szCs w:val="24"/>
          <w:highlight w:val="none"/>
        </w:rPr>
        <w:t xml:space="preserve"> </w:t>
      </w:r>
      <w:r>
        <w:rPr>
          <w:rFonts w:ascii="宋体" w:hAnsi="宋体" w:eastAsia="宋体" w:cs="宋体"/>
          <w:spacing w:val="3"/>
          <w:sz w:val="24"/>
          <w:szCs w:val="24"/>
          <w:highlight w:val="none"/>
        </w:rPr>
        <w:t>供应商应认真阅读征集文件中所有的事项、格式、条款和规范等要求。如</w:t>
      </w:r>
      <w:r>
        <w:rPr>
          <w:rFonts w:ascii="宋体" w:hAnsi="宋体" w:eastAsia="宋体" w:cs="宋体"/>
          <w:spacing w:val="2"/>
          <w:sz w:val="24"/>
          <w:szCs w:val="24"/>
          <w:highlight w:val="none"/>
        </w:rPr>
        <w:t>果供应商没有按照征集文件要求提交全部资料，或者响应文件没有对</w:t>
      </w:r>
      <w:r>
        <w:rPr>
          <w:rFonts w:ascii="宋体" w:hAnsi="宋体" w:eastAsia="宋体" w:cs="宋体"/>
          <w:spacing w:val="1"/>
          <w:sz w:val="24"/>
          <w:szCs w:val="24"/>
          <w:highlight w:val="none"/>
        </w:rPr>
        <w:t>征集文件在各方</w:t>
      </w:r>
      <w:r>
        <w:rPr>
          <w:rFonts w:ascii="宋体" w:hAnsi="宋体" w:eastAsia="宋体" w:cs="宋体"/>
          <w:sz w:val="24"/>
          <w:szCs w:val="24"/>
          <w:highlight w:val="none"/>
        </w:rPr>
        <w:t>面都做出实质性响应，由此带来不利于供应商的评审结</w:t>
      </w:r>
      <w:r>
        <w:rPr>
          <w:rFonts w:ascii="宋体" w:hAnsi="宋体" w:eastAsia="宋体" w:cs="宋体"/>
          <w:spacing w:val="-1"/>
          <w:sz w:val="24"/>
          <w:szCs w:val="24"/>
          <w:highlight w:val="none"/>
        </w:rPr>
        <w:t>果，其风险由供应商承担。</w:t>
      </w:r>
    </w:p>
    <w:p w14:paraId="4E9356C6">
      <w:pPr>
        <w:spacing w:before="113" w:line="220" w:lineRule="auto"/>
        <w:ind w:left="16"/>
        <w:rPr>
          <w:rFonts w:ascii="宋体" w:hAnsi="宋体" w:eastAsia="宋体" w:cs="宋体"/>
          <w:sz w:val="24"/>
          <w:szCs w:val="24"/>
          <w:highlight w:val="none"/>
        </w:rPr>
      </w:pPr>
      <w:r>
        <w:rPr>
          <w:rFonts w:ascii="宋体" w:hAnsi="宋体" w:eastAsia="宋体" w:cs="宋体"/>
          <w:b/>
          <w:bCs/>
          <w:spacing w:val="-3"/>
          <w:sz w:val="24"/>
          <w:szCs w:val="24"/>
          <w:highlight w:val="none"/>
        </w:rPr>
        <w:t>2.2</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征集文件的澄清和修改</w:t>
      </w:r>
    </w:p>
    <w:p w14:paraId="463D22F8">
      <w:pPr>
        <w:spacing w:before="301" w:line="289" w:lineRule="auto"/>
        <w:ind w:left="13" w:firstLine="482"/>
        <w:rPr>
          <w:rFonts w:ascii="宋体" w:hAnsi="宋体" w:eastAsia="宋体" w:cs="宋体"/>
          <w:sz w:val="24"/>
          <w:szCs w:val="24"/>
          <w:highlight w:val="none"/>
        </w:rPr>
      </w:pPr>
      <w:r>
        <w:rPr>
          <w:rFonts w:ascii="宋体" w:hAnsi="宋体" w:eastAsia="宋体" w:cs="宋体"/>
          <w:spacing w:val="2"/>
          <w:sz w:val="24"/>
          <w:szCs w:val="24"/>
          <w:highlight w:val="none"/>
        </w:rPr>
        <w:t>2.2.1 征集人如果对已发出的征集文件进行必要的澄清</w:t>
      </w:r>
      <w:r>
        <w:rPr>
          <w:rFonts w:ascii="宋体" w:hAnsi="宋体" w:eastAsia="宋体" w:cs="宋体"/>
          <w:spacing w:val="1"/>
          <w:sz w:val="24"/>
          <w:szCs w:val="24"/>
          <w:highlight w:val="none"/>
        </w:rPr>
        <w:t>或者修改，将在原公告发</w:t>
      </w:r>
      <w:r>
        <w:rPr>
          <w:rFonts w:ascii="宋体" w:hAnsi="宋体" w:eastAsia="宋体" w:cs="宋体"/>
          <w:sz w:val="24"/>
          <w:szCs w:val="24"/>
          <w:highlight w:val="none"/>
        </w:rPr>
        <w:t>布媒体上发布澄清公告。澄清或者修改的内容</w:t>
      </w:r>
      <w:r>
        <w:rPr>
          <w:rFonts w:ascii="宋体" w:hAnsi="宋体" w:eastAsia="宋体" w:cs="宋体"/>
          <w:spacing w:val="-1"/>
          <w:sz w:val="24"/>
          <w:szCs w:val="24"/>
          <w:highlight w:val="none"/>
        </w:rPr>
        <w:t>为征集文件的组成部分。</w:t>
      </w:r>
    </w:p>
    <w:p w14:paraId="6D0F5FCA">
      <w:pPr>
        <w:spacing w:before="180" w:line="290" w:lineRule="auto"/>
        <w:ind w:left="14" w:firstLine="481"/>
        <w:rPr>
          <w:rFonts w:ascii="宋体" w:hAnsi="宋体" w:eastAsia="宋体" w:cs="宋体"/>
          <w:sz w:val="24"/>
          <w:szCs w:val="24"/>
          <w:highlight w:val="none"/>
        </w:rPr>
      </w:pPr>
      <w:r>
        <w:rPr>
          <w:rFonts w:ascii="宋体" w:hAnsi="宋体" w:eastAsia="宋体" w:cs="宋体"/>
          <w:spacing w:val="2"/>
          <w:sz w:val="24"/>
          <w:szCs w:val="24"/>
          <w:highlight w:val="none"/>
        </w:rPr>
        <w:t>2.2.2 澄清或者修改的内容可能影响响应文件编制的，</w:t>
      </w:r>
      <w:r>
        <w:rPr>
          <w:rFonts w:ascii="宋体" w:hAnsi="宋体" w:eastAsia="宋体" w:cs="宋体"/>
          <w:spacing w:val="1"/>
          <w:sz w:val="24"/>
          <w:szCs w:val="24"/>
          <w:highlight w:val="none"/>
        </w:rPr>
        <w:t>采购代理机构将在申请截</w:t>
      </w:r>
      <w:r>
        <w:rPr>
          <w:rFonts w:ascii="宋体" w:hAnsi="宋体" w:eastAsia="宋体" w:cs="宋体"/>
          <w:spacing w:val="9"/>
          <w:sz w:val="24"/>
          <w:szCs w:val="24"/>
          <w:highlight w:val="none"/>
        </w:rPr>
        <w:t>止时间</w:t>
      </w:r>
      <w:r>
        <w:rPr>
          <w:rFonts w:ascii="宋体" w:hAnsi="宋体" w:eastAsia="宋体" w:cs="宋体"/>
          <w:spacing w:val="-21"/>
          <w:sz w:val="24"/>
          <w:szCs w:val="24"/>
          <w:highlight w:val="none"/>
        </w:rPr>
        <w:t xml:space="preserve"> </w:t>
      </w:r>
      <w:r>
        <w:rPr>
          <w:rFonts w:ascii="宋体" w:hAnsi="宋体" w:eastAsia="宋体" w:cs="宋体"/>
          <w:b/>
          <w:bCs/>
          <w:spacing w:val="9"/>
          <w:sz w:val="24"/>
          <w:szCs w:val="24"/>
          <w:highlight w:val="none"/>
        </w:rPr>
        <w:t>15</w:t>
      </w:r>
      <w:r>
        <w:rPr>
          <w:rFonts w:ascii="宋体" w:hAnsi="宋体" w:eastAsia="宋体" w:cs="宋体"/>
          <w:spacing w:val="9"/>
          <w:sz w:val="24"/>
          <w:szCs w:val="24"/>
          <w:highlight w:val="none"/>
        </w:rPr>
        <w:t xml:space="preserve"> 日前，以书面形式将澄清或者修改的内容通知所</w:t>
      </w:r>
      <w:r>
        <w:rPr>
          <w:rFonts w:ascii="宋体" w:hAnsi="宋体" w:eastAsia="宋体" w:cs="宋体"/>
          <w:spacing w:val="8"/>
          <w:sz w:val="24"/>
          <w:szCs w:val="24"/>
          <w:highlight w:val="none"/>
        </w:rPr>
        <w:t>有获取征集文件的供应</w:t>
      </w:r>
    </w:p>
    <w:p w14:paraId="45B43C06">
      <w:pPr>
        <w:spacing w:line="290" w:lineRule="auto"/>
        <w:rPr>
          <w:rFonts w:ascii="宋体" w:hAnsi="宋体" w:eastAsia="宋体" w:cs="宋体"/>
          <w:sz w:val="24"/>
          <w:szCs w:val="24"/>
          <w:highlight w:val="none"/>
        </w:rPr>
        <w:sectPr>
          <w:footerReference r:id="rId7" w:type="default"/>
          <w:pgSz w:w="11907" w:h="16840"/>
          <w:pgMar w:top="1426" w:right="1474" w:bottom="1199" w:left="1469" w:header="0" w:footer="984" w:gutter="0"/>
          <w:pgNumType w:fmt="decimal"/>
          <w:cols w:space="720" w:num="1"/>
        </w:sectPr>
      </w:pPr>
    </w:p>
    <w:p w14:paraId="2A529A24">
      <w:pPr>
        <w:spacing w:before="49" w:line="359" w:lineRule="auto"/>
        <w:ind w:left="1" w:firstLine="4"/>
        <w:jc w:val="both"/>
        <w:rPr>
          <w:rFonts w:ascii="宋体" w:hAnsi="宋体" w:eastAsia="宋体" w:cs="宋体"/>
          <w:sz w:val="24"/>
          <w:szCs w:val="24"/>
          <w:highlight w:val="none"/>
        </w:rPr>
      </w:pPr>
      <w:r>
        <w:rPr>
          <w:rFonts w:ascii="宋体" w:hAnsi="宋体" w:eastAsia="宋体" w:cs="宋体"/>
          <w:spacing w:val="2"/>
          <w:sz w:val="24"/>
          <w:szCs w:val="24"/>
          <w:highlight w:val="none"/>
        </w:rPr>
        <w:t>商，同时在原信息发布媒体上发布更正（澄清）公告。供应</w:t>
      </w:r>
      <w:r>
        <w:rPr>
          <w:rFonts w:ascii="宋体" w:hAnsi="宋体" w:eastAsia="宋体" w:cs="宋体"/>
          <w:spacing w:val="1"/>
          <w:sz w:val="24"/>
          <w:szCs w:val="24"/>
          <w:highlight w:val="none"/>
        </w:rPr>
        <w:t>商在收到上述通知后，应</w:t>
      </w:r>
      <w:r>
        <w:rPr>
          <w:rFonts w:ascii="宋体" w:hAnsi="宋体" w:eastAsia="宋体" w:cs="宋体"/>
          <w:spacing w:val="2"/>
          <w:sz w:val="24"/>
          <w:szCs w:val="24"/>
          <w:highlight w:val="none"/>
        </w:rPr>
        <w:t>立即以书面形式向采购代理机构确认。如果澄清或者修改发出的时间距</w:t>
      </w:r>
      <w:r>
        <w:rPr>
          <w:rFonts w:ascii="宋体" w:hAnsi="宋体" w:eastAsia="宋体" w:cs="宋体"/>
          <w:spacing w:val="1"/>
          <w:sz w:val="24"/>
          <w:szCs w:val="24"/>
          <w:highlight w:val="none"/>
        </w:rPr>
        <w:t>规定的投标截</w:t>
      </w:r>
      <w:r>
        <w:rPr>
          <w:rFonts w:ascii="宋体" w:hAnsi="宋体" w:eastAsia="宋体" w:cs="宋体"/>
          <w:spacing w:val="-5"/>
          <w:sz w:val="24"/>
          <w:szCs w:val="24"/>
          <w:highlight w:val="none"/>
        </w:rPr>
        <w:t>止时间不足</w:t>
      </w:r>
      <w:r>
        <w:rPr>
          <w:rFonts w:ascii="宋体" w:hAnsi="宋体" w:eastAsia="宋体" w:cs="宋体"/>
          <w:spacing w:val="-24"/>
          <w:sz w:val="24"/>
          <w:szCs w:val="24"/>
          <w:highlight w:val="none"/>
        </w:rPr>
        <w:t xml:space="preserve"> </w:t>
      </w:r>
      <w:r>
        <w:rPr>
          <w:rFonts w:ascii="宋体" w:hAnsi="宋体" w:eastAsia="宋体" w:cs="宋体"/>
          <w:b/>
          <w:bCs/>
          <w:spacing w:val="-5"/>
          <w:sz w:val="24"/>
          <w:szCs w:val="24"/>
          <w:highlight w:val="none"/>
        </w:rPr>
        <w:t>15</w:t>
      </w:r>
      <w:r>
        <w:rPr>
          <w:rFonts w:ascii="宋体" w:hAnsi="宋体" w:eastAsia="宋体" w:cs="宋体"/>
          <w:spacing w:val="-5"/>
          <w:sz w:val="24"/>
          <w:szCs w:val="24"/>
          <w:highlight w:val="none"/>
        </w:rPr>
        <w:t xml:space="preserve"> 日，将相应顺延投标截止时间。</w:t>
      </w:r>
    </w:p>
    <w:p w14:paraId="46D47C48">
      <w:pPr>
        <w:spacing w:before="7" w:line="335" w:lineRule="auto"/>
        <w:ind w:left="1" w:firstLine="482"/>
        <w:rPr>
          <w:rFonts w:ascii="宋体" w:hAnsi="宋体" w:eastAsia="宋体" w:cs="宋体"/>
          <w:sz w:val="24"/>
          <w:szCs w:val="24"/>
          <w:highlight w:val="none"/>
        </w:rPr>
      </w:pPr>
      <w:r>
        <w:rPr>
          <w:rFonts w:ascii="宋体" w:hAnsi="宋体" w:eastAsia="宋体" w:cs="宋体"/>
          <w:spacing w:val="2"/>
          <w:sz w:val="24"/>
          <w:szCs w:val="24"/>
          <w:highlight w:val="none"/>
        </w:rPr>
        <w:t>2.2</w:t>
      </w:r>
      <w:r>
        <w:rPr>
          <w:rFonts w:ascii="宋体" w:hAnsi="宋体" w:eastAsia="宋体" w:cs="宋体"/>
          <w:b/>
          <w:bCs/>
          <w:spacing w:val="2"/>
          <w:sz w:val="24"/>
          <w:szCs w:val="24"/>
          <w:highlight w:val="none"/>
        </w:rPr>
        <w:t>.</w:t>
      </w:r>
      <w:r>
        <w:rPr>
          <w:rFonts w:ascii="宋体" w:hAnsi="宋体" w:eastAsia="宋体" w:cs="宋体"/>
          <w:spacing w:val="2"/>
          <w:sz w:val="24"/>
          <w:szCs w:val="24"/>
          <w:highlight w:val="none"/>
        </w:rPr>
        <w:t>3 供应商应仔细阅读和检查征集文件的全部内</w:t>
      </w:r>
      <w:r>
        <w:rPr>
          <w:rFonts w:ascii="宋体" w:hAnsi="宋体" w:eastAsia="宋体" w:cs="宋体"/>
          <w:spacing w:val="1"/>
          <w:sz w:val="24"/>
          <w:szCs w:val="24"/>
          <w:highlight w:val="none"/>
        </w:rPr>
        <w:t>容。如发现缺页或附件不全，应及时向采购代理机构提出，以便补齐。如需要询问或澄清的（除质疑外</w:t>
      </w:r>
      <w:r>
        <w:rPr>
          <w:rFonts w:ascii="宋体" w:hAnsi="宋体" w:eastAsia="宋体" w:cs="宋体"/>
          <w:spacing w:val="16"/>
          <w:sz w:val="24"/>
          <w:szCs w:val="24"/>
          <w:highlight w:val="none"/>
        </w:rPr>
        <w:t>），</w:t>
      </w:r>
      <w:r>
        <w:rPr>
          <w:rFonts w:ascii="宋体" w:hAnsi="宋体" w:eastAsia="宋体" w:cs="宋体"/>
          <w:spacing w:val="1"/>
          <w:sz w:val="24"/>
          <w:szCs w:val="24"/>
          <w:highlight w:val="none"/>
        </w:rPr>
        <w:t>或认为</w:t>
      </w:r>
      <w:r>
        <w:rPr>
          <w:rFonts w:ascii="宋体" w:hAnsi="宋体" w:eastAsia="宋体" w:cs="宋体"/>
          <w:spacing w:val="2"/>
          <w:sz w:val="24"/>
          <w:szCs w:val="24"/>
          <w:highlight w:val="none"/>
        </w:rPr>
        <w:t>有必要与采购代理机构进行技术交流的，均应在投标截止时间</w:t>
      </w:r>
      <w:r>
        <w:rPr>
          <w:rFonts w:ascii="宋体" w:hAnsi="宋体" w:eastAsia="宋体" w:cs="宋体"/>
          <w:spacing w:val="-13"/>
          <w:sz w:val="24"/>
          <w:szCs w:val="24"/>
          <w:highlight w:val="none"/>
        </w:rPr>
        <w:t xml:space="preserve"> </w:t>
      </w:r>
      <w:r>
        <w:rPr>
          <w:rFonts w:ascii="宋体" w:hAnsi="宋体" w:eastAsia="宋体" w:cs="宋体"/>
          <w:b/>
          <w:bCs/>
          <w:spacing w:val="2"/>
          <w:sz w:val="24"/>
          <w:szCs w:val="24"/>
          <w:highlight w:val="none"/>
        </w:rPr>
        <w:t>10</w:t>
      </w:r>
      <w:r>
        <w:rPr>
          <w:rFonts w:ascii="宋体" w:hAnsi="宋体" w:eastAsia="宋体" w:cs="宋体"/>
          <w:spacing w:val="2"/>
          <w:sz w:val="24"/>
          <w:szCs w:val="24"/>
          <w:highlight w:val="none"/>
        </w:rPr>
        <w:t xml:space="preserve"> 日前按征集文件中</w:t>
      </w:r>
      <w:r>
        <w:rPr>
          <w:rFonts w:ascii="宋体" w:hAnsi="宋体" w:eastAsia="宋体" w:cs="宋体"/>
          <w:spacing w:val="1"/>
          <w:sz w:val="24"/>
          <w:szCs w:val="24"/>
          <w:highlight w:val="none"/>
        </w:rPr>
        <w:t>的联系方式，以书面形式向采购代理机构提出，采购代理机构应当在</w:t>
      </w:r>
      <w:r>
        <w:rPr>
          <w:rFonts w:ascii="宋体" w:hAnsi="宋体" w:eastAsia="宋体" w:cs="宋体"/>
          <w:spacing w:val="-43"/>
          <w:sz w:val="24"/>
          <w:szCs w:val="24"/>
          <w:highlight w:val="none"/>
        </w:rPr>
        <w:t xml:space="preserve"> </w:t>
      </w:r>
      <w:r>
        <w:rPr>
          <w:rFonts w:ascii="宋体" w:hAnsi="宋体" w:eastAsia="宋体" w:cs="宋体"/>
          <w:b/>
          <w:bCs/>
          <w:spacing w:val="1"/>
          <w:sz w:val="24"/>
          <w:szCs w:val="24"/>
          <w:highlight w:val="none"/>
        </w:rPr>
        <w:t>3</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个工作日内，</w:t>
      </w:r>
      <w:r>
        <w:rPr>
          <w:rFonts w:ascii="宋体" w:hAnsi="宋体" w:eastAsia="宋体" w:cs="宋体"/>
          <w:spacing w:val="2"/>
          <w:sz w:val="24"/>
          <w:szCs w:val="24"/>
          <w:highlight w:val="none"/>
        </w:rPr>
        <w:t>以书面形式予以答复，或认为有必要召开答疑会。超过该时间收到的需</w:t>
      </w:r>
      <w:r>
        <w:rPr>
          <w:rFonts w:ascii="宋体" w:hAnsi="宋体" w:eastAsia="宋体" w:cs="宋体"/>
          <w:spacing w:val="1"/>
          <w:sz w:val="24"/>
          <w:szCs w:val="24"/>
          <w:highlight w:val="none"/>
        </w:rPr>
        <w:t>要询问或澄清</w:t>
      </w:r>
      <w:r>
        <w:rPr>
          <w:rFonts w:ascii="宋体" w:hAnsi="宋体" w:eastAsia="宋体" w:cs="宋体"/>
          <w:spacing w:val="-1"/>
          <w:sz w:val="24"/>
          <w:szCs w:val="24"/>
          <w:highlight w:val="none"/>
        </w:rPr>
        <w:t>的内容，采购代理机构有权不予答复。</w:t>
      </w:r>
    </w:p>
    <w:p w14:paraId="558D3BB2">
      <w:pPr>
        <w:spacing w:before="181" w:line="312" w:lineRule="auto"/>
        <w:ind w:left="6" w:firstLine="478"/>
        <w:rPr>
          <w:rFonts w:ascii="宋体" w:hAnsi="宋体" w:eastAsia="宋体" w:cs="宋体"/>
          <w:sz w:val="24"/>
          <w:szCs w:val="24"/>
          <w:highlight w:val="none"/>
        </w:rPr>
      </w:pPr>
      <w:r>
        <w:rPr>
          <w:rFonts w:ascii="宋体" w:hAnsi="宋体" w:eastAsia="宋体" w:cs="宋体"/>
          <w:spacing w:val="2"/>
          <w:sz w:val="24"/>
          <w:szCs w:val="24"/>
          <w:highlight w:val="none"/>
        </w:rPr>
        <w:t>2.2.4 在投标截止时间前，采购代理机构可以视采购具</w:t>
      </w:r>
      <w:r>
        <w:rPr>
          <w:rFonts w:ascii="宋体" w:hAnsi="宋体" w:eastAsia="宋体" w:cs="宋体"/>
          <w:spacing w:val="1"/>
          <w:sz w:val="24"/>
          <w:szCs w:val="24"/>
          <w:highlight w:val="none"/>
        </w:rPr>
        <w:t>体情况，延长投标截止时</w:t>
      </w:r>
      <w:r>
        <w:rPr>
          <w:rFonts w:ascii="宋体" w:hAnsi="宋体" w:eastAsia="宋体" w:cs="宋体"/>
          <w:spacing w:val="2"/>
          <w:sz w:val="24"/>
          <w:szCs w:val="24"/>
          <w:highlight w:val="none"/>
        </w:rPr>
        <w:t>间和开标时间，并在征集文件要求提交响应文件的截止时间</w:t>
      </w:r>
      <w:r>
        <w:rPr>
          <w:rFonts w:ascii="宋体" w:hAnsi="宋体" w:eastAsia="宋体" w:cs="宋体"/>
          <w:spacing w:val="1"/>
          <w:sz w:val="24"/>
          <w:szCs w:val="24"/>
          <w:highlight w:val="none"/>
        </w:rPr>
        <w:t>前，将变更时间以书面形</w:t>
      </w:r>
      <w:r>
        <w:rPr>
          <w:rFonts w:ascii="宋体" w:hAnsi="宋体" w:eastAsia="宋体" w:cs="宋体"/>
          <w:spacing w:val="-1"/>
          <w:sz w:val="24"/>
          <w:szCs w:val="24"/>
          <w:highlight w:val="none"/>
        </w:rPr>
        <w:t>式通知所有获取征集文件的供应商，同时在原信息发布媒体上发布更正公告。</w:t>
      </w:r>
    </w:p>
    <w:p w14:paraId="6EC4EB63">
      <w:pPr>
        <w:spacing w:before="183" w:line="289" w:lineRule="auto"/>
        <w:ind w:left="1" w:right="2" w:firstLine="422"/>
        <w:rPr>
          <w:rFonts w:ascii="宋体" w:hAnsi="宋体" w:eastAsia="宋体" w:cs="宋体"/>
          <w:sz w:val="24"/>
          <w:szCs w:val="24"/>
          <w:highlight w:val="none"/>
        </w:rPr>
      </w:pPr>
      <w:r>
        <w:rPr>
          <w:rFonts w:ascii="宋体" w:hAnsi="宋体" w:eastAsia="宋体" w:cs="宋体"/>
          <w:spacing w:val="3"/>
          <w:sz w:val="24"/>
          <w:szCs w:val="24"/>
          <w:highlight w:val="none"/>
        </w:rPr>
        <w:t>2.2.5 当征集文件澄清、答复、修改或补充通知与征集文件就同一内容表述不一</w:t>
      </w:r>
      <w:r>
        <w:rPr>
          <w:rFonts w:ascii="宋体" w:hAnsi="宋体" w:eastAsia="宋体" w:cs="宋体"/>
          <w:spacing w:val="-1"/>
          <w:sz w:val="24"/>
          <w:szCs w:val="24"/>
          <w:highlight w:val="none"/>
        </w:rPr>
        <w:t>致时，以最后发出的书面文件内容为准。</w:t>
      </w:r>
    </w:p>
    <w:p w14:paraId="06CEC587">
      <w:pPr>
        <w:spacing w:before="302" w:line="220" w:lineRule="auto"/>
        <w:ind w:left="4"/>
        <w:rPr>
          <w:rFonts w:ascii="宋体" w:hAnsi="宋体" w:eastAsia="宋体" w:cs="宋体"/>
          <w:sz w:val="24"/>
          <w:szCs w:val="24"/>
          <w:highlight w:val="none"/>
        </w:rPr>
      </w:pPr>
      <w:r>
        <w:rPr>
          <w:rFonts w:ascii="宋体" w:hAnsi="宋体" w:eastAsia="宋体" w:cs="宋体"/>
          <w:b/>
          <w:bCs/>
          <w:spacing w:val="-3"/>
          <w:sz w:val="24"/>
          <w:szCs w:val="24"/>
          <w:highlight w:val="none"/>
        </w:rPr>
        <w:t>2.3</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征集文件的解释权</w:t>
      </w:r>
    </w:p>
    <w:p w14:paraId="47CDE8CD">
      <w:pPr>
        <w:spacing w:before="300" w:line="362" w:lineRule="auto"/>
        <w:ind w:left="21" w:firstLine="463"/>
        <w:rPr>
          <w:rFonts w:ascii="宋体" w:hAnsi="宋体" w:eastAsia="宋体" w:cs="宋体"/>
          <w:sz w:val="24"/>
          <w:szCs w:val="24"/>
          <w:highlight w:val="none"/>
        </w:rPr>
      </w:pPr>
      <w:r>
        <w:rPr>
          <w:rFonts w:ascii="宋体" w:hAnsi="宋体" w:eastAsia="宋体" w:cs="宋体"/>
          <w:spacing w:val="2"/>
          <w:sz w:val="24"/>
          <w:szCs w:val="24"/>
          <w:highlight w:val="none"/>
        </w:rPr>
        <w:t>征集文件的解释权归采购代理机构，如发现征集文件内容与现行法律</w:t>
      </w:r>
      <w:r>
        <w:rPr>
          <w:rFonts w:ascii="宋体" w:hAnsi="宋体" w:eastAsia="宋体" w:cs="宋体"/>
          <w:spacing w:val="1"/>
          <w:sz w:val="24"/>
          <w:szCs w:val="24"/>
          <w:highlight w:val="none"/>
        </w:rPr>
        <w:t>法规不相符</w:t>
      </w:r>
      <w:r>
        <w:rPr>
          <w:rFonts w:ascii="宋体" w:hAnsi="宋体" w:eastAsia="宋体" w:cs="宋体"/>
          <w:spacing w:val="-3"/>
          <w:sz w:val="24"/>
          <w:szCs w:val="24"/>
          <w:highlight w:val="none"/>
        </w:rPr>
        <w:t>的情况，以现行法律法规为准。</w:t>
      </w:r>
    </w:p>
    <w:p w14:paraId="1E5D6590">
      <w:pPr>
        <w:spacing w:before="112" w:line="219" w:lineRule="auto"/>
        <w:ind w:left="6"/>
        <w:rPr>
          <w:rFonts w:ascii="宋体" w:hAnsi="宋体" w:eastAsia="宋体" w:cs="宋体"/>
          <w:sz w:val="24"/>
          <w:szCs w:val="24"/>
          <w:highlight w:val="none"/>
        </w:rPr>
      </w:pPr>
      <w:r>
        <w:rPr>
          <w:rFonts w:ascii="宋体" w:hAnsi="宋体" w:eastAsia="宋体" w:cs="宋体"/>
          <w:b/>
          <w:bCs/>
          <w:spacing w:val="-5"/>
          <w:sz w:val="24"/>
          <w:szCs w:val="24"/>
          <w:highlight w:val="none"/>
        </w:rPr>
        <w:t>3.供应商</w:t>
      </w:r>
    </w:p>
    <w:p w14:paraId="2AB024C3">
      <w:pPr>
        <w:spacing w:before="304" w:line="219" w:lineRule="auto"/>
        <w:ind w:left="6"/>
        <w:rPr>
          <w:rFonts w:ascii="宋体" w:hAnsi="宋体" w:eastAsia="宋体" w:cs="宋体"/>
          <w:sz w:val="24"/>
          <w:szCs w:val="24"/>
          <w:highlight w:val="none"/>
        </w:rPr>
      </w:pPr>
      <w:r>
        <w:rPr>
          <w:rFonts w:ascii="宋体" w:hAnsi="宋体" w:eastAsia="宋体" w:cs="宋体"/>
          <w:b/>
          <w:bCs/>
          <w:spacing w:val="-5"/>
          <w:sz w:val="24"/>
          <w:szCs w:val="24"/>
          <w:highlight w:val="none"/>
        </w:rPr>
        <w:t>3.1</w:t>
      </w:r>
      <w:r>
        <w:rPr>
          <w:rFonts w:ascii="宋体" w:hAnsi="宋体" w:eastAsia="宋体" w:cs="宋体"/>
          <w:spacing w:val="-44"/>
          <w:sz w:val="24"/>
          <w:szCs w:val="24"/>
          <w:highlight w:val="none"/>
        </w:rPr>
        <w:t xml:space="preserve"> </w:t>
      </w:r>
      <w:r>
        <w:rPr>
          <w:rFonts w:ascii="宋体" w:hAnsi="宋体" w:eastAsia="宋体" w:cs="宋体"/>
          <w:b/>
          <w:bCs/>
          <w:spacing w:val="-5"/>
          <w:sz w:val="24"/>
          <w:szCs w:val="24"/>
          <w:highlight w:val="none"/>
        </w:rPr>
        <w:t>供应商资格要求</w:t>
      </w:r>
    </w:p>
    <w:p w14:paraId="144A801C">
      <w:pPr>
        <w:spacing w:before="301" w:line="219" w:lineRule="auto"/>
        <w:ind w:left="486"/>
        <w:rPr>
          <w:rFonts w:ascii="宋体" w:hAnsi="宋体" w:eastAsia="宋体" w:cs="宋体"/>
          <w:sz w:val="24"/>
          <w:szCs w:val="24"/>
          <w:highlight w:val="none"/>
        </w:rPr>
      </w:pPr>
      <w:r>
        <w:rPr>
          <w:rFonts w:ascii="宋体" w:hAnsi="宋体" w:eastAsia="宋体" w:cs="宋体"/>
          <w:b/>
          <w:bCs/>
          <w:spacing w:val="-2"/>
          <w:sz w:val="24"/>
          <w:szCs w:val="24"/>
          <w:highlight w:val="none"/>
        </w:rPr>
        <w:t>3.1.1.满足《中华人民共和国政府采购法》第二十</w:t>
      </w:r>
      <w:r>
        <w:rPr>
          <w:rFonts w:ascii="宋体" w:hAnsi="宋体" w:eastAsia="宋体" w:cs="宋体"/>
          <w:b/>
          <w:bCs/>
          <w:spacing w:val="-3"/>
          <w:sz w:val="24"/>
          <w:szCs w:val="24"/>
          <w:highlight w:val="none"/>
        </w:rPr>
        <w:t>二条规定；</w:t>
      </w:r>
    </w:p>
    <w:p w14:paraId="5C61F7CB">
      <w:pPr>
        <w:spacing w:before="183" w:line="219" w:lineRule="auto"/>
        <w:ind w:left="486"/>
        <w:rPr>
          <w:rFonts w:ascii="宋体" w:hAnsi="宋体" w:eastAsia="宋体" w:cs="宋体"/>
          <w:sz w:val="24"/>
          <w:szCs w:val="24"/>
          <w:highlight w:val="none"/>
        </w:rPr>
      </w:pPr>
      <w:r>
        <w:rPr>
          <w:rFonts w:ascii="宋体" w:hAnsi="宋体" w:eastAsia="宋体" w:cs="宋体"/>
          <w:b/>
          <w:bCs/>
          <w:spacing w:val="-3"/>
          <w:sz w:val="24"/>
          <w:szCs w:val="24"/>
          <w:highlight w:val="none"/>
        </w:rPr>
        <w:t>3.1.2.本项目需要落实的政府采购政策：</w:t>
      </w:r>
    </w:p>
    <w:p w14:paraId="268AE4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（1）《政府采购促进中小企业发展管理办法》（财库〔2020〕46号）；</w:t>
      </w:r>
    </w:p>
    <w:p w14:paraId="094CB1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（2）《财政部司法部关于政府采购支持监狱企业发展有关问题的通知》（财库〔2014〕68号）；</w:t>
      </w:r>
    </w:p>
    <w:p w14:paraId="413420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（3）《关于促进残疾人就业政府采购政策的通知》（财库〔2017〕141号）；</w:t>
      </w:r>
    </w:p>
    <w:p w14:paraId="093737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（4）《节能产品政府采购实施意见》（财库〔2004〕185号）；</w:t>
      </w:r>
    </w:p>
    <w:p w14:paraId="1AD691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（5）《环境标志产品政府采购实施的意见》（财库〔2006〕90号）；</w:t>
      </w:r>
    </w:p>
    <w:p w14:paraId="670064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（6）《国务院办公厅关于建立政府强制采购节能产品制度的通知》（国办发〔2007〕51号）；</w:t>
      </w:r>
    </w:p>
    <w:p w14:paraId="464AEB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（7）财政部发展改革委生态环境部市场监管总局关于调整优化节能产品、环境标志产品政府采购执行机制的通知（财库〔2019〕9号） ；</w:t>
      </w:r>
    </w:p>
    <w:p w14:paraId="2007E3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（8）《关于印发环境标志产品政府采购品目清单的通知》（财库〔2019〕18号）；</w:t>
      </w:r>
    </w:p>
    <w:p w14:paraId="2106A5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（9）《关于印发节能产品政府采购品目清单的通知》（财库〔2019〕19号）；</w:t>
      </w:r>
    </w:p>
    <w:p w14:paraId="479268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（10）《市场监管总局关于发布参与实施政府采购节能产品、环境标志产品认证机构名录的公告》（2019年第16号）；</w:t>
      </w:r>
    </w:p>
    <w:p w14:paraId="5C3207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（11）《关于运用政府采购政策支持乡村产业振兴的通知》（财库〔2021〕19号）；</w:t>
      </w:r>
    </w:p>
    <w:p w14:paraId="3F516E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（12）陕西省财政厅关于印发《陕西省中小企业政府采购信用融资办法》（陕财办采〔2018〕23号），相关政策、业务流程、办理平台（详见http://www.ccgp-shaanxi.gov.cn/zcdservice/zcd/shanxi/）；</w:t>
      </w:r>
    </w:p>
    <w:p w14:paraId="7BE914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（13）《陕西省财政厅关于加快推进我省中小企业政府采购信用融资工作的通知》（陕财办采〔2020〕15号）；</w:t>
      </w:r>
    </w:p>
    <w:p w14:paraId="6EA9CB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（14）《关于进一步加强政府绿色采购有关问题的通知》（陕财办采〔2021〕29号）；</w:t>
      </w:r>
    </w:p>
    <w:p w14:paraId="541904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（15）《陕西省财政厅陕西省工业和信息化厅关于运用政府采购政策支持首台（套）及创新产品有关事项的通知》（陕财办采〔2021〕17号）；</w:t>
      </w:r>
    </w:p>
    <w:p w14:paraId="72C521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kern w:val="0"/>
          <w:sz w:val="24"/>
          <w:szCs w:val="24"/>
          <w:highlight w:val="no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（16）《关于进一步加大政府采购支持中小企业力度的通知》（财库〔2022〕19号）、《关于落实政府采购支持中小企业政策有关事项的通知》（陕财办采函〔2022〕10号）；</w:t>
      </w:r>
    </w:p>
    <w:p w14:paraId="45544C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80" w:firstLineChars="0"/>
        <w:jc w:val="both"/>
        <w:textAlignment w:val="baseline"/>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333333"/>
          <w:spacing w:val="0"/>
          <w:kern w:val="0"/>
          <w:sz w:val="24"/>
          <w:szCs w:val="24"/>
          <w:highlight w:val="none"/>
          <w:shd w:val="clear" w:fill="FFFFFF"/>
          <w:vertAlign w:val="baseline"/>
          <w:lang w:val="en-US" w:eastAsia="zh-CN" w:bidi="ar"/>
        </w:rPr>
        <w:t>（17）其他需要落实的政府采购政策。</w:t>
      </w:r>
    </w:p>
    <w:p w14:paraId="299599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i w:val="0"/>
          <w:iCs w:val="0"/>
          <w:caps w:val="0"/>
          <w:color w:val="333333"/>
          <w:spacing w:val="0"/>
          <w:sz w:val="24"/>
          <w:szCs w:val="24"/>
          <w:highlight w:val="none"/>
          <w:shd w:val="clear" w:fill="FFFFFF"/>
          <w:vertAlign w:val="baseline"/>
        </w:rPr>
        <w:t>本项目为预留份额专门面向中小企业的采购项目（包），并落实政府采购政策资格条件审查内容。</w:t>
      </w:r>
    </w:p>
    <w:p w14:paraId="7D0F278D">
      <w:pPr>
        <w:spacing w:before="183" w:line="219" w:lineRule="auto"/>
        <w:ind w:left="485"/>
        <w:rPr>
          <w:rFonts w:ascii="宋体" w:hAnsi="宋体" w:eastAsia="宋体" w:cs="宋体"/>
          <w:sz w:val="24"/>
          <w:szCs w:val="24"/>
          <w:highlight w:val="none"/>
        </w:rPr>
      </w:pPr>
      <w:r>
        <w:rPr>
          <w:rFonts w:ascii="宋体" w:hAnsi="宋体" w:eastAsia="宋体" w:cs="宋体"/>
          <w:b/>
          <w:bCs/>
          <w:spacing w:val="-3"/>
          <w:sz w:val="24"/>
          <w:szCs w:val="24"/>
          <w:highlight w:val="none"/>
        </w:rPr>
        <w:t>3.1.3.本项目的特定资格要求：</w:t>
      </w:r>
    </w:p>
    <w:p w14:paraId="0170DD3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(1)提供合格有效的法人或者其他组织的营业执照等证明文件，自然人的身份证明；</w:t>
      </w:r>
    </w:p>
    <w:p w14:paraId="322560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(2)提供法定代表人授权书（附法定代表人、被授权人身份证复印件），法定代表人直接参加投标，须提供法定代表人身份证明及身份证复印件）；</w:t>
      </w:r>
    </w:p>
    <w:p w14:paraId="626805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(3)提供投标截止日前近一年内任意一个月的纳税证明或完税证明（任意税种），依法免税的单位应提供相关证明材料；</w:t>
      </w:r>
    </w:p>
    <w:p w14:paraId="00233F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(4)提供投标截止日前一年内已缴存的至少一个月的社会保障资金缴存单据或社保机构开具的社会保险参保缴费情况证明，依法不需要缴纳社会保障资金的单位应提供相关证明材料；</w:t>
      </w:r>
    </w:p>
    <w:p w14:paraId="43A5AC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(5)财务状况：提供递交投标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p w14:paraId="77423CA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1506C8E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(7)参加政府采购活动前3年内，在经营活动中没有重大违法记录的书面声明;</w:t>
      </w:r>
    </w:p>
    <w:p w14:paraId="00B300D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(8)提供具有履行合同所必需的设备和专业技术能力的书面承诺；</w:t>
      </w:r>
    </w:p>
    <w:p w14:paraId="1CAC4FE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cstheme="minorEastAsia"/>
          <w:i w:val="0"/>
          <w:iCs w:val="0"/>
          <w:caps w:val="0"/>
          <w:color w:val="auto"/>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auto"/>
          <w:spacing w:val="0"/>
          <w:sz w:val="24"/>
          <w:szCs w:val="24"/>
          <w:highlight w:val="none"/>
          <w:shd w:val="clear" w:fill="FFFFFF"/>
          <w:vertAlign w:val="baseline"/>
          <w:lang w:val="en-US" w:eastAsia="zh-CN"/>
        </w:rPr>
        <w:t>(9)本项目专门面向中小企业采购，提供中小企业声明函；</w:t>
      </w:r>
    </w:p>
    <w:p w14:paraId="2ACC91F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left"/>
        <w:textAlignment w:val="baseline"/>
        <w:rPr>
          <w:rFonts w:hint="default" w:asciiTheme="minorEastAsia" w:hAnsiTheme="minorEastAsia" w:cstheme="minorEastAsia"/>
          <w:i w:val="0"/>
          <w:iCs w:val="0"/>
          <w:caps w:val="0"/>
          <w:color w:val="auto"/>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auto"/>
          <w:spacing w:val="0"/>
          <w:sz w:val="24"/>
          <w:szCs w:val="24"/>
          <w:highlight w:val="none"/>
          <w:shd w:val="clear" w:fill="FFFFFF"/>
          <w:vertAlign w:val="baseline"/>
          <w:lang w:val="en-US" w:eastAsia="zh-CN"/>
        </w:rPr>
        <w:t>（10）控股管理关系：提供直接控股和管理关系清单。若与其他供应商存在单位负责人为同一人或者存在直接控股、管理关系的，则投标无效；</w:t>
      </w:r>
    </w:p>
    <w:p w14:paraId="4A512E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w:t>
      </w:r>
      <w:r>
        <w:rPr>
          <w:rFonts w:hint="eastAsia" w:asciiTheme="minorEastAsia" w:hAnsiTheme="minorEastAsia" w:cstheme="minorEastAsia"/>
          <w:i w:val="0"/>
          <w:iCs w:val="0"/>
          <w:caps w:val="0"/>
          <w:color w:val="auto"/>
          <w:spacing w:val="0"/>
          <w:sz w:val="24"/>
          <w:szCs w:val="24"/>
          <w:highlight w:val="none"/>
          <w:shd w:val="clear" w:fill="FFFFFF"/>
          <w:vertAlign w:val="baseline"/>
          <w:lang w:val="en-US" w:eastAsia="zh-CN"/>
        </w:rPr>
        <w:t>11</w:t>
      </w: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rPr>
        <w:t>)本项目不接受联合体投标（提供承诺书）；</w:t>
      </w:r>
    </w:p>
    <w:p w14:paraId="08C4D315">
      <w:pPr>
        <w:spacing w:before="180" w:line="359" w:lineRule="auto"/>
        <w:ind w:firstLine="484"/>
        <w:rPr>
          <w:rFonts w:ascii="宋体" w:hAnsi="宋体" w:eastAsia="宋体" w:cs="宋体"/>
          <w:sz w:val="24"/>
          <w:szCs w:val="24"/>
          <w:highlight w:val="none"/>
        </w:rPr>
      </w:pPr>
      <w:r>
        <w:rPr>
          <w:rFonts w:ascii="宋体" w:hAnsi="宋体" w:eastAsia="宋体" w:cs="宋体"/>
          <w:b/>
          <w:bCs/>
          <w:spacing w:val="1"/>
          <w:sz w:val="24"/>
          <w:szCs w:val="24"/>
          <w:highlight w:val="none"/>
        </w:rPr>
        <w:t>3.1.4</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限定资格条件。</w:t>
      </w:r>
      <w:r>
        <w:rPr>
          <w:rFonts w:ascii="宋体" w:hAnsi="宋体" w:eastAsia="宋体" w:cs="宋体"/>
          <w:spacing w:val="1"/>
          <w:sz w:val="24"/>
          <w:szCs w:val="24"/>
          <w:highlight w:val="none"/>
        </w:rPr>
        <w:t>根据政府采购的法律法规、规章和规范性文件</w:t>
      </w:r>
      <w:r>
        <w:rPr>
          <w:rFonts w:ascii="宋体" w:hAnsi="宋体" w:eastAsia="宋体" w:cs="宋体"/>
          <w:sz w:val="24"/>
          <w:szCs w:val="24"/>
          <w:highlight w:val="none"/>
        </w:rPr>
        <w:t>的规定，供</w:t>
      </w:r>
      <w:r>
        <w:rPr>
          <w:rFonts w:ascii="宋体" w:hAnsi="宋体" w:eastAsia="宋体" w:cs="宋体"/>
          <w:spacing w:val="-1"/>
          <w:sz w:val="24"/>
          <w:szCs w:val="24"/>
          <w:highlight w:val="none"/>
        </w:rPr>
        <w:t>应商不得存在本章第1.3.2规定的情形。</w:t>
      </w:r>
    </w:p>
    <w:p w14:paraId="5F17777F">
      <w:pPr>
        <w:spacing w:line="361" w:lineRule="auto"/>
        <w:ind w:firstLine="480"/>
        <w:jc w:val="both"/>
        <w:rPr>
          <w:rFonts w:ascii="宋体" w:hAnsi="宋体" w:eastAsia="宋体" w:cs="宋体"/>
          <w:sz w:val="24"/>
          <w:szCs w:val="24"/>
          <w:highlight w:val="none"/>
        </w:rPr>
      </w:pPr>
      <w:r>
        <w:rPr>
          <w:rFonts w:ascii="宋体" w:hAnsi="宋体" w:eastAsia="宋体" w:cs="宋体"/>
          <w:spacing w:val="2"/>
          <w:sz w:val="24"/>
          <w:szCs w:val="24"/>
          <w:highlight w:val="none"/>
        </w:rPr>
        <w:t>采购代理机构将通过“信用中国”网站（</w:t>
      </w:r>
      <w:r>
        <w:rPr>
          <w:highlight w:val="none"/>
        </w:rPr>
        <w:fldChar w:fldCharType="begin"/>
      </w:r>
      <w:r>
        <w:rPr>
          <w:highlight w:val="none"/>
        </w:rPr>
        <w:instrText xml:space="preserve"> HYPERLINK "https://www.creditchina.gov.cn" </w:instrText>
      </w:r>
      <w:r>
        <w:rPr>
          <w:highlight w:val="none"/>
        </w:rPr>
        <w:fldChar w:fldCharType="separate"/>
      </w:r>
      <w:r>
        <w:rPr>
          <w:rFonts w:ascii="宋体" w:hAnsi="宋体" w:eastAsia="宋体" w:cs="宋体"/>
          <w:sz w:val="24"/>
          <w:szCs w:val="24"/>
          <w:highlight w:val="none"/>
        </w:rPr>
        <w:t>www</w:t>
      </w:r>
      <w:r>
        <w:rPr>
          <w:rFonts w:ascii="宋体" w:hAnsi="宋体" w:eastAsia="宋体" w:cs="宋体"/>
          <w:spacing w:val="2"/>
          <w:sz w:val="24"/>
          <w:szCs w:val="24"/>
          <w:highlight w:val="none"/>
        </w:rPr>
        <w:t>.</w:t>
      </w:r>
      <w:r>
        <w:rPr>
          <w:rFonts w:ascii="宋体" w:hAnsi="宋体" w:eastAsia="宋体" w:cs="宋体"/>
          <w:sz w:val="24"/>
          <w:szCs w:val="24"/>
          <w:highlight w:val="none"/>
        </w:rPr>
        <w:t>creditchina</w:t>
      </w:r>
      <w:r>
        <w:rPr>
          <w:rFonts w:ascii="宋体" w:hAnsi="宋体" w:eastAsia="宋体" w:cs="宋体"/>
          <w:spacing w:val="2"/>
          <w:sz w:val="24"/>
          <w:szCs w:val="24"/>
          <w:highlight w:val="none"/>
        </w:rPr>
        <w:t>.</w:t>
      </w:r>
      <w:r>
        <w:rPr>
          <w:rFonts w:ascii="宋体" w:hAnsi="宋体" w:eastAsia="宋体" w:cs="宋体"/>
          <w:sz w:val="24"/>
          <w:szCs w:val="24"/>
          <w:highlight w:val="none"/>
        </w:rPr>
        <w:t>gov</w:t>
      </w:r>
      <w:r>
        <w:rPr>
          <w:rFonts w:ascii="宋体" w:hAnsi="宋体" w:eastAsia="宋体" w:cs="宋体"/>
          <w:spacing w:val="2"/>
          <w:sz w:val="24"/>
          <w:szCs w:val="24"/>
          <w:highlight w:val="none"/>
        </w:rPr>
        <w:t>.</w:t>
      </w:r>
      <w:r>
        <w:rPr>
          <w:rFonts w:ascii="宋体" w:hAnsi="宋体" w:eastAsia="宋体" w:cs="宋体"/>
          <w:sz w:val="24"/>
          <w:szCs w:val="24"/>
          <w:highlight w:val="none"/>
        </w:rPr>
        <w:t>cn</w:t>
      </w:r>
      <w:r>
        <w:rPr>
          <w:rFonts w:ascii="宋体" w:hAnsi="宋体" w:eastAsia="宋体" w:cs="宋体"/>
          <w:sz w:val="24"/>
          <w:szCs w:val="24"/>
          <w:highlight w:val="none"/>
        </w:rPr>
        <w:fldChar w:fldCharType="end"/>
      </w:r>
      <w:r>
        <w:rPr>
          <w:rFonts w:ascii="宋体" w:hAnsi="宋体" w:eastAsia="宋体" w:cs="宋体"/>
          <w:spacing w:val="2"/>
          <w:sz w:val="24"/>
          <w:szCs w:val="24"/>
          <w:highlight w:val="none"/>
        </w:rPr>
        <w:t>）和中国政府</w:t>
      </w:r>
      <w:r>
        <w:rPr>
          <w:rFonts w:ascii="宋体" w:hAnsi="宋体" w:eastAsia="宋体" w:cs="宋体"/>
          <w:spacing w:val="6"/>
          <w:sz w:val="24"/>
          <w:szCs w:val="24"/>
          <w:highlight w:val="none"/>
        </w:rPr>
        <w:t>采购网站（</w:t>
      </w:r>
      <w:r>
        <w:rPr>
          <w:highlight w:val="none"/>
        </w:rPr>
        <w:fldChar w:fldCharType="begin"/>
      </w:r>
      <w:r>
        <w:rPr>
          <w:highlight w:val="none"/>
        </w:rPr>
        <w:instrText xml:space="preserve"> HYPERLINK "https://www.ccgp.gov.cn" </w:instrText>
      </w:r>
      <w:r>
        <w:rPr>
          <w:highlight w:val="none"/>
        </w:rPr>
        <w:fldChar w:fldCharType="separate"/>
      </w:r>
      <w:r>
        <w:rPr>
          <w:rFonts w:ascii="宋体" w:hAnsi="宋体" w:eastAsia="宋体" w:cs="宋体"/>
          <w:sz w:val="24"/>
          <w:szCs w:val="24"/>
          <w:highlight w:val="none"/>
        </w:rPr>
        <w:t>www</w:t>
      </w:r>
      <w:r>
        <w:rPr>
          <w:rFonts w:ascii="宋体" w:hAnsi="宋体" w:eastAsia="宋体" w:cs="宋体"/>
          <w:spacing w:val="6"/>
          <w:sz w:val="24"/>
          <w:szCs w:val="24"/>
          <w:highlight w:val="none"/>
        </w:rPr>
        <w:t>.</w:t>
      </w:r>
      <w:r>
        <w:rPr>
          <w:rFonts w:ascii="宋体" w:hAnsi="宋体" w:eastAsia="宋体" w:cs="宋体"/>
          <w:sz w:val="24"/>
          <w:szCs w:val="24"/>
          <w:highlight w:val="none"/>
        </w:rPr>
        <w:t>ccgp</w:t>
      </w:r>
      <w:r>
        <w:rPr>
          <w:rFonts w:ascii="宋体" w:hAnsi="宋体" w:eastAsia="宋体" w:cs="宋体"/>
          <w:spacing w:val="6"/>
          <w:sz w:val="24"/>
          <w:szCs w:val="24"/>
          <w:highlight w:val="none"/>
        </w:rPr>
        <w:t>.</w:t>
      </w:r>
      <w:r>
        <w:rPr>
          <w:rFonts w:ascii="宋体" w:hAnsi="宋体" w:eastAsia="宋体" w:cs="宋体"/>
          <w:sz w:val="24"/>
          <w:szCs w:val="24"/>
          <w:highlight w:val="none"/>
        </w:rPr>
        <w:t>gov</w:t>
      </w:r>
      <w:r>
        <w:rPr>
          <w:rFonts w:ascii="宋体" w:hAnsi="宋体" w:eastAsia="宋体" w:cs="宋体"/>
          <w:spacing w:val="6"/>
          <w:sz w:val="24"/>
          <w:szCs w:val="24"/>
          <w:highlight w:val="none"/>
        </w:rPr>
        <w:t>.</w:t>
      </w:r>
      <w:r>
        <w:rPr>
          <w:rFonts w:ascii="宋体" w:hAnsi="宋体" w:eastAsia="宋体" w:cs="宋体"/>
          <w:sz w:val="24"/>
          <w:szCs w:val="24"/>
          <w:highlight w:val="none"/>
        </w:rPr>
        <w:t>cn</w:t>
      </w:r>
      <w:r>
        <w:rPr>
          <w:rFonts w:ascii="宋体" w:hAnsi="宋体" w:eastAsia="宋体" w:cs="宋体"/>
          <w:sz w:val="24"/>
          <w:szCs w:val="24"/>
          <w:highlight w:val="none"/>
        </w:rPr>
        <w:fldChar w:fldCharType="end"/>
      </w:r>
      <w:r>
        <w:rPr>
          <w:rFonts w:ascii="宋体" w:hAnsi="宋体" w:eastAsia="宋体" w:cs="宋体"/>
          <w:spacing w:val="6"/>
          <w:sz w:val="24"/>
          <w:szCs w:val="24"/>
          <w:highlight w:val="none"/>
        </w:rPr>
        <w:t>）查询供应商信用记录，被列入失信被执行人、</w:t>
      </w:r>
      <w:r>
        <w:rPr>
          <w:rFonts w:ascii="宋体" w:hAnsi="宋体" w:eastAsia="宋体" w:cs="宋体"/>
          <w:spacing w:val="5"/>
          <w:sz w:val="24"/>
          <w:szCs w:val="24"/>
          <w:highlight w:val="none"/>
        </w:rPr>
        <w:t>重大税</w:t>
      </w:r>
      <w:r>
        <w:rPr>
          <w:rFonts w:ascii="宋体" w:hAnsi="宋体" w:eastAsia="宋体" w:cs="宋体"/>
          <w:spacing w:val="2"/>
          <w:sz w:val="24"/>
          <w:szCs w:val="24"/>
          <w:highlight w:val="none"/>
        </w:rPr>
        <w:t>收违法案件当事人名单、政府采购严重违法失信行为记录名单的供应商将</w:t>
      </w:r>
      <w:r>
        <w:rPr>
          <w:rFonts w:ascii="宋体" w:hAnsi="宋体" w:eastAsia="宋体" w:cs="宋体"/>
          <w:spacing w:val="1"/>
          <w:sz w:val="24"/>
          <w:szCs w:val="24"/>
          <w:highlight w:val="none"/>
        </w:rPr>
        <w:t>被拒绝参与</w:t>
      </w:r>
    </w:p>
    <w:p w14:paraId="7046ABB6">
      <w:pPr>
        <w:spacing w:before="48" w:line="219" w:lineRule="auto"/>
        <w:rPr>
          <w:rFonts w:ascii="宋体" w:hAnsi="宋体" w:eastAsia="宋体" w:cs="宋体"/>
          <w:sz w:val="24"/>
          <w:szCs w:val="24"/>
          <w:highlight w:val="none"/>
        </w:rPr>
      </w:pPr>
      <w:r>
        <w:rPr>
          <w:rFonts w:ascii="宋体" w:hAnsi="宋体" w:eastAsia="宋体" w:cs="宋体"/>
          <w:spacing w:val="-2"/>
          <w:sz w:val="24"/>
          <w:szCs w:val="24"/>
          <w:highlight w:val="none"/>
        </w:rPr>
        <w:t>本项目投标。</w:t>
      </w:r>
    </w:p>
    <w:p w14:paraId="41783EFD">
      <w:pPr>
        <w:spacing w:before="181" w:line="359" w:lineRule="auto"/>
        <w:ind w:left="108" w:firstLine="484"/>
        <w:jc w:val="both"/>
        <w:rPr>
          <w:rFonts w:ascii="宋体" w:hAnsi="宋体" w:eastAsia="宋体" w:cs="宋体"/>
          <w:sz w:val="24"/>
          <w:szCs w:val="24"/>
          <w:highlight w:val="none"/>
        </w:rPr>
      </w:pPr>
      <w:r>
        <w:rPr>
          <w:rFonts w:ascii="宋体" w:hAnsi="宋体" w:eastAsia="宋体" w:cs="宋体"/>
          <w:b/>
          <w:bCs/>
          <w:spacing w:val="-1"/>
          <w:sz w:val="24"/>
          <w:szCs w:val="24"/>
          <w:highlight w:val="none"/>
        </w:rPr>
        <w:t>3.1.5</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供应商根据采购项目的具体情况，在响应文件正本中应附一套完整的资格证明材料，缺少一项或某项达不到征集文件要求的按无效响应文件处理，复印件加盖</w:t>
      </w:r>
      <w:r>
        <w:rPr>
          <w:rFonts w:ascii="宋体" w:hAnsi="宋体" w:eastAsia="宋体" w:cs="宋体"/>
          <w:b/>
          <w:bCs/>
          <w:spacing w:val="-2"/>
          <w:sz w:val="24"/>
          <w:szCs w:val="24"/>
          <w:highlight w:val="none"/>
        </w:rPr>
        <w:t>供应商单位公章；响应文件副本可采用正本的复印件并加盖供应商单位公章。</w:t>
      </w:r>
    </w:p>
    <w:p w14:paraId="5E275562">
      <w:pPr>
        <w:spacing w:line="220" w:lineRule="auto"/>
        <w:ind w:left="112"/>
        <w:rPr>
          <w:rFonts w:ascii="宋体" w:hAnsi="宋体" w:eastAsia="宋体" w:cs="宋体"/>
          <w:sz w:val="24"/>
          <w:szCs w:val="24"/>
          <w:highlight w:val="none"/>
        </w:rPr>
      </w:pPr>
      <w:r>
        <w:rPr>
          <w:rFonts w:ascii="宋体" w:hAnsi="宋体" w:eastAsia="宋体" w:cs="宋体"/>
          <w:b/>
          <w:bCs/>
          <w:spacing w:val="-6"/>
          <w:sz w:val="24"/>
          <w:szCs w:val="24"/>
          <w:highlight w:val="none"/>
        </w:rPr>
        <w:t>3.2</w:t>
      </w:r>
      <w:r>
        <w:rPr>
          <w:rFonts w:ascii="宋体" w:hAnsi="宋体" w:eastAsia="宋体" w:cs="宋体"/>
          <w:spacing w:val="-47"/>
          <w:sz w:val="24"/>
          <w:szCs w:val="24"/>
          <w:highlight w:val="none"/>
        </w:rPr>
        <w:t xml:space="preserve"> </w:t>
      </w:r>
      <w:r>
        <w:rPr>
          <w:rFonts w:ascii="宋体" w:hAnsi="宋体" w:eastAsia="宋体" w:cs="宋体"/>
          <w:b/>
          <w:bCs/>
          <w:spacing w:val="-6"/>
          <w:sz w:val="24"/>
          <w:szCs w:val="24"/>
          <w:highlight w:val="none"/>
        </w:rPr>
        <w:t>授权委托</w:t>
      </w:r>
    </w:p>
    <w:p w14:paraId="15B25161">
      <w:pPr>
        <w:spacing w:before="181" w:line="289" w:lineRule="auto"/>
        <w:ind w:left="111" w:right="2" w:firstLine="600"/>
        <w:rPr>
          <w:rFonts w:ascii="宋体" w:hAnsi="宋体" w:eastAsia="宋体" w:cs="宋体"/>
          <w:sz w:val="24"/>
          <w:szCs w:val="24"/>
          <w:highlight w:val="none"/>
        </w:rPr>
      </w:pPr>
      <w:r>
        <w:rPr>
          <w:rFonts w:ascii="宋体" w:hAnsi="宋体" w:eastAsia="宋体" w:cs="宋体"/>
          <w:sz w:val="24"/>
          <w:szCs w:val="24"/>
          <w:highlight w:val="none"/>
        </w:rPr>
        <w:t>3.2.1</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供应商代表为法定代表人的，应持有法定代表人身份证</w:t>
      </w:r>
      <w:r>
        <w:rPr>
          <w:rFonts w:ascii="宋体" w:hAnsi="宋体" w:eastAsia="宋体" w:cs="宋体"/>
          <w:spacing w:val="-1"/>
          <w:sz w:val="24"/>
          <w:szCs w:val="24"/>
          <w:highlight w:val="none"/>
        </w:rPr>
        <w:t>明。供应商代表不是法定代表人的，应持有法定代表人授权委托书。</w:t>
      </w:r>
    </w:p>
    <w:p w14:paraId="6B93F0CA">
      <w:pPr>
        <w:spacing w:before="182" w:line="290" w:lineRule="auto"/>
        <w:ind w:left="111" w:firstLine="600"/>
        <w:rPr>
          <w:rFonts w:ascii="宋体" w:hAnsi="宋体" w:eastAsia="宋体" w:cs="宋体"/>
          <w:sz w:val="24"/>
          <w:szCs w:val="24"/>
          <w:highlight w:val="none"/>
        </w:rPr>
      </w:pPr>
      <w:r>
        <w:rPr>
          <w:rFonts w:ascii="宋体" w:hAnsi="宋体" w:eastAsia="宋体" w:cs="宋体"/>
          <w:sz w:val="24"/>
          <w:szCs w:val="24"/>
          <w:highlight w:val="none"/>
        </w:rPr>
        <w:t>3.2.2</w:t>
      </w:r>
      <w:r>
        <w:rPr>
          <w:rFonts w:ascii="宋体" w:hAnsi="宋体" w:eastAsia="宋体" w:cs="宋体"/>
          <w:spacing w:val="-50"/>
          <w:sz w:val="24"/>
          <w:szCs w:val="24"/>
          <w:highlight w:val="none"/>
        </w:rPr>
        <w:t xml:space="preserve"> </w:t>
      </w:r>
      <w:r>
        <w:rPr>
          <w:rFonts w:ascii="宋体" w:hAnsi="宋体" w:eastAsia="宋体" w:cs="宋体"/>
          <w:sz w:val="24"/>
          <w:szCs w:val="24"/>
          <w:highlight w:val="none"/>
        </w:rPr>
        <w:t>供应商应当委托本单位正式员工作为供应商代表，且供应商</w:t>
      </w:r>
      <w:r>
        <w:rPr>
          <w:rFonts w:ascii="宋体" w:hAnsi="宋体" w:eastAsia="宋体" w:cs="宋体"/>
          <w:spacing w:val="-1"/>
          <w:sz w:val="24"/>
          <w:szCs w:val="24"/>
          <w:highlight w:val="none"/>
        </w:rPr>
        <w:t>代表只能接受</w:t>
      </w:r>
      <w:r>
        <w:rPr>
          <w:rFonts w:ascii="宋体" w:hAnsi="宋体" w:eastAsia="宋体" w:cs="宋体"/>
          <w:spacing w:val="-2"/>
          <w:sz w:val="24"/>
          <w:szCs w:val="24"/>
          <w:highlight w:val="none"/>
        </w:rPr>
        <w:t>一个供应商的委托参加投标。</w:t>
      </w:r>
    </w:p>
    <w:p w14:paraId="7FD6FE14">
      <w:pPr>
        <w:spacing w:before="300" w:line="221" w:lineRule="auto"/>
        <w:rPr>
          <w:rFonts w:ascii="宋体" w:hAnsi="宋体" w:eastAsia="宋体" w:cs="宋体"/>
          <w:sz w:val="24"/>
          <w:szCs w:val="24"/>
          <w:highlight w:val="none"/>
        </w:rPr>
      </w:pPr>
      <w:r>
        <w:rPr>
          <w:rFonts w:ascii="宋体" w:hAnsi="宋体" w:eastAsia="宋体" w:cs="宋体"/>
          <w:b/>
          <w:bCs/>
          <w:spacing w:val="-5"/>
          <w:sz w:val="24"/>
          <w:szCs w:val="24"/>
          <w:highlight w:val="none"/>
        </w:rPr>
        <w:t>3.3</w:t>
      </w:r>
      <w:r>
        <w:rPr>
          <w:rFonts w:ascii="宋体" w:hAnsi="宋体" w:eastAsia="宋体" w:cs="宋体"/>
          <w:spacing w:val="-51"/>
          <w:sz w:val="24"/>
          <w:szCs w:val="24"/>
          <w:highlight w:val="none"/>
        </w:rPr>
        <w:t xml:space="preserve"> </w:t>
      </w:r>
      <w:r>
        <w:rPr>
          <w:rFonts w:ascii="宋体" w:hAnsi="宋体" w:eastAsia="宋体" w:cs="宋体"/>
          <w:b/>
          <w:bCs/>
          <w:spacing w:val="-5"/>
          <w:sz w:val="24"/>
          <w:szCs w:val="24"/>
          <w:highlight w:val="none"/>
        </w:rPr>
        <w:t>联合体投标</w:t>
      </w:r>
    </w:p>
    <w:p w14:paraId="1B5228D1">
      <w:pPr>
        <w:spacing w:before="299" w:line="219" w:lineRule="auto"/>
        <w:ind w:left="598"/>
        <w:rPr>
          <w:rFonts w:ascii="宋体" w:hAnsi="宋体" w:eastAsia="宋体" w:cs="宋体"/>
          <w:sz w:val="24"/>
          <w:szCs w:val="24"/>
          <w:highlight w:val="none"/>
        </w:rPr>
      </w:pPr>
      <w:r>
        <w:rPr>
          <w:rFonts w:ascii="宋体" w:hAnsi="宋体" w:eastAsia="宋体" w:cs="宋体"/>
          <w:spacing w:val="-1"/>
          <w:sz w:val="24"/>
          <w:szCs w:val="24"/>
          <w:highlight w:val="none"/>
        </w:rPr>
        <w:t>本项目不允许联合投标。</w:t>
      </w:r>
    </w:p>
    <w:p w14:paraId="5A842156">
      <w:pPr>
        <w:spacing w:before="303" w:line="219" w:lineRule="auto"/>
        <w:ind w:left="112"/>
        <w:rPr>
          <w:rFonts w:ascii="宋体" w:hAnsi="宋体" w:eastAsia="宋体" w:cs="宋体"/>
          <w:sz w:val="24"/>
          <w:szCs w:val="24"/>
          <w:highlight w:val="none"/>
        </w:rPr>
      </w:pPr>
      <w:r>
        <w:rPr>
          <w:rFonts w:ascii="宋体" w:hAnsi="宋体" w:eastAsia="宋体" w:cs="宋体"/>
          <w:b/>
          <w:bCs/>
          <w:spacing w:val="-4"/>
          <w:sz w:val="24"/>
          <w:szCs w:val="24"/>
          <w:highlight w:val="none"/>
        </w:rPr>
        <w:t>3.4</w:t>
      </w:r>
      <w:r>
        <w:rPr>
          <w:rFonts w:ascii="宋体" w:hAnsi="宋体" w:eastAsia="宋体" w:cs="宋体"/>
          <w:spacing w:val="-48"/>
          <w:sz w:val="24"/>
          <w:szCs w:val="24"/>
          <w:highlight w:val="none"/>
        </w:rPr>
        <w:t xml:space="preserve"> </w:t>
      </w:r>
      <w:r>
        <w:rPr>
          <w:rFonts w:ascii="宋体" w:hAnsi="宋体" w:eastAsia="宋体" w:cs="宋体"/>
          <w:b/>
          <w:bCs/>
          <w:spacing w:val="-4"/>
          <w:sz w:val="24"/>
          <w:szCs w:val="24"/>
          <w:highlight w:val="none"/>
        </w:rPr>
        <w:t>享受的政府采购政策</w:t>
      </w:r>
    </w:p>
    <w:p w14:paraId="2B97F8AE">
      <w:pPr>
        <w:spacing w:before="302" w:line="324" w:lineRule="auto"/>
        <w:ind w:left="107" w:firstLine="485"/>
        <w:rPr>
          <w:rFonts w:ascii="宋体" w:hAnsi="宋体" w:eastAsia="宋体" w:cs="宋体"/>
          <w:sz w:val="24"/>
          <w:szCs w:val="24"/>
          <w:highlight w:val="none"/>
        </w:rPr>
      </w:pPr>
      <w:r>
        <w:rPr>
          <w:rFonts w:ascii="宋体" w:hAnsi="宋体" w:eastAsia="宋体" w:cs="宋体"/>
          <w:spacing w:val="2"/>
          <w:sz w:val="24"/>
          <w:szCs w:val="24"/>
          <w:highlight w:val="none"/>
        </w:rPr>
        <w:t>《关于进一步加大政府采购支持中小企</w:t>
      </w:r>
      <w:r>
        <w:rPr>
          <w:rFonts w:ascii="宋体" w:hAnsi="宋体" w:eastAsia="宋体" w:cs="宋体"/>
          <w:spacing w:val="1"/>
          <w:sz w:val="24"/>
          <w:szCs w:val="24"/>
          <w:highlight w:val="none"/>
        </w:rPr>
        <w:t>业力度的通知》（财库〔2022〕19</w:t>
      </w:r>
      <w:r>
        <w:rPr>
          <w:rFonts w:ascii="宋体" w:hAnsi="宋体" w:eastAsia="宋体" w:cs="宋体"/>
          <w:sz w:val="24"/>
          <w:szCs w:val="24"/>
          <w:highlight w:val="none"/>
        </w:rPr>
        <w:t>号）、《政府采购促进中小企业发展管理办法》（财库〔2020〕46</w:t>
      </w:r>
      <w:r>
        <w:rPr>
          <w:rFonts w:ascii="宋体" w:hAnsi="宋体" w:eastAsia="宋体" w:cs="宋体"/>
          <w:spacing w:val="-45"/>
          <w:sz w:val="24"/>
          <w:szCs w:val="24"/>
          <w:highlight w:val="none"/>
        </w:rPr>
        <w:t xml:space="preserve"> </w:t>
      </w:r>
      <w:r>
        <w:rPr>
          <w:rFonts w:ascii="宋体" w:hAnsi="宋体" w:eastAsia="宋体" w:cs="宋体"/>
          <w:sz w:val="24"/>
          <w:szCs w:val="24"/>
          <w:highlight w:val="none"/>
        </w:rPr>
        <w:t>号）</w:t>
      </w:r>
      <w:r>
        <w:rPr>
          <w:rFonts w:ascii="宋体" w:hAnsi="宋体" w:eastAsia="宋体" w:cs="宋体"/>
          <w:spacing w:val="-1"/>
          <w:sz w:val="24"/>
          <w:szCs w:val="24"/>
          <w:highlight w:val="none"/>
        </w:rPr>
        <w:t>、《关于政府</w:t>
      </w:r>
      <w:r>
        <w:rPr>
          <w:rFonts w:ascii="宋体" w:hAnsi="宋体" w:eastAsia="宋体" w:cs="宋体"/>
          <w:sz w:val="24"/>
          <w:szCs w:val="24"/>
          <w:highlight w:val="none"/>
        </w:rPr>
        <w:t>采购支持监狱企业发展有关问题的通知》（财库〔2014〕68</w:t>
      </w:r>
      <w:r>
        <w:rPr>
          <w:rFonts w:ascii="宋体" w:hAnsi="宋体" w:eastAsia="宋体" w:cs="宋体"/>
          <w:spacing w:val="-45"/>
          <w:sz w:val="24"/>
          <w:szCs w:val="24"/>
          <w:highlight w:val="none"/>
        </w:rPr>
        <w:t xml:space="preserve"> </w:t>
      </w:r>
      <w:r>
        <w:rPr>
          <w:rFonts w:ascii="宋体" w:hAnsi="宋体" w:eastAsia="宋体" w:cs="宋体"/>
          <w:sz w:val="24"/>
          <w:szCs w:val="24"/>
          <w:highlight w:val="none"/>
        </w:rPr>
        <w:t>号）、《关</w:t>
      </w:r>
      <w:r>
        <w:rPr>
          <w:rFonts w:ascii="宋体" w:hAnsi="宋体" w:eastAsia="宋体" w:cs="宋体"/>
          <w:spacing w:val="-1"/>
          <w:sz w:val="24"/>
          <w:szCs w:val="24"/>
          <w:highlight w:val="none"/>
        </w:rPr>
        <w:t>于促进残疾人就业政府采购政策的通知》（财库〔2017〕141</w:t>
      </w:r>
      <w:r>
        <w:rPr>
          <w:rFonts w:ascii="宋体" w:hAnsi="宋体" w:eastAsia="宋体" w:cs="宋体"/>
          <w:spacing w:val="-43"/>
          <w:sz w:val="24"/>
          <w:szCs w:val="24"/>
          <w:highlight w:val="none"/>
        </w:rPr>
        <w:t xml:space="preserve"> </w:t>
      </w:r>
      <w:r>
        <w:rPr>
          <w:rFonts w:ascii="宋体" w:hAnsi="宋体" w:eastAsia="宋体" w:cs="宋体"/>
          <w:spacing w:val="-1"/>
          <w:sz w:val="24"/>
          <w:szCs w:val="24"/>
          <w:highlight w:val="none"/>
        </w:rPr>
        <w:t>号）。</w:t>
      </w:r>
    </w:p>
    <w:p w14:paraId="6B2C4DE5">
      <w:pPr>
        <w:spacing w:line="219" w:lineRule="auto"/>
        <w:ind w:left="486"/>
        <w:rPr>
          <w:rFonts w:ascii="宋体" w:hAnsi="宋体" w:eastAsia="宋体" w:cs="宋体"/>
          <w:sz w:val="24"/>
          <w:szCs w:val="24"/>
          <w:highlight w:val="none"/>
        </w:rPr>
      </w:pPr>
      <w:r>
        <w:rPr>
          <w:rFonts w:ascii="宋体" w:hAnsi="宋体" w:eastAsia="宋体" w:cs="宋体"/>
          <w:b/>
          <w:bCs/>
          <w:spacing w:val="-4"/>
          <w:sz w:val="24"/>
          <w:szCs w:val="24"/>
          <w:highlight w:val="none"/>
        </w:rPr>
        <w:t>3.4.3</w:t>
      </w:r>
      <w:r>
        <w:rPr>
          <w:rFonts w:ascii="宋体" w:hAnsi="宋体" w:eastAsia="宋体" w:cs="宋体"/>
          <w:spacing w:val="-44"/>
          <w:sz w:val="24"/>
          <w:szCs w:val="24"/>
          <w:highlight w:val="none"/>
        </w:rPr>
        <w:t xml:space="preserve"> </w:t>
      </w:r>
      <w:r>
        <w:rPr>
          <w:rFonts w:ascii="宋体" w:hAnsi="宋体" w:eastAsia="宋体" w:cs="宋体"/>
          <w:b/>
          <w:bCs/>
          <w:spacing w:val="-4"/>
          <w:sz w:val="24"/>
          <w:szCs w:val="24"/>
          <w:highlight w:val="none"/>
        </w:rPr>
        <w:t>支持本国产业政策</w:t>
      </w:r>
    </w:p>
    <w:p w14:paraId="063FF889">
      <w:pPr>
        <w:spacing w:before="182" w:line="360" w:lineRule="auto"/>
        <w:ind w:left="5" w:firstLine="717"/>
        <w:rPr>
          <w:rFonts w:ascii="宋体" w:hAnsi="宋体" w:eastAsia="宋体" w:cs="宋体"/>
          <w:sz w:val="24"/>
          <w:szCs w:val="24"/>
          <w:highlight w:val="none"/>
        </w:rPr>
      </w:pPr>
      <w:r>
        <w:rPr>
          <w:rFonts w:ascii="宋体" w:hAnsi="宋体" w:eastAsia="宋体" w:cs="宋体"/>
          <w:spacing w:val="2"/>
          <w:sz w:val="24"/>
          <w:szCs w:val="24"/>
          <w:highlight w:val="none"/>
        </w:rPr>
        <w:t>若本服务项目包括提供货物（产品）的，拒绝进口产品参加投标。本条款适合</w:t>
      </w:r>
      <w:r>
        <w:rPr>
          <w:rFonts w:ascii="宋体" w:hAnsi="宋体" w:eastAsia="宋体" w:cs="宋体"/>
          <w:spacing w:val="-1"/>
          <w:sz w:val="24"/>
          <w:szCs w:val="24"/>
          <w:highlight w:val="none"/>
        </w:rPr>
        <w:t>未经财政部门批准采购进口产品的项目。</w:t>
      </w:r>
    </w:p>
    <w:p w14:paraId="6FC1B48C">
      <w:pPr>
        <w:spacing w:before="115" w:line="221" w:lineRule="auto"/>
        <w:ind w:left="6"/>
        <w:rPr>
          <w:rFonts w:ascii="宋体" w:hAnsi="宋体" w:eastAsia="宋体" w:cs="宋体"/>
          <w:sz w:val="24"/>
          <w:szCs w:val="24"/>
          <w:highlight w:val="none"/>
        </w:rPr>
      </w:pPr>
      <w:r>
        <w:rPr>
          <w:rFonts w:ascii="宋体" w:hAnsi="宋体" w:eastAsia="宋体" w:cs="宋体"/>
          <w:b/>
          <w:bCs/>
          <w:spacing w:val="-7"/>
          <w:sz w:val="24"/>
          <w:szCs w:val="24"/>
          <w:highlight w:val="none"/>
        </w:rPr>
        <w:t>3.5</w:t>
      </w:r>
      <w:r>
        <w:rPr>
          <w:rFonts w:ascii="宋体" w:hAnsi="宋体" w:eastAsia="宋体" w:cs="宋体"/>
          <w:spacing w:val="-50"/>
          <w:sz w:val="24"/>
          <w:szCs w:val="24"/>
          <w:highlight w:val="none"/>
        </w:rPr>
        <w:t xml:space="preserve"> </w:t>
      </w:r>
      <w:r>
        <w:rPr>
          <w:rFonts w:ascii="宋体" w:hAnsi="宋体" w:eastAsia="宋体" w:cs="宋体"/>
          <w:b/>
          <w:bCs/>
          <w:spacing w:val="-7"/>
          <w:sz w:val="24"/>
          <w:szCs w:val="24"/>
          <w:highlight w:val="none"/>
        </w:rPr>
        <w:t>转包</w:t>
      </w:r>
    </w:p>
    <w:p w14:paraId="402246E0">
      <w:pPr>
        <w:spacing w:before="302" w:line="359" w:lineRule="auto"/>
        <w:ind w:firstLine="485"/>
        <w:jc w:val="both"/>
        <w:rPr>
          <w:rFonts w:ascii="宋体" w:hAnsi="宋体" w:eastAsia="宋体" w:cs="宋体"/>
          <w:sz w:val="24"/>
          <w:szCs w:val="24"/>
          <w:highlight w:val="none"/>
        </w:rPr>
      </w:pPr>
      <w:r>
        <w:rPr>
          <w:rFonts w:ascii="宋体" w:hAnsi="宋体" w:eastAsia="宋体" w:cs="宋体"/>
          <w:spacing w:val="2"/>
          <w:sz w:val="24"/>
          <w:szCs w:val="24"/>
          <w:highlight w:val="none"/>
        </w:rPr>
        <w:t>3.5.1 本项目严禁采取转包方式履行合同。本项目所</w:t>
      </w:r>
      <w:r>
        <w:rPr>
          <w:rFonts w:ascii="宋体" w:hAnsi="宋体" w:eastAsia="宋体" w:cs="宋体"/>
          <w:spacing w:val="1"/>
          <w:sz w:val="24"/>
          <w:szCs w:val="24"/>
          <w:highlight w:val="none"/>
        </w:rPr>
        <w:t>称转包，是指成交供应商将</w:t>
      </w:r>
      <w:r>
        <w:rPr>
          <w:rFonts w:ascii="宋体" w:hAnsi="宋体" w:eastAsia="宋体" w:cs="宋体"/>
          <w:spacing w:val="9"/>
          <w:sz w:val="24"/>
          <w:szCs w:val="24"/>
          <w:highlight w:val="none"/>
        </w:rPr>
        <w:t>政府采购合同业务转让给第三人，并退出现有政</w:t>
      </w:r>
      <w:r>
        <w:rPr>
          <w:rFonts w:ascii="宋体" w:hAnsi="宋体" w:eastAsia="宋体" w:cs="宋体"/>
          <w:spacing w:val="8"/>
          <w:sz w:val="24"/>
          <w:szCs w:val="24"/>
          <w:highlight w:val="none"/>
        </w:rPr>
        <w:t>府采购合同当事人双方权利业务关</w:t>
      </w:r>
      <w:r>
        <w:rPr>
          <w:rFonts w:ascii="宋体" w:hAnsi="宋体" w:eastAsia="宋体" w:cs="宋体"/>
          <w:sz w:val="24"/>
          <w:szCs w:val="24"/>
          <w:highlight w:val="none"/>
        </w:rPr>
        <w:t>系，受让人（即第三人）成为政府采购合同的</w:t>
      </w:r>
      <w:r>
        <w:rPr>
          <w:rFonts w:ascii="宋体" w:hAnsi="宋体" w:eastAsia="宋体" w:cs="宋体"/>
          <w:spacing w:val="-1"/>
          <w:sz w:val="24"/>
          <w:szCs w:val="24"/>
          <w:highlight w:val="none"/>
        </w:rPr>
        <w:t>另一方当事人的行为。</w:t>
      </w:r>
    </w:p>
    <w:p w14:paraId="13CDD542">
      <w:pPr>
        <w:spacing w:before="1" w:line="219" w:lineRule="auto"/>
        <w:ind w:left="483"/>
        <w:rPr>
          <w:rFonts w:ascii="宋体" w:hAnsi="宋体" w:eastAsia="宋体" w:cs="宋体"/>
          <w:sz w:val="24"/>
          <w:szCs w:val="24"/>
          <w:highlight w:val="none"/>
        </w:rPr>
      </w:pPr>
      <w:r>
        <w:rPr>
          <w:rFonts w:ascii="宋体" w:hAnsi="宋体" w:eastAsia="宋体" w:cs="宋体"/>
          <w:sz w:val="24"/>
          <w:szCs w:val="24"/>
          <w:highlight w:val="none"/>
        </w:rPr>
        <w:t>成交供应商转包的，视同拒绝履行政府采购合同</w:t>
      </w:r>
      <w:r>
        <w:rPr>
          <w:rFonts w:ascii="宋体" w:hAnsi="宋体" w:eastAsia="宋体" w:cs="宋体"/>
          <w:spacing w:val="-1"/>
          <w:sz w:val="24"/>
          <w:szCs w:val="24"/>
          <w:highlight w:val="none"/>
        </w:rPr>
        <w:t>业务，将依法追究法律责任。</w:t>
      </w:r>
    </w:p>
    <w:p w14:paraId="4B99454C">
      <w:pPr>
        <w:spacing w:before="301" w:line="219" w:lineRule="auto"/>
        <w:ind w:left="6"/>
        <w:rPr>
          <w:rFonts w:ascii="宋体" w:hAnsi="宋体" w:eastAsia="宋体" w:cs="宋体"/>
          <w:sz w:val="24"/>
          <w:szCs w:val="24"/>
          <w:highlight w:val="none"/>
        </w:rPr>
      </w:pPr>
      <w:r>
        <w:rPr>
          <w:rFonts w:ascii="宋体" w:hAnsi="宋体" w:eastAsia="宋体" w:cs="宋体"/>
          <w:b/>
          <w:bCs/>
          <w:spacing w:val="-5"/>
          <w:sz w:val="24"/>
          <w:szCs w:val="24"/>
          <w:highlight w:val="none"/>
        </w:rPr>
        <w:t>3.6</w:t>
      </w:r>
      <w:r>
        <w:rPr>
          <w:rFonts w:ascii="宋体" w:hAnsi="宋体" w:eastAsia="宋体" w:cs="宋体"/>
          <w:spacing w:val="-46"/>
          <w:sz w:val="24"/>
          <w:szCs w:val="24"/>
          <w:highlight w:val="none"/>
        </w:rPr>
        <w:t xml:space="preserve"> </w:t>
      </w:r>
      <w:r>
        <w:rPr>
          <w:rFonts w:ascii="宋体" w:hAnsi="宋体" w:eastAsia="宋体" w:cs="宋体"/>
          <w:b/>
          <w:bCs/>
          <w:spacing w:val="-5"/>
          <w:sz w:val="24"/>
          <w:szCs w:val="24"/>
          <w:highlight w:val="none"/>
        </w:rPr>
        <w:t>供应商的风险</w:t>
      </w:r>
    </w:p>
    <w:p w14:paraId="42EDB9B0">
      <w:pPr>
        <w:spacing w:before="301" w:line="360" w:lineRule="auto"/>
        <w:ind w:left="2" w:firstLine="479"/>
        <w:jc w:val="both"/>
        <w:rPr>
          <w:rFonts w:ascii="宋体" w:hAnsi="宋体" w:eastAsia="宋体" w:cs="宋体"/>
          <w:sz w:val="24"/>
          <w:szCs w:val="24"/>
          <w:highlight w:val="none"/>
        </w:rPr>
      </w:pPr>
      <w:r>
        <w:rPr>
          <w:rFonts w:ascii="宋体" w:hAnsi="宋体" w:eastAsia="宋体" w:cs="宋体"/>
          <w:spacing w:val="2"/>
          <w:sz w:val="24"/>
          <w:szCs w:val="24"/>
          <w:highlight w:val="none"/>
        </w:rPr>
        <w:t>供应商应认真阅读和充分理解征集文件中所有的事项、格式条款和规范</w:t>
      </w:r>
      <w:r>
        <w:rPr>
          <w:rFonts w:ascii="宋体" w:hAnsi="宋体" w:eastAsia="宋体" w:cs="宋体"/>
          <w:spacing w:val="1"/>
          <w:sz w:val="24"/>
          <w:szCs w:val="24"/>
          <w:highlight w:val="none"/>
        </w:rPr>
        <w:t>要求，任</w:t>
      </w:r>
      <w:r>
        <w:rPr>
          <w:rFonts w:ascii="宋体" w:hAnsi="宋体" w:eastAsia="宋体" w:cs="宋体"/>
          <w:spacing w:val="2"/>
          <w:sz w:val="24"/>
          <w:szCs w:val="24"/>
          <w:highlight w:val="none"/>
        </w:rPr>
        <w:t>何对征集文件的忽略或误解不能作为响应文件存在缺陷或瑕疵的理由</w:t>
      </w:r>
      <w:r>
        <w:rPr>
          <w:rFonts w:ascii="宋体" w:hAnsi="宋体" w:eastAsia="宋体" w:cs="宋体"/>
          <w:spacing w:val="1"/>
          <w:sz w:val="24"/>
          <w:szCs w:val="24"/>
          <w:highlight w:val="none"/>
        </w:rPr>
        <w:t>；供应商没有按</w:t>
      </w:r>
      <w:r>
        <w:rPr>
          <w:rFonts w:ascii="宋体" w:hAnsi="宋体" w:eastAsia="宋体" w:cs="宋体"/>
          <w:spacing w:val="2"/>
          <w:sz w:val="24"/>
          <w:szCs w:val="24"/>
          <w:highlight w:val="none"/>
        </w:rPr>
        <w:t>照征集文件要求提供全部资料，或对征集文件全面做出实质性响应是</w:t>
      </w:r>
      <w:r>
        <w:rPr>
          <w:rFonts w:ascii="宋体" w:hAnsi="宋体" w:eastAsia="宋体" w:cs="宋体"/>
          <w:spacing w:val="1"/>
          <w:sz w:val="24"/>
          <w:szCs w:val="24"/>
          <w:highlight w:val="none"/>
        </w:rPr>
        <w:t>供应商的风险，</w:t>
      </w:r>
      <w:r>
        <w:rPr>
          <w:rFonts w:ascii="宋体" w:hAnsi="宋体" w:eastAsia="宋体" w:cs="宋体"/>
          <w:spacing w:val="-1"/>
          <w:sz w:val="24"/>
          <w:szCs w:val="24"/>
          <w:highlight w:val="none"/>
        </w:rPr>
        <w:t>并可能导致其响应文件被拒绝。</w:t>
      </w:r>
    </w:p>
    <w:p w14:paraId="7AF40220">
      <w:pPr>
        <w:spacing w:before="117" w:line="219" w:lineRule="auto"/>
        <w:ind w:left="6"/>
        <w:rPr>
          <w:rFonts w:ascii="宋体" w:hAnsi="宋体" w:eastAsia="宋体" w:cs="宋体"/>
          <w:sz w:val="24"/>
          <w:szCs w:val="24"/>
          <w:highlight w:val="none"/>
        </w:rPr>
      </w:pPr>
      <w:r>
        <w:rPr>
          <w:rFonts w:ascii="宋体" w:hAnsi="宋体" w:eastAsia="宋体" w:cs="宋体"/>
          <w:b/>
          <w:bCs/>
          <w:spacing w:val="-4"/>
          <w:sz w:val="24"/>
          <w:szCs w:val="24"/>
          <w:highlight w:val="none"/>
        </w:rPr>
        <w:t>3.7</w:t>
      </w:r>
      <w:r>
        <w:rPr>
          <w:rFonts w:ascii="宋体" w:hAnsi="宋体" w:eastAsia="宋体" w:cs="宋体"/>
          <w:spacing w:val="-50"/>
          <w:sz w:val="24"/>
          <w:szCs w:val="24"/>
          <w:highlight w:val="none"/>
        </w:rPr>
        <w:t xml:space="preserve"> </w:t>
      </w:r>
      <w:r>
        <w:rPr>
          <w:rFonts w:ascii="宋体" w:hAnsi="宋体" w:eastAsia="宋体" w:cs="宋体"/>
          <w:b/>
          <w:bCs/>
          <w:spacing w:val="-4"/>
          <w:sz w:val="24"/>
          <w:szCs w:val="24"/>
          <w:highlight w:val="none"/>
        </w:rPr>
        <w:t>供应商的纪律要求</w:t>
      </w:r>
    </w:p>
    <w:p w14:paraId="4EBD75F1">
      <w:pPr>
        <w:spacing w:before="301" w:line="219" w:lineRule="auto"/>
        <w:ind w:left="482"/>
        <w:rPr>
          <w:rFonts w:ascii="宋体" w:hAnsi="宋体" w:eastAsia="宋体" w:cs="宋体"/>
          <w:sz w:val="24"/>
          <w:szCs w:val="24"/>
          <w:highlight w:val="none"/>
        </w:rPr>
      </w:pPr>
      <w:r>
        <w:rPr>
          <w:rFonts w:ascii="宋体" w:hAnsi="宋体" w:eastAsia="宋体" w:cs="宋体"/>
          <w:sz w:val="24"/>
          <w:szCs w:val="24"/>
          <w:highlight w:val="none"/>
        </w:rPr>
        <w:t>有下列情形之一的，属于不合格供应商，其</w:t>
      </w:r>
      <w:r>
        <w:rPr>
          <w:rFonts w:ascii="宋体" w:hAnsi="宋体" w:eastAsia="宋体" w:cs="宋体"/>
          <w:spacing w:val="-1"/>
          <w:sz w:val="24"/>
          <w:szCs w:val="24"/>
          <w:highlight w:val="none"/>
        </w:rPr>
        <w:t>投标或中标资格将被取消：</w:t>
      </w:r>
    </w:p>
    <w:p w14:paraId="2D187F82">
      <w:pPr>
        <w:spacing w:before="183" w:line="219" w:lineRule="auto"/>
        <w:ind w:left="474"/>
        <w:rPr>
          <w:rFonts w:ascii="宋体" w:hAnsi="宋体" w:eastAsia="宋体" w:cs="宋体"/>
          <w:sz w:val="24"/>
          <w:szCs w:val="24"/>
          <w:highlight w:val="none"/>
        </w:rPr>
      </w:pPr>
      <w:r>
        <w:rPr>
          <w:rFonts w:ascii="宋体" w:hAnsi="宋体" w:eastAsia="宋体" w:cs="宋体"/>
          <w:spacing w:val="-2"/>
          <w:sz w:val="24"/>
          <w:szCs w:val="24"/>
          <w:highlight w:val="none"/>
        </w:rPr>
        <w:t>（1）提供虚假材料谋取中标；</w:t>
      </w:r>
    </w:p>
    <w:p w14:paraId="06B20F91">
      <w:pPr>
        <w:spacing w:before="184" w:line="219" w:lineRule="auto"/>
        <w:ind w:left="474"/>
        <w:rPr>
          <w:rFonts w:ascii="宋体" w:hAnsi="宋体" w:eastAsia="宋体" w:cs="宋体"/>
          <w:sz w:val="24"/>
          <w:szCs w:val="24"/>
          <w:highlight w:val="none"/>
        </w:rPr>
      </w:pPr>
      <w:r>
        <w:rPr>
          <w:rFonts w:ascii="宋体" w:hAnsi="宋体" w:eastAsia="宋体" w:cs="宋体"/>
          <w:spacing w:val="-2"/>
          <w:sz w:val="24"/>
          <w:szCs w:val="24"/>
          <w:highlight w:val="none"/>
        </w:rPr>
        <w:t>（2）提供假冒伪劣产品；</w:t>
      </w:r>
    </w:p>
    <w:p w14:paraId="1290959D">
      <w:pPr>
        <w:spacing w:before="181" w:line="219" w:lineRule="auto"/>
        <w:ind w:left="474"/>
        <w:rPr>
          <w:rFonts w:ascii="宋体" w:hAnsi="宋体" w:eastAsia="宋体" w:cs="宋体"/>
          <w:sz w:val="24"/>
          <w:szCs w:val="24"/>
          <w:highlight w:val="none"/>
        </w:rPr>
      </w:pPr>
      <w:r>
        <w:rPr>
          <w:rFonts w:ascii="宋体" w:hAnsi="宋体" w:eastAsia="宋体" w:cs="宋体"/>
          <w:spacing w:val="-1"/>
          <w:sz w:val="24"/>
          <w:szCs w:val="24"/>
          <w:highlight w:val="none"/>
        </w:rPr>
        <w:t>（3）采取不正当手段诋毁、排挤其他供应商；</w:t>
      </w:r>
    </w:p>
    <w:p w14:paraId="4AB7C51C">
      <w:pPr>
        <w:spacing w:before="180" w:line="219"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（4）与征集人、采购代理机构、其他供应商恶意串通；</w:t>
      </w:r>
    </w:p>
    <w:p w14:paraId="3678AF82">
      <w:pPr>
        <w:spacing w:before="184" w:line="290" w:lineRule="auto"/>
        <w:ind w:left="3" w:firstLine="489"/>
        <w:rPr>
          <w:rFonts w:ascii="宋体" w:hAnsi="宋体" w:eastAsia="宋体" w:cs="宋体"/>
          <w:sz w:val="24"/>
          <w:szCs w:val="24"/>
          <w:highlight w:val="none"/>
        </w:rPr>
      </w:pPr>
      <w:r>
        <w:rPr>
          <w:rFonts w:ascii="宋体" w:hAnsi="宋体" w:eastAsia="宋体" w:cs="宋体"/>
          <w:spacing w:val="10"/>
          <w:sz w:val="24"/>
          <w:szCs w:val="24"/>
          <w:highlight w:val="none"/>
        </w:rPr>
        <w:t>（5）</w:t>
      </w:r>
      <w:r>
        <w:rPr>
          <w:rFonts w:ascii="宋体" w:hAnsi="宋体" w:eastAsia="宋体" w:cs="宋体"/>
          <w:spacing w:val="-43"/>
          <w:sz w:val="24"/>
          <w:szCs w:val="24"/>
          <w:highlight w:val="none"/>
        </w:rPr>
        <w:t xml:space="preserve"> </w:t>
      </w:r>
      <w:r>
        <w:rPr>
          <w:rFonts w:ascii="宋体" w:hAnsi="宋体" w:eastAsia="宋体" w:cs="宋体"/>
          <w:spacing w:val="10"/>
          <w:sz w:val="24"/>
          <w:szCs w:val="24"/>
          <w:highlight w:val="none"/>
        </w:rPr>
        <w:t>向征集人、采购代理机构、评标委员会成员行贿或者提供其他不正当利</w:t>
      </w:r>
      <w:r>
        <w:rPr>
          <w:rFonts w:ascii="宋体" w:hAnsi="宋体" w:eastAsia="宋体" w:cs="宋体"/>
          <w:spacing w:val="-6"/>
          <w:sz w:val="24"/>
          <w:szCs w:val="24"/>
          <w:highlight w:val="none"/>
        </w:rPr>
        <w:t>益；</w:t>
      </w:r>
    </w:p>
    <w:p w14:paraId="0ACD4B85">
      <w:pPr>
        <w:spacing w:before="48" w:line="219" w:lineRule="auto"/>
        <w:ind w:left="473"/>
        <w:rPr>
          <w:rFonts w:ascii="宋体" w:hAnsi="宋体" w:eastAsia="宋体" w:cs="宋体"/>
          <w:sz w:val="24"/>
          <w:szCs w:val="24"/>
          <w:highlight w:val="none"/>
        </w:rPr>
      </w:pPr>
      <w:r>
        <w:rPr>
          <w:rFonts w:ascii="宋体" w:hAnsi="宋体" w:eastAsia="宋体" w:cs="宋体"/>
          <w:spacing w:val="-1"/>
          <w:sz w:val="24"/>
          <w:szCs w:val="24"/>
          <w:highlight w:val="none"/>
        </w:rPr>
        <w:t>（6）在招标过程中与征集人、采购代理机构进行协商谈判；</w:t>
      </w:r>
    </w:p>
    <w:p w14:paraId="564E2A66">
      <w:pPr>
        <w:spacing w:before="183"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（7）拒绝有关部门的监督检查或者向监督检查部门提供虚假情况；</w:t>
      </w:r>
    </w:p>
    <w:p w14:paraId="58E16E63">
      <w:pPr>
        <w:spacing w:before="180" w:line="220"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（8）法律法规规定的其他情形。</w:t>
      </w:r>
    </w:p>
    <w:p w14:paraId="49AB817A">
      <w:pPr>
        <w:spacing w:before="302" w:line="220" w:lineRule="auto"/>
        <w:rPr>
          <w:rFonts w:ascii="宋体" w:hAnsi="宋体" w:eastAsia="宋体" w:cs="宋体"/>
          <w:sz w:val="24"/>
          <w:szCs w:val="24"/>
          <w:highlight w:val="none"/>
        </w:rPr>
      </w:pPr>
      <w:r>
        <w:rPr>
          <w:rFonts w:ascii="宋体" w:hAnsi="宋体" w:eastAsia="宋体" w:cs="宋体"/>
          <w:b/>
          <w:bCs/>
          <w:spacing w:val="-4"/>
          <w:sz w:val="24"/>
          <w:szCs w:val="24"/>
          <w:highlight w:val="none"/>
        </w:rPr>
        <w:t>4.响应文件</w:t>
      </w:r>
    </w:p>
    <w:p w14:paraId="4F74E614">
      <w:pPr>
        <w:spacing w:before="299" w:line="220" w:lineRule="auto"/>
        <w:outlineLvl w:val="2"/>
        <w:rPr>
          <w:rFonts w:ascii="宋体" w:hAnsi="宋体" w:eastAsia="宋体" w:cs="宋体"/>
          <w:sz w:val="24"/>
          <w:szCs w:val="24"/>
          <w:highlight w:val="none"/>
        </w:rPr>
      </w:pPr>
      <w:r>
        <w:rPr>
          <w:rFonts w:ascii="宋体" w:hAnsi="宋体" w:eastAsia="宋体" w:cs="宋体"/>
          <w:b/>
          <w:bCs/>
          <w:spacing w:val="-5"/>
          <w:sz w:val="24"/>
          <w:szCs w:val="24"/>
          <w:highlight w:val="none"/>
        </w:rPr>
        <w:t>4.1</w:t>
      </w:r>
      <w:r>
        <w:rPr>
          <w:rFonts w:ascii="宋体" w:hAnsi="宋体" w:eastAsia="宋体" w:cs="宋体"/>
          <w:spacing w:val="-28"/>
          <w:sz w:val="24"/>
          <w:szCs w:val="24"/>
          <w:highlight w:val="none"/>
        </w:rPr>
        <w:t xml:space="preserve"> </w:t>
      </w:r>
      <w:r>
        <w:rPr>
          <w:rFonts w:ascii="宋体" w:hAnsi="宋体" w:eastAsia="宋体" w:cs="宋体"/>
          <w:b/>
          <w:bCs/>
          <w:spacing w:val="-5"/>
          <w:sz w:val="24"/>
          <w:szCs w:val="24"/>
          <w:highlight w:val="none"/>
        </w:rPr>
        <w:t>响应文件的编制要求</w:t>
      </w:r>
    </w:p>
    <w:p w14:paraId="70C9CD97">
      <w:pPr>
        <w:spacing w:before="304" w:line="331" w:lineRule="auto"/>
        <w:ind w:firstLine="459"/>
        <w:rPr>
          <w:rFonts w:ascii="宋体" w:hAnsi="宋体" w:eastAsia="宋体" w:cs="宋体"/>
          <w:sz w:val="24"/>
          <w:szCs w:val="24"/>
          <w:highlight w:val="none"/>
        </w:rPr>
      </w:pPr>
      <w:r>
        <w:rPr>
          <w:rFonts w:ascii="宋体" w:hAnsi="宋体" w:eastAsia="宋体" w:cs="宋体"/>
          <w:spacing w:val="2"/>
          <w:sz w:val="24"/>
          <w:szCs w:val="24"/>
          <w:highlight w:val="none"/>
        </w:rPr>
        <w:t>4.1.1 供应商应当仔细阅读征集文件的所有事项、格式、条件和要求，并按照征</w:t>
      </w:r>
      <w:r>
        <w:rPr>
          <w:rFonts w:ascii="宋体" w:hAnsi="宋体" w:eastAsia="宋体" w:cs="宋体"/>
          <w:spacing w:val="9"/>
          <w:sz w:val="24"/>
          <w:szCs w:val="24"/>
          <w:highlight w:val="none"/>
        </w:rPr>
        <w:t>集文件要求编制响应文件。响应文件应当对征</w:t>
      </w:r>
      <w:r>
        <w:rPr>
          <w:rFonts w:ascii="宋体" w:hAnsi="宋体" w:eastAsia="宋体" w:cs="宋体"/>
          <w:spacing w:val="8"/>
          <w:sz w:val="24"/>
          <w:szCs w:val="24"/>
          <w:highlight w:val="none"/>
        </w:rPr>
        <w:t>集文件提出的要求和条件作出明确响</w:t>
      </w:r>
      <w:r>
        <w:rPr>
          <w:rFonts w:ascii="宋体" w:hAnsi="宋体" w:eastAsia="宋体" w:cs="宋体"/>
          <w:spacing w:val="2"/>
          <w:sz w:val="24"/>
          <w:szCs w:val="24"/>
          <w:highlight w:val="none"/>
        </w:rPr>
        <w:t>应，在满足征集文件实质性要求的基础上，可以提出比征集文件要求更</w:t>
      </w:r>
      <w:r>
        <w:rPr>
          <w:rFonts w:ascii="宋体" w:hAnsi="宋体" w:eastAsia="宋体" w:cs="宋体"/>
          <w:spacing w:val="1"/>
          <w:sz w:val="24"/>
          <w:szCs w:val="24"/>
          <w:highlight w:val="none"/>
        </w:rPr>
        <w:t>有利于征集人</w:t>
      </w:r>
      <w:r>
        <w:rPr>
          <w:rFonts w:ascii="宋体" w:hAnsi="宋体" w:eastAsia="宋体" w:cs="宋体"/>
          <w:spacing w:val="2"/>
          <w:sz w:val="24"/>
          <w:szCs w:val="24"/>
          <w:highlight w:val="none"/>
        </w:rPr>
        <w:t>的承诺。若本项目分包的，应当以包为单位投标，不得在其中选项投标</w:t>
      </w:r>
      <w:r>
        <w:rPr>
          <w:rFonts w:ascii="宋体" w:hAnsi="宋体" w:eastAsia="宋体" w:cs="宋体"/>
          <w:spacing w:val="1"/>
          <w:sz w:val="24"/>
          <w:szCs w:val="24"/>
          <w:highlight w:val="none"/>
        </w:rPr>
        <w:t>或将其中内容</w:t>
      </w:r>
      <w:r>
        <w:rPr>
          <w:rFonts w:ascii="宋体" w:hAnsi="宋体" w:eastAsia="宋体" w:cs="宋体"/>
          <w:spacing w:val="-1"/>
          <w:sz w:val="24"/>
          <w:szCs w:val="24"/>
          <w:highlight w:val="none"/>
        </w:rPr>
        <w:t>再行分解，否则投标无效。</w:t>
      </w:r>
    </w:p>
    <w:p w14:paraId="50862507">
      <w:pPr>
        <w:spacing w:before="179" w:line="220" w:lineRule="auto"/>
        <w:ind w:left="480"/>
        <w:rPr>
          <w:rFonts w:ascii="宋体" w:hAnsi="宋体" w:eastAsia="宋体" w:cs="宋体"/>
          <w:sz w:val="24"/>
          <w:szCs w:val="24"/>
          <w:highlight w:val="none"/>
        </w:rPr>
      </w:pPr>
      <w:r>
        <w:rPr>
          <w:rFonts w:ascii="宋体" w:hAnsi="宋体" w:eastAsia="宋体" w:cs="宋体"/>
          <w:b/>
          <w:bCs/>
          <w:spacing w:val="-3"/>
          <w:sz w:val="24"/>
          <w:szCs w:val="24"/>
          <w:highlight w:val="none"/>
        </w:rPr>
        <w:t>4.1.2</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真实性原则</w:t>
      </w:r>
    </w:p>
    <w:p w14:paraId="1283425B">
      <w:pPr>
        <w:spacing w:before="181" w:line="291" w:lineRule="auto"/>
        <w:ind w:right="2" w:firstLine="719"/>
        <w:rPr>
          <w:rFonts w:ascii="宋体" w:hAnsi="宋体" w:eastAsia="宋体" w:cs="宋体"/>
          <w:sz w:val="24"/>
          <w:szCs w:val="24"/>
          <w:highlight w:val="none"/>
        </w:rPr>
      </w:pPr>
      <w:r>
        <w:rPr>
          <w:rFonts w:ascii="宋体" w:hAnsi="宋体" w:eastAsia="宋体" w:cs="宋体"/>
          <w:spacing w:val="2"/>
          <w:sz w:val="24"/>
          <w:szCs w:val="24"/>
          <w:highlight w:val="none"/>
        </w:rPr>
        <w:t>4.1.2.1 供应商应保证所提供的响应文件和所有资料的真</w:t>
      </w:r>
      <w:r>
        <w:rPr>
          <w:rFonts w:ascii="宋体" w:hAnsi="宋体" w:eastAsia="宋体" w:cs="宋体"/>
          <w:spacing w:val="1"/>
          <w:sz w:val="24"/>
          <w:szCs w:val="24"/>
          <w:highlight w:val="none"/>
        </w:rPr>
        <w:t>实性、准确性和完整</w:t>
      </w:r>
      <w:r>
        <w:rPr>
          <w:rFonts w:ascii="宋体" w:hAnsi="宋体" w:eastAsia="宋体" w:cs="宋体"/>
          <w:spacing w:val="-5"/>
          <w:sz w:val="24"/>
          <w:szCs w:val="24"/>
          <w:highlight w:val="none"/>
        </w:rPr>
        <w:t>性。</w:t>
      </w:r>
    </w:p>
    <w:p w14:paraId="3C2C0444">
      <w:pPr>
        <w:spacing w:before="178" w:line="313" w:lineRule="auto"/>
        <w:ind w:left="5" w:firstLine="714"/>
        <w:rPr>
          <w:rFonts w:ascii="宋体" w:hAnsi="宋体" w:eastAsia="宋体" w:cs="宋体"/>
          <w:sz w:val="24"/>
          <w:szCs w:val="24"/>
          <w:highlight w:val="none"/>
        </w:rPr>
      </w:pPr>
      <w:r>
        <w:rPr>
          <w:rFonts w:ascii="宋体" w:hAnsi="宋体" w:eastAsia="宋体" w:cs="宋体"/>
          <w:spacing w:val="2"/>
          <w:sz w:val="24"/>
          <w:szCs w:val="24"/>
          <w:highlight w:val="none"/>
        </w:rPr>
        <w:t>4.1.2.2 供应商被认定为在政府采购活动中提供不真实材料的</w:t>
      </w:r>
      <w:r>
        <w:rPr>
          <w:rFonts w:ascii="宋体" w:hAnsi="宋体" w:eastAsia="宋体" w:cs="宋体"/>
          <w:spacing w:val="1"/>
          <w:sz w:val="24"/>
          <w:szCs w:val="24"/>
          <w:highlight w:val="none"/>
        </w:rPr>
        <w:t>，无论其材料是</w:t>
      </w:r>
      <w:r>
        <w:rPr>
          <w:rFonts w:ascii="宋体" w:hAnsi="宋体" w:eastAsia="宋体" w:cs="宋体"/>
          <w:spacing w:val="2"/>
          <w:sz w:val="24"/>
          <w:szCs w:val="24"/>
          <w:highlight w:val="none"/>
        </w:rPr>
        <w:t>否重要，征集人均有权拒绝，并取消其投标或中标资格，供</w:t>
      </w:r>
      <w:r>
        <w:rPr>
          <w:rFonts w:ascii="宋体" w:hAnsi="宋体" w:eastAsia="宋体" w:cs="宋体"/>
          <w:spacing w:val="1"/>
          <w:sz w:val="24"/>
          <w:szCs w:val="24"/>
          <w:highlight w:val="none"/>
        </w:rPr>
        <w:t>应商需承担相应的法律后</w:t>
      </w:r>
      <w:r>
        <w:rPr>
          <w:rFonts w:ascii="宋体" w:hAnsi="宋体" w:eastAsia="宋体" w:cs="宋体"/>
          <w:spacing w:val="-8"/>
          <w:sz w:val="24"/>
          <w:szCs w:val="24"/>
          <w:highlight w:val="none"/>
        </w:rPr>
        <w:t>果。</w:t>
      </w:r>
    </w:p>
    <w:p w14:paraId="5344292B">
      <w:pPr>
        <w:spacing w:before="181" w:line="219" w:lineRule="auto"/>
        <w:ind w:left="480"/>
        <w:rPr>
          <w:rFonts w:hint="default" w:ascii="宋体" w:hAnsi="宋体" w:eastAsia="宋体" w:cs="宋体"/>
          <w:sz w:val="24"/>
          <w:szCs w:val="24"/>
          <w:highlight w:val="none"/>
          <w:lang w:val="en-US" w:eastAsia="zh-CN"/>
        </w:rPr>
      </w:pPr>
      <w:r>
        <w:rPr>
          <w:rFonts w:ascii="宋体" w:hAnsi="宋体" w:eastAsia="宋体" w:cs="宋体"/>
          <w:b/>
          <w:bCs/>
          <w:spacing w:val="-3"/>
          <w:sz w:val="24"/>
          <w:szCs w:val="24"/>
          <w:highlight w:val="none"/>
        </w:rPr>
        <w:t>4.1.3</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投标</w:t>
      </w:r>
      <w:r>
        <w:rPr>
          <w:rFonts w:hint="eastAsia" w:ascii="宋体" w:hAnsi="宋体" w:eastAsia="宋体" w:cs="宋体"/>
          <w:b/>
          <w:bCs/>
          <w:spacing w:val="-3"/>
          <w:sz w:val="24"/>
          <w:szCs w:val="24"/>
          <w:highlight w:val="none"/>
          <w:lang w:val="en-US" w:eastAsia="zh-CN"/>
        </w:rPr>
        <w:t>报价响应</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val="en-US" w:eastAsia="zh-CN"/>
        </w:rPr>
        <w:t>详见供应商须知</w:t>
      </w:r>
    </w:p>
    <w:p w14:paraId="7AE678EE">
      <w:pPr>
        <w:spacing w:before="184" w:line="220" w:lineRule="auto"/>
        <w:ind w:left="482"/>
        <w:rPr>
          <w:rFonts w:ascii="宋体" w:hAnsi="宋体" w:eastAsia="宋体" w:cs="宋体"/>
          <w:sz w:val="24"/>
          <w:szCs w:val="24"/>
          <w:highlight w:val="none"/>
        </w:rPr>
      </w:pPr>
      <w:r>
        <w:rPr>
          <w:rFonts w:ascii="宋体" w:hAnsi="宋体" w:eastAsia="宋体" w:cs="宋体"/>
          <w:b/>
          <w:bCs/>
          <w:spacing w:val="-5"/>
          <w:sz w:val="24"/>
          <w:szCs w:val="24"/>
          <w:highlight w:val="none"/>
        </w:rPr>
        <w:t>4.1.4</w:t>
      </w:r>
      <w:r>
        <w:rPr>
          <w:rFonts w:ascii="宋体" w:hAnsi="宋体" w:eastAsia="宋体" w:cs="宋体"/>
          <w:spacing w:val="25"/>
          <w:sz w:val="24"/>
          <w:szCs w:val="24"/>
          <w:highlight w:val="none"/>
        </w:rPr>
        <w:t xml:space="preserve"> </w:t>
      </w:r>
      <w:r>
        <w:rPr>
          <w:rFonts w:ascii="宋体" w:hAnsi="宋体" w:eastAsia="宋体" w:cs="宋体"/>
          <w:b/>
          <w:bCs/>
          <w:spacing w:val="-5"/>
          <w:sz w:val="24"/>
          <w:szCs w:val="24"/>
          <w:highlight w:val="none"/>
        </w:rPr>
        <w:t>响应文件形式</w:t>
      </w:r>
    </w:p>
    <w:p w14:paraId="5B9470CA">
      <w:pPr>
        <w:spacing w:before="180" w:line="359" w:lineRule="auto"/>
        <w:ind w:left="4" w:firstLine="717"/>
        <w:rPr>
          <w:rFonts w:ascii="宋体" w:hAnsi="宋体" w:eastAsia="宋体" w:cs="宋体"/>
          <w:sz w:val="24"/>
          <w:szCs w:val="24"/>
          <w:highlight w:val="none"/>
        </w:rPr>
      </w:pPr>
      <w:r>
        <w:rPr>
          <w:rFonts w:ascii="宋体" w:hAnsi="宋体" w:eastAsia="宋体" w:cs="宋体"/>
          <w:spacing w:val="2"/>
          <w:sz w:val="24"/>
          <w:szCs w:val="24"/>
          <w:highlight w:val="none"/>
        </w:rPr>
        <w:t>本项目响应文件应采用书面文件形式，电报、传真、电子邮件形式的响应文件</w:t>
      </w:r>
      <w:r>
        <w:rPr>
          <w:rFonts w:ascii="宋体" w:hAnsi="宋体" w:eastAsia="宋体" w:cs="宋体"/>
          <w:spacing w:val="-3"/>
          <w:sz w:val="24"/>
          <w:szCs w:val="24"/>
          <w:highlight w:val="none"/>
        </w:rPr>
        <w:t>不予接受。</w:t>
      </w:r>
    </w:p>
    <w:p w14:paraId="21C71EBD">
      <w:pPr>
        <w:spacing w:before="1" w:line="220" w:lineRule="auto"/>
        <w:ind w:left="480"/>
        <w:rPr>
          <w:rFonts w:ascii="宋体" w:hAnsi="宋体" w:eastAsia="宋体" w:cs="宋体"/>
          <w:sz w:val="24"/>
          <w:szCs w:val="24"/>
          <w:highlight w:val="none"/>
        </w:rPr>
      </w:pPr>
      <w:r>
        <w:rPr>
          <w:rFonts w:ascii="宋体" w:hAnsi="宋体" w:eastAsia="宋体" w:cs="宋体"/>
          <w:b/>
          <w:bCs/>
          <w:spacing w:val="-3"/>
          <w:sz w:val="24"/>
          <w:szCs w:val="24"/>
          <w:highlight w:val="none"/>
        </w:rPr>
        <w:t>4.1.5</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备选方案</w:t>
      </w:r>
    </w:p>
    <w:p w14:paraId="65181674">
      <w:pPr>
        <w:spacing w:before="181" w:line="313" w:lineRule="auto"/>
        <w:ind w:firstLine="719"/>
        <w:rPr>
          <w:rFonts w:ascii="宋体" w:hAnsi="宋体" w:eastAsia="宋体" w:cs="宋体"/>
          <w:sz w:val="24"/>
          <w:szCs w:val="24"/>
          <w:highlight w:val="none"/>
        </w:rPr>
      </w:pPr>
      <w:r>
        <w:rPr>
          <w:rFonts w:ascii="宋体" w:hAnsi="宋体" w:eastAsia="宋体" w:cs="宋体"/>
          <w:spacing w:val="2"/>
          <w:sz w:val="24"/>
          <w:szCs w:val="24"/>
          <w:highlight w:val="none"/>
        </w:rPr>
        <w:t>4.1.5.1 除供应商须知前附表规定允许外，供应商不得递交备</w:t>
      </w:r>
      <w:r>
        <w:rPr>
          <w:rFonts w:ascii="宋体" w:hAnsi="宋体" w:eastAsia="宋体" w:cs="宋体"/>
          <w:spacing w:val="1"/>
          <w:sz w:val="24"/>
          <w:szCs w:val="24"/>
          <w:highlight w:val="none"/>
        </w:rPr>
        <w:t>选投标方案，响</w:t>
      </w:r>
      <w:r>
        <w:rPr>
          <w:rFonts w:ascii="宋体" w:hAnsi="宋体" w:eastAsia="宋体" w:cs="宋体"/>
          <w:spacing w:val="9"/>
          <w:sz w:val="24"/>
          <w:szCs w:val="24"/>
          <w:highlight w:val="none"/>
        </w:rPr>
        <w:t>应文件的报价只允许有一个报价，不接受具有</w:t>
      </w:r>
      <w:r>
        <w:rPr>
          <w:rFonts w:ascii="宋体" w:hAnsi="宋体" w:eastAsia="宋体" w:cs="宋体"/>
          <w:spacing w:val="8"/>
          <w:sz w:val="24"/>
          <w:szCs w:val="24"/>
          <w:highlight w:val="none"/>
        </w:rPr>
        <w:t>附加条件的报价，否则，视为无效投</w:t>
      </w:r>
      <w:r>
        <w:rPr>
          <w:rFonts w:ascii="宋体" w:hAnsi="宋体" w:eastAsia="宋体" w:cs="宋体"/>
          <w:spacing w:val="-5"/>
          <w:sz w:val="24"/>
          <w:szCs w:val="24"/>
          <w:highlight w:val="none"/>
        </w:rPr>
        <w:t>标。</w:t>
      </w:r>
    </w:p>
    <w:p w14:paraId="217223C1">
      <w:pPr>
        <w:spacing w:before="177" w:line="360" w:lineRule="auto"/>
        <w:ind w:left="1" w:firstLine="718"/>
        <w:rPr>
          <w:rFonts w:ascii="宋体" w:hAnsi="宋体" w:eastAsia="宋体" w:cs="宋体"/>
          <w:sz w:val="24"/>
          <w:szCs w:val="24"/>
          <w:highlight w:val="none"/>
        </w:rPr>
      </w:pPr>
      <w:r>
        <w:rPr>
          <w:rFonts w:ascii="宋体" w:hAnsi="宋体" w:eastAsia="宋体" w:cs="宋体"/>
          <w:spacing w:val="2"/>
          <w:sz w:val="24"/>
          <w:szCs w:val="24"/>
          <w:highlight w:val="none"/>
        </w:rPr>
        <w:t>4.1.5.2 允许供应商递交备选投标方案的，只有成交供应商所</w:t>
      </w:r>
      <w:r>
        <w:rPr>
          <w:rFonts w:ascii="宋体" w:hAnsi="宋体" w:eastAsia="宋体" w:cs="宋体"/>
          <w:spacing w:val="1"/>
          <w:sz w:val="24"/>
          <w:szCs w:val="24"/>
          <w:highlight w:val="none"/>
        </w:rPr>
        <w:t>递交的备选投标</w:t>
      </w:r>
      <w:r>
        <w:rPr>
          <w:rFonts w:ascii="宋体" w:hAnsi="宋体" w:eastAsia="宋体" w:cs="宋体"/>
          <w:spacing w:val="2"/>
          <w:sz w:val="24"/>
          <w:szCs w:val="24"/>
          <w:highlight w:val="none"/>
        </w:rPr>
        <w:t>方案方可予以考虑。评标委员会认为成交供应商的备选投标方案优于</w:t>
      </w:r>
      <w:r>
        <w:rPr>
          <w:rFonts w:ascii="宋体" w:hAnsi="宋体" w:eastAsia="宋体" w:cs="宋体"/>
          <w:spacing w:val="1"/>
          <w:sz w:val="24"/>
          <w:szCs w:val="24"/>
          <w:highlight w:val="none"/>
        </w:rPr>
        <w:t>其按照征集文件</w:t>
      </w:r>
      <w:r>
        <w:rPr>
          <w:rFonts w:ascii="宋体" w:hAnsi="宋体" w:eastAsia="宋体" w:cs="宋体"/>
          <w:spacing w:val="-1"/>
          <w:sz w:val="24"/>
          <w:szCs w:val="24"/>
          <w:highlight w:val="none"/>
        </w:rPr>
        <w:t>要求编制的投标方案的，征集人可以接受该备选方案。</w:t>
      </w:r>
    </w:p>
    <w:p w14:paraId="085FB549">
      <w:pPr>
        <w:spacing w:before="47" w:line="360" w:lineRule="auto"/>
        <w:ind w:left="1" w:firstLine="732" w:firstLineChars="300"/>
        <w:rPr>
          <w:rFonts w:ascii="宋体" w:hAnsi="宋体" w:eastAsia="宋体" w:cs="宋体"/>
          <w:sz w:val="24"/>
          <w:szCs w:val="24"/>
          <w:highlight w:val="none"/>
        </w:rPr>
      </w:pPr>
      <w:r>
        <w:rPr>
          <w:rFonts w:ascii="宋体" w:hAnsi="宋体" w:eastAsia="宋体" w:cs="宋体"/>
          <w:spacing w:val="2"/>
          <w:sz w:val="24"/>
          <w:szCs w:val="24"/>
          <w:highlight w:val="none"/>
        </w:rPr>
        <w:t>4.1.5.3 供应商提供两个或两个以上申请报价，或者在响</w:t>
      </w:r>
      <w:r>
        <w:rPr>
          <w:rFonts w:ascii="宋体" w:hAnsi="宋体" w:eastAsia="宋体" w:cs="宋体"/>
          <w:spacing w:val="1"/>
          <w:sz w:val="24"/>
          <w:szCs w:val="24"/>
          <w:highlight w:val="none"/>
        </w:rPr>
        <w:t>应文件中提供一个报</w:t>
      </w:r>
      <w:r>
        <w:rPr>
          <w:rFonts w:ascii="宋体" w:hAnsi="宋体" w:eastAsia="宋体" w:cs="宋体"/>
          <w:spacing w:val="-1"/>
          <w:sz w:val="24"/>
          <w:szCs w:val="24"/>
          <w:highlight w:val="none"/>
        </w:rPr>
        <w:t>价，但同时提供两个或两个以上供货方案的，视为提供备选方案。</w:t>
      </w:r>
    </w:p>
    <w:p w14:paraId="568C67B3">
      <w:pPr>
        <w:spacing w:before="303" w:line="220" w:lineRule="auto"/>
        <w:rPr>
          <w:rFonts w:ascii="宋体" w:hAnsi="宋体" w:eastAsia="宋体" w:cs="宋体"/>
          <w:sz w:val="24"/>
          <w:szCs w:val="24"/>
          <w:highlight w:val="none"/>
        </w:rPr>
      </w:pPr>
      <w:r>
        <w:rPr>
          <w:rFonts w:ascii="宋体" w:hAnsi="宋体" w:eastAsia="宋体" w:cs="宋体"/>
          <w:b/>
          <w:bCs/>
          <w:spacing w:val="-5"/>
          <w:sz w:val="24"/>
          <w:szCs w:val="24"/>
          <w:highlight w:val="none"/>
        </w:rPr>
        <w:t>4.2</w:t>
      </w:r>
      <w:r>
        <w:rPr>
          <w:rFonts w:ascii="宋体" w:hAnsi="宋体" w:eastAsia="宋体" w:cs="宋体"/>
          <w:spacing w:val="24"/>
          <w:sz w:val="24"/>
          <w:szCs w:val="24"/>
          <w:highlight w:val="none"/>
        </w:rPr>
        <w:t xml:space="preserve"> </w:t>
      </w:r>
      <w:r>
        <w:rPr>
          <w:rFonts w:ascii="宋体" w:hAnsi="宋体" w:eastAsia="宋体" w:cs="宋体"/>
          <w:b/>
          <w:bCs/>
          <w:spacing w:val="-5"/>
          <w:sz w:val="24"/>
          <w:szCs w:val="24"/>
          <w:highlight w:val="none"/>
        </w:rPr>
        <w:t>响应文件的组成</w:t>
      </w:r>
    </w:p>
    <w:p w14:paraId="6FD90338">
      <w:pPr>
        <w:spacing w:before="299" w:line="220" w:lineRule="auto"/>
        <w:ind w:left="470"/>
        <w:rPr>
          <w:rFonts w:ascii="宋体" w:hAnsi="宋体" w:eastAsia="宋体" w:cs="宋体"/>
          <w:sz w:val="24"/>
          <w:szCs w:val="24"/>
          <w:highlight w:val="none"/>
        </w:rPr>
      </w:pPr>
      <w:r>
        <w:rPr>
          <w:rFonts w:ascii="宋体" w:hAnsi="宋体" w:eastAsia="宋体" w:cs="宋体"/>
          <w:spacing w:val="-2"/>
          <w:sz w:val="24"/>
          <w:szCs w:val="24"/>
          <w:highlight w:val="none"/>
        </w:rPr>
        <w:t>4.2.1</w:t>
      </w:r>
      <w:r>
        <w:rPr>
          <w:rFonts w:ascii="宋体" w:hAnsi="宋体" w:eastAsia="宋体" w:cs="宋体"/>
          <w:spacing w:val="-36"/>
          <w:sz w:val="24"/>
          <w:szCs w:val="24"/>
          <w:highlight w:val="none"/>
        </w:rPr>
        <w:t xml:space="preserve"> </w:t>
      </w:r>
      <w:r>
        <w:rPr>
          <w:rFonts w:ascii="宋体" w:hAnsi="宋体" w:eastAsia="宋体" w:cs="宋体"/>
          <w:spacing w:val="-2"/>
          <w:sz w:val="24"/>
          <w:szCs w:val="24"/>
          <w:highlight w:val="none"/>
        </w:rPr>
        <w:t>响应文件由下列文件组成：</w:t>
      </w:r>
    </w:p>
    <w:p w14:paraId="2ECDA962">
      <w:pPr>
        <w:spacing w:before="182" w:line="219" w:lineRule="auto"/>
        <w:ind w:left="600"/>
        <w:rPr>
          <w:rFonts w:ascii="宋体" w:hAnsi="宋体" w:eastAsia="宋体" w:cs="宋体"/>
          <w:sz w:val="24"/>
          <w:szCs w:val="24"/>
          <w:highlight w:val="none"/>
        </w:rPr>
      </w:pPr>
      <w:r>
        <w:rPr>
          <w:rFonts w:ascii="宋体" w:hAnsi="宋体" w:eastAsia="宋体" w:cs="宋体"/>
          <w:b/>
          <w:bCs/>
          <w:spacing w:val="-2"/>
          <w:sz w:val="24"/>
          <w:szCs w:val="24"/>
          <w:highlight w:val="none"/>
        </w:rPr>
        <w:t>第一部分</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供应商基本资格条件证明材料</w:t>
      </w:r>
    </w:p>
    <w:p w14:paraId="79094AE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(1)提供合格有效的法人或者其他组织的营业执照等证明文件，自然人的身份证明；</w:t>
      </w:r>
    </w:p>
    <w:p w14:paraId="2EC81F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(2)提供法定代表人授权书（附法定代表人、被授权人身份证复印件），法定代表人直接参加投标，须提供法定代表人身份证明及身份证复印件）；</w:t>
      </w:r>
    </w:p>
    <w:p w14:paraId="43DDE4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(3)提供投标截止日前近一年内任意一个月的纳税证明或完税证明（任意税种），依法免税的单位应提供相关证明材料；</w:t>
      </w:r>
    </w:p>
    <w:p w14:paraId="3A76C0E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(4)提供投标截止日前一年内已缴存的至少一个月的社会保障资金缴存单据或社保机构开具的社会保险参保缴费情况证明，依法不需要缴纳社会保障资金的单位应提供相关证明材料；</w:t>
      </w:r>
    </w:p>
    <w:p w14:paraId="61E71D9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(5)财务状况：提供递交投标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p w14:paraId="35160AC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11D754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(7)参加政府采购活动前3年内，在经营活动中没有重大违法记录的书面声明;</w:t>
      </w:r>
    </w:p>
    <w:p w14:paraId="0A1FCFB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(8)提供具有履行合同所必需的设备和专业技术能力的书面承诺；</w:t>
      </w:r>
    </w:p>
    <w:p w14:paraId="7B61C6D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(9)本项目专门面向中小企业采购，提供中小企业声明函；</w:t>
      </w:r>
    </w:p>
    <w:p w14:paraId="481EDF7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left"/>
        <w:textAlignment w:val="baseline"/>
        <w:rPr>
          <w:rFonts w:hint="default" w:asciiTheme="minorEastAsia"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（10）控股管理关系：提供直接控股和管理关系清单。若与其他供应商存在单位负责人为同一人或者存在直接控股、管理关系的，则投标无效；</w:t>
      </w:r>
    </w:p>
    <w:p w14:paraId="69FF42A4">
      <w:pPr>
        <w:spacing w:before="178" w:line="220" w:lineRule="auto"/>
        <w:ind w:left="480"/>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w:t>
      </w: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11</w:t>
      </w: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)本项目不接受联合体投标（提供承诺书）；</w:t>
      </w:r>
    </w:p>
    <w:p w14:paraId="4E4814E3">
      <w:pPr>
        <w:spacing w:before="178" w:line="220" w:lineRule="auto"/>
        <w:ind w:left="480"/>
        <w:rPr>
          <w:rFonts w:ascii="宋体" w:hAnsi="宋体" w:eastAsia="宋体" w:cs="宋体"/>
          <w:sz w:val="24"/>
          <w:szCs w:val="24"/>
          <w:highlight w:val="none"/>
        </w:rPr>
      </w:pPr>
      <w:r>
        <w:rPr>
          <w:rFonts w:ascii="宋体" w:hAnsi="宋体" w:eastAsia="宋体" w:cs="宋体"/>
          <w:b/>
          <w:bCs/>
          <w:spacing w:val="-3"/>
          <w:sz w:val="24"/>
          <w:szCs w:val="24"/>
          <w:highlight w:val="none"/>
        </w:rPr>
        <w:t>第二部分</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符合性证明文件</w:t>
      </w:r>
    </w:p>
    <w:p w14:paraId="3D5338CE">
      <w:pPr>
        <w:spacing w:before="182" w:line="220" w:lineRule="auto"/>
        <w:ind w:left="978"/>
        <w:rPr>
          <w:rFonts w:ascii="宋体" w:hAnsi="宋体" w:eastAsia="宋体" w:cs="宋体"/>
          <w:sz w:val="24"/>
          <w:szCs w:val="24"/>
          <w:highlight w:val="none"/>
        </w:rPr>
      </w:pPr>
      <w:r>
        <w:rPr>
          <w:rFonts w:ascii="宋体" w:hAnsi="宋体" w:eastAsia="宋体" w:cs="宋体"/>
          <w:spacing w:val="-4"/>
          <w:sz w:val="24"/>
          <w:szCs w:val="24"/>
          <w:highlight w:val="none"/>
        </w:rPr>
        <w:t>1、申请函格式</w:t>
      </w:r>
    </w:p>
    <w:p w14:paraId="2CD5A0D7">
      <w:pPr>
        <w:spacing w:before="180" w:line="221" w:lineRule="auto"/>
        <w:ind w:left="963"/>
        <w:rPr>
          <w:rFonts w:ascii="宋体" w:hAnsi="宋体" w:eastAsia="宋体" w:cs="宋体"/>
          <w:sz w:val="24"/>
          <w:szCs w:val="24"/>
          <w:highlight w:val="none"/>
        </w:rPr>
      </w:pPr>
      <w:r>
        <w:rPr>
          <w:rFonts w:ascii="宋体" w:hAnsi="宋体" w:eastAsia="宋体" w:cs="宋体"/>
          <w:spacing w:val="-2"/>
          <w:sz w:val="24"/>
          <w:szCs w:val="24"/>
          <w:highlight w:val="none"/>
        </w:rPr>
        <w:t>2、开标一览表</w:t>
      </w:r>
    </w:p>
    <w:p w14:paraId="45BF8F69">
      <w:pPr>
        <w:spacing w:before="181" w:line="220" w:lineRule="auto"/>
        <w:ind w:left="965"/>
        <w:rPr>
          <w:rFonts w:ascii="宋体" w:hAnsi="宋体" w:eastAsia="宋体" w:cs="宋体"/>
          <w:sz w:val="24"/>
          <w:szCs w:val="24"/>
          <w:highlight w:val="none"/>
        </w:rPr>
      </w:pPr>
      <w:r>
        <w:rPr>
          <w:rFonts w:ascii="宋体" w:hAnsi="宋体" w:eastAsia="宋体" w:cs="宋体"/>
          <w:spacing w:val="-2"/>
          <w:sz w:val="24"/>
          <w:szCs w:val="24"/>
          <w:highlight w:val="none"/>
        </w:rPr>
        <w:t>3、商务条款偏离表</w:t>
      </w:r>
    </w:p>
    <w:p w14:paraId="05E7DDC0">
      <w:pPr>
        <w:spacing w:before="179" w:line="220" w:lineRule="auto"/>
        <w:ind w:left="480"/>
        <w:rPr>
          <w:rFonts w:ascii="宋体" w:hAnsi="宋体" w:eastAsia="宋体" w:cs="宋体"/>
          <w:sz w:val="24"/>
          <w:szCs w:val="24"/>
          <w:highlight w:val="none"/>
        </w:rPr>
      </w:pPr>
      <w:r>
        <w:rPr>
          <w:rFonts w:ascii="宋体" w:hAnsi="宋体" w:eastAsia="宋体" w:cs="宋体"/>
          <w:b/>
          <w:bCs/>
          <w:spacing w:val="-9"/>
          <w:sz w:val="24"/>
          <w:szCs w:val="24"/>
          <w:highlight w:val="none"/>
        </w:rPr>
        <w:t>第三部分</w:t>
      </w:r>
      <w:r>
        <w:rPr>
          <w:rFonts w:ascii="宋体" w:hAnsi="宋体" w:eastAsia="宋体" w:cs="宋体"/>
          <w:spacing w:val="48"/>
          <w:sz w:val="24"/>
          <w:szCs w:val="24"/>
          <w:highlight w:val="none"/>
        </w:rPr>
        <w:t xml:space="preserve"> </w:t>
      </w:r>
      <w:r>
        <w:rPr>
          <w:rFonts w:ascii="宋体" w:hAnsi="宋体" w:eastAsia="宋体" w:cs="宋体"/>
          <w:b/>
          <w:bCs/>
          <w:spacing w:val="-9"/>
          <w:sz w:val="24"/>
          <w:szCs w:val="24"/>
          <w:highlight w:val="none"/>
        </w:rPr>
        <w:t>申请方案</w:t>
      </w:r>
    </w:p>
    <w:p w14:paraId="2CA163DC">
      <w:pPr>
        <w:spacing w:before="182" w:line="220" w:lineRule="auto"/>
        <w:ind w:left="978"/>
        <w:rPr>
          <w:rFonts w:ascii="宋体" w:hAnsi="宋体" w:eastAsia="宋体" w:cs="宋体"/>
          <w:sz w:val="24"/>
          <w:szCs w:val="24"/>
          <w:highlight w:val="none"/>
        </w:rPr>
      </w:pPr>
      <w:r>
        <w:rPr>
          <w:rFonts w:ascii="宋体" w:hAnsi="宋体" w:eastAsia="宋体" w:cs="宋体"/>
          <w:spacing w:val="-5"/>
          <w:sz w:val="24"/>
          <w:szCs w:val="24"/>
          <w:highlight w:val="none"/>
        </w:rPr>
        <w:t>1、技术方案</w:t>
      </w:r>
    </w:p>
    <w:p w14:paraId="5BB23D53">
      <w:pPr>
        <w:spacing w:before="180" w:line="219" w:lineRule="auto"/>
        <w:ind w:left="963"/>
        <w:rPr>
          <w:rFonts w:ascii="宋体" w:hAnsi="宋体" w:eastAsia="宋体" w:cs="宋体"/>
          <w:sz w:val="24"/>
          <w:szCs w:val="24"/>
          <w:highlight w:val="none"/>
        </w:rPr>
      </w:pPr>
      <w:r>
        <w:rPr>
          <w:rFonts w:ascii="宋体" w:hAnsi="宋体" w:eastAsia="宋体" w:cs="宋体"/>
          <w:spacing w:val="-1"/>
          <w:sz w:val="24"/>
          <w:szCs w:val="24"/>
          <w:highlight w:val="none"/>
        </w:rPr>
        <w:t>2、供应商认为有利于入围的其他情况说明</w:t>
      </w:r>
    </w:p>
    <w:p w14:paraId="769E1B69">
      <w:pPr>
        <w:spacing w:before="184" w:line="219" w:lineRule="auto"/>
        <w:ind w:left="965"/>
        <w:rPr>
          <w:rFonts w:ascii="宋体" w:hAnsi="宋体" w:eastAsia="宋体" w:cs="宋体"/>
          <w:sz w:val="24"/>
          <w:szCs w:val="24"/>
          <w:highlight w:val="none"/>
        </w:rPr>
      </w:pPr>
      <w:r>
        <w:rPr>
          <w:rFonts w:ascii="宋体" w:hAnsi="宋体" w:eastAsia="宋体" w:cs="宋体"/>
          <w:spacing w:val="-1"/>
          <w:sz w:val="24"/>
          <w:szCs w:val="24"/>
          <w:highlight w:val="none"/>
        </w:rPr>
        <w:t>3、享受政府采购优惠政策的证明材料</w:t>
      </w:r>
    </w:p>
    <w:p w14:paraId="1F91E47E">
      <w:pPr>
        <w:spacing w:before="183" w:line="219" w:lineRule="auto"/>
        <w:ind w:left="960"/>
        <w:rPr>
          <w:rFonts w:ascii="宋体" w:hAnsi="宋体" w:eastAsia="宋体" w:cs="宋体"/>
          <w:sz w:val="24"/>
          <w:szCs w:val="24"/>
          <w:highlight w:val="none"/>
        </w:rPr>
      </w:pPr>
      <w:r>
        <w:rPr>
          <w:rFonts w:ascii="宋体" w:hAnsi="宋体" w:eastAsia="宋体" w:cs="宋体"/>
          <w:spacing w:val="-2"/>
          <w:sz w:val="24"/>
          <w:szCs w:val="24"/>
          <w:highlight w:val="none"/>
        </w:rPr>
        <w:t>4、其他证明材料</w:t>
      </w:r>
    </w:p>
    <w:p w14:paraId="64B0183E">
      <w:pPr>
        <w:spacing w:before="181" w:line="360" w:lineRule="auto"/>
        <w:ind w:left="2" w:firstLine="468"/>
        <w:rPr>
          <w:rFonts w:ascii="宋体" w:hAnsi="宋体" w:eastAsia="宋体" w:cs="宋体"/>
          <w:sz w:val="24"/>
          <w:szCs w:val="24"/>
          <w:highlight w:val="none"/>
        </w:rPr>
      </w:pPr>
      <w:r>
        <w:rPr>
          <w:rFonts w:ascii="宋体" w:hAnsi="宋体" w:eastAsia="宋体" w:cs="宋体"/>
          <w:spacing w:val="2"/>
          <w:sz w:val="24"/>
          <w:szCs w:val="24"/>
          <w:highlight w:val="none"/>
        </w:rPr>
        <w:t>供应商在评审过程中作出的符合法律法规和征集文件规定的澄清确认，构成响应</w:t>
      </w:r>
      <w:r>
        <w:rPr>
          <w:rFonts w:ascii="宋体" w:hAnsi="宋体" w:eastAsia="宋体" w:cs="宋体"/>
          <w:spacing w:val="-2"/>
          <w:sz w:val="24"/>
          <w:szCs w:val="24"/>
          <w:highlight w:val="none"/>
        </w:rPr>
        <w:t>文件的组成部分</w:t>
      </w:r>
    </w:p>
    <w:p w14:paraId="3F8F8CA8">
      <w:pPr>
        <w:spacing w:before="116" w:line="219" w:lineRule="auto"/>
        <w:rPr>
          <w:rFonts w:ascii="宋体" w:hAnsi="宋体" w:eastAsia="宋体" w:cs="宋体"/>
          <w:sz w:val="24"/>
          <w:szCs w:val="24"/>
          <w:highlight w:val="none"/>
        </w:rPr>
      </w:pPr>
      <w:r>
        <w:rPr>
          <w:rFonts w:ascii="宋体" w:hAnsi="宋体" w:eastAsia="宋体" w:cs="宋体"/>
          <w:b/>
          <w:bCs/>
          <w:spacing w:val="-9"/>
          <w:sz w:val="24"/>
          <w:szCs w:val="24"/>
          <w:highlight w:val="none"/>
        </w:rPr>
        <w:t>4.3</w:t>
      </w:r>
      <w:r>
        <w:rPr>
          <w:rFonts w:ascii="宋体" w:hAnsi="宋体" w:eastAsia="宋体" w:cs="宋体"/>
          <w:spacing w:val="40"/>
          <w:sz w:val="24"/>
          <w:szCs w:val="24"/>
          <w:highlight w:val="none"/>
        </w:rPr>
        <w:t xml:space="preserve"> </w:t>
      </w:r>
      <w:r>
        <w:rPr>
          <w:rFonts w:ascii="宋体" w:hAnsi="宋体" w:eastAsia="宋体" w:cs="宋体"/>
          <w:b/>
          <w:bCs/>
          <w:spacing w:val="-9"/>
          <w:sz w:val="24"/>
          <w:szCs w:val="24"/>
          <w:highlight w:val="none"/>
        </w:rPr>
        <w:t>申请报价</w:t>
      </w:r>
    </w:p>
    <w:p w14:paraId="3858B3E0">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default"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pPr>
      <w:r>
        <w:rPr>
          <w:rFonts w:ascii="宋体" w:hAnsi="宋体" w:eastAsia="宋体" w:cs="宋体"/>
          <w:spacing w:val="1"/>
          <w:sz w:val="24"/>
          <w:szCs w:val="24"/>
          <w:highlight w:val="none"/>
        </w:rPr>
        <w:t>4.3.1</w:t>
      </w: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按照陕西省考古研究院基本建设考古调查、勘探、发掘经费预算定额管理办法（试行）。（其中包括民工费、机械费、临时建筑设施费、管理费、安全保卫费、不可预见费等文物发掘工作除技术外的所有费用）</w:t>
      </w:r>
      <w:r>
        <w:rPr>
          <w:rFonts w:hint="eastAsia" w:ascii="微软雅黑" w:hAnsi="微软雅黑" w:eastAsia="微软雅黑" w:cs="微软雅黑"/>
          <w:i w:val="0"/>
          <w:iCs w:val="0"/>
          <w:caps w:val="0"/>
          <w:color w:val="000000"/>
          <w:spacing w:val="0"/>
          <w:sz w:val="24"/>
          <w:szCs w:val="24"/>
          <w:highlight w:val="none"/>
          <w:u w:val="single"/>
          <w:shd w:val="clear" w:fill="FFFFFF"/>
          <w:vertAlign w:val="baseline"/>
          <w:lang w:val="en-US" w:eastAsia="zh-CN"/>
        </w:rPr>
        <w:t>×</w:t>
      </w: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100%，超过最高限价（100%），按无效文件处理。</w:t>
      </w:r>
    </w:p>
    <w:p w14:paraId="2565769D">
      <w:pPr>
        <w:spacing w:line="359" w:lineRule="auto"/>
        <w:ind w:left="2" w:firstLine="477"/>
        <w:rPr>
          <w:rFonts w:ascii="宋体" w:hAnsi="宋体" w:eastAsia="宋体" w:cs="宋体"/>
          <w:sz w:val="24"/>
          <w:szCs w:val="24"/>
          <w:highlight w:val="none"/>
        </w:rPr>
      </w:pPr>
      <w:r>
        <w:rPr>
          <w:rFonts w:ascii="宋体" w:hAnsi="宋体" w:eastAsia="宋体" w:cs="宋体"/>
          <w:spacing w:val="3"/>
          <w:sz w:val="24"/>
          <w:szCs w:val="24"/>
          <w:highlight w:val="none"/>
        </w:rPr>
        <w:t>4.3.2</w:t>
      </w:r>
      <w:r>
        <w:rPr>
          <w:rFonts w:ascii="宋体" w:hAnsi="宋体" w:eastAsia="宋体" w:cs="宋体"/>
          <w:spacing w:val="-42"/>
          <w:sz w:val="24"/>
          <w:szCs w:val="24"/>
          <w:highlight w:val="none"/>
        </w:rPr>
        <w:t xml:space="preserve"> </w:t>
      </w:r>
      <w:r>
        <w:rPr>
          <w:rFonts w:ascii="宋体" w:hAnsi="宋体" w:eastAsia="宋体" w:cs="宋体"/>
          <w:spacing w:val="3"/>
          <w:sz w:val="24"/>
          <w:szCs w:val="24"/>
          <w:highlight w:val="none"/>
        </w:rPr>
        <w:t>供应商应严格按照《响应文件构成及格式》中《报价一览表》中的相关要</w:t>
      </w:r>
      <w:r>
        <w:rPr>
          <w:rFonts w:ascii="宋体" w:hAnsi="宋体" w:eastAsia="宋体" w:cs="宋体"/>
          <w:sz w:val="24"/>
          <w:szCs w:val="24"/>
          <w:highlight w:val="none"/>
        </w:rPr>
        <w:t>求</w:t>
      </w:r>
    </w:p>
    <w:p w14:paraId="3FEE9169">
      <w:pPr>
        <w:spacing w:line="218"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填写报价及其他需要响应的内容。</w:t>
      </w:r>
    </w:p>
    <w:p w14:paraId="12BB5C5A">
      <w:pPr>
        <w:spacing w:before="180" w:line="219" w:lineRule="auto"/>
        <w:ind w:left="480"/>
        <w:rPr>
          <w:rFonts w:hint="eastAsia" w:ascii="宋体" w:hAnsi="宋体" w:eastAsia="宋体" w:cs="宋体"/>
          <w:sz w:val="24"/>
          <w:szCs w:val="24"/>
          <w:highlight w:val="none"/>
          <w:lang w:eastAsia="zh-CN"/>
        </w:rPr>
      </w:pPr>
      <w:r>
        <w:rPr>
          <w:rFonts w:ascii="宋体" w:hAnsi="宋体" w:eastAsia="宋体" w:cs="宋体"/>
          <w:spacing w:val="-3"/>
          <w:sz w:val="24"/>
          <w:szCs w:val="24"/>
          <w:highlight w:val="none"/>
        </w:rPr>
        <w:t>4.3.3</w:t>
      </w:r>
      <w:r>
        <w:rPr>
          <w:rFonts w:ascii="宋体" w:hAnsi="宋体" w:eastAsia="宋体" w:cs="宋体"/>
          <w:spacing w:val="50"/>
          <w:sz w:val="24"/>
          <w:szCs w:val="24"/>
          <w:highlight w:val="none"/>
        </w:rPr>
        <w:t xml:space="preserve"> </w:t>
      </w:r>
      <w:r>
        <w:rPr>
          <w:rFonts w:ascii="宋体" w:hAnsi="宋体" w:eastAsia="宋体" w:cs="宋体"/>
          <w:spacing w:val="-3"/>
          <w:sz w:val="24"/>
          <w:szCs w:val="24"/>
          <w:highlight w:val="none"/>
        </w:rPr>
        <w:t>申请报价</w:t>
      </w:r>
      <w:r>
        <w:rPr>
          <w:rFonts w:hint="eastAsia" w:ascii="宋体" w:hAnsi="宋体" w:eastAsia="宋体" w:cs="宋体"/>
          <w:spacing w:val="-3"/>
          <w:sz w:val="24"/>
          <w:szCs w:val="24"/>
          <w:highlight w:val="none"/>
          <w:lang w:eastAsia="zh-CN"/>
        </w:rPr>
        <w:t>：</w:t>
      </w:r>
    </w:p>
    <w:p w14:paraId="6B87D979">
      <w:pPr>
        <w:spacing w:before="185" w:line="289" w:lineRule="auto"/>
        <w:ind w:left="1" w:firstLine="478"/>
        <w:rPr>
          <w:rFonts w:ascii="宋体" w:hAnsi="宋体" w:eastAsia="宋体" w:cs="宋体"/>
          <w:sz w:val="24"/>
          <w:szCs w:val="24"/>
          <w:highlight w:val="none"/>
        </w:rPr>
      </w:pPr>
      <w:r>
        <w:rPr>
          <w:rFonts w:ascii="宋体" w:hAnsi="宋体" w:eastAsia="宋体" w:cs="宋体"/>
          <w:spacing w:val="1"/>
          <w:sz w:val="24"/>
          <w:szCs w:val="24"/>
          <w:highlight w:val="none"/>
        </w:rPr>
        <w:t>4.3.4</w:t>
      </w:r>
      <w:r>
        <w:rPr>
          <w:rFonts w:ascii="宋体" w:hAnsi="宋体" w:eastAsia="宋体" w:cs="宋体"/>
          <w:spacing w:val="43"/>
          <w:sz w:val="24"/>
          <w:szCs w:val="24"/>
          <w:highlight w:val="none"/>
        </w:rPr>
        <w:t xml:space="preserve"> </w:t>
      </w:r>
      <w:r>
        <w:rPr>
          <w:rFonts w:ascii="宋体" w:hAnsi="宋体" w:eastAsia="宋体" w:cs="宋体"/>
          <w:spacing w:val="1"/>
          <w:sz w:val="24"/>
          <w:szCs w:val="24"/>
          <w:highlight w:val="none"/>
        </w:rPr>
        <w:t>申请报价只能提交唯一报价，并且在合同履行过</w:t>
      </w:r>
      <w:r>
        <w:rPr>
          <w:rFonts w:ascii="宋体" w:hAnsi="宋体" w:eastAsia="宋体" w:cs="宋体"/>
          <w:sz w:val="24"/>
          <w:szCs w:val="24"/>
          <w:highlight w:val="none"/>
        </w:rPr>
        <w:t>程中是固定不变的，任何</w:t>
      </w:r>
      <w:r>
        <w:rPr>
          <w:rFonts w:ascii="宋体" w:hAnsi="宋体" w:eastAsia="宋体" w:cs="宋体"/>
          <w:spacing w:val="-1"/>
          <w:sz w:val="24"/>
          <w:szCs w:val="24"/>
          <w:highlight w:val="none"/>
        </w:rPr>
        <w:t>有选择的报价将不予接受，按无效响应处理。</w:t>
      </w:r>
    </w:p>
    <w:p w14:paraId="79667330">
      <w:pPr>
        <w:spacing w:before="180" w:line="289" w:lineRule="auto"/>
        <w:ind w:left="2" w:firstLine="477"/>
        <w:rPr>
          <w:rFonts w:ascii="宋体" w:hAnsi="宋体" w:eastAsia="宋体" w:cs="宋体"/>
          <w:sz w:val="24"/>
          <w:szCs w:val="24"/>
          <w:highlight w:val="none"/>
        </w:rPr>
      </w:pPr>
      <w:r>
        <w:rPr>
          <w:rFonts w:ascii="宋体" w:hAnsi="宋体" w:eastAsia="宋体" w:cs="宋体"/>
          <w:spacing w:val="2"/>
          <w:sz w:val="24"/>
          <w:szCs w:val="24"/>
          <w:highlight w:val="none"/>
        </w:rPr>
        <w:t>4.3.5 因供应商对征集文件理解不透、误解、疏漏或对市场行情</w:t>
      </w:r>
      <w:r>
        <w:rPr>
          <w:rFonts w:ascii="宋体" w:hAnsi="宋体" w:eastAsia="宋体" w:cs="宋体"/>
          <w:spacing w:val="1"/>
          <w:sz w:val="24"/>
          <w:szCs w:val="24"/>
          <w:highlight w:val="none"/>
        </w:rPr>
        <w:t>了解不清造成的</w:t>
      </w:r>
      <w:r>
        <w:rPr>
          <w:rFonts w:ascii="宋体" w:hAnsi="宋体" w:eastAsia="宋体" w:cs="宋体"/>
          <w:spacing w:val="-1"/>
          <w:sz w:val="24"/>
          <w:szCs w:val="24"/>
          <w:highlight w:val="none"/>
        </w:rPr>
        <w:t>后果和风险，均由供应商自己负责。</w:t>
      </w:r>
    </w:p>
    <w:p w14:paraId="34B19F03">
      <w:pPr>
        <w:spacing w:before="303" w:line="220" w:lineRule="auto"/>
        <w:rPr>
          <w:rFonts w:ascii="宋体" w:hAnsi="宋体" w:eastAsia="宋体" w:cs="宋体"/>
          <w:sz w:val="24"/>
          <w:szCs w:val="24"/>
          <w:highlight w:val="none"/>
        </w:rPr>
      </w:pPr>
      <w:r>
        <w:rPr>
          <w:rFonts w:ascii="宋体" w:hAnsi="宋体" w:eastAsia="宋体" w:cs="宋体"/>
          <w:b/>
          <w:bCs/>
          <w:spacing w:val="-5"/>
          <w:sz w:val="24"/>
          <w:szCs w:val="24"/>
          <w:highlight w:val="none"/>
        </w:rPr>
        <w:t>4.4</w:t>
      </w:r>
      <w:r>
        <w:rPr>
          <w:rFonts w:ascii="宋体" w:hAnsi="宋体" w:eastAsia="宋体" w:cs="宋体"/>
          <w:spacing w:val="-38"/>
          <w:sz w:val="24"/>
          <w:szCs w:val="24"/>
          <w:highlight w:val="none"/>
        </w:rPr>
        <w:t xml:space="preserve"> </w:t>
      </w:r>
      <w:r>
        <w:rPr>
          <w:rFonts w:ascii="宋体" w:hAnsi="宋体" w:eastAsia="宋体" w:cs="宋体"/>
          <w:b/>
          <w:bCs/>
          <w:spacing w:val="-5"/>
          <w:sz w:val="24"/>
          <w:szCs w:val="24"/>
          <w:highlight w:val="none"/>
        </w:rPr>
        <w:t>响应文件有效期</w:t>
      </w:r>
    </w:p>
    <w:p w14:paraId="468C6FB1">
      <w:pPr>
        <w:spacing w:before="304" w:line="331" w:lineRule="auto"/>
        <w:ind w:left="19" w:firstLine="480"/>
        <w:rPr>
          <w:rFonts w:ascii="宋体" w:hAnsi="宋体" w:eastAsia="宋体" w:cs="宋体"/>
          <w:sz w:val="24"/>
          <w:szCs w:val="24"/>
          <w:highlight w:val="none"/>
        </w:rPr>
      </w:pPr>
      <w:r>
        <w:rPr>
          <w:rFonts w:ascii="宋体" w:hAnsi="宋体" w:eastAsia="宋体" w:cs="宋体"/>
          <w:spacing w:val="2"/>
          <w:sz w:val="24"/>
          <w:szCs w:val="24"/>
          <w:highlight w:val="none"/>
        </w:rPr>
        <w:t>4.4.1</w:t>
      </w:r>
      <w:r>
        <w:rPr>
          <w:rFonts w:ascii="宋体" w:hAnsi="宋体" w:eastAsia="宋体" w:cs="宋体"/>
          <w:spacing w:val="-24"/>
          <w:sz w:val="24"/>
          <w:szCs w:val="24"/>
          <w:highlight w:val="none"/>
        </w:rPr>
        <w:t xml:space="preserve"> </w:t>
      </w:r>
      <w:r>
        <w:rPr>
          <w:rFonts w:ascii="宋体" w:hAnsi="宋体" w:eastAsia="宋体" w:cs="宋体"/>
          <w:spacing w:val="2"/>
          <w:sz w:val="24"/>
          <w:szCs w:val="24"/>
          <w:highlight w:val="none"/>
        </w:rPr>
        <w:t>响应文件有效期见供应商须知前附表。响应文件有效期见供应商须知前附</w:t>
      </w:r>
      <w:r>
        <w:rPr>
          <w:rFonts w:ascii="宋体" w:hAnsi="宋体" w:eastAsia="宋体" w:cs="宋体"/>
          <w:spacing w:val="1"/>
          <w:sz w:val="24"/>
          <w:szCs w:val="24"/>
          <w:highlight w:val="none"/>
        </w:rPr>
        <w:t>表。在此期间响应文件对供应商具有法律约束力，从</w:t>
      </w:r>
      <w:r>
        <w:rPr>
          <w:rFonts w:ascii="宋体" w:hAnsi="宋体" w:eastAsia="宋体" w:cs="宋体"/>
          <w:b/>
          <w:bCs/>
          <w:spacing w:val="1"/>
          <w:sz w:val="24"/>
          <w:szCs w:val="24"/>
          <w:highlight w:val="none"/>
        </w:rPr>
        <w:t>供应</w:t>
      </w:r>
      <w:r>
        <w:rPr>
          <w:rFonts w:ascii="宋体" w:hAnsi="宋体" w:eastAsia="宋体" w:cs="宋体"/>
          <w:b/>
          <w:bCs/>
          <w:sz w:val="24"/>
          <w:szCs w:val="24"/>
          <w:highlight w:val="none"/>
        </w:rPr>
        <w:t>商须知前附表规定</w:t>
      </w:r>
      <w:r>
        <w:rPr>
          <w:rFonts w:ascii="宋体" w:hAnsi="宋体" w:eastAsia="宋体" w:cs="宋体"/>
          <w:sz w:val="24"/>
          <w:szCs w:val="24"/>
          <w:highlight w:val="none"/>
        </w:rPr>
        <w:t>的递交响</w:t>
      </w:r>
      <w:r>
        <w:rPr>
          <w:rFonts w:ascii="宋体" w:hAnsi="宋体" w:eastAsia="宋体" w:cs="宋体"/>
          <w:spacing w:val="1"/>
          <w:sz w:val="24"/>
          <w:szCs w:val="24"/>
          <w:highlight w:val="none"/>
        </w:rPr>
        <w:t>应文件截止时间之日起计算。响应文件中必须载明响应文件有效期，载明的响应文件有效期可以长于征集文件规定的期限，但不得短于征集文件规定的期限，否则属于非</w:t>
      </w:r>
      <w:r>
        <w:rPr>
          <w:rFonts w:ascii="宋体" w:hAnsi="宋体" w:eastAsia="宋体" w:cs="宋体"/>
          <w:spacing w:val="-1"/>
          <w:sz w:val="24"/>
          <w:szCs w:val="24"/>
          <w:highlight w:val="none"/>
        </w:rPr>
        <w:t>实质性响应，将按无效投标处理。</w:t>
      </w:r>
    </w:p>
    <w:p w14:paraId="29C500E0">
      <w:pPr>
        <w:spacing w:before="181" w:line="324" w:lineRule="auto"/>
        <w:ind w:left="20" w:firstLine="479"/>
        <w:rPr>
          <w:rFonts w:ascii="宋体" w:hAnsi="宋体" w:eastAsia="宋体" w:cs="宋体"/>
          <w:sz w:val="24"/>
          <w:szCs w:val="24"/>
          <w:highlight w:val="none"/>
        </w:rPr>
      </w:pPr>
      <w:r>
        <w:rPr>
          <w:rFonts w:ascii="宋体" w:hAnsi="宋体" w:eastAsia="宋体" w:cs="宋体"/>
          <w:sz w:val="24"/>
          <w:szCs w:val="24"/>
          <w:highlight w:val="none"/>
        </w:rPr>
        <w:t>4.4.2</w:t>
      </w:r>
      <w:r>
        <w:rPr>
          <w:rFonts w:ascii="宋体" w:hAnsi="宋体" w:eastAsia="宋体" w:cs="宋体"/>
          <w:spacing w:val="50"/>
          <w:sz w:val="24"/>
          <w:szCs w:val="24"/>
          <w:highlight w:val="none"/>
        </w:rPr>
        <w:t xml:space="preserve"> </w:t>
      </w:r>
      <w:r>
        <w:rPr>
          <w:rFonts w:ascii="宋体" w:hAnsi="宋体" w:eastAsia="宋体" w:cs="宋体"/>
          <w:sz w:val="24"/>
          <w:szCs w:val="24"/>
          <w:highlight w:val="none"/>
        </w:rPr>
        <w:t>出现特殊情况需要延长响应文件有效期的，采购代理机构或征集人可于响</w:t>
      </w:r>
      <w:r>
        <w:rPr>
          <w:rFonts w:ascii="宋体" w:hAnsi="宋体" w:eastAsia="宋体" w:cs="宋体"/>
          <w:spacing w:val="1"/>
          <w:sz w:val="24"/>
          <w:szCs w:val="24"/>
          <w:highlight w:val="none"/>
        </w:rPr>
        <w:t>应文件有效期满之前，以书面形式通知所有供应商延长响应文件有效期。供应商应予书面答复，同意延长的，应相应延长其申请保证金有效期，但不得要求或被允许修改</w:t>
      </w:r>
      <w:r>
        <w:rPr>
          <w:rFonts w:ascii="宋体" w:hAnsi="宋体" w:eastAsia="宋体" w:cs="宋体"/>
          <w:sz w:val="24"/>
          <w:szCs w:val="24"/>
          <w:highlight w:val="none"/>
        </w:rPr>
        <w:t>其响应文件；供应商拒绝延长的，其投标失效，但供应商</w:t>
      </w:r>
      <w:r>
        <w:rPr>
          <w:rFonts w:ascii="宋体" w:hAnsi="宋体" w:eastAsia="宋体" w:cs="宋体"/>
          <w:spacing w:val="-1"/>
          <w:sz w:val="24"/>
          <w:szCs w:val="24"/>
          <w:highlight w:val="none"/>
        </w:rPr>
        <w:t>有权收回其申请保证金。</w:t>
      </w:r>
    </w:p>
    <w:p w14:paraId="3C1D2D68">
      <w:pPr>
        <w:spacing w:before="181" w:line="290" w:lineRule="auto"/>
        <w:ind w:left="25" w:firstLine="473"/>
        <w:rPr>
          <w:rFonts w:ascii="宋体" w:hAnsi="宋体" w:eastAsia="宋体" w:cs="宋体"/>
          <w:sz w:val="24"/>
          <w:szCs w:val="24"/>
          <w:highlight w:val="none"/>
        </w:rPr>
      </w:pPr>
      <w:r>
        <w:rPr>
          <w:rFonts w:ascii="宋体" w:hAnsi="宋体" w:eastAsia="宋体" w:cs="宋体"/>
          <w:spacing w:val="1"/>
          <w:sz w:val="24"/>
          <w:szCs w:val="24"/>
          <w:highlight w:val="none"/>
        </w:rPr>
        <w:t>4.4.3 在响应文件有效期内，供应商撤销响应文件的，应承担征集文件和法律规</w:t>
      </w:r>
      <w:r>
        <w:rPr>
          <w:rFonts w:ascii="宋体" w:hAnsi="宋体" w:eastAsia="宋体" w:cs="宋体"/>
          <w:spacing w:val="-4"/>
          <w:sz w:val="24"/>
          <w:szCs w:val="24"/>
          <w:highlight w:val="none"/>
        </w:rPr>
        <w:t>定的责任。</w:t>
      </w:r>
    </w:p>
    <w:p w14:paraId="0230077C">
      <w:pPr>
        <w:spacing w:before="182" w:line="219" w:lineRule="auto"/>
        <w:ind w:left="499"/>
        <w:rPr>
          <w:rFonts w:ascii="宋体" w:hAnsi="宋体" w:eastAsia="宋体" w:cs="宋体"/>
          <w:sz w:val="24"/>
          <w:szCs w:val="24"/>
          <w:highlight w:val="none"/>
        </w:rPr>
      </w:pPr>
      <w:r>
        <w:rPr>
          <w:rFonts w:ascii="宋体" w:hAnsi="宋体" w:eastAsia="宋体" w:cs="宋体"/>
          <w:sz w:val="24"/>
          <w:szCs w:val="24"/>
          <w:highlight w:val="none"/>
        </w:rPr>
        <w:t>4.4.4 成交供应商的响应文件有效期自动</w:t>
      </w:r>
      <w:r>
        <w:rPr>
          <w:rFonts w:ascii="宋体" w:hAnsi="宋体" w:eastAsia="宋体" w:cs="宋体"/>
          <w:spacing w:val="-1"/>
          <w:sz w:val="24"/>
          <w:szCs w:val="24"/>
          <w:highlight w:val="none"/>
        </w:rPr>
        <w:t>延长至合同终止为止。</w:t>
      </w:r>
    </w:p>
    <w:p w14:paraId="4E51BF93">
      <w:pPr>
        <w:spacing w:before="301" w:line="220" w:lineRule="auto"/>
        <w:rPr>
          <w:rFonts w:ascii="宋体" w:hAnsi="宋体" w:eastAsia="宋体" w:cs="宋体"/>
          <w:sz w:val="24"/>
          <w:szCs w:val="24"/>
          <w:highlight w:val="none"/>
        </w:rPr>
      </w:pPr>
      <w:r>
        <w:rPr>
          <w:rFonts w:ascii="宋体" w:hAnsi="宋体" w:eastAsia="宋体" w:cs="宋体"/>
          <w:b/>
          <w:bCs/>
          <w:spacing w:val="-8"/>
          <w:sz w:val="24"/>
          <w:szCs w:val="24"/>
          <w:highlight w:val="none"/>
        </w:rPr>
        <w:t>4.5</w:t>
      </w:r>
      <w:r>
        <w:rPr>
          <w:rFonts w:ascii="宋体" w:hAnsi="宋体" w:eastAsia="宋体" w:cs="宋体"/>
          <w:spacing w:val="41"/>
          <w:sz w:val="24"/>
          <w:szCs w:val="24"/>
          <w:highlight w:val="none"/>
        </w:rPr>
        <w:t xml:space="preserve"> </w:t>
      </w:r>
      <w:r>
        <w:rPr>
          <w:rFonts w:ascii="宋体" w:hAnsi="宋体" w:eastAsia="宋体" w:cs="宋体"/>
          <w:b/>
          <w:bCs/>
          <w:spacing w:val="-8"/>
          <w:sz w:val="24"/>
          <w:szCs w:val="24"/>
          <w:highlight w:val="none"/>
        </w:rPr>
        <w:t>申请保证金</w:t>
      </w:r>
    </w:p>
    <w:p w14:paraId="61E176C4">
      <w:pPr>
        <w:spacing w:before="300" w:line="219" w:lineRule="auto"/>
        <w:ind w:left="472"/>
        <w:rPr>
          <w:rFonts w:ascii="宋体" w:hAnsi="宋体" w:eastAsia="宋体" w:cs="宋体"/>
          <w:sz w:val="24"/>
          <w:szCs w:val="24"/>
          <w:highlight w:val="none"/>
        </w:rPr>
      </w:pPr>
      <w:r>
        <w:rPr>
          <w:rFonts w:ascii="宋体" w:hAnsi="宋体" w:eastAsia="宋体" w:cs="宋体"/>
          <w:spacing w:val="-1"/>
          <w:sz w:val="24"/>
          <w:szCs w:val="24"/>
          <w:highlight w:val="none"/>
        </w:rPr>
        <w:t>本项目不递交申请保证金</w:t>
      </w:r>
    </w:p>
    <w:p w14:paraId="5FECE145">
      <w:pPr>
        <w:spacing w:before="303" w:line="220" w:lineRule="auto"/>
        <w:rPr>
          <w:rFonts w:ascii="宋体" w:hAnsi="宋体" w:eastAsia="宋体" w:cs="宋体"/>
          <w:sz w:val="24"/>
          <w:szCs w:val="24"/>
          <w:highlight w:val="none"/>
        </w:rPr>
      </w:pPr>
      <w:r>
        <w:rPr>
          <w:rFonts w:ascii="宋体" w:hAnsi="宋体" w:eastAsia="宋体" w:cs="宋体"/>
          <w:b/>
          <w:bCs/>
          <w:spacing w:val="-3"/>
          <w:sz w:val="24"/>
          <w:szCs w:val="24"/>
          <w:highlight w:val="none"/>
        </w:rPr>
        <w:t>4.6</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响应文件的制作和签署</w:t>
      </w:r>
    </w:p>
    <w:p w14:paraId="687D4414">
      <w:pPr>
        <w:spacing w:before="49" w:line="359" w:lineRule="auto"/>
        <w:ind w:firstLine="32"/>
        <w:jc w:val="both"/>
        <w:rPr>
          <w:rFonts w:ascii="宋体" w:hAnsi="宋体" w:eastAsia="宋体" w:cs="宋体"/>
          <w:sz w:val="24"/>
          <w:szCs w:val="24"/>
          <w:highlight w:val="none"/>
        </w:rPr>
      </w:pPr>
      <w:r>
        <w:rPr>
          <w:rFonts w:ascii="宋体" w:hAnsi="宋体" w:eastAsia="宋体" w:cs="宋体"/>
          <w:spacing w:val="1"/>
          <w:sz w:val="24"/>
          <w:szCs w:val="24"/>
          <w:highlight w:val="none"/>
        </w:rPr>
        <w:t>4.6.1 响应文件应按照第六章“响应文件格式</w:t>
      </w:r>
      <w:r>
        <w:rPr>
          <w:rFonts w:ascii="宋体" w:hAnsi="宋体" w:eastAsia="宋体" w:cs="宋体"/>
          <w:spacing w:val="-85"/>
          <w:sz w:val="24"/>
          <w:szCs w:val="24"/>
          <w:highlight w:val="none"/>
        </w:rPr>
        <w:t xml:space="preserve"> </w:t>
      </w:r>
      <w:r>
        <w:rPr>
          <w:rFonts w:ascii="宋体" w:hAnsi="宋体" w:eastAsia="宋体" w:cs="宋体"/>
          <w:spacing w:val="1"/>
          <w:sz w:val="24"/>
          <w:szCs w:val="24"/>
          <w:highlight w:val="none"/>
        </w:rPr>
        <w:t>”进行编写，如有必</w:t>
      </w:r>
      <w:r>
        <w:rPr>
          <w:rFonts w:ascii="宋体" w:hAnsi="宋体" w:eastAsia="宋体" w:cs="宋体"/>
          <w:sz w:val="24"/>
          <w:szCs w:val="24"/>
          <w:highlight w:val="none"/>
        </w:rPr>
        <w:t>要，可以增加</w:t>
      </w:r>
      <w:r>
        <w:rPr>
          <w:rFonts w:ascii="宋体" w:hAnsi="宋体" w:eastAsia="宋体" w:cs="宋体"/>
          <w:spacing w:val="1"/>
          <w:sz w:val="24"/>
          <w:szCs w:val="24"/>
          <w:highlight w:val="none"/>
        </w:rPr>
        <w:t>附页，作为响应文件的组成部分。除明确允许供应商可以自行编写外，供应商不得以“响应文件格式</w:t>
      </w:r>
      <w:r>
        <w:rPr>
          <w:rFonts w:ascii="宋体" w:hAnsi="宋体" w:eastAsia="宋体" w:cs="宋体"/>
          <w:spacing w:val="-77"/>
          <w:sz w:val="24"/>
          <w:szCs w:val="24"/>
          <w:highlight w:val="none"/>
        </w:rPr>
        <w:t xml:space="preserve"> </w:t>
      </w:r>
      <w:r>
        <w:rPr>
          <w:rFonts w:ascii="宋体" w:hAnsi="宋体" w:eastAsia="宋体" w:cs="宋体"/>
          <w:spacing w:val="1"/>
          <w:sz w:val="24"/>
          <w:szCs w:val="24"/>
          <w:highlight w:val="none"/>
        </w:rPr>
        <w:t>”规定之外的方式编写相关内容；否则，响应文件将作为无效投标处</w:t>
      </w:r>
      <w:r>
        <w:rPr>
          <w:rFonts w:ascii="宋体" w:hAnsi="宋体" w:eastAsia="宋体" w:cs="宋体"/>
          <w:sz w:val="24"/>
          <w:szCs w:val="24"/>
          <w:highlight w:val="none"/>
        </w:rPr>
        <w:t>理。对于没有格式要求的由供应商自行编写。</w:t>
      </w:r>
    </w:p>
    <w:p w14:paraId="442E0A01">
      <w:pPr>
        <w:spacing w:before="1" w:line="288" w:lineRule="auto"/>
        <w:ind w:left="41" w:right="2" w:firstLine="470"/>
        <w:rPr>
          <w:rFonts w:ascii="宋体" w:hAnsi="宋体" w:eastAsia="宋体" w:cs="宋体"/>
          <w:sz w:val="24"/>
          <w:szCs w:val="24"/>
          <w:highlight w:val="none"/>
        </w:rPr>
      </w:pPr>
      <w:r>
        <w:rPr>
          <w:rFonts w:ascii="宋体" w:hAnsi="宋体" w:eastAsia="宋体" w:cs="宋体"/>
          <w:spacing w:val="1"/>
          <w:sz w:val="24"/>
          <w:szCs w:val="24"/>
          <w:highlight w:val="none"/>
        </w:rPr>
        <w:t>4.6.2 响应文件应填写供应商的全称，并与供应商的证件证书保持一致，按照本</w:t>
      </w:r>
      <w:r>
        <w:rPr>
          <w:rFonts w:ascii="宋体" w:hAnsi="宋体" w:eastAsia="宋体" w:cs="宋体"/>
          <w:spacing w:val="-3"/>
          <w:sz w:val="24"/>
          <w:szCs w:val="24"/>
          <w:highlight w:val="none"/>
        </w:rPr>
        <w:t>章第</w:t>
      </w:r>
      <w:r>
        <w:rPr>
          <w:rFonts w:ascii="宋体" w:hAnsi="宋体" w:eastAsia="宋体" w:cs="宋体"/>
          <w:spacing w:val="-52"/>
          <w:sz w:val="24"/>
          <w:szCs w:val="24"/>
          <w:highlight w:val="none"/>
        </w:rPr>
        <w:t xml:space="preserve"> </w:t>
      </w:r>
      <w:r>
        <w:rPr>
          <w:rFonts w:ascii="宋体" w:hAnsi="宋体" w:eastAsia="宋体" w:cs="宋体"/>
          <w:spacing w:val="-3"/>
          <w:sz w:val="24"/>
          <w:szCs w:val="24"/>
          <w:highlight w:val="none"/>
        </w:rPr>
        <w:t>4.6.4</w:t>
      </w:r>
      <w:r>
        <w:rPr>
          <w:rFonts w:ascii="宋体" w:hAnsi="宋体" w:eastAsia="宋体" w:cs="宋体"/>
          <w:spacing w:val="-49"/>
          <w:sz w:val="24"/>
          <w:szCs w:val="24"/>
          <w:highlight w:val="none"/>
        </w:rPr>
        <w:t xml:space="preserve"> </w:t>
      </w:r>
      <w:r>
        <w:rPr>
          <w:rFonts w:ascii="宋体" w:hAnsi="宋体" w:eastAsia="宋体" w:cs="宋体"/>
          <w:spacing w:val="-3"/>
          <w:sz w:val="24"/>
          <w:szCs w:val="24"/>
          <w:highlight w:val="none"/>
        </w:rPr>
        <w:t>条款规定</w:t>
      </w:r>
      <w:r>
        <w:rPr>
          <w:rFonts w:ascii="宋体" w:hAnsi="宋体" w:eastAsia="宋体" w:cs="宋体"/>
          <w:b/>
          <w:bCs/>
          <w:spacing w:val="-3"/>
          <w:sz w:val="24"/>
          <w:szCs w:val="24"/>
          <w:highlight w:val="none"/>
        </w:rPr>
        <w:t>签名盖章。</w:t>
      </w:r>
    </w:p>
    <w:p w14:paraId="490B5C71">
      <w:pPr>
        <w:spacing w:before="180" w:line="313" w:lineRule="auto"/>
        <w:ind w:left="12" w:firstLine="480"/>
        <w:rPr>
          <w:rFonts w:ascii="宋体" w:hAnsi="宋体" w:eastAsia="宋体" w:cs="宋体"/>
          <w:sz w:val="24"/>
          <w:szCs w:val="24"/>
          <w:highlight w:val="none"/>
        </w:rPr>
      </w:pPr>
      <w:r>
        <w:rPr>
          <w:rFonts w:ascii="宋体" w:hAnsi="宋体" w:eastAsia="宋体" w:cs="宋体"/>
          <w:spacing w:val="4"/>
          <w:sz w:val="24"/>
          <w:szCs w:val="24"/>
          <w:highlight w:val="none"/>
        </w:rPr>
        <w:t>4.6.3  供应商应当按照“供应商须知前附表</w:t>
      </w:r>
      <w:r>
        <w:rPr>
          <w:rFonts w:ascii="宋体" w:hAnsi="宋体" w:eastAsia="宋体" w:cs="宋体"/>
          <w:spacing w:val="-81"/>
          <w:sz w:val="24"/>
          <w:szCs w:val="24"/>
          <w:highlight w:val="none"/>
        </w:rPr>
        <w:t xml:space="preserve"> </w:t>
      </w:r>
      <w:r>
        <w:rPr>
          <w:rFonts w:ascii="宋体" w:hAnsi="宋体" w:eastAsia="宋体" w:cs="宋体"/>
          <w:spacing w:val="4"/>
          <w:sz w:val="24"/>
          <w:szCs w:val="24"/>
          <w:highlight w:val="none"/>
        </w:rPr>
        <w:t>”规定的份数准备响应文件正</w:t>
      </w:r>
      <w:r>
        <w:rPr>
          <w:rFonts w:ascii="宋体" w:hAnsi="宋体" w:eastAsia="宋体" w:cs="宋体"/>
          <w:spacing w:val="3"/>
          <w:sz w:val="24"/>
          <w:szCs w:val="24"/>
          <w:highlight w:val="none"/>
        </w:rPr>
        <w:t>本、</w:t>
      </w:r>
      <w:r>
        <w:rPr>
          <w:rFonts w:ascii="宋体" w:hAnsi="宋体" w:eastAsia="宋体" w:cs="宋体"/>
          <w:sz w:val="24"/>
          <w:szCs w:val="24"/>
          <w:highlight w:val="none"/>
        </w:rPr>
        <w:t>副本和相应的电子文件。正本和副本封面右上角应清楚地标明“正本</w:t>
      </w:r>
      <w:r>
        <w:rPr>
          <w:rFonts w:ascii="宋体" w:hAnsi="宋体" w:eastAsia="宋体" w:cs="宋体"/>
          <w:spacing w:val="-85"/>
          <w:sz w:val="24"/>
          <w:szCs w:val="24"/>
          <w:highlight w:val="none"/>
        </w:rPr>
        <w:t xml:space="preserve"> </w:t>
      </w:r>
      <w:r>
        <w:rPr>
          <w:rFonts w:ascii="宋体" w:hAnsi="宋体" w:eastAsia="宋体" w:cs="宋体"/>
          <w:sz w:val="24"/>
          <w:szCs w:val="24"/>
          <w:highlight w:val="none"/>
        </w:rPr>
        <w:t>”或“副本</w:t>
      </w:r>
      <w:r>
        <w:rPr>
          <w:rFonts w:ascii="宋体" w:hAnsi="宋体" w:eastAsia="宋体" w:cs="宋体"/>
          <w:spacing w:val="-86"/>
          <w:sz w:val="24"/>
          <w:szCs w:val="24"/>
          <w:highlight w:val="none"/>
        </w:rPr>
        <w:t xml:space="preserve"> </w:t>
      </w:r>
      <w:r>
        <w:rPr>
          <w:rFonts w:ascii="宋体" w:hAnsi="宋体" w:eastAsia="宋体" w:cs="宋体"/>
          <w:sz w:val="24"/>
          <w:szCs w:val="24"/>
          <w:highlight w:val="none"/>
        </w:rPr>
        <w:t>”字</w:t>
      </w:r>
      <w:r>
        <w:rPr>
          <w:rFonts w:ascii="宋体" w:hAnsi="宋体" w:eastAsia="宋体" w:cs="宋体"/>
          <w:spacing w:val="-1"/>
          <w:sz w:val="24"/>
          <w:szCs w:val="24"/>
          <w:highlight w:val="none"/>
        </w:rPr>
        <w:t>样。当副本和正本有不一致的内容，以正本书面响应文件为准。</w:t>
      </w:r>
    </w:p>
    <w:p w14:paraId="74A5AB6C">
      <w:pPr>
        <w:spacing w:before="181" w:line="336" w:lineRule="auto"/>
        <w:ind w:left="13" w:firstLine="479"/>
        <w:rPr>
          <w:rFonts w:ascii="宋体" w:hAnsi="宋体" w:eastAsia="宋体" w:cs="宋体"/>
          <w:sz w:val="24"/>
          <w:szCs w:val="24"/>
          <w:highlight w:val="none"/>
        </w:rPr>
      </w:pPr>
      <w:r>
        <w:rPr>
          <w:rFonts w:ascii="宋体" w:hAnsi="宋体" w:eastAsia="宋体" w:cs="宋体"/>
          <w:spacing w:val="2"/>
          <w:sz w:val="24"/>
          <w:szCs w:val="24"/>
          <w:highlight w:val="none"/>
        </w:rPr>
        <w:t>4.6.4 响应文件应用不褪色的材料书写或打印，副本可采用正本</w:t>
      </w:r>
      <w:r>
        <w:rPr>
          <w:rFonts w:ascii="宋体" w:hAnsi="宋体" w:eastAsia="宋体" w:cs="宋体"/>
          <w:spacing w:val="1"/>
          <w:sz w:val="24"/>
          <w:szCs w:val="24"/>
          <w:highlight w:val="none"/>
        </w:rPr>
        <w:t>的复印件。响应</w:t>
      </w:r>
      <w:r>
        <w:rPr>
          <w:rFonts w:ascii="宋体" w:hAnsi="宋体" w:eastAsia="宋体" w:cs="宋体"/>
          <w:spacing w:val="2"/>
          <w:sz w:val="24"/>
          <w:szCs w:val="24"/>
          <w:highlight w:val="none"/>
        </w:rPr>
        <w:t>文件应由供应商的法定代表人（单位负责人）或其委托代理人签名和盖</w:t>
      </w:r>
      <w:r>
        <w:rPr>
          <w:rFonts w:ascii="宋体" w:hAnsi="宋体" w:eastAsia="宋体" w:cs="宋体"/>
          <w:spacing w:val="1"/>
          <w:sz w:val="24"/>
          <w:szCs w:val="24"/>
          <w:highlight w:val="none"/>
        </w:rPr>
        <w:t>单位章。由供</w:t>
      </w:r>
      <w:r>
        <w:rPr>
          <w:rFonts w:ascii="宋体" w:hAnsi="宋体" w:eastAsia="宋体" w:cs="宋体"/>
          <w:spacing w:val="2"/>
          <w:sz w:val="24"/>
          <w:szCs w:val="24"/>
          <w:highlight w:val="none"/>
        </w:rPr>
        <w:t>应商的法定代表人（单位负责人）签名的，应附法定代表人身份证明，</w:t>
      </w:r>
      <w:r>
        <w:rPr>
          <w:rFonts w:ascii="宋体" w:hAnsi="宋体" w:eastAsia="宋体" w:cs="宋体"/>
          <w:spacing w:val="1"/>
          <w:sz w:val="24"/>
          <w:szCs w:val="24"/>
          <w:highlight w:val="none"/>
        </w:rPr>
        <w:t>由其委托代理</w:t>
      </w:r>
      <w:r>
        <w:rPr>
          <w:rFonts w:ascii="宋体" w:hAnsi="宋体" w:eastAsia="宋体" w:cs="宋体"/>
          <w:spacing w:val="2"/>
          <w:sz w:val="24"/>
          <w:szCs w:val="24"/>
          <w:highlight w:val="none"/>
        </w:rPr>
        <w:t>人签名的，应附授权委托书。其中，投标函和授权委托书，必须由供应</w:t>
      </w:r>
      <w:r>
        <w:rPr>
          <w:rFonts w:ascii="宋体" w:hAnsi="宋体" w:eastAsia="宋体" w:cs="宋体"/>
          <w:spacing w:val="1"/>
          <w:sz w:val="24"/>
          <w:szCs w:val="24"/>
          <w:highlight w:val="none"/>
        </w:rPr>
        <w:t>商的法定代表</w:t>
      </w:r>
      <w:r>
        <w:rPr>
          <w:rFonts w:ascii="宋体" w:hAnsi="宋体" w:eastAsia="宋体" w:cs="宋体"/>
          <w:spacing w:val="2"/>
          <w:sz w:val="24"/>
          <w:szCs w:val="24"/>
          <w:highlight w:val="none"/>
        </w:rPr>
        <w:t>人（单位负责人）签名和盖单位章，其余签名或者盖章即可，否则，按</w:t>
      </w:r>
      <w:r>
        <w:rPr>
          <w:rFonts w:ascii="宋体" w:hAnsi="宋体" w:eastAsia="宋体" w:cs="宋体"/>
          <w:spacing w:val="1"/>
          <w:sz w:val="24"/>
          <w:szCs w:val="24"/>
          <w:highlight w:val="none"/>
        </w:rPr>
        <w:t>未实质性响应</w:t>
      </w:r>
      <w:r>
        <w:rPr>
          <w:rFonts w:ascii="宋体" w:hAnsi="宋体" w:eastAsia="宋体" w:cs="宋体"/>
          <w:spacing w:val="-1"/>
          <w:sz w:val="24"/>
          <w:szCs w:val="24"/>
          <w:highlight w:val="none"/>
        </w:rPr>
        <w:t>征集文件，其投标无效。</w:t>
      </w:r>
    </w:p>
    <w:p w14:paraId="358BAE1A">
      <w:pPr>
        <w:spacing w:before="181" w:line="313" w:lineRule="auto"/>
        <w:ind w:left="14" w:firstLine="458"/>
        <w:rPr>
          <w:rFonts w:ascii="宋体" w:hAnsi="宋体" w:eastAsia="宋体" w:cs="宋体"/>
          <w:sz w:val="24"/>
          <w:szCs w:val="24"/>
          <w:highlight w:val="none"/>
        </w:rPr>
      </w:pPr>
      <w:r>
        <w:rPr>
          <w:rFonts w:ascii="宋体" w:hAnsi="宋体" w:eastAsia="宋体" w:cs="宋体"/>
          <w:spacing w:val="3"/>
          <w:sz w:val="24"/>
          <w:szCs w:val="24"/>
          <w:highlight w:val="none"/>
        </w:rPr>
        <w:t>4.6.5</w:t>
      </w:r>
      <w:r>
        <w:rPr>
          <w:rFonts w:ascii="宋体" w:hAnsi="宋体" w:eastAsia="宋体" w:cs="宋体"/>
          <w:spacing w:val="-23"/>
          <w:sz w:val="24"/>
          <w:szCs w:val="24"/>
          <w:highlight w:val="none"/>
        </w:rPr>
        <w:t xml:space="preserve"> </w:t>
      </w:r>
      <w:r>
        <w:rPr>
          <w:rFonts w:ascii="宋体" w:hAnsi="宋体" w:eastAsia="宋体" w:cs="宋体"/>
          <w:spacing w:val="3"/>
          <w:sz w:val="24"/>
          <w:szCs w:val="24"/>
          <w:highlight w:val="none"/>
        </w:rPr>
        <w:t>响应文件的打印或书写应清楚工整，尽量避免行间插字、涂改或增删。如</w:t>
      </w:r>
      <w:r>
        <w:rPr>
          <w:rFonts w:ascii="宋体" w:hAnsi="宋体" w:eastAsia="宋体" w:cs="宋体"/>
          <w:spacing w:val="2"/>
          <w:sz w:val="24"/>
          <w:szCs w:val="24"/>
          <w:highlight w:val="none"/>
        </w:rPr>
        <w:t>出现上述情况，改动之处应由供应商的法定代表人或其委托代理人签</w:t>
      </w:r>
      <w:r>
        <w:rPr>
          <w:rFonts w:ascii="宋体" w:hAnsi="宋体" w:eastAsia="宋体" w:cs="宋体"/>
          <w:spacing w:val="1"/>
          <w:sz w:val="24"/>
          <w:szCs w:val="24"/>
          <w:highlight w:val="none"/>
        </w:rPr>
        <w:t>名或盖单位章。</w:t>
      </w:r>
      <w:r>
        <w:rPr>
          <w:rFonts w:ascii="宋体" w:hAnsi="宋体" w:eastAsia="宋体" w:cs="宋体"/>
          <w:sz w:val="24"/>
          <w:szCs w:val="24"/>
          <w:highlight w:val="none"/>
        </w:rPr>
        <w:t>字迹潦草、表达不清或可能导致非唯一理解的响</w:t>
      </w:r>
      <w:r>
        <w:rPr>
          <w:rFonts w:ascii="宋体" w:hAnsi="宋体" w:eastAsia="宋体" w:cs="宋体"/>
          <w:spacing w:val="-1"/>
          <w:sz w:val="24"/>
          <w:szCs w:val="24"/>
          <w:highlight w:val="none"/>
        </w:rPr>
        <w:t>应文件可能视为无效投标。</w:t>
      </w:r>
    </w:p>
    <w:p w14:paraId="2C1D0335">
      <w:pPr>
        <w:spacing w:before="178" w:line="313" w:lineRule="auto"/>
        <w:ind w:left="13" w:firstLine="459"/>
        <w:rPr>
          <w:rFonts w:ascii="宋体" w:hAnsi="宋体" w:eastAsia="宋体" w:cs="宋体"/>
          <w:sz w:val="24"/>
          <w:szCs w:val="24"/>
          <w:highlight w:val="none"/>
        </w:rPr>
      </w:pPr>
      <w:r>
        <w:rPr>
          <w:rFonts w:ascii="宋体" w:hAnsi="宋体" w:eastAsia="宋体" w:cs="宋体"/>
          <w:spacing w:val="7"/>
          <w:sz w:val="24"/>
          <w:szCs w:val="24"/>
          <w:highlight w:val="none"/>
        </w:rPr>
        <w:t>4.6.6 响应文件的正本和副本一律采用A4</w:t>
      </w:r>
      <w:r>
        <w:rPr>
          <w:rFonts w:ascii="宋体" w:hAnsi="宋体" w:eastAsia="宋体" w:cs="宋体"/>
          <w:spacing w:val="-41"/>
          <w:sz w:val="24"/>
          <w:szCs w:val="24"/>
          <w:highlight w:val="none"/>
        </w:rPr>
        <w:t xml:space="preserve"> </w:t>
      </w:r>
      <w:r>
        <w:rPr>
          <w:rFonts w:ascii="宋体" w:hAnsi="宋体" w:eastAsia="宋体" w:cs="宋体"/>
          <w:spacing w:val="6"/>
          <w:sz w:val="24"/>
          <w:szCs w:val="24"/>
          <w:highlight w:val="none"/>
        </w:rPr>
        <w:t>纸幅面，并分别装订和编制目录，响</w:t>
      </w:r>
      <w:r>
        <w:rPr>
          <w:rFonts w:ascii="宋体" w:hAnsi="宋体" w:eastAsia="宋体" w:cs="宋体"/>
          <w:spacing w:val="2"/>
          <w:sz w:val="24"/>
          <w:szCs w:val="24"/>
          <w:highlight w:val="none"/>
        </w:rPr>
        <w:t>应文件需分册装订的，具体分册装订要求见供应商须知前附表的规定。</w:t>
      </w:r>
      <w:r>
        <w:rPr>
          <w:rFonts w:ascii="宋体" w:hAnsi="宋体" w:eastAsia="宋体" w:cs="宋体"/>
          <w:spacing w:val="1"/>
          <w:sz w:val="24"/>
          <w:szCs w:val="24"/>
          <w:highlight w:val="none"/>
        </w:rPr>
        <w:t>响应文件胶装</w:t>
      </w:r>
      <w:r>
        <w:rPr>
          <w:rFonts w:ascii="宋体" w:hAnsi="宋体" w:eastAsia="宋体" w:cs="宋体"/>
          <w:spacing w:val="-1"/>
          <w:sz w:val="24"/>
          <w:szCs w:val="24"/>
          <w:highlight w:val="none"/>
        </w:rPr>
        <w:t>后，页面不可抽取，不得有活动页，无破损、不可拆分。</w:t>
      </w:r>
    </w:p>
    <w:p w14:paraId="1268C4FA">
      <w:pPr>
        <w:spacing w:before="183" w:line="289" w:lineRule="auto"/>
        <w:ind w:left="14" w:right="79" w:firstLine="478"/>
        <w:rPr>
          <w:rFonts w:ascii="宋体" w:hAnsi="宋体" w:eastAsia="宋体" w:cs="宋体"/>
          <w:sz w:val="24"/>
          <w:szCs w:val="24"/>
          <w:highlight w:val="none"/>
        </w:rPr>
      </w:pPr>
      <w:r>
        <w:rPr>
          <w:rFonts w:ascii="宋体" w:hAnsi="宋体" w:eastAsia="宋体" w:cs="宋体"/>
          <w:spacing w:val="-1"/>
          <w:sz w:val="24"/>
          <w:szCs w:val="24"/>
          <w:highlight w:val="none"/>
        </w:rPr>
        <w:t>4.6.7</w:t>
      </w:r>
      <w:r>
        <w:rPr>
          <w:rFonts w:ascii="宋体" w:hAnsi="宋体" w:eastAsia="宋体" w:cs="宋体"/>
          <w:spacing w:val="37"/>
          <w:sz w:val="24"/>
          <w:szCs w:val="24"/>
          <w:highlight w:val="none"/>
        </w:rPr>
        <w:t xml:space="preserve"> </w:t>
      </w:r>
      <w:r>
        <w:rPr>
          <w:rFonts w:ascii="宋体" w:hAnsi="宋体" w:eastAsia="宋体" w:cs="宋体"/>
          <w:spacing w:val="-1"/>
          <w:sz w:val="24"/>
          <w:szCs w:val="24"/>
          <w:highlight w:val="none"/>
        </w:rPr>
        <w:t>电子文件制作要求。电子文件与纸质正本响应文件</w:t>
      </w:r>
      <w:r>
        <w:rPr>
          <w:rFonts w:ascii="宋体" w:hAnsi="宋体" w:eastAsia="宋体" w:cs="宋体"/>
          <w:spacing w:val="-2"/>
          <w:sz w:val="24"/>
          <w:szCs w:val="24"/>
          <w:highlight w:val="none"/>
        </w:rPr>
        <w:t>的内容应保持一致，具</w:t>
      </w:r>
      <w:r>
        <w:rPr>
          <w:rFonts w:ascii="宋体" w:hAnsi="宋体" w:eastAsia="宋体" w:cs="宋体"/>
          <w:spacing w:val="-1"/>
          <w:sz w:val="24"/>
          <w:szCs w:val="24"/>
          <w:highlight w:val="none"/>
        </w:rPr>
        <w:t>有同等法律效力。其中电子版文件应为响应文件的</w:t>
      </w:r>
      <w:r>
        <w:rPr>
          <w:rFonts w:ascii="宋体" w:hAnsi="宋体" w:eastAsia="宋体" w:cs="宋体"/>
          <w:spacing w:val="-59"/>
          <w:sz w:val="24"/>
          <w:szCs w:val="24"/>
          <w:highlight w:val="none"/>
        </w:rPr>
        <w:t xml:space="preserve"> </w:t>
      </w:r>
      <w:r>
        <w:rPr>
          <w:rFonts w:ascii="宋体" w:hAnsi="宋体" w:eastAsia="宋体" w:cs="宋体"/>
          <w:spacing w:val="-1"/>
          <w:sz w:val="24"/>
          <w:szCs w:val="24"/>
          <w:highlight w:val="none"/>
        </w:rPr>
        <w:t>word</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版及用印后的</w:t>
      </w:r>
      <w:r>
        <w:rPr>
          <w:rFonts w:ascii="宋体" w:hAnsi="宋体" w:eastAsia="宋体" w:cs="宋体"/>
          <w:spacing w:val="-54"/>
          <w:sz w:val="24"/>
          <w:szCs w:val="24"/>
          <w:highlight w:val="none"/>
        </w:rPr>
        <w:t xml:space="preserve"> </w:t>
      </w:r>
      <w:r>
        <w:rPr>
          <w:rFonts w:ascii="宋体" w:hAnsi="宋体" w:eastAsia="宋体" w:cs="宋体"/>
          <w:spacing w:val="-1"/>
          <w:sz w:val="24"/>
          <w:szCs w:val="24"/>
          <w:highlight w:val="none"/>
        </w:rPr>
        <w:t>PDF</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扫描</w:t>
      </w:r>
      <w:r>
        <w:rPr>
          <w:rFonts w:ascii="宋体" w:hAnsi="宋体" w:eastAsia="宋体" w:cs="宋体"/>
          <w:spacing w:val="-2"/>
          <w:sz w:val="24"/>
          <w:szCs w:val="24"/>
          <w:highlight w:val="none"/>
        </w:rPr>
        <w:t>版。</w:t>
      </w:r>
      <w:r>
        <w:rPr>
          <w:rFonts w:ascii="宋体" w:hAnsi="宋体" w:eastAsia="宋体" w:cs="宋体"/>
          <w:sz w:val="24"/>
          <w:szCs w:val="24"/>
          <w:highlight w:val="none"/>
        </w:rPr>
        <w:t>PDF</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格式文件中需要签名和盖章的，将有盖章和</w:t>
      </w:r>
      <w:r>
        <w:rPr>
          <w:rFonts w:ascii="宋体" w:hAnsi="宋体" w:eastAsia="宋体" w:cs="宋体"/>
          <w:spacing w:val="-1"/>
          <w:sz w:val="24"/>
          <w:szCs w:val="24"/>
          <w:highlight w:val="none"/>
        </w:rPr>
        <w:t>签名的纸质页面、证件等扫描文件一</w:t>
      </w:r>
      <w:r>
        <w:rPr>
          <w:rFonts w:ascii="宋体" w:hAnsi="宋体" w:eastAsia="宋体" w:cs="宋体"/>
          <w:sz w:val="24"/>
          <w:szCs w:val="24"/>
          <w:highlight w:val="none"/>
        </w:rPr>
        <w:t>起编辑到</w:t>
      </w:r>
      <w:r>
        <w:rPr>
          <w:rFonts w:ascii="宋体" w:hAnsi="宋体" w:eastAsia="宋体" w:cs="宋体"/>
          <w:spacing w:val="-41"/>
          <w:sz w:val="24"/>
          <w:szCs w:val="24"/>
          <w:highlight w:val="none"/>
        </w:rPr>
        <w:t xml:space="preserve"> </w:t>
      </w:r>
      <w:r>
        <w:rPr>
          <w:rFonts w:ascii="宋体" w:hAnsi="宋体" w:eastAsia="宋体" w:cs="宋体"/>
          <w:sz w:val="24"/>
          <w:szCs w:val="24"/>
          <w:highlight w:val="none"/>
        </w:rPr>
        <w:t>PDF</w:t>
      </w:r>
      <w:r>
        <w:rPr>
          <w:rFonts w:ascii="宋体" w:hAnsi="宋体" w:eastAsia="宋体" w:cs="宋体"/>
          <w:spacing w:val="-50"/>
          <w:sz w:val="24"/>
          <w:szCs w:val="24"/>
          <w:highlight w:val="none"/>
        </w:rPr>
        <w:t xml:space="preserve"> </w:t>
      </w:r>
      <w:r>
        <w:rPr>
          <w:rFonts w:ascii="宋体" w:hAnsi="宋体" w:eastAsia="宋体" w:cs="宋体"/>
          <w:sz w:val="24"/>
          <w:szCs w:val="24"/>
          <w:highlight w:val="none"/>
        </w:rPr>
        <w:t>格式文件中，尤其是有盖章和签名的页不能遗漏。电子文件</w:t>
      </w:r>
      <w:r>
        <w:rPr>
          <w:rFonts w:ascii="宋体" w:hAnsi="宋体" w:eastAsia="宋体" w:cs="宋体"/>
          <w:b/>
          <w:bCs/>
          <w:sz w:val="24"/>
          <w:szCs w:val="24"/>
          <w:highlight w:val="none"/>
        </w:rPr>
        <w:t>应采用U</w:t>
      </w:r>
      <w:r>
        <w:rPr>
          <w:rFonts w:ascii="宋体" w:hAnsi="宋体" w:eastAsia="宋体" w:cs="宋体"/>
          <w:spacing w:val="-51"/>
          <w:sz w:val="24"/>
          <w:szCs w:val="24"/>
          <w:highlight w:val="none"/>
        </w:rPr>
        <w:t xml:space="preserve"> </w:t>
      </w:r>
      <w:r>
        <w:rPr>
          <w:rFonts w:ascii="宋体" w:hAnsi="宋体" w:eastAsia="宋体" w:cs="宋体"/>
          <w:b/>
          <w:bCs/>
          <w:sz w:val="24"/>
          <w:szCs w:val="24"/>
          <w:highlight w:val="none"/>
        </w:rPr>
        <w:t>盘</w:t>
      </w:r>
      <w:r>
        <w:rPr>
          <w:rFonts w:ascii="宋体" w:hAnsi="宋体" w:eastAsia="宋体" w:cs="宋体"/>
          <w:b/>
          <w:bCs/>
          <w:spacing w:val="-2"/>
          <w:sz w:val="24"/>
          <w:szCs w:val="24"/>
          <w:highlight w:val="none"/>
        </w:rPr>
        <w:t>刻录，U</w:t>
      </w:r>
      <w:r>
        <w:rPr>
          <w:rFonts w:ascii="宋体" w:hAnsi="宋体" w:eastAsia="宋体" w:cs="宋体"/>
          <w:spacing w:val="-51"/>
          <w:sz w:val="24"/>
          <w:szCs w:val="24"/>
          <w:highlight w:val="none"/>
        </w:rPr>
        <w:t xml:space="preserve"> </w:t>
      </w:r>
      <w:r>
        <w:rPr>
          <w:rFonts w:ascii="宋体" w:hAnsi="宋体" w:eastAsia="宋体" w:cs="宋体"/>
          <w:b/>
          <w:bCs/>
          <w:spacing w:val="-2"/>
          <w:sz w:val="24"/>
          <w:szCs w:val="24"/>
          <w:highlight w:val="none"/>
        </w:rPr>
        <w:t>盘应具有项目名称和供应商名称标识。未按规定制作电子文</w:t>
      </w:r>
      <w:r>
        <w:rPr>
          <w:rFonts w:ascii="宋体" w:hAnsi="宋体" w:eastAsia="宋体" w:cs="宋体"/>
          <w:b/>
          <w:bCs/>
          <w:spacing w:val="-3"/>
          <w:sz w:val="24"/>
          <w:szCs w:val="24"/>
          <w:highlight w:val="none"/>
        </w:rPr>
        <w:t>件或开标现场电子</w:t>
      </w:r>
      <w:r>
        <w:rPr>
          <w:rFonts w:ascii="宋体" w:hAnsi="宋体" w:eastAsia="宋体" w:cs="宋体"/>
          <w:spacing w:val="-49"/>
          <w:sz w:val="24"/>
          <w:szCs w:val="24"/>
          <w:highlight w:val="none"/>
        </w:rPr>
        <w:t xml:space="preserve"> </w:t>
      </w:r>
      <w:r>
        <w:rPr>
          <w:rFonts w:ascii="宋体" w:hAnsi="宋体" w:eastAsia="宋体" w:cs="宋体"/>
          <w:b/>
          <w:bCs/>
          <w:spacing w:val="-3"/>
          <w:sz w:val="24"/>
          <w:szCs w:val="24"/>
          <w:highlight w:val="none"/>
        </w:rPr>
        <w:t>U</w:t>
      </w:r>
      <w:r>
        <w:rPr>
          <w:rFonts w:ascii="宋体" w:hAnsi="宋体" w:eastAsia="宋体" w:cs="宋体"/>
          <w:spacing w:val="-49"/>
          <w:sz w:val="24"/>
          <w:szCs w:val="24"/>
          <w:highlight w:val="none"/>
        </w:rPr>
        <w:t xml:space="preserve"> </w:t>
      </w:r>
      <w:r>
        <w:rPr>
          <w:rFonts w:ascii="宋体" w:hAnsi="宋体" w:eastAsia="宋体" w:cs="宋体"/>
          <w:b/>
          <w:bCs/>
          <w:spacing w:val="-3"/>
          <w:sz w:val="24"/>
          <w:szCs w:val="24"/>
          <w:highlight w:val="none"/>
        </w:rPr>
        <w:t>盘因自身原因导致无法读取的</w:t>
      </w:r>
      <w:r>
        <w:rPr>
          <w:rFonts w:ascii="宋体" w:hAnsi="宋体" w:eastAsia="宋体" w:cs="宋体"/>
          <w:spacing w:val="-3"/>
          <w:sz w:val="24"/>
          <w:szCs w:val="24"/>
          <w:highlight w:val="none"/>
        </w:rPr>
        <w:t>，</w:t>
      </w:r>
      <w:r>
        <w:rPr>
          <w:rFonts w:ascii="宋体" w:hAnsi="宋体" w:eastAsia="宋体" w:cs="宋体"/>
          <w:b/>
          <w:bCs/>
          <w:spacing w:val="-3"/>
          <w:sz w:val="24"/>
          <w:szCs w:val="24"/>
          <w:highlight w:val="none"/>
        </w:rPr>
        <w:t>按无效响应文件处理。</w:t>
      </w:r>
    </w:p>
    <w:p w14:paraId="76D2A356">
      <w:pPr>
        <w:spacing w:before="182" w:line="220" w:lineRule="auto"/>
        <w:ind w:left="492"/>
        <w:rPr>
          <w:rFonts w:ascii="宋体" w:hAnsi="宋体" w:eastAsia="宋体" w:cs="宋体"/>
          <w:sz w:val="24"/>
          <w:szCs w:val="24"/>
          <w:highlight w:val="none"/>
        </w:rPr>
      </w:pPr>
      <w:r>
        <w:rPr>
          <w:rFonts w:ascii="宋体" w:hAnsi="宋体" w:eastAsia="宋体" w:cs="宋体"/>
          <w:b/>
          <w:bCs/>
          <w:spacing w:val="-3"/>
          <w:sz w:val="24"/>
          <w:szCs w:val="24"/>
          <w:highlight w:val="none"/>
        </w:rPr>
        <w:t>4.7</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备选申请响应方案</w:t>
      </w:r>
    </w:p>
    <w:p w14:paraId="2229AA07">
      <w:pPr>
        <w:spacing w:before="180" w:line="290" w:lineRule="auto"/>
        <w:ind w:left="18" w:right="79" w:firstLine="474"/>
        <w:rPr>
          <w:rFonts w:ascii="宋体" w:hAnsi="宋体" w:eastAsia="宋体" w:cs="宋体"/>
          <w:sz w:val="24"/>
          <w:szCs w:val="24"/>
          <w:highlight w:val="none"/>
        </w:rPr>
      </w:pPr>
      <w:r>
        <w:rPr>
          <w:rFonts w:ascii="宋体" w:hAnsi="宋体" w:eastAsia="宋体" w:cs="宋体"/>
          <w:sz w:val="24"/>
          <w:szCs w:val="24"/>
          <w:highlight w:val="none"/>
        </w:rPr>
        <w:t>4.7.1 除供应商须知前附表规定允许外，供应商不得递交</w:t>
      </w:r>
      <w:r>
        <w:rPr>
          <w:rFonts w:ascii="宋体" w:hAnsi="宋体" w:eastAsia="宋体" w:cs="宋体"/>
          <w:spacing w:val="-1"/>
          <w:sz w:val="24"/>
          <w:szCs w:val="24"/>
          <w:highlight w:val="none"/>
        </w:rPr>
        <w:t>备选申请响应方案，否</w:t>
      </w:r>
      <w:r>
        <w:rPr>
          <w:rFonts w:ascii="宋体" w:hAnsi="宋体" w:eastAsia="宋体" w:cs="宋体"/>
          <w:spacing w:val="-2"/>
          <w:sz w:val="24"/>
          <w:szCs w:val="24"/>
          <w:highlight w:val="none"/>
        </w:rPr>
        <w:t>则其申请将被否决。</w:t>
      </w:r>
    </w:p>
    <w:p w14:paraId="0EF79445">
      <w:pPr>
        <w:spacing w:before="48" w:line="359" w:lineRule="auto"/>
        <w:ind w:left="1" w:right="79" w:firstLine="12"/>
        <w:rPr>
          <w:rFonts w:ascii="宋体" w:hAnsi="宋体" w:eastAsia="宋体" w:cs="宋体"/>
          <w:sz w:val="24"/>
          <w:szCs w:val="24"/>
          <w:highlight w:val="none"/>
        </w:rPr>
      </w:pPr>
      <w:r>
        <w:rPr>
          <w:rFonts w:ascii="宋体" w:hAnsi="宋体" w:eastAsia="宋体" w:cs="宋体"/>
          <w:sz w:val="24"/>
          <w:szCs w:val="24"/>
          <w:highlight w:val="none"/>
        </w:rPr>
        <w:t>4.7.2 允许供应商递交备选申请响应方案的，只有入围供</w:t>
      </w:r>
      <w:r>
        <w:rPr>
          <w:rFonts w:ascii="宋体" w:hAnsi="宋体" w:eastAsia="宋体" w:cs="宋体"/>
          <w:spacing w:val="-1"/>
          <w:sz w:val="24"/>
          <w:szCs w:val="24"/>
          <w:highlight w:val="none"/>
        </w:rPr>
        <w:t>应商所递交的备选申请响应方案方可予以考虑。评审小组认为入围供应商的备选申请响应方案优于其按照征</w:t>
      </w:r>
      <w:r>
        <w:rPr>
          <w:rFonts w:ascii="宋体" w:hAnsi="宋体" w:eastAsia="宋体" w:cs="宋体"/>
          <w:sz w:val="24"/>
          <w:szCs w:val="24"/>
          <w:highlight w:val="none"/>
        </w:rPr>
        <w:t>集文件要求编制的申请响应方案的，征集人可以接</w:t>
      </w:r>
      <w:r>
        <w:rPr>
          <w:rFonts w:ascii="宋体" w:hAnsi="宋体" w:eastAsia="宋体" w:cs="宋体"/>
          <w:spacing w:val="-1"/>
          <w:sz w:val="24"/>
          <w:szCs w:val="24"/>
          <w:highlight w:val="none"/>
        </w:rPr>
        <w:t>受该备选申请响应方案。</w:t>
      </w:r>
    </w:p>
    <w:p w14:paraId="36F85360">
      <w:pPr>
        <w:spacing w:before="1" w:line="361" w:lineRule="auto"/>
        <w:ind w:right="135" w:firstLine="480"/>
        <w:rPr>
          <w:rFonts w:ascii="宋体" w:hAnsi="宋体" w:eastAsia="宋体" w:cs="宋体"/>
          <w:sz w:val="24"/>
          <w:szCs w:val="24"/>
          <w:highlight w:val="none"/>
        </w:rPr>
      </w:pPr>
      <w:r>
        <w:rPr>
          <w:rFonts w:ascii="宋体" w:hAnsi="宋体" w:eastAsia="宋体" w:cs="宋体"/>
          <w:spacing w:val="-2"/>
          <w:sz w:val="24"/>
          <w:szCs w:val="24"/>
          <w:highlight w:val="none"/>
        </w:rPr>
        <w:t>4.7.3 供应商提供两个或两个以上申请报价，或者在响应文件中提供一个报价，</w:t>
      </w:r>
      <w:r>
        <w:rPr>
          <w:rFonts w:ascii="宋体" w:hAnsi="宋体" w:eastAsia="宋体" w:cs="宋体"/>
          <w:spacing w:val="-1"/>
          <w:sz w:val="24"/>
          <w:szCs w:val="24"/>
          <w:highlight w:val="none"/>
        </w:rPr>
        <w:t>但同时提供两个或两个以上供货方案的，视为提供备选方案。</w:t>
      </w:r>
    </w:p>
    <w:p w14:paraId="3DBFE3B7">
      <w:pPr>
        <w:spacing w:before="112" w:line="221" w:lineRule="auto"/>
        <w:ind w:left="6"/>
        <w:rPr>
          <w:rFonts w:ascii="宋体" w:hAnsi="宋体" w:eastAsia="宋体" w:cs="宋体"/>
          <w:sz w:val="24"/>
          <w:szCs w:val="24"/>
          <w:highlight w:val="none"/>
        </w:rPr>
      </w:pPr>
      <w:r>
        <w:rPr>
          <w:rFonts w:ascii="宋体" w:hAnsi="宋体" w:eastAsia="宋体" w:cs="宋体"/>
          <w:b/>
          <w:bCs/>
          <w:spacing w:val="-9"/>
          <w:sz w:val="24"/>
          <w:szCs w:val="24"/>
          <w:highlight w:val="none"/>
        </w:rPr>
        <w:t>5.</w:t>
      </w:r>
      <w:r>
        <w:rPr>
          <w:rFonts w:ascii="宋体" w:hAnsi="宋体" w:eastAsia="宋体" w:cs="宋体"/>
          <w:spacing w:val="13"/>
          <w:sz w:val="24"/>
          <w:szCs w:val="24"/>
          <w:highlight w:val="none"/>
        </w:rPr>
        <w:t xml:space="preserve"> </w:t>
      </w:r>
      <w:r>
        <w:rPr>
          <w:rFonts w:ascii="宋体" w:hAnsi="宋体" w:eastAsia="宋体" w:cs="宋体"/>
          <w:b/>
          <w:bCs/>
          <w:spacing w:val="-9"/>
          <w:sz w:val="24"/>
          <w:szCs w:val="24"/>
          <w:highlight w:val="none"/>
        </w:rPr>
        <w:t>投标</w:t>
      </w:r>
    </w:p>
    <w:p w14:paraId="623FED2C">
      <w:pPr>
        <w:spacing w:before="301" w:line="220" w:lineRule="auto"/>
        <w:ind w:left="6"/>
        <w:rPr>
          <w:rFonts w:ascii="宋体" w:hAnsi="宋体" w:eastAsia="宋体" w:cs="宋体"/>
          <w:sz w:val="24"/>
          <w:szCs w:val="24"/>
          <w:highlight w:val="none"/>
        </w:rPr>
      </w:pPr>
      <w:r>
        <w:rPr>
          <w:rFonts w:ascii="宋体" w:hAnsi="宋体" w:eastAsia="宋体" w:cs="宋体"/>
          <w:b/>
          <w:bCs/>
          <w:spacing w:val="-3"/>
          <w:sz w:val="24"/>
          <w:szCs w:val="24"/>
          <w:highlight w:val="none"/>
        </w:rPr>
        <w:t>5.1</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响应文件的密封和标记</w:t>
      </w:r>
    </w:p>
    <w:p w14:paraId="052AACDA">
      <w:pPr>
        <w:spacing w:before="300" w:line="219" w:lineRule="auto"/>
        <w:ind w:left="486"/>
        <w:rPr>
          <w:rFonts w:ascii="宋体" w:hAnsi="宋体" w:eastAsia="宋体" w:cs="宋体"/>
          <w:sz w:val="24"/>
          <w:szCs w:val="24"/>
          <w:highlight w:val="none"/>
        </w:rPr>
      </w:pPr>
      <w:r>
        <w:rPr>
          <w:rFonts w:ascii="宋体" w:hAnsi="宋体" w:eastAsia="宋体" w:cs="宋体"/>
          <w:sz w:val="24"/>
          <w:szCs w:val="24"/>
          <w:highlight w:val="none"/>
        </w:rPr>
        <w:t>5.1.1 开标前，供应商应将响应文件所</w:t>
      </w:r>
      <w:r>
        <w:rPr>
          <w:rFonts w:ascii="宋体" w:hAnsi="宋体" w:eastAsia="宋体" w:cs="宋体"/>
          <w:spacing w:val="-1"/>
          <w:sz w:val="24"/>
          <w:szCs w:val="24"/>
          <w:highlight w:val="none"/>
        </w:rPr>
        <w:t>有正本、</w:t>
      </w:r>
      <w:r>
        <w:rPr>
          <w:rFonts w:hint="eastAsia" w:ascii="宋体" w:hAnsi="宋体" w:eastAsia="宋体" w:cs="宋体"/>
          <w:spacing w:val="-1"/>
          <w:sz w:val="24"/>
          <w:szCs w:val="24"/>
          <w:highlight w:val="none"/>
          <w:lang w:val="en-US" w:eastAsia="zh-CN"/>
        </w:rPr>
        <w:t>电子版、</w:t>
      </w:r>
      <w:r>
        <w:rPr>
          <w:rFonts w:ascii="宋体" w:hAnsi="宋体" w:eastAsia="宋体" w:cs="宋体"/>
          <w:spacing w:val="-1"/>
          <w:sz w:val="24"/>
          <w:szCs w:val="24"/>
          <w:highlight w:val="none"/>
        </w:rPr>
        <w:t>副本全部密封。</w:t>
      </w:r>
    </w:p>
    <w:p w14:paraId="5ABC3AC7">
      <w:pPr>
        <w:spacing w:before="182" w:line="290" w:lineRule="auto"/>
        <w:ind w:left="13" w:right="2" w:firstLine="473"/>
        <w:rPr>
          <w:rFonts w:ascii="宋体" w:hAnsi="宋体" w:eastAsia="宋体" w:cs="宋体"/>
          <w:sz w:val="24"/>
          <w:szCs w:val="24"/>
          <w:highlight w:val="none"/>
        </w:rPr>
      </w:pPr>
      <w:r>
        <w:rPr>
          <w:rFonts w:ascii="宋体" w:hAnsi="宋体" w:eastAsia="宋体" w:cs="宋体"/>
          <w:spacing w:val="2"/>
          <w:sz w:val="24"/>
          <w:szCs w:val="24"/>
          <w:highlight w:val="none"/>
        </w:rPr>
        <w:t>5.1.2 响应文件装订、密封、装袋要求见供应</w:t>
      </w:r>
      <w:r>
        <w:rPr>
          <w:rFonts w:ascii="宋体" w:hAnsi="宋体" w:eastAsia="宋体" w:cs="宋体"/>
          <w:spacing w:val="1"/>
          <w:sz w:val="24"/>
          <w:szCs w:val="24"/>
          <w:highlight w:val="none"/>
        </w:rPr>
        <w:t>商须知前附表，并在封套的封口处</w:t>
      </w:r>
      <w:r>
        <w:rPr>
          <w:rFonts w:ascii="宋体" w:hAnsi="宋体" w:eastAsia="宋体" w:cs="宋体"/>
          <w:spacing w:val="-2"/>
          <w:sz w:val="24"/>
          <w:szCs w:val="24"/>
          <w:highlight w:val="none"/>
        </w:rPr>
        <w:t>（缝隙处）加贴封条和</w:t>
      </w:r>
      <w:r>
        <w:rPr>
          <w:rFonts w:ascii="宋体" w:hAnsi="宋体" w:eastAsia="宋体" w:cs="宋体"/>
          <w:b/>
          <w:bCs/>
          <w:spacing w:val="-2"/>
          <w:sz w:val="24"/>
          <w:szCs w:val="24"/>
          <w:highlight w:val="none"/>
        </w:rPr>
        <w:t>加盖供应商单位章</w:t>
      </w:r>
      <w:r>
        <w:rPr>
          <w:rFonts w:ascii="宋体" w:hAnsi="宋体" w:eastAsia="宋体" w:cs="宋体"/>
          <w:spacing w:val="-2"/>
          <w:sz w:val="24"/>
          <w:szCs w:val="24"/>
          <w:highlight w:val="none"/>
        </w:rPr>
        <w:t>。</w:t>
      </w:r>
    </w:p>
    <w:p w14:paraId="4A4F57FB">
      <w:pPr>
        <w:spacing w:before="180" w:line="219" w:lineRule="auto"/>
        <w:ind w:left="486"/>
        <w:rPr>
          <w:rFonts w:ascii="宋体" w:hAnsi="宋体" w:eastAsia="宋体" w:cs="宋体"/>
          <w:sz w:val="24"/>
          <w:szCs w:val="24"/>
          <w:highlight w:val="none"/>
        </w:rPr>
      </w:pPr>
      <w:r>
        <w:rPr>
          <w:rFonts w:ascii="宋体" w:hAnsi="宋体" w:eastAsia="宋体" w:cs="宋体"/>
          <w:spacing w:val="-1"/>
          <w:sz w:val="24"/>
          <w:szCs w:val="24"/>
          <w:highlight w:val="none"/>
        </w:rPr>
        <w:t>5.1.3 响应文件封套上应写明的内容，见供应商须知前附表。</w:t>
      </w:r>
    </w:p>
    <w:p w14:paraId="400553D3">
      <w:pPr>
        <w:spacing w:before="181" w:line="219" w:lineRule="auto"/>
        <w:ind w:left="486"/>
        <w:rPr>
          <w:rFonts w:ascii="宋体" w:hAnsi="宋体" w:eastAsia="宋体" w:cs="宋体"/>
          <w:sz w:val="24"/>
          <w:szCs w:val="24"/>
          <w:highlight w:val="none"/>
        </w:rPr>
      </w:pPr>
      <w:r>
        <w:rPr>
          <w:rFonts w:ascii="宋体" w:hAnsi="宋体" w:eastAsia="宋体" w:cs="宋体"/>
          <w:spacing w:val="-1"/>
          <w:sz w:val="24"/>
          <w:szCs w:val="24"/>
          <w:highlight w:val="none"/>
        </w:rPr>
        <w:t>5.1.4 未按要求密封的响应文件，采购代理机构将予以拒收。</w:t>
      </w:r>
    </w:p>
    <w:p w14:paraId="4C728B8D">
      <w:pPr>
        <w:spacing w:before="303" w:line="220" w:lineRule="auto"/>
        <w:ind w:left="6"/>
        <w:rPr>
          <w:rFonts w:ascii="宋体" w:hAnsi="宋体" w:eastAsia="宋体" w:cs="宋体"/>
          <w:sz w:val="24"/>
          <w:szCs w:val="24"/>
          <w:highlight w:val="none"/>
        </w:rPr>
      </w:pPr>
      <w:r>
        <w:rPr>
          <w:rFonts w:ascii="宋体" w:hAnsi="宋体" w:eastAsia="宋体" w:cs="宋体"/>
          <w:b/>
          <w:bCs/>
          <w:spacing w:val="-6"/>
          <w:sz w:val="24"/>
          <w:szCs w:val="24"/>
          <w:highlight w:val="none"/>
        </w:rPr>
        <w:t>5.2</w:t>
      </w:r>
      <w:r>
        <w:rPr>
          <w:rFonts w:ascii="宋体" w:hAnsi="宋体" w:eastAsia="宋体" w:cs="宋体"/>
          <w:spacing w:val="29"/>
          <w:sz w:val="24"/>
          <w:szCs w:val="24"/>
          <w:highlight w:val="none"/>
        </w:rPr>
        <w:t xml:space="preserve"> </w:t>
      </w:r>
      <w:r>
        <w:rPr>
          <w:rFonts w:ascii="宋体" w:hAnsi="宋体" w:eastAsia="宋体" w:cs="宋体"/>
          <w:b/>
          <w:bCs/>
          <w:spacing w:val="-6"/>
          <w:sz w:val="24"/>
          <w:szCs w:val="24"/>
          <w:highlight w:val="none"/>
        </w:rPr>
        <w:t>响应文件的递交</w:t>
      </w:r>
    </w:p>
    <w:p w14:paraId="4BED9800">
      <w:pPr>
        <w:spacing w:before="303" w:line="219" w:lineRule="auto"/>
        <w:ind w:left="467"/>
        <w:rPr>
          <w:rFonts w:ascii="宋体" w:hAnsi="宋体" w:eastAsia="宋体" w:cs="宋体"/>
          <w:sz w:val="24"/>
          <w:szCs w:val="24"/>
          <w:highlight w:val="none"/>
        </w:rPr>
      </w:pPr>
      <w:r>
        <w:rPr>
          <w:rFonts w:ascii="宋体" w:hAnsi="宋体" w:eastAsia="宋体" w:cs="宋体"/>
          <w:sz w:val="24"/>
          <w:szCs w:val="24"/>
          <w:highlight w:val="none"/>
        </w:rPr>
        <w:t>5.2.1 供应商应在供应商须知前附表规</w:t>
      </w:r>
      <w:r>
        <w:rPr>
          <w:rFonts w:ascii="宋体" w:hAnsi="宋体" w:eastAsia="宋体" w:cs="宋体"/>
          <w:spacing w:val="-1"/>
          <w:sz w:val="24"/>
          <w:szCs w:val="24"/>
          <w:highlight w:val="none"/>
        </w:rPr>
        <w:t>定的投标截止时间前递交响应文件。</w:t>
      </w:r>
    </w:p>
    <w:p w14:paraId="69453948">
      <w:pPr>
        <w:spacing w:before="181" w:line="219" w:lineRule="auto"/>
        <w:ind w:left="467"/>
        <w:rPr>
          <w:rFonts w:ascii="宋体" w:hAnsi="宋体" w:eastAsia="宋体" w:cs="宋体"/>
          <w:sz w:val="24"/>
          <w:szCs w:val="24"/>
          <w:highlight w:val="none"/>
        </w:rPr>
      </w:pPr>
      <w:r>
        <w:rPr>
          <w:rFonts w:ascii="宋体" w:hAnsi="宋体" w:eastAsia="宋体" w:cs="宋体"/>
          <w:spacing w:val="-1"/>
          <w:sz w:val="24"/>
          <w:szCs w:val="24"/>
          <w:highlight w:val="none"/>
        </w:rPr>
        <w:t>5.2.2 供应商递交响应文件地点：见供应商须知前附表。</w:t>
      </w:r>
    </w:p>
    <w:p w14:paraId="1198A62B">
      <w:pPr>
        <w:spacing w:before="183" w:line="219" w:lineRule="auto"/>
        <w:ind w:left="467"/>
        <w:rPr>
          <w:rFonts w:ascii="宋体" w:hAnsi="宋体" w:eastAsia="宋体" w:cs="宋体"/>
          <w:sz w:val="24"/>
          <w:szCs w:val="24"/>
          <w:highlight w:val="none"/>
        </w:rPr>
      </w:pPr>
      <w:r>
        <w:rPr>
          <w:rFonts w:ascii="宋体" w:hAnsi="宋体" w:eastAsia="宋体" w:cs="宋体"/>
          <w:sz w:val="24"/>
          <w:szCs w:val="24"/>
          <w:highlight w:val="none"/>
        </w:rPr>
        <w:t>5.2.3 除供应商须知前附表另有规定外</w:t>
      </w:r>
      <w:r>
        <w:rPr>
          <w:rFonts w:ascii="宋体" w:hAnsi="宋体" w:eastAsia="宋体" w:cs="宋体"/>
          <w:spacing w:val="-1"/>
          <w:sz w:val="24"/>
          <w:szCs w:val="24"/>
          <w:highlight w:val="none"/>
        </w:rPr>
        <w:t>，供应商递交的响应文件不予退还。</w:t>
      </w:r>
    </w:p>
    <w:p w14:paraId="78C8BB5A">
      <w:pPr>
        <w:spacing w:before="179" w:line="290" w:lineRule="auto"/>
        <w:ind w:firstLine="486"/>
        <w:rPr>
          <w:rFonts w:ascii="宋体" w:hAnsi="宋体" w:eastAsia="宋体" w:cs="宋体"/>
          <w:sz w:val="24"/>
          <w:szCs w:val="24"/>
          <w:highlight w:val="none"/>
        </w:rPr>
      </w:pPr>
      <w:r>
        <w:rPr>
          <w:rFonts w:ascii="宋体" w:hAnsi="宋体" w:eastAsia="宋体" w:cs="宋体"/>
          <w:spacing w:val="3"/>
          <w:sz w:val="24"/>
          <w:szCs w:val="24"/>
          <w:highlight w:val="none"/>
        </w:rPr>
        <w:t>5.2.4</w:t>
      </w:r>
      <w:r>
        <w:rPr>
          <w:rFonts w:ascii="宋体" w:hAnsi="宋体" w:eastAsia="宋体" w:cs="宋体"/>
          <w:spacing w:val="-47"/>
          <w:sz w:val="24"/>
          <w:szCs w:val="24"/>
          <w:highlight w:val="none"/>
        </w:rPr>
        <w:t xml:space="preserve"> </w:t>
      </w:r>
      <w:r>
        <w:rPr>
          <w:rFonts w:ascii="宋体" w:hAnsi="宋体" w:eastAsia="宋体" w:cs="宋体"/>
          <w:spacing w:val="3"/>
          <w:sz w:val="24"/>
          <w:szCs w:val="24"/>
          <w:highlight w:val="none"/>
        </w:rPr>
        <w:t>采购代理机构收到响应文件后，应当如实记载响应文件的送达时间和密封</w:t>
      </w:r>
      <w:r>
        <w:rPr>
          <w:rFonts w:ascii="宋体" w:hAnsi="宋体" w:eastAsia="宋体" w:cs="宋体"/>
          <w:spacing w:val="-1"/>
          <w:sz w:val="24"/>
          <w:szCs w:val="24"/>
          <w:highlight w:val="none"/>
        </w:rPr>
        <w:t>情况，签收保存，并向供应商出具签收回执。</w:t>
      </w:r>
    </w:p>
    <w:p w14:paraId="2E5328AE">
      <w:pPr>
        <w:spacing w:before="181" w:line="219" w:lineRule="auto"/>
        <w:ind w:left="467"/>
        <w:rPr>
          <w:rFonts w:ascii="宋体" w:hAnsi="宋体" w:eastAsia="宋体" w:cs="宋体"/>
          <w:sz w:val="24"/>
          <w:szCs w:val="24"/>
          <w:highlight w:val="none"/>
        </w:rPr>
      </w:pPr>
      <w:r>
        <w:rPr>
          <w:rFonts w:ascii="宋体" w:hAnsi="宋体" w:eastAsia="宋体" w:cs="宋体"/>
          <w:spacing w:val="-1"/>
          <w:sz w:val="24"/>
          <w:szCs w:val="24"/>
          <w:highlight w:val="none"/>
        </w:rPr>
        <w:t>5.2.5 逾期送达的响应文件，采购代理机构将予以拒收。</w:t>
      </w:r>
    </w:p>
    <w:p w14:paraId="14993E7F">
      <w:pPr>
        <w:spacing w:before="184" w:line="219" w:lineRule="auto"/>
        <w:ind w:left="486"/>
        <w:rPr>
          <w:rFonts w:ascii="宋体" w:hAnsi="宋体" w:eastAsia="宋体" w:cs="宋体"/>
          <w:sz w:val="24"/>
          <w:szCs w:val="24"/>
          <w:highlight w:val="none"/>
        </w:rPr>
      </w:pPr>
      <w:r>
        <w:rPr>
          <w:rFonts w:ascii="宋体" w:hAnsi="宋体" w:eastAsia="宋体" w:cs="宋体"/>
          <w:spacing w:val="-1"/>
          <w:sz w:val="24"/>
          <w:szCs w:val="24"/>
          <w:highlight w:val="none"/>
        </w:rPr>
        <w:t>5.2.6 本次招标不接受邮寄的响应文件。</w:t>
      </w:r>
    </w:p>
    <w:p w14:paraId="03ABE9BD">
      <w:pPr>
        <w:spacing w:before="181" w:line="219" w:lineRule="auto"/>
        <w:ind w:left="486"/>
        <w:rPr>
          <w:rFonts w:ascii="宋体" w:hAnsi="宋体" w:eastAsia="宋体" w:cs="宋体"/>
          <w:sz w:val="24"/>
          <w:szCs w:val="24"/>
          <w:highlight w:val="none"/>
        </w:rPr>
      </w:pPr>
      <w:r>
        <w:rPr>
          <w:rFonts w:ascii="宋体" w:hAnsi="宋体" w:eastAsia="宋体" w:cs="宋体"/>
          <w:spacing w:val="-1"/>
          <w:sz w:val="24"/>
          <w:szCs w:val="24"/>
          <w:highlight w:val="none"/>
        </w:rPr>
        <w:t>5.2.7 需要供应商提供样品的，同响应文件一起递交。</w:t>
      </w:r>
    </w:p>
    <w:p w14:paraId="4A5FA28D">
      <w:pPr>
        <w:spacing w:before="303" w:line="220" w:lineRule="auto"/>
        <w:ind w:left="6"/>
        <w:rPr>
          <w:rFonts w:ascii="宋体" w:hAnsi="宋体" w:eastAsia="宋体" w:cs="宋体"/>
          <w:sz w:val="24"/>
          <w:szCs w:val="24"/>
          <w:highlight w:val="none"/>
        </w:rPr>
      </w:pPr>
      <w:r>
        <w:rPr>
          <w:rFonts w:ascii="宋体" w:hAnsi="宋体" w:eastAsia="宋体" w:cs="宋体"/>
          <w:b/>
          <w:bCs/>
          <w:spacing w:val="-14"/>
          <w:sz w:val="24"/>
          <w:szCs w:val="24"/>
          <w:highlight w:val="none"/>
        </w:rPr>
        <w:t>5.3</w:t>
      </w:r>
      <w:r>
        <w:rPr>
          <w:rFonts w:ascii="宋体" w:hAnsi="宋体" w:eastAsia="宋体" w:cs="宋体"/>
          <w:spacing w:val="32"/>
          <w:sz w:val="24"/>
          <w:szCs w:val="24"/>
          <w:highlight w:val="none"/>
        </w:rPr>
        <w:t xml:space="preserve"> </w:t>
      </w:r>
      <w:r>
        <w:rPr>
          <w:rFonts w:ascii="宋体" w:hAnsi="宋体" w:eastAsia="宋体" w:cs="宋体"/>
          <w:b/>
          <w:bCs/>
          <w:spacing w:val="-14"/>
          <w:sz w:val="24"/>
          <w:szCs w:val="24"/>
          <w:highlight w:val="none"/>
        </w:rPr>
        <w:t>响</w:t>
      </w:r>
      <w:r>
        <w:rPr>
          <w:rFonts w:ascii="宋体" w:hAnsi="宋体" w:eastAsia="宋体" w:cs="宋体"/>
          <w:spacing w:val="-70"/>
          <w:sz w:val="24"/>
          <w:szCs w:val="24"/>
          <w:highlight w:val="none"/>
        </w:rPr>
        <w:t xml:space="preserve"> </w:t>
      </w:r>
      <w:r>
        <w:rPr>
          <w:rFonts w:ascii="宋体" w:hAnsi="宋体" w:eastAsia="宋体" w:cs="宋体"/>
          <w:b/>
          <w:bCs/>
          <w:spacing w:val="-14"/>
          <w:sz w:val="24"/>
          <w:szCs w:val="24"/>
          <w:highlight w:val="none"/>
        </w:rPr>
        <w:t>应</w:t>
      </w:r>
      <w:r>
        <w:rPr>
          <w:rFonts w:ascii="宋体" w:hAnsi="宋体" w:eastAsia="宋体" w:cs="宋体"/>
          <w:spacing w:val="-68"/>
          <w:sz w:val="24"/>
          <w:szCs w:val="24"/>
          <w:highlight w:val="none"/>
        </w:rPr>
        <w:t xml:space="preserve"> </w:t>
      </w:r>
      <w:r>
        <w:rPr>
          <w:rFonts w:ascii="宋体" w:hAnsi="宋体" w:eastAsia="宋体" w:cs="宋体"/>
          <w:b/>
          <w:bCs/>
          <w:spacing w:val="-14"/>
          <w:sz w:val="24"/>
          <w:szCs w:val="24"/>
          <w:highlight w:val="none"/>
        </w:rPr>
        <w:t>文</w:t>
      </w:r>
      <w:r>
        <w:rPr>
          <w:rFonts w:ascii="宋体" w:hAnsi="宋体" w:eastAsia="宋体" w:cs="宋体"/>
          <w:spacing w:val="-71"/>
          <w:sz w:val="24"/>
          <w:szCs w:val="24"/>
          <w:highlight w:val="none"/>
        </w:rPr>
        <w:t xml:space="preserve"> </w:t>
      </w:r>
      <w:r>
        <w:rPr>
          <w:rFonts w:ascii="宋体" w:hAnsi="宋体" w:eastAsia="宋体" w:cs="宋体"/>
          <w:b/>
          <w:bCs/>
          <w:spacing w:val="-14"/>
          <w:sz w:val="24"/>
          <w:szCs w:val="24"/>
          <w:highlight w:val="none"/>
        </w:rPr>
        <w:t>件</w:t>
      </w:r>
      <w:r>
        <w:rPr>
          <w:rFonts w:ascii="宋体" w:hAnsi="宋体" w:eastAsia="宋体" w:cs="宋体"/>
          <w:spacing w:val="-47"/>
          <w:sz w:val="24"/>
          <w:szCs w:val="24"/>
          <w:highlight w:val="none"/>
        </w:rPr>
        <w:t xml:space="preserve"> </w:t>
      </w:r>
      <w:r>
        <w:rPr>
          <w:rFonts w:ascii="宋体" w:hAnsi="宋体" w:eastAsia="宋体" w:cs="宋体"/>
          <w:b/>
          <w:bCs/>
          <w:spacing w:val="-14"/>
          <w:sz w:val="24"/>
          <w:szCs w:val="24"/>
          <w:highlight w:val="none"/>
        </w:rPr>
        <w:t>的</w:t>
      </w:r>
      <w:r>
        <w:rPr>
          <w:rFonts w:ascii="宋体" w:hAnsi="宋体" w:eastAsia="宋体" w:cs="宋体"/>
          <w:spacing w:val="-70"/>
          <w:sz w:val="24"/>
          <w:szCs w:val="24"/>
          <w:highlight w:val="none"/>
        </w:rPr>
        <w:t xml:space="preserve"> </w:t>
      </w:r>
      <w:r>
        <w:rPr>
          <w:rFonts w:ascii="宋体" w:hAnsi="宋体" w:eastAsia="宋体" w:cs="宋体"/>
          <w:b/>
          <w:bCs/>
          <w:spacing w:val="-14"/>
          <w:sz w:val="24"/>
          <w:szCs w:val="24"/>
          <w:highlight w:val="none"/>
        </w:rPr>
        <w:t>修</w:t>
      </w:r>
      <w:r>
        <w:rPr>
          <w:rFonts w:ascii="宋体" w:hAnsi="宋体" w:eastAsia="宋体" w:cs="宋体"/>
          <w:spacing w:val="-62"/>
          <w:sz w:val="24"/>
          <w:szCs w:val="24"/>
          <w:highlight w:val="none"/>
        </w:rPr>
        <w:t xml:space="preserve"> </w:t>
      </w:r>
      <w:r>
        <w:rPr>
          <w:rFonts w:ascii="宋体" w:hAnsi="宋体" w:eastAsia="宋体" w:cs="宋体"/>
          <w:b/>
          <w:bCs/>
          <w:spacing w:val="-14"/>
          <w:sz w:val="24"/>
          <w:szCs w:val="24"/>
          <w:highlight w:val="none"/>
        </w:rPr>
        <w:t>改</w:t>
      </w:r>
      <w:r>
        <w:rPr>
          <w:rFonts w:ascii="宋体" w:hAnsi="宋体" w:eastAsia="宋体" w:cs="宋体"/>
          <w:spacing w:val="-68"/>
          <w:sz w:val="24"/>
          <w:szCs w:val="24"/>
          <w:highlight w:val="none"/>
        </w:rPr>
        <w:t xml:space="preserve"> </w:t>
      </w:r>
      <w:r>
        <w:rPr>
          <w:rFonts w:ascii="宋体" w:hAnsi="宋体" w:eastAsia="宋体" w:cs="宋体"/>
          <w:b/>
          <w:bCs/>
          <w:spacing w:val="-14"/>
          <w:sz w:val="24"/>
          <w:szCs w:val="24"/>
          <w:highlight w:val="none"/>
        </w:rPr>
        <w:t>和</w:t>
      </w:r>
      <w:r>
        <w:rPr>
          <w:rFonts w:ascii="宋体" w:hAnsi="宋体" w:eastAsia="宋体" w:cs="宋体"/>
          <w:spacing w:val="-71"/>
          <w:sz w:val="24"/>
          <w:szCs w:val="24"/>
          <w:highlight w:val="none"/>
        </w:rPr>
        <w:t xml:space="preserve"> </w:t>
      </w:r>
      <w:r>
        <w:rPr>
          <w:rFonts w:ascii="宋体" w:hAnsi="宋体" w:eastAsia="宋体" w:cs="宋体"/>
          <w:b/>
          <w:bCs/>
          <w:spacing w:val="-14"/>
          <w:sz w:val="24"/>
          <w:szCs w:val="24"/>
          <w:highlight w:val="none"/>
        </w:rPr>
        <w:t>撤</w:t>
      </w:r>
      <w:r>
        <w:rPr>
          <w:rFonts w:ascii="宋体" w:hAnsi="宋体" w:eastAsia="宋体" w:cs="宋体"/>
          <w:spacing w:val="-47"/>
          <w:sz w:val="24"/>
          <w:szCs w:val="24"/>
          <w:highlight w:val="none"/>
        </w:rPr>
        <w:t xml:space="preserve"> </w:t>
      </w:r>
      <w:r>
        <w:rPr>
          <w:rFonts w:ascii="宋体" w:hAnsi="宋体" w:eastAsia="宋体" w:cs="宋体"/>
          <w:b/>
          <w:bCs/>
          <w:spacing w:val="-14"/>
          <w:sz w:val="24"/>
          <w:szCs w:val="24"/>
          <w:highlight w:val="none"/>
        </w:rPr>
        <w:t>回</w:t>
      </w:r>
    </w:p>
    <w:p w14:paraId="45E075A4">
      <w:pPr>
        <w:spacing w:before="298" w:line="290" w:lineRule="auto"/>
        <w:ind w:left="21" w:firstLine="455"/>
        <w:rPr>
          <w:rFonts w:ascii="宋体" w:hAnsi="宋体" w:eastAsia="宋体" w:cs="宋体"/>
          <w:sz w:val="24"/>
          <w:szCs w:val="24"/>
          <w:highlight w:val="none"/>
        </w:rPr>
      </w:pPr>
      <w:r>
        <w:rPr>
          <w:rFonts w:ascii="宋体" w:hAnsi="宋体" w:eastAsia="宋体" w:cs="宋体"/>
          <w:spacing w:val="1"/>
          <w:sz w:val="24"/>
          <w:szCs w:val="24"/>
          <w:highlight w:val="none"/>
        </w:rPr>
        <w:t>5.3.1 在本章第</w:t>
      </w:r>
      <w:r>
        <w:rPr>
          <w:rFonts w:ascii="宋体" w:hAnsi="宋体" w:eastAsia="宋体" w:cs="宋体"/>
          <w:spacing w:val="-43"/>
          <w:sz w:val="24"/>
          <w:szCs w:val="24"/>
          <w:highlight w:val="none"/>
        </w:rPr>
        <w:t xml:space="preserve"> </w:t>
      </w:r>
      <w:r>
        <w:rPr>
          <w:rFonts w:ascii="宋体" w:hAnsi="宋体" w:eastAsia="宋体" w:cs="宋体"/>
          <w:spacing w:val="1"/>
          <w:sz w:val="24"/>
          <w:szCs w:val="24"/>
          <w:highlight w:val="none"/>
        </w:rPr>
        <w:t>5.2.1</w:t>
      </w:r>
      <w:r>
        <w:rPr>
          <w:rFonts w:ascii="宋体" w:hAnsi="宋体" w:eastAsia="宋体" w:cs="宋体"/>
          <w:spacing w:val="-44"/>
          <w:sz w:val="24"/>
          <w:szCs w:val="24"/>
          <w:highlight w:val="none"/>
        </w:rPr>
        <w:t xml:space="preserve"> </w:t>
      </w:r>
      <w:r>
        <w:rPr>
          <w:rFonts w:ascii="宋体" w:hAnsi="宋体" w:eastAsia="宋体" w:cs="宋体"/>
          <w:spacing w:val="1"/>
          <w:sz w:val="24"/>
          <w:szCs w:val="24"/>
          <w:highlight w:val="none"/>
        </w:rPr>
        <w:t>项规定的投标截止时间前，供应商可以修改或撤回已递交</w:t>
      </w:r>
      <w:r>
        <w:rPr>
          <w:rFonts w:ascii="宋体" w:hAnsi="宋体" w:eastAsia="宋体" w:cs="宋体"/>
          <w:spacing w:val="-2"/>
          <w:sz w:val="24"/>
          <w:szCs w:val="24"/>
          <w:highlight w:val="none"/>
        </w:rPr>
        <w:t>的响应文件，但应以书面形式通知采购代理机构。</w:t>
      </w:r>
    </w:p>
    <w:p w14:paraId="07A9DF70">
      <w:pPr>
        <w:spacing w:before="184" w:line="324" w:lineRule="auto"/>
        <w:ind w:left="1" w:firstLine="475"/>
        <w:rPr>
          <w:rFonts w:ascii="宋体" w:hAnsi="宋体" w:eastAsia="宋体" w:cs="宋体"/>
          <w:spacing w:val="1"/>
          <w:sz w:val="24"/>
          <w:szCs w:val="24"/>
          <w:highlight w:val="none"/>
        </w:rPr>
      </w:pPr>
      <w:r>
        <w:rPr>
          <w:rFonts w:ascii="宋体" w:hAnsi="宋体" w:eastAsia="宋体" w:cs="宋体"/>
          <w:spacing w:val="2"/>
          <w:sz w:val="24"/>
          <w:szCs w:val="24"/>
          <w:highlight w:val="none"/>
        </w:rPr>
        <w:t>5.3.2 供应商的修改或撤回通知书，应由其法定代表人或委托代理人签署</w:t>
      </w:r>
      <w:r>
        <w:rPr>
          <w:rFonts w:ascii="宋体" w:hAnsi="宋体" w:eastAsia="宋体" w:cs="宋体"/>
          <w:spacing w:val="1"/>
          <w:sz w:val="24"/>
          <w:szCs w:val="24"/>
          <w:highlight w:val="none"/>
        </w:rPr>
        <w:t>并盖单位章。修改或撤回通知书应按本章第</w:t>
      </w:r>
      <w:r>
        <w:rPr>
          <w:rFonts w:ascii="宋体" w:hAnsi="宋体" w:eastAsia="宋体" w:cs="宋体"/>
          <w:spacing w:val="-44"/>
          <w:sz w:val="24"/>
          <w:szCs w:val="24"/>
          <w:highlight w:val="none"/>
        </w:rPr>
        <w:t xml:space="preserve"> </w:t>
      </w:r>
      <w:r>
        <w:rPr>
          <w:rFonts w:ascii="宋体" w:hAnsi="宋体" w:eastAsia="宋体" w:cs="宋体"/>
          <w:spacing w:val="1"/>
          <w:sz w:val="24"/>
          <w:szCs w:val="24"/>
          <w:highlight w:val="none"/>
        </w:rPr>
        <w:t>5.1.2</w:t>
      </w:r>
      <w:r>
        <w:rPr>
          <w:rFonts w:ascii="宋体" w:hAnsi="宋体" w:eastAsia="宋体" w:cs="宋体"/>
          <w:spacing w:val="-47"/>
          <w:sz w:val="24"/>
          <w:szCs w:val="24"/>
          <w:highlight w:val="none"/>
        </w:rPr>
        <w:t xml:space="preserve"> </w:t>
      </w:r>
      <w:r>
        <w:rPr>
          <w:rFonts w:ascii="宋体" w:hAnsi="宋体" w:eastAsia="宋体" w:cs="宋体"/>
          <w:spacing w:val="1"/>
          <w:sz w:val="24"/>
          <w:szCs w:val="24"/>
          <w:highlight w:val="none"/>
        </w:rPr>
        <w:t>项规定进行密封，并在密封袋上标注“响</w:t>
      </w:r>
      <w:r>
        <w:rPr>
          <w:rFonts w:ascii="宋体" w:hAnsi="宋体" w:eastAsia="宋体" w:cs="宋体"/>
          <w:spacing w:val="4"/>
          <w:sz w:val="24"/>
          <w:szCs w:val="24"/>
          <w:highlight w:val="none"/>
        </w:rPr>
        <w:t>应文件修改</w:t>
      </w:r>
      <w:r>
        <w:rPr>
          <w:rFonts w:ascii="宋体" w:hAnsi="宋体" w:eastAsia="宋体" w:cs="宋体"/>
          <w:spacing w:val="-72"/>
          <w:sz w:val="24"/>
          <w:szCs w:val="24"/>
          <w:highlight w:val="none"/>
        </w:rPr>
        <w:t xml:space="preserve"> </w:t>
      </w:r>
      <w:r>
        <w:rPr>
          <w:rFonts w:ascii="宋体" w:hAnsi="宋体" w:eastAsia="宋体" w:cs="宋体"/>
          <w:spacing w:val="4"/>
          <w:sz w:val="24"/>
          <w:szCs w:val="24"/>
          <w:highlight w:val="none"/>
        </w:rPr>
        <w:t>”或“</w:t>
      </w:r>
      <w:r>
        <w:rPr>
          <w:rFonts w:ascii="宋体" w:hAnsi="宋体" w:eastAsia="宋体" w:cs="宋体"/>
          <w:spacing w:val="-89"/>
          <w:sz w:val="24"/>
          <w:szCs w:val="24"/>
          <w:highlight w:val="none"/>
        </w:rPr>
        <w:t xml:space="preserve"> </w:t>
      </w:r>
      <w:r>
        <w:rPr>
          <w:rFonts w:ascii="宋体" w:hAnsi="宋体" w:eastAsia="宋体" w:cs="宋体"/>
          <w:spacing w:val="4"/>
          <w:sz w:val="24"/>
          <w:szCs w:val="24"/>
          <w:highlight w:val="none"/>
        </w:rPr>
        <w:t>响应文件撤回通知</w:t>
      </w:r>
      <w:r>
        <w:rPr>
          <w:rFonts w:ascii="宋体" w:hAnsi="宋体" w:eastAsia="宋体" w:cs="宋体"/>
          <w:spacing w:val="-79"/>
          <w:sz w:val="24"/>
          <w:szCs w:val="24"/>
          <w:highlight w:val="none"/>
        </w:rPr>
        <w:t xml:space="preserve"> </w:t>
      </w:r>
      <w:r>
        <w:rPr>
          <w:rFonts w:ascii="宋体" w:hAnsi="宋体" w:eastAsia="宋体" w:cs="宋体"/>
          <w:spacing w:val="4"/>
          <w:sz w:val="24"/>
          <w:szCs w:val="24"/>
          <w:highlight w:val="none"/>
        </w:rPr>
        <w:t>”字样，“修改文件</w:t>
      </w:r>
      <w:r>
        <w:rPr>
          <w:rFonts w:ascii="宋体" w:hAnsi="宋体" w:eastAsia="宋体" w:cs="宋体"/>
          <w:spacing w:val="-78"/>
          <w:sz w:val="24"/>
          <w:szCs w:val="24"/>
          <w:highlight w:val="none"/>
        </w:rPr>
        <w:t xml:space="preserve"> </w:t>
      </w:r>
      <w:r>
        <w:rPr>
          <w:rFonts w:ascii="宋体" w:hAnsi="宋体" w:eastAsia="宋体" w:cs="宋体"/>
          <w:spacing w:val="4"/>
          <w:sz w:val="24"/>
          <w:szCs w:val="24"/>
          <w:highlight w:val="none"/>
        </w:rPr>
        <w:t>”作为响应文件的组成部</w:t>
      </w:r>
      <w:r>
        <w:rPr>
          <w:rFonts w:ascii="宋体" w:hAnsi="宋体" w:eastAsia="宋体" w:cs="宋体"/>
          <w:spacing w:val="1"/>
          <w:sz w:val="24"/>
          <w:szCs w:val="24"/>
          <w:highlight w:val="none"/>
        </w:rPr>
        <w:t>分。</w:t>
      </w:r>
    </w:p>
    <w:p w14:paraId="4CEE0858">
      <w:pPr>
        <w:spacing w:before="184" w:line="324" w:lineRule="auto"/>
        <w:ind w:left="1" w:firstLine="475"/>
        <w:rPr>
          <w:rFonts w:ascii="宋体" w:hAnsi="宋体" w:eastAsia="宋体" w:cs="宋体"/>
          <w:spacing w:val="1"/>
          <w:sz w:val="24"/>
          <w:szCs w:val="24"/>
          <w:highlight w:val="none"/>
        </w:rPr>
      </w:pPr>
      <w:r>
        <w:rPr>
          <w:rFonts w:ascii="宋体" w:hAnsi="宋体" w:eastAsia="宋体" w:cs="宋体"/>
          <w:spacing w:val="1"/>
          <w:sz w:val="24"/>
          <w:szCs w:val="24"/>
          <w:highlight w:val="none"/>
        </w:rPr>
        <w:t>5.3.3 供应商撤回响应文件的，采购代理机构自收到供应商书面撤回通知之日起5 个工作日内退还已收取的申请保证金。</w:t>
      </w:r>
    </w:p>
    <w:p w14:paraId="33699C01">
      <w:pPr>
        <w:spacing w:before="180" w:line="361" w:lineRule="auto"/>
        <w:ind w:left="3" w:firstLine="472"/>
        <w:rPr>
          <w:rFonts w:ascii="宋体" w:hAnsi="宋体" w:eastAsia="宋体" w:cs="宋体"/>
          <w:sz w:val="24"/>
          <w:szCs w:val="24"/>
          <w:highlight w:val="none"/>
        </w:rPr>
      </w:pPr>
      <w:r>
        <w:rPr>
          <w:rFonts w:ascii="宋体" w:hAnsi="宋体" w:eastAsia="宋体" w:cs="宋体"/>
          <w:spacing w:val="2"/>
          <w:sz w:val="24"/>
          <w:szCs w:val="24"/>
          <w:highlight w:val="none"/>
        </w:rPr>
        <w:t>5.3.4 在投标截止时间之后，供应商不得对其递交的响应文件做任何修改</w:t>
      </w:r>
      <w:r>
        <w:rPr>
          <w:rFonts w:ascii="宋体" w:hAnsi="宋体" w:eastAsia="宋体" w:cs="宋体"/>
          <w:spacing w:val="1"/>
          <w:sz w:val="24"/>
          <w:szCs w:val="24"/>
          <w:highlight w:val="none"/>
        </w:rPr>
        <w:t>或撤销</w:t>
      </w:r>
      <w:r>
        <w:rPr>
          <w:rFonts w:ascii="宋体" w:hAnsi="宋体" w:eastAsia="宋体" w:cs="宋体"/>
          <w:spacing w:val="-5"/>
          <w:sz w:val="24"/>
          <w:szCs w:val="24"/>
          <w:highlight w:val="none"/>
        </w:rPr>
        <w:t>投标。</w:t>
      </w:r>
    </w:p>
    <w:p w14:paraId="723C451F">
      <w:pPr>
        <w:spacing w:before="235" w:line="221" w:lineRule="auto"/>
        <w:ind w:left="2"/>
        <w:rPr>
          <w:rFonts w:ascii="宋体" w:hAnsi="宋体" w:eastAsia="宋体" w:cs="宋体"/>
          <w:sz w:val="24"/>
          <w:szCs w:val="24"/>
          <w:highlight w:val="none"/>
        </w:rPr>
      </w:pPr>
      <w:r>
        <w:rPr>
          <w:rFonts w:ascii="宋体" w:hAnsi="宋体" w:eastAsia="宋体" w:cs="宋体"/>
          <w:b/>
          <w:bCs/>
          <w:spacing w:val="-8"/>
          <w:sz w:val="24"/>
          <w:szCs w:val="24"/>
          <w:highlight w:val="none"/>
        </w:rPr>
        <w:t>6.</w:t>
      </w:r>
      <w:r>
        <w:rPr>
          <w:rFonts w:ascii="宋体" w:hAnsi="宋体" w:eastAsia="宋体" w:cs="宋体"/>
          <w:spacing w:val="12"/>
          <w:sz w:val="24"/>
          <w:szCs w:val="24"/>
          <w:highlight w:val="none"/>
        </w:rPr>
        <w:t xml:space="preserve"> </w:t>
      </w:r>
      <w:r>
        <w:rPr>
          <w:rFonts w:ascii="宋体" w:hAnsi="宋体" w:eastAsia="宋体" w:cs="宋体"/>
          <w:b/>
          <w:bCs/>
          <w:spacing w:val="-8"/>
          <w:sz w:val="24"/>
          <w:szCs w:val="24"/>
          <w:highlight w:val="none"/>
        </w:rPr>
        <w:t>开标</w:t>
      </w:r>
    </w:p>
    <w:p w14:paraId="180E4623">
      <w:pPr>
        <w:spacing w:before="298" w:line="221" w:lineRule="auto"/>
        <w:ind w:left="2"/>
        <w:rPr>
          <w:rFonts w:ascii="宋体" w:hAnsi="宋体" w:eastAsia="宋体" w:cs="宋体"/>
          <w:sz w:val="24"/>
          <w:szCs w:val="24"/>
          <w:highlight w:val="none"/>
        </w:rPr>
      </w:pPr>
      <w:r>
        <w:rPr>
          <w:rFonts w:ascii="宋体" w:hAnsi="宋体" w:eastAsia="宋体" w:cs="宋体"/>
          <w:b/>
          <w:bCs/>
          <w:spacing w:val="-4"/>
          <w:sz w:val="24"/>
          <w:szCs w:val="24"/>
          <w:highlight w:val="none"/>
        </w:rPr>
        <w:t>6.1</w:t>
      </w:r>
      <w:r>
        <w:rPr>
          <w:rFonts w:ascii="宋体" w:hAnsi="宋体" w:eastAsia="宋体" w:cs="宋体"/>
          <w:spacing w:val="-50"/>
          <w:sz w:val="24"/>
          <w:szCs w:val="24"/>
          <w:highlight w:val="none"/>
        </w:rPr>
        <w:t xml:space="preserve"> </w:t>
      </w:r>
      <w:r>
        <w:rPr>
          <w:rFonts w:ascii="宋体" w:hAnsi="宋体" w:eastAsia="宋体" w:cs="宋体"/>
          <w:b/>
          <w:bCs/>
          <w:spacing w:val="-4"/>
          <w:sz w:val="24"/>
          <w:szCs w:val="24"/>
          <w:highlight w:val="none"/>
        </w:rPr>
        <w:t>开标时间和地点</w:t>
      </w:r>
    </w:p>
    <w:p w14:paraId="24CD483D">
      <w:pPr>
        <w:spacing w:before="299" w:line="313" w:lineRule="auto"/>
        <w:ind w:firstLine="481"/>
        <w:rPr>
          <w:rFonts w:ascii="宋体" w:hAnsi="宋体" w:eastAsia="宋体" w:cs="宋体"/>
          <w:sz w:val="24"/>
          <w:szCs w:val="24"/>
          <w:highlight w:val="none"/>
        </w:rPr>
      </w:pPr>
      <w:r>
        <w:rPr>
          <w:rFonts w:ascii="宋体" w:hAnsi="宋体" w:eastAsia="宋体" w:cs="宋体"/>
          <w:spacing w:val="2"/>
          <w:sz w:val="24"/>
          <w:szCs w:val="24"/>
          <w:highlight w:val="none"/>
        </w:rPr>
        <w:t>6.1.1 采购代理机构在供应商须知前附表中规定的投标截</w:t>
      </w:r>
      <w:r>
        <w:rPr>
          <w:rFonts w:ascii="宋体" w:hAnsi="宋体" w:eastAsia="宋体" w:cs="宋体"/>
          <w:spacing w:val="1"/>
          <w:sz w:val="24"/>
          <w:szCs w:val="24"/>
          <w:highlight w:val="none"/>
        </w:rPr>
        <w:t>止时间（开标时间）和</w:t>
      </w:r>
      <w:r>
        <w:rPr>
          <w:rFonts w:ascii="宋体" w:hAnsi="宋体" w:eastAsia="宋体" w:cs="宋体"/>
          <w:spacing w:val="2"/>
          <w:sz w:val="24"/>
          <w:szCs w:val="24"/>
          <w:highlight w:val="none"/>
        </w:rPr>
        <w:t>地点公开开标，并邀请征集人、所有供应商派代表准时参加并签到以证</w:t>
      </w:r>
      <w:r>
        <w:rPr>
          <w:rFonts w:ascii="宋体" w:hAnsi="宋体" w:eastAsia="宋体" w:cs="宋体"/>
          <w:spacing w:val="1"/>
          <w:sz w:val="24"/>
          <w:szCs w:val="24"/>
          <w:highlight w:val="none"/>
        </w:rPr>
        <w:t>明其出席。评</w:t>
      </w:r>
      <w:r>
        <w:rPr>
          <w:rFonts w:ascii="宋体" w:hAnsi="宋体" w:eastAsia="宋体" w:cs="宋体"/>
          <w:spacing w:val="-1"/>
          <w:sz w:val="24"/>
          <w:szCs w:val="24"/>
          <w:highlight w:val="none"/>
        </w:rPr>
        <w:t>标委员会成员不得参加开标活动。</w:t>
      </w:r>
    </w:p>
    <w:p w14:paraId="46381CB1">
      <w:pPr>
        <w:spacing w:before="183"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6.1.2 供应商未参加开标的，视同认可开标结果。</w:t>
      </w:r>
    </w:p>
    <w:p w14:paraId="28ACD9E4">
      <w:pPr>
        <w:spacing w:before="181" w:line="219" w:lineRule="auto"/>
        <w:ind w:left="482"/>
        <w:rPr>
          <w:rFonts w:ascii="宋体" w:hAnsi="宋体" w:eastAsia="宋体" w:cs="宋体"/>
          <w:sz w:val="24"/>
          <w:szCs w:val="24"/>
          <w:highlight w:val="none"/>
        </w:rPr>
      </w:pPr>
      <w:r>
        <w:rPr>
          <w:rFonts w:ascii="宋体" w:hAnsi="宋体" w:eastAsia="宋体" w:cs="宋体"/>
          <w:sz w:val="24"/>
          <w:szCs w:val="24"/>
          <w:highlight w:val="none"/>
        </w:rPr>
        <w:t>6.1.3 开标时，采购代理机构邀请有关监督管</w:t>
      </w:r>
      <w:r>
        <w:rPr>
          <w:rFonts w:ascii="宋体" w:hAnsi="宋体" w:eastAsia="宋体" w:cs="宋体"/>
          <w:spacing w:val="-1"/>
          <w:sz w:val="24"/>
          <w:szCs w:val="24"/>
          <w:highlight w:val="none"/>
        </w:rPr>
        <w:t>理机构对开标进行现场监督。</w:t>
      </w:r>
    </w:p>
    <w:p w14:paraId="753FF6DB">
      <w:pPr>
        <w:spacing w:before="180" w:line="290" w:lineRule="auto"/>
        <w:ind w:left="1" w:firstLine="480"/>
        <w:rPr>
          <w:rFonts w:ascii="宋体" w:hAnsi="宋体" w:eastAsia="宋体" w:cs="宋体"/>
          <w:sz w:val="24"/>
          <w:szCs w:val="24"/>
          <w:highlight w:val="none"/>
        </w:rPr>
      </w:pPr>
      <w:r>
        <w:rPr>
          <w:rFonts w:ascii="宋体" w:hAnsi="宋体" w:eastAsia="宋体" w:cs="宋体"/>
          <w:spacing w:val="1"/>
          <w:sz w:val="24"/>
          <w:szCs w:val="24"/>
          <w:highlight w:val="none"/>
        </w:rPr>
        <w:t>6.1.4 供应商不足</w:t>
      </w:r>
      <w:r>
        <w:rPr>
          <w:rFonts w:ascii="宋体" w:hAnsi="宋体" w:eastAsia="宋体" w:cs="宋体"/>
          <w:spacing w:val="-43"/>
          <w:sz w:val="24"/>
          <w:szCs w:val="24"/>
          <w:highlight w:val="none"/>
        </w:rPr>
        <w:t xml:space="preserve"> </w:t>
      </w:r>
      <w:r>
        <w:rPr>
          <w:rFonts w:ascii="宋体" w:hAnsi="宋体" w:eastAsia="宋体" w:cs="宋体"/>
          <w:spacing w:val="1"/>
          <w:sz w:val="24"/>
          <w:szCs w:val="24"/>
          <w:highlight w:val="none"/>
        </w:rPr>
        <w:t>3</w:t>
      </w:r>
      <w:r>
        <w:rPr>
          <w:rFonts w:ascii="宋体" w:hAnsi="宋体" w:eastAsia="宋体" w:cs="宋体"/>
          <w:spacing w:val="-47"/>
          <w:sz w:val="24"/>
          <w:szCs w:val="24"/>
          <w:highlight w:val="none"/>
        </w:rPr>
        <w:t xml:space="preserve"> </w:t>
      </w:r>
      <w:r>
        <w:rPr>
          <w:rFonts w:ascii="宋体" w:hAnsi="宋体" w:eastAsia="宋体" w:cs="宋体"/>
          <w:spacing w:val="1"/>
          <w:sz w:val="24"/>
          <w:szCs w:val="24"/>
          <w:highlight w:val="none"/>
        </w:rPr>
        <w:t>家的，不得开标，采购代理机构将按照供应商须知前附</w:t>
      </w:r>
      <w:r>
        <w:rPr>
          <w:rFonts w:ascii="宋体" w:hAnsi="宋体" w:eastAsia="宋体" w:cs="宋体"/>
          <w:sz w:val="24"/>
          <w:szCs w:val="24"/>
          <w:highlight w:val="none"/>
        </w:rPr>
        <w:t>表的</w:t>
      </w:r>
      <w:r>
        <w:rPr>
          <w:rFonts w:ascii="宋体" w:hAnsi="宋体" w:eastAsia="宋体" w:cs="宋体"/>
          <w:spacing w:val="-1"/>
          <w:sz w:val="24"/>
          <w:szCs w:val="24"/>
          <w:highlight w:val="none"/>
        </w:rPr>
        <w:t>规定返还供应商的响应文件，供应商应当签收。</w:t>
      </w:r>
    </w:p>
    <w:p w14:paraId="303F0814">
      <w:pPr>
        <w:spacing w:before="302" w:line="221" w:lineRule="auto"/>
        <w:ind w:left="2"/>
        <w:rPr>
          <w:rFonts w:ascii="宋体" w:hAnsi="宋体" w:eastAsia="宋体" w:cs="宋体"/>
          <w:sz w:val="24"/>
          <w:szCs w:val="24"/>
          <w:highlight w:val="none"/>
        </w:rPr>
      </w:pPr>
      <w:r>
        <w:rPr>
          <w:rFonts w:ascii="宋体" w:hAnsi="宋体" w:eastAsia="宋体" w:cs="宋体"/>
          <w:b/>
          <w:bCs/>
          <w:spacing w:val="-4"/>
          <w:sz w:val="24"/>
          <w:szCs w:val="24"/>
          <w:highlight w:val="none"/>
        </w:rPr>
        <w:t>6.2</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开标程序</w:t>
      </w:r>
    </w:p>
    <w:p w14:paraId="2C204AE0">
      <w:pPr>
        <w:spacing w:before="299" w:line="359" w:lineRule="auto"/>
        <w:ind w:left="1" w:firstLine="480"/>
        <w:rPr>
          <w:rFonts w:ascii="宋体" w:hAnsi="宋体" w:eastAsia="宋体" w:cs="宋体"/>
          <w:sz w:val="24"/>
          <w:szCs w:val="24"/>
          <w:highlight w:val="none"/>
        </w:rPr>
      </w:pPr>
      <w:r>
        <w:rPr>
          <w:rFonts w:ascii="宋体" w:hAnsi="宋体" w:eastAsia="宋体" w:cs="宋体"/>
          <w:spacing w:val="8"/>
          <w:sz w:val="24"/>
          <w:szCs w:val="24"/>
          <w:highlight w:val="none"/>
        </w:rPr>
        <w:t>6.2.1 开标由采购代理机构主持。主持人按照征集文件规定的开标时间宣布开</w:t>
      </w:r>
      <w:r>
        <w:rPr>
          <w:rFonts w:ascii="宋体" w:hAnsi="宋体" w:eastAsia="宋体" w:cs="宋体"/>
          <w:spacing w:val="-1"/>
          <w:sz w:val="24"/>
          <w:szCs w:val="24"/>
          <w:highlight w:val="none"/>
        </w:rPr>
        <w:t>标，并按下列程序进行（但不限于</w:t>
      </w:r>
      <w:r>
        <w:rPr>
          <w:rFonts w:ascii="宋体" w:hAnsi="宋体" w:eastAsia="宋体" w:cs="宋体"/>
          <w:spacing w:val="1"/>
          <w:sz w:val="24"/>
          <w:szCs w:val="24"/>
          <w:highlight w:val="none"/>
        </w:rPr>
        <w:t>）：</w:t>
      </w:r>
    </w:p>
    <w:p w14:paraId="384969C2">
      <w:pPr>
        <w:spacing w:before="184" w:line="360" w:lineRule="auto"/>
        <w:ind w:left="492"/>
        <w:rPr>
          <w:rFonts w:ascii="宋体" w:hAnsi="宋体" w:eastAsia="宋体" w:cs="宋体"/>
          <w:spacing w:val="-2"/>
          <w:sz w:val="24"/>
          <w:szCs w:val="24"/>
          <w:highlight w:val="none"/>
        </w:rPr>
      </w:pP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1</w:t>
      </w:r>
      <w:r>
        <w:rPr>
          <w:rFonts w:ascii="宋体" w:hAnsi="宋体" w:eastAsia="宋体" w:cs="宋体"/>
          <w:spacing w:val="-2"/>
          <w:sz w:val="24"/>
          <w:szCs w:val="24"/>
          <w:highlight w:val="none"/>
        </w:rPr>
        <w:t>）宣布开标纪律和有关注意事项；</w:t>
      </w:r>
    </w:p>
    <w:p w14:paraId="5A400901">
      <w:pPr>
        <w:spacing w:before="184" w:line="360" w:lineRule="auto"/>
        <w:ind w:left="492"/>
        <w:rPr>
          <w:rFonts w:hint="eastAsia" w:ascii="宋体" w:hAnsi="宋体" w:eastAsia="宋体" w:cs="宋体"/>
          <w:spacing w:val="-2"/>
          <w:sz w:val="24"/>
          <w:szCs w:val="24"/>
          <w:highlight w:val="none"/>
          <w:lang w:eastAsia="zh-CN"/>
        </w:rPr>
      </w:pP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2</w:t>
      </w:r>
      <w:r>
        <w:rPr>
          <w:rFonts w:ascii="宋体" w:hAnsi="宋体" w:eastAsia="宋体" w:cs="宋体"/>
          <w:spacing w:val="-2"/>
          <w:sz w:val="24"/>
          <w:szCs w:val="24"/>
          <w:highlight w:val="none"/>
        </w:rPr>
        <w:t>） 公布在投标截止时间前递交响应文件的供应商名称</w:t>
      </w:r>
      <w:r>
        <w:rPr>
          <w:rFonts w:hint="eastAsia" w:ascii="宋体" w:hAnsi="宋体" w:eastAsia="宋体" w:cs="宋体"/>
          <w:spacing w:val="-2"/>
          <w:sz w:val="24"/>
          <w:szCs w:val="24"/>
          <w:highlight w:val="none"/>
          <w:lang w:eastAsia="zh-CN"/>
        </w:rPr>
        <w:t>；</w:t>
      </w:r>
    </w:p>
    <w:p w14:paraId="5381A6B8">
      <w:pPr>
        <w:spacing w:before="184" w:line="360" w:lineRule="auto"/>
        <w:ind w:left="492"/>
        <w:rPr>
          <w:rFonts w:ascii="宋体" w:hAnsi="宋体" w:eastAsia="宋体" w:cs="宋体"/>
          <w:spacing w:val="-2"/>
          <w:sz w:val="24"/>
          <w:szCs w:val="24"/>
          <w:highlight w:val="none"/>
        </w:rPr>
      </w:pP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3</w:t>
      </w:r>
      <w:r>
        <w:rPr>
          <w:rFonts w:ascii="宋体" w:hAnsi="宋体" w:eastAsia="宋体" w:cs="宋体"/>
          <w:spacing w:val="-2"/>
          <w:sz w:val="24"/>
          <w:szCs w:val="24"/>
          <w:highlight w:val="none"/>
        </w:rPr>
        <w:t>）检查并宣布响应文件的密封情况；</w:t>
      </w:r>
    </w:p>
    <w:p w14:paraId="0FC284B2">
      <w:pPr>
        <w:spacing w:before="184" w:line="360" w:lineRule="auto"/>
        <w:ind w:left="492"/>
        <w:rPr>
          <w:rFonts w:ascii="宋体" w:hAnsi="宋体" w:eastAsia="宋体" w:cs="宋体"/>
          <w:spacing w:val="-2"/>
          <w:sz w:val="24"/>
          <w:szCs w:val="24"/>
          <w:highlight w:val="none"/>
        </w:rPr>
      </w:pP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4</w:t>
      </w:r>
      <w:r>
        <w:rPr>
          <w:rFonts w:ascii="宋体" w:hAnsi="宋体" w:eastAsia="宋体" w:cs="宋体"/>
          <w:spacing w:val="-2"/>
          <w:sz w:val="24"/>
          <w:szCs w:val="24"/>
          <w:highlight w:val="none"/>
        </w:rPr>
        <w:t>）开标唱标：主持人宣布开标后，由现场工作人员按供应商须知前附表规定的顺序对供应商的“响应文件（正本） ”当众进行拆封，由唱标人对其中“开标一览表 ”的供应商名称、投标</w:t>
      </w:r>
      <w:r>
        <w:rPr>
          <w:rFonts w:hint="eastAsia" w:ascii="宋体" w:hAnsi="宋体" w:eastAsia="宋体" w:cs="宋体"/>
          <w:spacing w:val="-2"/>
          <w:sz w:val="24"/>
          <w:szCs w:val="24"/>
          <w:highlight w:val="none"/>
          <w:lang w:val="en-US" w:eastAsia="zh-CN"/>
        </w:rPr>
        <w:t>报价</w:t>
      </w:r>
      <w:r>
        <w:rPr>
          <w:rFonts w:ascii="宋体" w:hAnsi="宋体" w:eastAsia="宋体" w:cs="宋体"/>
          <w:spacing w:val="-2"/>
          <w:sz w:val="24"/>
          <w:szCs w:val="24"/>
          <w:highlight w:val="none"/>
        </w:rPr>
        <w:t>、服务期限等内容进行宣读并做开标记录；所有投标唱标完毕，如供应商对宣读的“开标一览表 ”上的内容有异议的，应当举手示意，在获得主持人同意后当场提出；如确实属于唱标人宣读错误的，经现场监督人员核实后，当场予以更正；无异议后，由供应商法定代表人或委托代理人及监督管理机构代表签名确认唱标内容；</w:t>
      </w:r>
    </w:p>
    <w:p w14:paraId="1054E6B0">
      <w:pPr>
        <w:spacing w:before="184" w:line="360" w:lineRule="auto"/>
        <w:ind w:left="492"/>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7）开标流程确认</w:t>
      </w:r>
    </w:p>
    <w:p w14:paraId="34240445">
      <w:pPr>
        <w:spacing w:before="184" w:line="360" w:lineRule="auto"/>
        <w:ind w:left="492"/>
        <w:rPr>
          <w:rFonts w:ascii="宋体" w:hAnsi="宋体" w:eastAsia="宋体" w:cs="宋体"/>
          <w:spacing w:val="-2"/>
          <w:sz w:val="24"/>
          <w:szCs w:val="24"/>
          <w:highlight w:val="none"/>
        </w:rPr>
      </w:pP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8</w:t>
      </w:r>
      <w:r>
        <w:rPr>
          <w:rFonts w:ascii="宋体" w:hAnsi="宋体" w:eastAsia="宋体" w:cs="宋体"/>
          <w:spacing w:val="-2"/>
          <w:sz w:val="24"/>
          <w:szCs w:val="24"/>
          <w:highlight w:val="none"/>
        </w:rPr>
        <w:t>）宣布开标结束：主持人宣布开标结束后，所有供应商应立即退场（征集文件要求演示、述标的除外）；同时所有供应商应保持通讯设备的畅通，以方便在评标过程中评标委员会要求供应商对响应文件的必要澄清。</w:t>
      </w:r>
    </w:p>
    <w:p w14:paraId="69562DF5">
      <w:pPr>
        <w:spacing w:line="359" w:lineRule="auto"/>
        <w:ind w:left="20" w:right="2" w:firstLine="462"/>
        <w:rPr>
          <w:rFonts w:ascii="宋体" w:hAnsi="宋体" w:eastAsia="宋体" w:cs="宋体"/>
          <w:sz w:val="24"/>
          <w:szCs w:val="24"/>
          <w:highlight w:val="none"/>
        </w:rPr>
      </w:pPr>
      <w:r>
        <w:rPr>
          <w:rFonts w:ascii="宋体" w:hAnsi="宋体" w:eastAsia="宋体" w:cs="宋体"/>
          <w:spacing w:val="2"/>
          <w:sz w:val="24"/>
          <w:szCs w:val="24"/>
          <w:highlight w:val="none"/>
        </w:rPr>
        <w:t>6.2.2 检查响应文件密封情况是指，由供应商或者其</w:t>
      </w:r>
      <w:r>
        <w:rPr>
          <w:rFonts w:ascii="宋体" w:hAnsi="宋体" w:eastAsia="宋体" w:cs="宋体"/>
          <w:spacing w:val="1"/>
          <w:sz w:val="24"/>
          <w:szCs w:val="24"/>
          <w:highlight w:val="none"/>
        </w:rPr>
        <w:t>推选的代表检查其自己递交</w:t>
      </w:r>
      <w:r>
        <w:rPr>
          <w:rFonts w:ascii="宋体" w:hAnsi="宋体" w:eastAsia="宋体" w:cs="宋体"/>
          <w:spacing w:val="-2"/>
          <w:sz w:val="24"/>
          <w:szCs w:val="24"/>
          <w:highlight w:val="none"/>
        </w:rPr>
        <w:t>的响应文件的密封情况，经检查无误后，签名确认。</w:t>
      </w:r>
    </w:p>
    <w:p w14:paraId="6C943732">
      <w:pPr>
        <w:spacing w:before="1" w:line="359" w:lineRule="auto"/>
        <w:ind w:firstLine="480"/>
        <w:jc w:val="both"/>
        <w:rPr>
          <w:rFonts w:ascii="宋体" w:hAnsi="宋体" w:eastAsia="宋体" w:cs="宋体"/>
          <w:sz w:val="24"/>
          <w:szCs w:val="24"/>
          <w:highlight w:val="none"/>
        </w:rPr>
      </w:pPr>
      <w:r>
        <w:rPr>
          <w:rFonts w:ascii="宋体" w:hAnsi="宋体" w:eastAsia="宋体" w:cs="宋体"/>
          <w:spacing w:val="2"/>
          <w:sz w:val="24"/>
          <w:szCs w:val="24"/>
          <w:highlight w:val="none"/>
        </w:rPr>
        <w:t>供应商或者其推选的代表确认响应文件情况，仅限于确认其自己递交的响应</w:t>
      </w:r>
      <w:r>
        <w:rPr>
          <w:rFonts w:ascii="宋体" w:hAnsi="宋体" w:eastAsia="宋体" w:cs="宋体"/>
          <w:spacing w:val="1"/>
          <w:sz w:val="24"/>
          <w:szCs w:val="24"/>
          <w:highlight w:val="none"/>
        </w:rPr>
        <w:t>文件</w:t>
      </w:r>
      <w:r>
        <w:rPr>
          <w:rFonts w:ascii="宋体" w:hAnsi="宋体" w:eastAsia="宋体" w:cs="宋体"/>
          <w:spacing w:val="2"/>
          <w:sz w:val="24"/>
          <w:szCs w:val="24"/>
          <w:highlight w:val="none"/>
        </w:rPr>
        <w:t>的密封情况，不代表对其他供应商的响应文件的密封情况确认。供应商或</w:t>
      </w:r>
      <w:r>
        <w:rPr>
          <w:rFonts w:ascii="宋体" w:hAnsi="宋体" w:eastAsia="宋体" w:cs="宋体"/>
          <w:spacing w:val="1"/>
          <w:sz w:val="24"/>
          <w:szCs w:val="24"/>
          <w:highlight w:val="none"/>
        </w:rPr>
        <w:t>者其推选的</w:t>
      </w:r>
      <w:r>
        <w:rPr>
          <w:rFonts w:ascii="宋体" w:hAnsi="宋体" w:eastAsia="宋体" w:cs="宋体"/>
          <w:spacing w:val="2"/>
          <w:sz w:val="24"/>
          <w:szCs w:val="24"/>
          <w:highlight w:val="none"/>
        </w:rPr>
        <w:t>代表检对其他供应商的响应文件密封情况有异议的，可以当场反映开标主</w:t>
      </w:r>
      <w:r>
        <w:rPr>
          <w:rFonts w:ascii="宋体" w:hAnsi="宋体" w:eastAsia="宋体" w:cs="宋体"/>
          <w:spacing w:val="1"/>
          <w:sz w:val="24"/>
          <w:szCs w:val="24"/>
          <w:highlight w:val="none"/>
        </w:rPr>
        <w:t>持人或者现</w:t>
      </w:r>
      <w:r>
        <w:rPr>
          <w:rFonts w:ascii="宋体" w:hAnsi="宋体" w:eastAsia="宋体" w:cs="宋体"/>
          <w:spacing w:val="2"/>
          <w:sz w:val="24"/>
          <w:szCs w:val="24"/>
          <w:highlight w:val="none"/>
        </w:rPr>
        <w:t>场监督人员，要求开标现场记录人员予以记录，但不得干扰、阻挠开标工</w:t>
      </w:r>
      <w:r>
        <w:rPr>
          <w:rFonts w:ascii="宋体" w:hAnsi="宋体" w:eastAsia="宋体" w:cs="宋体"/>
          <w:spacing w:val="1"/>
          <w:sz w:val="24"/>
          <w:szCs w:val="24"/>
          <w:highlight w:val="none"/>
        </w:rPr>
        <w:t>作的正常进</w:t>
      </w:r>
      <w:r>
        <w:rPr>
          <w:rFonts w:ascii="宋体" w:hAnsi="宋体" w:eastAsia="宋体" w:cs="宋体"/>
          <w:spacing w:val="-5"/>
          <w:sz w:val="24"/>
          <w:szCs w:val="24"/>
          <w:highlight w:val="none"/>
        </w:rPr>
        <w:t>行。</w:t>
      </w:r>
    </w:p>
    <w:p w14:paraId="7F1638B6">
      <w:pPr>
        <w:spacing w:before="1" w:line="360" w:lineRule="auto"/>
        <w:ind w:firstLine="482"/>
        <w:jc w:val="both"/>
        <w:rPr>
          <w:rFonts w:ascii="宋体" w:hAnsi="宋体" w:eastAsia="宋体" w:cs="宋体"/>
          <w:sz w:val="24"/>
          <w:szCs w:val="24"/>
          <w:highlight w:val="none"/>
        </w:rPr>
      </w:pPr>
      <w:r>
        <w:rPr>
          <w:rFonts w:ascii="宋体" w:hAnsi="宋体" w:eastAsia="宋体" w:cs="宋体"/>
          <w:spacing w:val="2"/>
          <w:sz w:val="24"/>
          <w:szCs w:val="24"/>
          <w:highlight w:val="none"/>
        </w:rPr>
        <w:t>6.2.3 供应商对开标过程和开标记录有疑义，以及认为征</w:t>
      </w:r>
      <w:r>
        <w:rPr>
          <w:rFonts w:ascii="宋体" w:hAnsi="宋体" w:eastAsia="宋体" w:cs="宋体"/>
          <w:spacing w:val="1"/>
          <w:sz w:val="24"/>
          <w:szCs w:val="24"/>
          <w:highlight w:val="none"/>
        </w:rPr>
        <w:t>集人、采购代理机构相</w:t>
      </w:r>
      <w:r>
        <w:rPr>
          <w:rFonts w:ascii="宋体" w:hAnsi="宋体" w:eastAsia="宋体" w:cs="宋体"/>
          <w:spacing w:val="2"/>
          <w:sz w:val="24"/>
          <w:szCs w:val="24"/>
          <w:highlight w:val="none"/>
        </w:rPr>
        <w:t>关工作人员有需要回避的情形的，应当场提出询问或者回避申请。征集人</w:t>
      </w:r>
      <w:r>
        <w:rPr>
          <w:rFonts w:ascii="宋体" w:hAnsi="宋体" w:eastAsia="宋体" w:cs="宋体"/>
          <w:spacing w:val="1"/>
          <w:sz w:val="24"/>
          <w:szCs w:val="24"/>
          <w:highlight w:val="none"/>
        </w:rPr>
        <w:t>、采购代理</w:t>
      </w:r>
      <w:r>
        <w:rPr>
          <w:rFonts w:ascii="宋体" w:hAnsi="宋体" w:eastAsia="宋体" w:cs="宋体"/>
          <w:sz w:val="24"/>
          <w:szCs w:val="24"/>
          <w:highlight w:val="none"/>
        </w:rPr>
        <w:t>机构对供应商代表提出的询问或者回避申请应当及</w:t>
      </w:r>
      <w:r>
        <w:rPr>
          <w:rFonts w:ascii="宋体" w:hAnsi="宋体" w:eastAsia="宋体" w:cs="宋体"/>
          <w:spacing w:val="-1"/>
          <w:sz w:val="24"/>
          <w:szCs w:val="24"/>
          <w:highlight w:val="none"/>
        </w:rPr>
        <w:t>时处理，并制作记录。</w:t>
      </w:r>
    </w:p>
    <w:p w14:paraId="7EFB6256">
      <w:pPr>
        <w:spacing w:before="237" w:line="219" w:lineRule="auto"/>
        <w:ind w:left="6"/>
        <w:rPr>
          <w:rFonts w:ascii="宋体" w:hAnsi="宋体" w:eastAsia="宋体" w:cs="宋体"/>
          <w:sz w:val="24"/>
          <w:szCs w:val="24"/>
          <w:highlight w:val="none"/>
        </w:rPr>
      </w:pPr>
      <w:r>
        <w:rPr>
          <w:rFonts w:ascii="宋体" w:hAnsi="宋体" w:eastAsia="宋体" w:cs="宋体"/>
          <w:b/>
          <w:bCs/>
          <w:spacing w:val="-4"/>
          <w:sz w:val="24"/>
          <w:szCs w:val="24"/>
          <w:highlight w:val="none"/>
        </w:rPr>
        <w:t>7.</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供应商资格审查</w:t>
      </w:r>
    </w:p>
    <w:p w14:paraId="6A1D0611">
      <w:pPr>
        <w:spacing w:before="301" w:line="220" w:lineRule="auto"/>
        <w:ind w:left="6"/>
        <w:rPr>
          <w:rFonts w:ascii="宋体" w:hAnsi="宋体" w:eastAsia="宋体" w:cs="宋体"/>
          <w:sz w:val="24"/>
          <w:szCs w:val="24"/>
          <w:highlight w:val="none"/>
        </w:rPr>
      </w:pPr>
      <w:r>
        <w:rPr>
          <w:rFonts w:ascii="宋体" w:hAnsi="宋体" w:eastAsia="宋体" w:cs="宋体"/>
          <w:b/>
          <w:bCs/>
          <w:spacing w:val="-6"/>
          <w:sz w:val="24"/>
          <w:szCs w:val="24"/>
          <w:highlight w:val="none"/>
        </w:rPr>
        <w:t>7.1</w:t>
      </w:r>
      <w:r>
        <w:rPr>
          <w:rFonts w:ascii="宋体" w:hAnsi="宋体" w:eastAsia="宋体" w:cs="宋体"/>
          <w:spacing w:val="22"/>
          <w:sz w:val="24"/>
          <w:szCs w:val="24"/>
          <w:highlight w:val="none"/>
        </w:rPr>
        <w:t xml:space="preserve"> </w:t>
      </w:r>
      <w:r>
        <w:rPr>
          <w:rFonts w:ascii="宋体" w:hAnsi="宋体" w:eastAsia="宋体" w:cs="宋体"/>
          <w:b/>
          <w:bCs/>
          <w:spacing w:val="-6"/>
          <w:sz w:val="24"/>
          <w:szCs w:val="24"/>
          <w:highlight w:val="none"/>
        </w:rPr>
        <w:t>资格审查小组</w:t>
      </w:r>
    </w:p>
    <w:p w14:paraId="042BBBAA">
      <w:pPr>
        <w:spacing w:before="301" w:line="360" w:lineRule="auto"/>
        <w:ind w:right="56" w:firstLine="597"/>
        <w:rPr>
          <w:rFonts w:ascii="宋体" w:hAnsi="宋体" w:eastAsia="宋体" w:cs="宋体"/>
          <w:sz w:val="24"/>
          <w:szCs w:val="24"/>
          <w:highlight w:val="none"/>
        </w:rPr>
      </w:pPr>
      <w:r>
        <w:rPr>
          <w:rFonts w:ascii="宋体" w:hAnsi="宋体" w:eastAsia="宋体" w:cs="宋体"/>
          <w:spacing w:val="4"/>
          <w:sz w:val="24"/>
          <w:szCs w:val="24"/>
          <w:highlight w:val="none"/>
        </w:rPr>
        <w:t>7.1.1 开启工作结束后，由征集人委派的资格审</w:t>
      </w:r>
      <w:r>
        <w:rPr>
          <w:rFonts w:ascii="宋体" w:hAnsi="宋体" w:eastAsia="宋体" w:cs="宋体"/>
          <w:spacing w:val="3"/>
          <w:sz w:val="24"/>
          <w:szCs w:val="24"/>
          <w:highlight w:val="none"/>
        </w:rPr>
        <w:t>查小组按照征集文件的规定，</w:t>
      </w:r>
      <w:r>
        <w:rPr>
          <w:rFonts w:ascii="宋体" w:hAnsi="宋体" w:eastAsia="宋体" w:cs="宋体"/>
          <w:spacing w:val="-1"/>
          <w:sz w:val="24"/>
          <w:szCs w:val="24"/>
          <w:highlight w:val="none"/>
        </w:rPr>
        <w:t>对响应文件中的供应商资格证明文件进行审查。</w:t>
      </w:r>
      <w:r>
        <w:rPr>
          <w:rFonts w:hint="eastAsia" w:ascii="宋体" w:hAnsi="宋体" w:eastAsia="宋体" w:cs="宋体"/>
          <w:spacing w:val="2"/>
          <w:sz w:val="24"/>
          <w:szCs w:val="24"/>
          <w:highlight w:val="none"/>
          <w:lang w:val="en-US" w:eastAsia="zh-CN"/>
        </w:rPr>
        <w:t>资格审查小组由采购人或采购代理机构组成。</w:t>
      </w:r>
    </w:p>
    <w:p w14:paraId="3A5B2582">
      <w:pPr>
        <w:spacing w:before="118" w:line="220" w:lineRule="auto"/>
        <w:ind w:left="6"/>
        <w:rPr>
          <w:rFonts w:ascii="宋体" w:hAnsi="宋体" w:eastAsia="宋体" w:cs="宋体"/>
          <w:sz w:val="24"/>
          <w:szCs w:val="24"/>
          <w:highlight w:val="none"/>
        </w:rPr>
      </w:pPr>
      <w:r>
        <w:rPr>
          <w:rFonts w:ascii="宋体" w:hAnsi="宋体" w:eastAsia="宋体" w:cs="宋体"/>
          <w:b/>
          <w:bCs/>
          <w:spacing w:val="-6"/>
          <w:sz w:val="24"/>
          <w:szCs w:val="24"/>
          <w:highlight w:val="none"/>
        </w:rPr>
        <w:t>7.2</w:t>
      </w:r>
      <w:r>
        <w:rPr>
          <w:rFonts w:ascii="宋体" w:hAnsi="宋体" w:eastAsia="宋体" w:cs="宋体"/>
          <w:spacing w:val="22"/>
          <w:sz w:val="24"/>
          <w:szCs w:val="24"/>
          <w:highlight w:val="none"/>
        </w:rPr>
        <w:t xml:space="preserve"> </w:t>
      </w:r>
      <w:r>
        <w:rPr>
          <w:rFonts w:ascii="宋体" w:hAnsi="宋体" w:eastAsia="宋体" w:cs="宋体"/>
          <w:b/>
          <w:bCs/>
          <w:spacing w:val="-6"/>
          <w:sz w:val="24"/>
          <w:szCs w:val="24"/>
          <w:highlight w:val="none"/>
        </w:rPr>
        <w:t>资格审查办法</w:t>
      </w:r>
    </w:p>
    <w:p w14:paraId="7B952F48">
      <w:pPr>
        <w:spacing w:before="300" w:line="220" w:lineRule="auto"/>
        <w:ind w:left="477"/>
        <w:rPr>
          <w:rFonts w:ascii="宋体" w:hAnsi="宋体" w:eastAsia="宋体" w:cs="宋体"/>
          <w:sz w:val="24"/>
          <w:szCs w:val="24"/>
          <w:highlight w:val="none"/>
        </w:rPr>
      </w:pPr>
      <w:r>
        <w:rPr>
          <w:rFonts w:ascii="宋体" w:hAnsi="宋体" w:eastAsia="宋体" w:cs="宋体"/>
          <w:spacing w:val="-1"/>
          <w:sz w:val="24"/>
          <w:szCs w:val="24"/>
          <w:highlight w:val="none"/>
        </w:rPr>
        <w:t>7.2.1 资格审查在开标结束之后评标开始之前进行。</w:t>
      </w:r>
    </w:p>
    <w:p w14:paraId="1B2290EE">
      <w:pPr>
        <w:spacing w:before="181" w:line="324" w:lineRule="auto"/>
        <w:ind w:firstLine="477"/>
        <w:rPr>
          <w:rFonts w:ascii="宋体" w:hAnsi="宋体" w:eastAsia="宋体" w:cs="宋体"/>
          <w:sz w:val="24"/>
          <w:szCs w:val="24"/>
          <w:highlight w:val="none"/>
        </w:rPr>
      </w:pPr>
      <w:r>
        <w:rPr>
          <w:rFonts w:ascii="宋体" w:hAnsi="宋体" w:eastAsia="宋体" w:cs="宋体"/>
          <w:spacing w:val="8"/>
          <w:sz w:val="24"/>
          <w:szCs w:val="24"/>
          <w:highlight w:val="none"/>
        </w:rPr>
        <w:t>7.2.2 资格审查小组将依据供应商响应文件之资格审查部分文件，按照本章第</w:t>
      </w:r>
      <w:r>
        <w:rPr>
          <w:rFonts w:ascii="宋体" w:hAnsi="宋体" w:eastAsia="宋体" w:cs="宋体"/>
          <w:spacing w:val="3"/>
          <w:sz w:val="24"/>
          <w:szCs w:val="24"/>
          <w:highlight w:val="none"/>
        </w:rPr>
        <w:t>3.1</w:t>
      </w:r>
      <w:r>
        <w:rPr>
          <w:rFonts w:ascii="宋体" w:hAnsi="宋体" w:eastAsia="宋体" w:cs="宋体"/>
          <w:spacing w:val="-45"/>
          <w:sz w:val="24"/>
          <w:szCs w:val="24"/>
          <w:highlight w:val="none"/>
        </w:rPr>
        <w:t xml:space="preserve"> </w:t>
      </w:r>
      <w:r>
        <w:rPr>
          <w:rFonts w:ascii="宋体" w:hAnsi="宋体" w:eastAsia="宋体" w:cs="宋体"/>
          <w:spacing w:val="3"/>
          <w:sz w:val="24"/>
          <w:szCs w:val="24"/>
          <w:highlight w:val="none"/>
        </w:rPr>
        <w:t>条款所述资格要求对供应商进行资格审查，以确定其是否具备相应资格。如果供</w:t>
      </w:r>
      <w:r>
        <w:rPr>
          <w:rFonts w:ascii="宋体" w:hAnsi="宋体" w:eastAsia="宋体" w:cs="宋体"/>
          <w:spacing w:val="5"/>
          <w:sz w:val="24"/>
          <w:szCs w:val="24"/>
          <w:highlight w:val="none"/>
        </w:rPr>
        <w:t>应商不具备资格、不满足征集文件所规定的资格条件,将被视为未实质性响应征集文</w:t>
      </w:r>
      <w:r>
        <w:rPr>
          <w:rFonts w:ascii="宋体" w:hAnsi="宋体" w:eastAsia="宋体" w:cs="宋体"/>
          <w:spacing w:val="-1"/>
          <w:sz w:val="24"/>
          <w:szCs w:val="24"/>
          <w:highlight w:val="none"/>
        </w:rPr>
        <w:t>件,按无效投标处理。</w:t>
      </w:r>
    </w:p>
    <w:p w14:paraId="26AAC606">
      <w:pPr>
        <w:spacing w:before="47" w:line="219" w:lineRule="auto"/>
        <w:ind w:left="726"/>
        <w:rPr>
          <w:rFonts w:ascii="宋体" w:hAnsi="宋体" w:eastAsia="宋体" w:cs="宋体"/>
          <w:sz w:val="24"/>
          <w:szCs w:val="24"/>
          <w:highlight w:val="none"/>
        </w:rPr>
      </w:pPr>
      <w:r>
        <w:rPr>
          <w:rFonts w:ascii="宋体" w:hAnsi="宋体" w:eastAsia="宋体" w:cs="宋体"/>
          <w:spacing w:val="-1"/>
          <w:sz w:val="24"/>
          <w:szCs w:val="24"/>
          <w:highlight w:val="none"/>
        </w:rPr>
        <w:t>7.2.9.3</w:t>
      </w:r>
      <w:r>
        <w:rPr>
          <w:rFonts w:ascii="宋体" w:hAnsi="宋体" w:eastAsia="宋体" w:cs="宋体"/>
          <w:spacing w:val="-40"/>
          <w:sz w:val="24"/>
          <w:szCs w:val="24"/>
          <w:highlight w:val="none"/>
        </w:rPr>
        <w:t xml:space="preserve"> </w:t>
      </w:r>
      <w:r>
        <w:rPr>
          <w:rFonts w:ascii="宋体" w:hAnsi="宋体" w:eastAsia="宋体" w:cs="宋体"/>
          <w:spacing w:val="-1"/>
          <w:sz w:val="24"/>
          <w:szCs w:val="24"/>
          <w:highlight w:val="none"/>
        </w:rPr>
        <w:t>资格审查结束后，采购代理机构应将资格审查结果告知评标委员会。</w:t>
      </w:r>
    </w:p>
    <w:p w14:paraId="0165CEAB">
      <w:pPr>
        <w:spacing w:before="184" w:line="219" w:lineRule="auto"/>
        <w:ind w:left="486"/>
        <w:rPr>
          <w:rFonts w:ascii="宋体" w:hAnsi="宋体" w:eastAsia="宋体" w:cs="宋体"/>
          <w:sz w:val="24"/>
          <w:szCs w:val="24"/>
          <w:highlight w:val="none"/>
        </w:rPr>
      </w:pPr>
      <w:r>
        <w:rPr>
          <w:rFonts w:ascii="宋体" w:hAnsi="宋体" w:eastAsia="宋体" w:cs="宋体"/>
          <w:b/>
          <w:bCs/>
          <w:spacing w:val="-4"/>
          <w:sz w:val="24"/>
          <w:szCs w:val="24"/>
          <w:highlight w:val="none"/>
        </w:rPr>
        <w:t>7.2.10</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合格供应商不足</w:t>
      </w:r>
      <w:r>
        <w:rPr>
          <w:rFonts w:ascii="宋体" w:hAnsi="宋体" w:eastAsia="宋体" w:cs="宋体"/>
          <w:spacing w:val="-35"/>
          <w:sz w:val="24"/>
          <w:szCs w:val="24"/>
          <w:highlight w:val="none"/>
        </w:rPr>
        <w:t xml:space="preserve"> </w:t>
      </w:r>
      <w:r>
        <w:rPr>
          <w:rFonts w:ascii="宋体" w:hAnsi="宋体" w:eastAsia="宋体" w:cs="宋体"/>
          <w:b/>
          <w:bCs/>
          <w:spacing w:val="-4"/>
          <w:sz w:val="24"/>
          <w:szCs w:val="24"/>
          <w:highlight w:val="none"/>
        </w:rPr>
        <w:t>3</w:t>
      </w:r>
      <w:r>
        <w:rPr>
          <w:rFonts w:ascii="宋体" w:hAnsi="宋体" w:eastAsia="宋体" w:cs="宋体"/>
          <w:spacing w:val="-46"/>
          <w:sz w:val="24"/>
          <w:szCs w:val="24"/>
          <w:highlight w:val="none"/>
        </w:rPr>
        <w:t xml:space="preserve"> </w:t>
      </w:r>
      <w:r>
        <w:rPr>
          <w:rFonts w:ascii="宋体" w:hAnsi="宋体" w:eastAsia="宋体" w:cs="宋体"/>
          <w:b/>
          <w:bCs/>
          <w:spacing w:val="-4"/>
          <w:sz w:val="24"/>
          <w:szCs w:val="24"/>
          <w:highlight w:val="none"/>
        </w:rPr>
        <w:t>家的，不得评标。</w:t>
      </w:r>
    </w:p>
    <w:p w14:paraId="70BCA223">
      <w:pPr>
        <w:spacing w:before="180" w:line="219" w:lineRule="auto"/>
        <w:ind w:left="489"/>
        <w:rPr>
          <w:rFonts w:ascii="宋体" w:hAnsi="宋体" w:eastAsia="宋体" w:cs="宋体"/>
          <w:sz w:val="24"/>
          <w:szCs w:val="24"/>
          <w:highlight w:val="none"/>
        </w:rPr>
      </w:pPr>
      <w:r>
        <w:rPr>
          <w:rFonts w:ascii="宋体" w:hAnsi="宋体" w:eastAsia="宋体" w:cs="宋体"/>
          <w:b/>
          <w:bCs/>
          <w:spacing w:val="-3"/>
          <w:sz w:val="24"/>
          <w:szCs w:val="24"/>
          <w:highlight w:val="none"/>
        </w:rPr>
        <w:t>7.2.11</w:t>
      </w:r>
      <w:r>
        <w:rPr>
          <w:rFonts w:ascii="宋体" w:hAnsi="宋体" w:eastAsia="宋体" w:cs="宋体"/>
          <w:spacing w:val="-46"/>
          <w:sz w:val="24"/>
          <w:szCs w:val="24"/>
          <w:highlight w:val="none"/>
        </w:rPr>
        <w:t xml:space="preserve"> </w:t>
      </w:r>
      <w:r>
        <w:rPr>
          <w:rFonts w:ascii="宋体" w:hAnsi="宋体" w:eastAsia="宋体" w:cs="宋体"/>
          <w:b/>
          <w:bCs/>
          <w:spacing w:val="-3"/>
          <w:sz w:val="24"/>
          <w:szCs w:val="24"/>
          <w:highlight w:val="none"/>
        </w:rPr>
        <w:t>不合格的供应商，不得进入评标环节。</w:t>
      </w:r>
    </w:p>
    <w:p w14:paraId="68FA3E5C">
      <w:pPr>
        <w:spacing w:before="302" w:line="221" w:lineRule="auto"/>
        <w:ind w:left="1"/>
        <w:rPr>
          <w:rFonts w:ascii="宋体" w:hAnsi="宋体" w:eastAsia="宋体" w:cs="宋体"/>
          <w:sz w:val="24"/>
          <w:szCs w:val="24"/>
          <w:highlight w:val="none"/>
        </w:rPr>
      </w:pPr>
      <w:r>
        <w:rPr>
          <w:rFonts w:ascii="宋体" w:hAnsi="宋体" w:eastAsia="宋体" w:cs="宋体"/>
          <w:b/>
          <w:bCs/>
          <w:spacing w:val="-7"/>
          <w:sz w:val="24"/>
          <w:szCs w:val="24"/>
          <w:highlight w:val="none"/>
        </w:rPr>
        <w:t>8.</w:t>
      </w:r>
      <w:r>
        <w:rPr>
          <w:rFonts w:ascii="宋体" w:hAnsi="宋体" w:eastAsia="宋体" w:cs="宋体"/>
          <w:spacing w:val="9"/>
          <w:sz w:val="24"/>
          <w:szCs w:val="24"/>
          <w:highlight w:val="none"/>
        </w:rPr>
        <w:t xml:space="preserve"> </w:t>
      </w:r>
      <w:r>
        <w:rPr>
          <w:rFonts w:ascii="宋体" w:hAnsi="宋体" w:eastAsia="宋体" w:cs="宋体"/>
          <w:b/>
          <w:bCs/>
          <w:spacing w:val="-7"/>
          <w:sz w:val="24"/>
          <w:szCs w:val="24"/>
          <w:highlight w:val="none"/>
        </w:rPr>
        <w:t>评标</w:t>
      </w:r>
    </w:p>
    <w:p w14:paraId="5E3C05C6">
      <w:pPr>
        <w:spacing w:before="299" w:line="219" w:lineRule="auto"/>
        <w:ind w:left="172"/>
        <w:rPr>
          <w:rFonts w:ascii="宋体" w:hAnsi="宋体" w:eastAsia="宋体" w:cs="宋体"/>
          <w:sz w:val="24"/>
          <w:szCs w:val="24"/>
          <w:highlight w:val="none"/>
        </w:rPr>
      </w:pPr>
      <w:r>
        <w:rPr>
          <w:rFonts w:ascii="宋体" w:hAnsi="宋体" w:eastAsia="宋体" w:cs="宋体"/>
          <w:b/>
          <w:bCs/>
          <w:spacing w:val="-3"/>
          <w:sz w:val="24"/>
          <w:szCs w:val="24"/>
          <w:highlight w:val="none"/>
        </w:rPr>
        <w:t>8.1</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评标委员会</w:t>
      </w:r>
    </w:p>
    <w:p w14:paraId="7CC44987">
      <w:pPr>
        <w:spacing w:before="302" w:line="359" w:lineRule="auto"/>
        <w:ind w:left="193" w:firstLine="362"/>
        <w:jc w:val="both"/>
        <w:rPr>
          <w:rFonts w:ascii="宋体" w:hAnsi="宋体" w:eastAsia="宋体" w:cs="宋体"/>
          <w:sz w:val="24"/>
          <w:szCs w:val="24"/>
          <w:highlight w:val="none"/>
        </w:rPr>
      </w:pPr>
      <w:r>
        <w:rPr>
          <w:rFonts w:ascii="宋体" w:hAnsi="宋体" w:eastAsia="宋体" w:cs="宋体"/>
          <w:sz w:val="24"/>
          <w:szCs w:val="24"/>
          <w:highlight w:val="none"/>
        </w:rPr>
        <w:t>8.1.1 评标由采购代理机构依法组建的评标委员会负责。评标委</w:t>
      </w:r>
      <w:r>
        <w:rPr>
          <w:rFonts w:ascii="宋体" w:hAnsi="宋体" w:eastAsia="宋体" w:cs="宋体"/>
          <w:spacing w:val="-1"/>
          <w:sz w:val="24"/>
          <w:szCs w:val="24"/>
          <w:highlight w:val="none"/>
        </w:rPr>
        <w:t>员会由征集人代</w:t>
      </w:r>
      <w:r>
        <w:rPr>
          <w:rFonts w:ascii="宋体" w:hAnsi="宋体" w:eastAsia="宋体" w:cs="宋体"/>
          <w:spacing w:val="2"/>
          <w:sz w:val="24"/>
          <w:szCs w:val="24"/>
          <w:highlight w:val="none"/>
        </w:rPr>
        <w:t>表和评审专家组成，成员由</w:t>
      </w:r>
      <w:r>
        <w:rPr>
          <w:rFonts w:ascii="宋体" w:hAnsi="宋体" w:eastAsia="宋体" w:cs="宋体"/>
          <w:spacing w:val="-32"/>
          <w:sz w:val="24"/>
          <w:szCs w:val="24"/>
          <w:highlight w:val="none"/>
        </w:rPr>
        <w:t xml:space="preserve"> </w:t>
      </w:r>
      <w:r>
        <w:rPr>
          <w:rFonts w:ascii="宋体" w:hAnsi="宋体" w:eastAsia="宋体" w:cs="宋体"/>
          <w:spacing w:val="2"/>
          <w:sz w:val="24"/>
          <w:szCs w:val="24"/>
          <w:highlight w:val="none"/>
        </w:rPr>
        <w:t>5</w:t>
      </w:r>
      <w:r>
        <w:rPr>
          <w:rFonts w:ascii="宋体" w:hAnsi="宋体" w:eastAsia="宋体" w:cs="宋体"/>
          <w:spacing w:val="-44"/>
          <w:sz w:val="24"/>
          <w:szCs w:val="24"/>
          <w:highlight w:val="none"/>
        </w:rPr>
        <w:t xml:space="preserve"> </w:t>
      </w:r>
      <w:r>
        <w:rPr>
          <w:rFonts w:ascii="宋体" w:hAnsi="宋体" w:eastAsia="宋体" w:cs="宋体"/>
          <w:spacing w:val="2"/>
          <w:sz w:val="24"/>
          <w:szCs w:val="24"/>
          <w:highlight w:val="none"/>
        </w:rPr>
        <w:t>人以上单数组成。评审专家人选在省级财政部门设立的政府采</w:t>
      </w:r>
      <w:r>
        <w:rPr>
          <w:rFonts w:ascii="宋体" w:hAnsi="宋体" w:eastAsia="宋体" w:cs="宋体"/>
          <w:spacing w:val="-1"/>
          <w:sz w:val="24"/>
          <w:szCs w:val="24"/>
          <w:highlight w:val="none"/>
        </w:rPr>
        <w:t>购评审专家库中随机抽取。</w:t>
      </w:r>
    </w:p>
    <w:p w14:paraId="04286337">
      <w:pPr>
        <w:spacing w:before="1" w:line="289" w:lineRule="auto"/>
        <w:ind w:left="192" w:firstLine="363"/>
        <w:rPr>
          <w:rFonts w:ascii="宋体" w:hAnsi="宋体" w:eastAsia="宋体" w:cs="宋体"/>
          <w:sz w:val="24"/>
          <w:szCs w:val="24"/>
          <w:highlight w:val="none"/>
        </w:rPr>
      </w:pPr>
      <w:r>
        <w:rPr>
          <w:rFonts w:ascii="宋体" w:hAnsi="宋体" w:eastAsia="宋体" w:cs="宋体"/>
          <w:sz w:val="24"/>
          <w:szCs w:val="24"/>
          <w:highlight w:val="none"/>
        </w:rPr>
        <w:t>8.1.2 评标委员会成员到位后，推荐一名评审专家担任评标组长</w:t>
      </w:r>
      <w:r>
        <w:rPr>
          <w:rFonts w:ascii="宋体" w:hAnsi="宋体" w:eastAsia="宋体" w:cs="宋体"/>
          <w:spacing w:val="-1"/>
          <w:sz w:val="24"/>
          <w:szCs w:val="24"/>
          <w:highlight w:val="none"/>
        </w:rPr>
        <w:t>，并由评标组长</w:t>
      </w:r>
      <w:r>
        <w:rPr>
          <w:rFonts w:ascii="宋体" w:hAnsi="宋体" w:eastAsia="宋体" w:cs="宋体"/>
          <w:sz w:val="24"/>
          <w:szCs w:val="24"/>
          <w:highlight w:val="none"/>
        </w:rPr>
        <w:t>牵头组织该项目评标工作，征集人代表，不</w:t>
      </w:r>
      <w:r>
        <w:rPr>
          <w:rFonts w:ascii="宋体" w:hAnsi="宋体" w:eastAsia="宋体" w:cs="宋体"/>
          <w:spacing w:val="-1"/>
          <w:sz w:val="24"/>
          <w:szCs w:val="24"/>
          <w:highlight w:val="none"/>
        </w:rPr>
        <w:t>得担任评标组长。</w:t>
      </w:r>
    </w:p>
    <w:p w14:paraId="19152DAA">
      <w:pPr>
        <w:spacing w:before="181" w:line="219" w:lineRule="auto"/>
        <w:ind w:left="556"/>
        <w:rPr>
          <w:rFonts w:ascii="宋体" w:hAnsi="宋体" w:eastAsia="宋体" w:cs="宋体"/>
          <w:sz w:val="24"/>
          <w:szCs w:val="24"/>
          <w:highlight w:val="none"/>
        </w:rPr>
      </w:pPr>
      <w:r>
        <w:rPr>
          <w:rFonts w:ascii="宋体" w:hAnsi="宋体" w:eastAsia="宋体" w:cs="宋体"/>
          <w:spacing w:val="-1"/>
          <w:sz w:val="24"/>
          <w:szCs w:val="24"/>
          <w:highlight w:val="none"/>
        </w:rPr>
        <w:t>8.1.3 评委会成员有下列情形之一的，应当回避：</w:t>
      </w:r>
    </w:p>
    <w:p w14:paraId="0544FCE4">
      <w:pPr>
        <w:spacing w:before="183" w:line="219" w:lineRule="auto"/>
        <w:ind w:left="566"/>
        <w:rPr>
          <w:rFonts w:ascii="宋体" w:hAnsi="宋体" w:eastAsia="宋体" w:cs="宋体"/>
          <w:sz w:val="24"/>
          <w:szCs w:val="24"/>
          <w:highlight w:val="none"/>
        </w:rPr>
      </w:pPr>
      <w:r>
        <w:rPr>
          <w:rFonts w:ascii="宋体" w:hAnsi="宋体" w:eastAsia="宋体" w:cs="宋体"/>
          <w:spacing w:val="-2"/>
          <w:sz w:val="24"/>
          <w:szCs w:val="24"/>
          <w:highlight w:val="none"/>
        </w:rPr>
        <w:t>（1）征集人或供应商主要负责人的近亲属；</w:t>
      </w:r>
    </w:p>
    <w:p w14:paraId="5DC613AB">
      <w:pPr>
        <w:spacing w:before="181" w:line="220" w:lineRule="auto"/>
        <w:ind w:left="566"/>
        <w:rPr>
          <w:rFonts w:ascii="宋体" w:hAnsi="宋体" w:eastAsia="宋体" w:cs="宋体"/>
          <w:sz w:val="24"/>
          <w:szCs w:val="24"/>
          <w:highlight w:val="none"/>
        </w:rPr>
      </w:pPr>
      <w:r>
        <w:rPr>
          <w:rFonts w:ascii="宋体" w:hAnsi="宋体" w:eastAsia="宋体" w:cs="宋体"/>
          <w:spacing w:val="-1"/>
          <w:sz w:val="24"/>
          <w:szCs w:val="24"/>
          <w:highlight w:val="none"/>
        </w:rPr>
        <w:t>（2）项目主管部门或者行政监督部门的人员；</w:t>
      </w:r>
    </w:p>
    <w:p w14:paraId="4221CCFC">
      <w:pPr>
        <w:spacing w:before="182" w:line="219" w:lineRule="auto"/>
        <w:ind w:left="566"/>
        <w:rPr>
          <w:rFonts w:ascii="宋体" w:hAnsi="宋体" w:eastAsia="宋体" w:cs="宋体"/>
          <w:sz w:val="24"/>
          <w:szCs w:val="24"/>
          <w:highlight w:val="none"/>
        </w:rPr>
      </w:pPr>
      <w:r>
        <w:rPr>
          <w:rFonts w:ascii="宋体" w:hAnsi="宋体" w:eastAsia="宋体" w:cs="宋体"/>
          <w:spacing w:val="-1"/>
          <w:sz w:val="24"/>
          <w:szCs w:val="24"/>
          <w:highlight w:val="none"/>
        </w:rPr>
        <w:t>（3）与供应商有经济利益关系，可能影响对投标公正评审的；</w:t>
      </w:r>
    </w:p>
    <w:p w14:paraId="23A325ED">
      <w:pPr>
        <w:spacing w:before="182" w:line="290" w:lineRule="auto"/>
        <w:ind w:left="194" w:firstLine="372"/>
        <w:rPr>
          <w:rFonts w:ascii="宋体" w:hAnsi="宋体" w:eastAsia="宋体" w:cs="宋体"/>
          <w:sz w:val="24"/>
          <w:szCs w:val="24"/>
          <w:highlight w:val="none"/>
        </w:rPr>
      </w:pPr>
      <w:r>
        <w:rPr>
          <w:rFonts w:ascii="宋体" w:hAnsi="宋体" w:eastAsia="宋体" w:cs="宋体"/>
          <w:spacing w:val="1"/>
          <w:sz w:val="24"/>
          <w:szCs w:val="24"/>
          <w:highlight w:val="none"/>
        </w:rPr>
        <w:t>（3）</w:t>
      </w:r>
      <w:r>
        <w:rPr>
          <w:rFonts w:ascii="宋体" w:hAnsi="宋体" w:eastAsia="宋体" w:cs="宋体"/>
          <w:spacing w:val="-53"/>
          <w:sz w:val="24"/>
          <w:szCs w:val="24"/>
          <w:highlight w:val="none"/>
        </w:rPr>
        <w:t xml:space="preserve"> </w:t>
      </w:r>
      <w:r>
        <w:rPr>
          <w:rFonts w:ascii="宋体" w:hAnsi="宋体" w:eastAsia="宋体" w:cs="宋体"/>
          <w:spacing w:val="1"/>
          <w:sz w:val="24"/>
          <w:szCs w:val="24"/>
          <w:highlight w:val="none"/>
        </w:rPr>
        <w:t>曾因在招标、评标以及其他与招标投标有关活动中从事违法行为而受过行</w:t>
      </w:r>
      <w:r>
        <w:rPr>
          <w:rFonts w:ascii="宋体" w:hAnsi="宋体" w:eastAsia="宋体" w:cs="宋体"/>
          <w:spacing w:val="-1"/>
          <w:sz w:val="24"/>
          <w:szCs w:val="24"/>
          <w:highlight w:val="none"/>
        </w:rPr>
        <w:t>政处罚或刑事处罚的。</w:t>
      </w:r>
    </w:p>
    <w:p w14:paraId="62636DC9">
      <w:pPr>
        <w:spacing w:before="178" w:line="336" w:lineRule="auto"/>
        <w:ind w:firstLine="481"/>
        <w:rPr>
          <w:rFonts w:ascii="宋体" w:hAnsi="宋体" w:eastAsia="宋体" w:cs="宋体"/>
          <w:sz w:val="24"/>
          <w:szCs w:val="24"/>
          <w:highlight w:val="none"/>
        </w:rPr>
      </w:pPr>
      <w:r>
        <w:rPr>
          <w:rFonts w:ascii="宋体" w:hAnsi="宋体" w:eastAsia="宋体" w:cs="宋体"/>
          <w:spacing w:val="2"/>
          <w:sz w:val="24"/>
          <w:szCs w:val="24"/>
          <w:highlight w:val="none"/>
        </w:rPr>
        <w:t>8.1.4 评标过程中，因评标委员会成员缺席、回避或者健康</w:t>
      </w:r>
      <w:r>
        <w:rPr>
          <w:rFonts w:ascii="宋体" w:hAnsi="宋体" w:eastAsia="宋体" w:cs="宋体"/>
          <w:spacing w:val="1"/>
          <w:sz w:val="24"/>
          <w:szCs w:val="24"/>
          <w:highlight w:val="none"/>
        </w:rPr>
        <w:t>等特殊原因导致评标</w:t>
      </w:r>
      <w:r>
        <w:rPr>
          <w:rFonts w:ascii="宋体" w:hAnsi="宋体" w:eastAsia="宋体" w:cs="宋体"/>
          <w:spacing w:val="2"/>
          <w:sz w:val="24"/>
          <w:szCs w:val="24"/>
          <w:highlight w:val="none"/>
        </w:rPr>
        <w:t>委员会组成不符合规定的，征集人或者采购代理机构应当依法补足后</w:t>
      </w:r>
      <w:r>
        <w:rPr>
          <w:rFonts w:ascii="宋体" w:hAnsi="宋体" w:eastAsia="宋体" w:cs="宋体"/>
          <w:spacing w:val="1"/>
          <w:sz w:val="24"/>
          <w:szCs w:val="24"/>
          <w:highlight w:val="none"/>
        </w:rPr>
        <w:t>继续评标。被更</w:t>
      </w:r>
      <w:r>
        <w:rPr>
          <w:rFonts w:ascii="宋体" w:hAnsi="宋体" w:eastAsia="宋体" w:cs="宋体"/>
          <w:spacing w:val="2"/>
          <w:sz w:val="24"/>
          <w:szCs w:val="24"/>
          <w:highlight w:val="none"/>
        </w:rPr>
        <w:t>换的评标委员会成员所作出的评标意见无效。无法及时补足评标委员会成</w:t>
      </w:r>
      <w:r>
        <w:rPr>
          <w:rFonts w:ascii="宋体" w:hAnsi="宋体" w:eastAsia="宋体" w:cs="宋体"/>
          <w:spacing w:val="1"/>
          <w:sz w:val="24"/>
          <w:szCs w:val="24"/>
          <w:highlight w:val="none"/>
        </w:rPr>
        <w:t>员的，采购</w:t>
      </w:r>
      <w:r>
        <w:rPr>
          <w:rFonts w:ascii="宋体" w:hAnsi="宋体" w:eastAsia="宋体" w:cs="宋体"/>
          <w:spacing w:val="2"/>
          <w:sz w:val="24"/>
          <w:szCs w:val="24"/>
          <w:highlight w:val="none"/>
        </w:rPr>
        <w:t>代理机构应当停止评标活动，封存所有响应文件和开标、评标资料，依法</w:t>
      </w:r>
      <w:r>
        <w:rPr>
          <w:rFonts w:ascii="宋体" w:hAnsi="宋体" w:eastAsia="宋体" w:cs="宋体"/>
          <w:spacing w:val="1"/>
          <w:sz w:val="24"/>
          <w:szCs w:val="24"/>
          <w:highlight w:val="none"/>
        </w:rPr>
        <w:t>重新组建评</w:t>
      </w:r>
      <w:r>
        <w:rPr>
          <w:rFonts w:ascii="宋体" w:hAnsi="宋体" w:eastAsia="宋体" w:cs="宋体"/>
          <w:spacing w:val="9"/>
          <w:sz w:val="24"/>
          <w:szCs w:val="24"/>
          <w:highlight w:val="none"/>
        </w:rPr>
        <w:t>标委员会进行评标。原评标委员会所作出的</w:t>
      </w:r>
      <w:r>
        <w:rPr>
          <w:rFonts w:ascii="宋体" w:hAnsi="宋体" w:eastAsia="宋体" w:cs="宋体"/>
          <w:spacing w:val="8"/>
          <w:sz w:val="24"/>
          <w:szCs w:val="24"/>
          <w:highlight w:val="none"/>
        </w:rPr>
        <w:t>评标意见无效。采购代理机构应当将变</w:t>
      </w:r>
      <w:r>
        <w:rPr>
          <w:rFonts w:ascii="宋体" w:hAnsi="宋体" w:eastAsia="宋体" w:cs="宋体"/>
          <w:sz w:val="24"/>
          <w:szCs w:val="24"/>
          <w:highlight w:val="none"/>
        </w:rPr>
        <w:t>更、重新组建评标委员会的情况予以记录，并</w:t>
      </w:r>
      <w:r>
        <w:rPr>
          <w:rFonts w:ascii="宋体" w:hAnsi="宋体" w:eastAsia="宋体" w:cs="宋体"/>
          <w:spacing w:val="-1"/>
          <w:sz w:val="24"/>
          <w:szCs w:val="24"/>
          <w:highlight w:val="none"/>
        </w:rPr>
        <w:t>随采购文件一并存档。</w:t>
      </w:r>
    </w:p>
    <w:p w14:paraId="5F256D8A">
      <w:pPr>
        <w:spacing w:before="180"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8.1.5 评委会成员名单在中标结果公告前，应当保密。</w:t>
      </w:r>
    </w:p>
    <w:p w14:paraId="23278BEB">
      <w:pPr>
        <w:spacing w:before="48" w:line="219" w:lineRule="auto"/>
        <w:ind w:left="373"/>
        <w:rPr>
          <w:rFonts w:ascii="宋体" w:hAnsi="宋体" w:eastAsia="宋体" w:cs="宋体"/>
          <w:b/>
          <w:bCs/>
          <w:spacing w:val="-2"/>
          <w:sz w:val="24"/>
          <w:szCs w:val="24"/>
          <w:highlight w:val="none"/>
        </w:rPr>
      </w:pPr>
      <w:r>
        <w:rPr>
          <w:rFonts w:ascii="宋体" w:hAnsi="宋体" w:eastAsia="宋体" w:cs="宋体"/>
          <w:b/>
          <w:bCs/>
          <w:spacing w:val="-2"/>
          <w:sz w:val="24"/>
          <w:szCs w:val="24"/>
          <w:highlight w:val="none"/>
        </w:rPr>
        <w:t>8.1.6</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评标委员会及其成员不得有下列行为：</w:t>
      </w:r>
    </w:p>
    <w:p w14:paraId="037CCE6F">
      <w:pPr>
        <w:spacing w:before="48" w:line="219" w:lineRule="auto"/>
        <w:ind w:firstLine="476" w:firstLineChars="200"/>
        <w:rPr>
          <w:rFonts w:ascii="宋体" w:hAnsi="宋体" w:eastAsia="宋体" w:cs="宋体"/>
          <w:sz w:val="24"/>
          <w:szCs w:val="24"/>
          <w:highlight w:val="none"/>
        </w:rPr>
      </w:pPr>
      <w:r>
        <w:rPr>
          <w:rFonts w:ascii="宋体" w:hAnsi="宋体" w:eastAsia="宋体" w:cs="宋体"/>
          <w:spacing w:val="-1"/>
          <w:sz w:val="24"/>
          <w:szCs w:val="24"/>
          <w:highlight w:val="none"/>
        </w:rPr>
        <w:t>（1）确定参与评标至评标结束前私自接触供应商；</w:t>
      </w:r>
    </w:p>
    <w:p w14:paraId="3B244360">
      <w:pPr>
        <w:spacing w:before="183" w:line="219"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（2）接受供应商提出的与响应文件不一致的澄清或者说明；</w:t>
      </w:r>
    </w:p>
    <w:p w14:paraId="20BD6FAC">
      <w:pPr>
        <w:spacing w:before="180" w:line="220"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（3）违反评标纪律发表倾向性意见或者征询征集人的倾向性意见；</w:t>
      </w:r>
    </w:p>
    <w:p w14:paraId="3BA37804">
      <w:pPr>
        <w:spacing w:before="182" w:line="220"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（4）对需要专业判断的主观评审因素协商评分；</w:t>
      </w:r>
    </w:p>
    <w:p w14:paraId="56CDBF98">
      <w:pPr>
        <w:spacing w:before="179" w:line="221"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（5）在评标过程中擅离职守，影响评标程序正常进行的；</w:t>
      </w:r>
    </w:p>
    <w:p w14:paraId="2EE97879">
      <w:pPr>
        <w:spacing w:before="181" w:line="220" w:lineRule="auto"/>
        <w:ind w:left="493"/>
        <w:rPr>
          <w:rFonts w:ascii="宋体" w:hAnsi="宋体" w:eastAsia="宋体" w:cs="宋体"/>
          <w:sz w:val="24"/>
          <w:szCs w:val="24"/>
          <w:highlight w:val="none"/>
        </w:rPr>
      </w:pPr>
      <w:r>
        <w:rPr>
          <w:rFonts w:ascii="宋体" w:hAnsi="宋体" w:eastAsia="宋体" w:cs="宋体"/>
          <w:spacing w:val="-2"/>
          <w:sz w:val="24"/>
          <w:szCs w:val="24"/>
          <w:highlight w:val="none"/>
        </w:rPr>
        <w:t>（6）记录、复制或者带走任何评标资料；</w:t>
      </w:r>
    </w:p>
    <w:p w14:paraId="37E90EE7">
      <w:pPr>
        <w:spacing w:before="179" w:line="220" w:lineRule="auto"/>
        <w:ind w:left="493"/>
        <w:rPr>
          <w:rFonts w:ascii="宋体" w:hAnsi="宋体" w:eastAsia="宋体" w:cs="宋体"/>
          <w:sz w:val="24"/>
          <w:szCs w:val="24"/>
          <w:highlight w:val="none"/>
        </w:rPr>
      </w:pPr>
      <w:r>
        <w:rPr>
          <w:rFonts w:ascii="宋体" w:hAnsi="宋体" w:eastAsia="宋体" w:cs="宋体"/>
          <w:spacing w:val="-2"/>
          <w:sz w:val="24"/>
          <w:szCs w:val="24"/>
          <w:highlight w:val="none"/>
        </w:rPr>
        <w:t>（7）其他不遵守评标纪律的行为。</w:t>
      </w:r>
    </w:p>
    <w:p w14:paraId="2028FA79">
      <w:pPr>
        <w:spacing w:before="182" w:line="359" w:lineRule="auto"/>
        <w:ind w:left="9" w:right="79" w:firstLine="471"/>
        <w:rPr>
          <w:rFonts w:ascii="宋体" w:hAnsi="宋体" w:eastAsia="宋体" w:cs="宋体"/>
          <w:sz w:val="24"/>
          <w:szCs w:val="24"/>
          <w:highlight w:val="none"/>
        </w:rPr>
      </w:pPr>
      <w:r>
        <w:rPr>
          <w:rFonts w:ascii="宋体" w:hAnsi="宋体" w:eastAsia="宋体" w:cs="宋体"/>
          <w:sz w:val="24"/>
          <w:szCs w:val="24"/>
          <w:highlight w:val="none"/>
        </w:rPr>
        <w:t>评标委员会成员有前款第一至五项行为之一的，其评审意</w:t>
      </w:r>
      <w:r>
        <w:rPr>
          <w:rFonts w:ascii="宋体" w:hAnsi="宋体" w:eastAsia="宋体" w:cs="宋体"/>
          <w:spacing w:val="-1"/>
          <w:sz w:val="24"/>
          <w:szCs w:val="24"/>
          <w:highlight w:val="none"/>
        </w:rPr>
        <w:t>见无效，并不得获取评</w:t>
      </w:r>
      <w:r>
        <w:rPr>
          <w:rFonts w:ascii="宋体" w:hAnsi="宋体" w:eastAsia="宋体" w:cs="宋体"/>
          <w:spacing w:val="-2"/>
          <w:sz w:val="24"/>
          <w:szCs w:val="24"/>
          <w:highlight w:val="none"/>
        </w:rPr>
        <w:t>审劳务报酬和报销异地评审差旅费。</w:t>
      </w:r>
    </w:p>
    <w:p w14:paraId="46EEE263">
      <w:pPr>
        <w:spacing w:before="1" w:line="220" w:lineRule="auto"/>
        <w:ind w:left="2"/>
        <w:rPr>
          <w:rFonts w:ascii="宋体" w:hAnsi="宋体" w:eastAsia="宋体" w:cs="宋体"/>
          <w:sz w:val="24"/>
          <w:szCs w:val="24"/>
          <w:highlight w:val="none"/>
        </w:rPr>
      </w:pPr>
      <w:r>
        <w:rPr>
          <w:rFonts w:ascii="宋体" w:hAnsi="宋体" w:eastAsia="宋体" w:cs="宋体"/>
          <w:b/>
          <w:bCs/>
          <w:spacing w:val="-3"/>
          <w:sz w:val="24"/>
          <w:szCs w:val="24"/>
          <w:highlight w:val="none"/>
        </w:rPr>
        <w:t>8.2</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评标原则</w:t>
      </w:r>
    </w:p>
    <w:p w14:paraId="2307F328">
      <w:pPr>
        <w:spacing w:before="179" w:line="360" w:lineRule="auto"/>
        <w:ind w:left="5" w:firstLine="467"/>
        <w:rPr>
          <w:rFonts w:ascii="宋体" w:hAnsi="宋体" w:eastAsia="宋体" w:cs="宋体"/>
          <w:sz w:val="24"/>
          <w:szCs w:val="24"/>
          <w:highlight w:val="none"/>
        </w:rPr>
      </w:pPr>
      <w:r>
        <w:rPr>
          <w:rFonts w:ascii="宋体" w:hAnsi="宋体" w:eastAsia="宋体" w:cs="宋体"/>
          <w:spacing w:val="4"/>
          <w:sz w:val="24"/>
          <w:szCs w:val="24"/>
          <w:highlight w:val="none"/>
        </w:rPr>
        <w:t>8.2.1“公平、公正、科学、择优</w:t>
      </w:r>
      <w:r>
        <w:rPr>
          <w:rFonts w:ascii="宋体" w:hAnsi="宋体" w:eastAsia="宋体" w:cs="宋体"/>
          <w:spacing w:val="-71"/>
          <w:sz w:val="24"/>
          <w:szCs w:val="24"/>
          <w:highlight w:val="none"/>
        </w:rPr>
        <w:t xml:space="preserve"> </w:t>
      </w:r>
      <w:r>
        <w:rPr>
          <w:rFonts w:ascii="宋体" w:hAnsi="宋体" w:eastAsia="宋体" w:cs="宋体"/>
          <w:spacing w:val="4"/>
          <w:sz w:val="24"/>
          <w:szCs w:val="24"/>
          <w:highlight w:val="none"/>
        </w:rPr>
        <w:t>”为本次评标的基本原则，评标委员会按照这</w:t>
      </w:r>
      <w:r>
        <w:rPr>
          <w:rFonts w:ascii="宋体" w:hAnsi="宋体" w:eastAsia="宋体" w:cs="宋体"/>
          <w:sz w:val="24"/>
          <w:szCs w:val="24"/>
          <w:highlight w:val="none"/>
        </w:rPr>
        <w:t>一原则的要求，公正、平等地对待各供应商</w:t>
      </w:r>
      <w:r>
        <w:rPr>
          <w:rFonts w:ascii="宋体" w:hAnsi="宋体" w:eastAsia="宋体" w:cs="宋体"/>
          <w:spacing w:val="-1"/>
          <w:sz w:val="24"/>
          <w:szCs w:val="24"/>
          <w:highlight w:val="none"/>
        </w:rPr>
        <w:t>。同时，在评审中恪守以下原则：</w:t>
      </w:r>
    </w:p>
    <w:p w14:paraId="16DE8C57">
      <w:pPr>
        <w:spacing w:before="1" w:line="289" w:lineRule="auto"/>
        <w:ind w:firstLine="483"/>
        <w:rPr>
          <w:rFonts w:ascii="宋体" w:hAnsi="宋体" w:eastAsia="宋体" w:cs="宋体"/>
          <w:sz w:val="24"/>
          <w:szCs w:val="24"/>
          <w:highlight w:val="none"/>
        </w:rPr>
      </w:pPr>
      <w:r>
        <w:rPr>
          <w:rFonts w:ascii="宋体" w:hAnsi="宋体" w:eastAsia="宋体" w:cs="宋体"/>
          <w:spacing w:val="5"/>
          <w:sz w:val="24"/>
          <w:szCs w:val="24"/>
          <w:highlight w:val="none"/>
        </w:rPr>
        <w:t>（1）统一性原则：评标委员会将按照统一的评标原则和评审方法，用统一标准</w:t>
      </w:r>
      <w:r>
        <w:rPr>
          <w:rFonts w:ascii="宋体" w:hAnsi="宋体" w:eastAsia="宋体" w:cs="宋体"/>
          <w:spacing w:val="-2"/>
          <w:sz w:val="24"/>
          <w:szCs w:val="24"/>
          <w:highlight w:val="none"/>
        </w:rPr>
        <w:t>进行评审。</w:t>
      </w:r>
    </w:p>
    <w:p w14:paraId="0C6C5764">
      <w:pPr>
        <w:spacing w:before="180" w:line="313" w:lineRule="auto"/>
        <w:ind w:firstLine="482"/>
        <w:rPr>
          <w:rFonts w:ascii="宋体" w:hAnsi="宋体" w:eastAsia="宋体" w:cs="宋体"/>
          <w:sz w:val="24"/>
          <w:szCs w:val="24"/>
          <w:highlight w:val="none"/>
        </w:rPr>
      </w:pPr>
      <w:r>
        <w:rPr>
          <w:rFonts w:ascii="宋体" w:hAnsi="宋体" w:eastAsia="宋体" w:cs="宋体"/>
          <w:spacing w:val="5"/>
          <w:sz w:val="24"/>
          <w:szCs w:val="24"/>
          <w:highlight w:val="none"/>
        </w:rPr>
        <w:t>（2）独立性原则：评标工作在评标委员会内部独立进行，不受外界任何因素的</w:t>
      </w:r>
      <w:r>
        <w:rPr>
          <w:rFonts w:ascii="宋体" w:hAnsi="宋体" w:eastAsia="宋体" w:cs="宋体"/>
          <w:spacing w:val="2"/>
          <w:sz w:val="24"/>
          <w:szCs w:val="24"/>
          <w:highlight w:val="none"/>
        </w:rPr>
        <w:t>干扰和影响。评标委员会成员对其出具的意见承担个人责任。供应商</w:t>
      </w:r>
      <w:r>
        <w:rPr>
          <w:rFonts w:ascii="宋体" w:hAnsi="宋体" w:eastAsia="宋体" w:cs="宋体"/>
          <w:spacing w:val="1"/>
          <w:sz w:val="24"/>
          <w:szCs w:val="24"/>
          <w:highlight w:val="none"/>
        </w:rPr>
        <w:t>试图影响或干预</w:t>
      </w:r>
      <w:r>
        <w:rPr>
          <w:rFonts w:ascii="宋体" w:hAnsi="宋体" w:eastAsia="宋体" w:cs="宋体"/>
          <w:sz w:val="24"/>
          <w:szCs w:val="24"/>
          <w:highlight w:val="none"/>
        </w:rPr>
        <w:t>评审的任何行为，将导致其丧失投标的资格，并</w:t>
      </w:r>
      <w:r>
        <w:rPr>
          <w:rFonts w:ascii="宋体" w:hAnsi="宋体" w:eastAsia="宋体" w:cs="宋体"/>
          <w:spacing w:val="-1"/>
          <w:sz w:val="24"/>
          <w:szCs w:val="24"/>
          <w:highlight w:val="none"/>
        </w:rPr>
        <w:t>承担相应的法律责任。</w:t>
      </w:r>
    </w:p>
    <w:p w14:paraId="37D552CD">
      <w:pPr>
        <w:spacing w:before="178" w:line="313" w:lineRule="auto"/>
        <w:ind w:firstLine="483"/>
        <w:rPr>
          <w:rFonts w:ascii="宋体" w:hAnsi="宋体" w:eastAsia="宋体" w:cs="宋体"/>
          <w:sz w:val="24"/>
          <w:szCs w:val="24"/>
          <w:highlight w:val="none"/>
        </w:rPr>
      </w:pPr>
      <w:r>
        <w:rPr>
          <w:rFonts w:ascii="宋体" w:hAnsi="宋体" w:eastAsia="宋体" w:cs="宋体"/>
          <w:spacing w:val="5"/>
          <w:sz w:val="24"/>
          <w:szCs w:val="24"/>
          <w:highlight w:val="none"/>
        </w:rPr>
        <w:t>（3）客观性原则：评标委员会将严格按照征集文件要求，对供应商的响应文件</w:t>
      </w:r>
      <w:r>
        <w:rPr>
          <w:rFonts w:ascii="宋体" w:hAnsi="宋体" w:eastAsia="宋体" w:cs="宋体"/>
          <w:spacing w:val="2"/>
          <w:sz w:val="24"/>
          <w:szCs w:val="24"/>
          <w:highlight w:val="none"/>
        </w:rPr>
        <w:t>进行认真评审；评标委员会对响应文件的评审仅依据响应文件本身，而不依</w:t>
      </w:r>
      <w:r>
        <w:rPr>
          <w:rFonts w:ascii="宋体" w:hAnsi="宋体" w:eastAsia="宋体" w:cs="宋体"/>
          <w:spacing w:val="1"/>
          <w:sz w:val="24"/>
          <w:szCs w:val="24"/>
          <w:highlight w:val="none"/>
        </w:rPr>
        <w:t>据响应文</w:t>
      </w:r>
      <w:r>
        <w:rPr>
          <w:rFonts w:ascii="宋体" w:hAnsi="宋体" w:eastAsia="宋体" w:cs="宋体"/>
          <w:spacing w:val="-1"/>
          <w:sz w:val="24"/>
          <w:szCs w:val="24"/>
          <w:highlight w:val="none"/>
        </w:rPr>
        <w:t>件以外的任何因素。</w:t>
      </w:r>
    </w:p>
    <w:p w14:paraId="3FE021D8">
      <w:pPr>
        <w:spacing w:before="183" w:line="289" w:lineRule="auto"/>
        <w:ind w:left="3" w:firstLine="479"/>
        <w:rPr>
          <w:rFonts w:ascii="宋体" w:hAnsi="宋体" w:eastAsia="宋体" w:cs="宋体"/>
          <w:sz w:val="24"/>
          <w:szCs w:val="24"/>
          <w:highlight w:val="none"/>
        </w:rPr>
      </w:pPr>
      <w:r>
        <w:rPr>
          <w:rFonts w:ascii="宋体" w:hAnsi="宋体" w:eastAsia="宋体" w:cs="宋体"/>
          <w:spacing w:val="5"/>
          <w:sz w:val="24"/>
          <w:szCs w:val="24"/>
          <w:highlight w:val="none"/>
        </w:rPr>
        <w:t>（4）保密性原则：采购代理机构应当采取必要的措施，保证评标在严格保密情</w:t>
      </w:r>
      <w:r>
        <w:rPr>
          <w:rFonts w:ascii="宋体" w:hAnsi="宋体" w:eastAsia="宋体" w:cs="宋体"/>
          <w:spacing w:val="-3"/>
          <w:sz w:val="24"/>
          <w:szCs w:val="24"/>
          <w:highlight w:val="none"/>
        </w:rPr>
        <w:t>况下进行。</w:t>
      </w:r>
    </w:p>
    <w:p w14:paraId="04FA3DB7">
      <w:pPr>
        <w:spacing w:before="181" w:line="290" w:lineRule="auto"/>
        <w:ind w:left="5" w:firstLine="478"/>
        <w:rPr>
          <w:rFonts w:ascii="宋体" w:hAnsi="宋体" w:eastAsia="宋体" w:cs="宋体"/>
          <w:sz w:val="24"/>
          <w:szCs w:val="24"/>
          <w:highlight w:val="none"/>
        </w:rPr>
      </w:pPr>
      <w:r>
        <w:rPr>
          <w:rFonts w:ascii="宋体" w:hAnsi="宋体" w:eastAsia="宋体" w:cs="宋体"/>
          <w:spacing w:val="5"/>
          <w:sz w:val="24"/>
          <w:szCs w:val="24"/>
          <w:highlight w:val="none"/>
        </w:rPr>
        <w:t>（6）综合性原则：评标委员会将综合分析、评审供应商的各项指标，而不以单</w:t>
      </w:r>
      <w:r>
        <w:rPr>
          <w:rFonts w:ascii="宋体" w:hAnsi="宋体" w:eastAsia="宋体" w:cs="宋体"/>
          <w:spacing w:val="-1"/>
          <w:sz w:val="24"/>
          <w:szCs w:val="24"/>
          <w:highlight w:val="none"/>
        </w:rPr>
        <w:t>项指标的优劣评定出成交供应商。</w:t>
      </w:r>
    </w:p>
    <w:p w14:paraId="5D701CE8">
      <w:pPr>
        <w:spacing w:before="179" w:line="361" w:lineRule="auto"/>
        <w:ind w:firstLine="482"/>
        <w:jc w:val="both"/>
        <w:rPr>
          <w:rFonts w:ascii="宋体" w:hAnsi="宋体" w:eastAsia="宋体" w:cs="宋体"/>
          <w:sz w:val="24"/>
          <w:szCs w:val="24"/>
          <w:highlight w:val="none"/>
        </w:rPr>
      </w:pPr>
      <w:r>
        <w:rPr>
          <w:rFonts w:ascii="宋体" w:hAnsi="宋体" w:eastAsia="宋体" w:cs="宋体"/>
          <w:spacing w:val="2"/>
          <w:sz w:val="24"/>
          <w:szCs w:val="24"/>
          <w:highlight w:val="none"/>
        </w:rPr>
        <w:t>8.2.2 评标委员会有权对整个招标过程中出现的一切问题，</w:t>
      </w:r>
      <w:r>
        <w:rPr>
          <w:rFonts w:ascii="宋体" w:hAnsi="宋体" w:eastAsia="宋体" w:cs="宋体"/>
          <w:spacing w:val="1"/>
          <w:sz w:val="24"/>
          <w:szCs w:val="24"/>
          <w:highlight w:val="none"/>
        </w:rPr>
        <w:t>根据《中华人民共和</w:t>
      </w:r>
      <w:r>
        <w:rPr>
          <w:rFonts w:ascii="宋体" w:hAnsi="宋体" w:eastAsia="宋体" w:cs="宋体"/>
          <w:spacing w:val="2"/>
          <w:sz w:val="24"/>
          <w:szCs w:val="24"/>
          <w:highlight w:val="none"/>
        </w:rPr>
        <w:t>国政府采购法》及实施条例和《政府采购货物和服务招标投标管理办法》等</w:t>
      </w:r>
      <w:r>
        <w:rPr>
          <w:rFonts w:ascii="宋体" w:hAnsi="宋体" w:eastAsia="宋体" w:cs="宋体"/>
          <w:spacing w:val="1"/>
          <w:sz w:val="24"/>
          <w:szCs w:val="24"/>
          <w:highlight w:val="none"/>
        </w:rPr>
        <w:t>相关规定</w:t>
      </w:r>
      <w:r>
        <w:rPr>
          <w:rFonts w:ascii="宋体" w:hAnsi="宋体" w:eastAsia="宋体" w:cs="宋体"/>
          <w:spacing w:val="-2"/>
          <w:sz w:val="24"/>
          <w:szCs w:val="24"/>
          <w:highlight w:val="none"/>
        </w:rPr>
        <w:t>进行处理。</w:t>
      </w:r>
    </w:p>
    <w:p w14:paraId="74C58F1A">
      <w:pPr>
        <w:spacing w:before="112" w:line="221" w:lineRule="auto"/>
        <w:ind w:left="2"/>
        <w:rPr>
          <w:rFonts w:ascii="宋体" w:hAnsi="宋体" w:eastAsia="宋体" w:cs="宋体"/>
          <w:sz w:val="24"/>
          <w:szCs w:val="24"/>
          <w:highlight w:val="none"/>
        </w:rPr>
      </w:pPr>
      <w:r>
        <w:rPr>
          <w:rFonts w:ascii="宋体" w:hAnsi="宋体" w:eastAsia="宋体" w:cs="宋体"/>
          <w:b/>
          <w:bCs/>
          <w:spacing w:val="-6"/>
          <w:sz w:val="24"/>
          <w:szCs w:val="24"/>
          <w:highlight w:val="none"/>
        </w:rPr>
        <w:t>8.3</w:t>
      </w:r>
      <w:r>
        <w:rPr>
          <w:rFonts w:ascii="宋体" w:hAnsi="宋体" w:eastAsia="宋体" w:cs="宋体"/>
          <w:spacing w:val="8"/>
          <w:sz w:val="24"/>
          <w:szCs w:val="24"/>
          <w:highlight w:val="none"/>
        </w:rPr>
        <w:t xml:space="preserve"> </w:t>
      </w:r>
      <w:r>
        <w:rPr>
          <w:rFonts w:ascii="宋体" w:hAnsi="宋体" w:eastAsia="宋体" w:cs="宋体"/>
          <w:b/>
          <w:bCs/>
          <w:spacing w:val="-6"/>
          <w:sz w:val="24"/>
          <w:szCs w:val="24"/>
          <w:highlight w:val="none"/>
        </w:rPr>
        <w:t>评标</w:t>
      </w:r>
    </w:p>
    <w:p w14:paraId="25732969">
      <w:pPr>
        <w:spacing w:before="179" w:line="361" w:lineRule="auto"/>
        <w:ind w:firstLine="482"/>
        <w:jc w:val="both"/>
        <w:rPr>
          <w:rFonts w:ascii="宋体" w:hAnsi="宋体" w:eastAsia="宋体" w:cs="宋体"/>
          <w:spacing w:val="2"/>
          <w:sz w:val="24"/>
          <w:szCs w:val="24"/>
          <w:highlight w:val="none"/>
        </w:rPr>
      </w:pPr>
      <w:r>
        <w:rPr>
          <w:rFonts w:ascii="宋体" w:hAnsi="宋体" w:eastAsia="宋体" w:cs="宋体"/>
          <w:spacing w:val="2"/>
          <w:sz w:val="24"/>
          <w:szCs w:val="24"/>
          <w:highlight w:val="none"/>
        </w:rPr>
        <w:t>8.3.1 按照《中华人民共和国政府采购法》及实施条例相关规定，依法组建评审小组。评审小组由征集人代表和评审专家组成，其中征集人代表须持有授权书。评审小组按照征集文件规定的评审方法独立进行评审工作。</w:t>
      </w:r>
    </w:p>
    <w:p w14:paraId="4BA2540C">
      <w:pPr>
        <w:spacing w:before="180" w:line="313" w:lineRule="auto"/>
        <w:ind w:firstLine="481"/>
        <w:rPr>
          <w:rFonts w:ascii="宋体" w:hAnsi="宋体" w:eastAsia="宋体" w:cs="宋体"/>
          <w:sz w:val="24"/>
          <w:szCs w:val="24"/>
          <w:highlight w:val="none"/>
        </w:rPr>
      </w:pPr>
      <w:r>
        <w:rPr>
          <w:rFonts w:ascii="宋体" w:hAnsi="宋体" w:eastAsia="宋体" w:cs="宋体"/>
          <w:spacing w:val="2"/>
          <w:sz w:val="24"/>
          <w:szCs w:val="24"/>
          <w:highlight w:val="none"/>
        </w:rPr>
        <w:t>8.3.2 征集文件和响应文件是评审的依据。在评审中，不得</w:t>
      </w:r>
      <w:r>
        <w:rPr>
          <w:rFonts w:ascii="宋体" w:hAnsi="宋体" w:eastAsia="宋体" w:cs="宋体"/>
          <w:spacing w:val="1"/>
          <w:sz w:val="24"/>
          <w:szCs w:val="24"/>
          <w:highlight w:val="none"/>
        </w:rPr>
        <w:t>改变征集文件中规定</w:t>
      </w:r>
      <w:r>
        <w:rPr>
          <w:rFonts w:ascii="宋体" w:hAnsi="宋体" w:eastAsia="宋体" w:cs="宋体"/>
          <w:spacing w:val="2"/>
          <w:sz w:val="24"/>
          <w:szCs w:val="24"/>
          <w:highlight w:val="none"/>
        </w:rPr>
        <w:t>的评审标准、方法和入围条件。供应商不得在响应文件开启后使用任何方</w:t>
      </w:r>
      <w:r>
        <w:rPr>
          <w:rFonts w:ascii="宋体" w:hAnsi="宋体" w:eastAsia="宋体" w:cs="宋体"/>
          <w:spacing w:val="1"/>
          <w:sz w:val="24"/>
          <w:szCs w:val="24"/>
          <w:highlight w:val="none"/>
        </w:rPr>
        <w:t>式对响应文</w:t>
      </w:r>
      <w:r>
        <w:rPr>
          <w:rFonts w:ascii="宋体" w:hAnsi="宋体" w:eastAsia="宋体" w:cs="宋体"/>
          <w:spacing w:val="-1"/>
          <w:sz w:val="24"/>
          <w:szCs w:val="24"/>
          <w:highlight w:val="none"/>
        </w:rPr>
        <w:t>件的实质性内容做任何更改。</w:t>
      </w:r>
    </w:p>
    <w:p w14:paraId="4335EE23">
      <w:pPr>
        <w:spacing w:before="179"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8.3.3</w:t>
      </w:r>
      <w:r>
        <w:rPr>
          <w:rFonts w:ascii="宋体" w:hAnsi="宋体" w:eastAsia="宋体" w:cs="宋体"/>
          <w:spacing w:val="-43"/>
          <w:sz w:val="24"/>
          <w:szCs w:val="24"/>
          <w:highlight w:val="none"/>
        </w:rPr>
        <w:t xml:space="preserve"> </w:t>
      </w:r>
      <w:r>
        <w:rPr>
          <w:rFonts w:ascii="宋体" w:hAnsi="宋体" w:eastAsia="宋体" w:cs="宋体"/>
          <w:spacing w:val="-1"/>
          <w:sz w:val="24"/>
          <w:szCs w:val="24"/>
          <w:highlight w:val="none"/>
        </w:rPr>
        <w:t>评标委员会负责具体评标事务，并独立履行下列职责：</w:t>
      </w:r>
    </w:p>
    <w:p w14:paraId="21FBB592">
      <w:pPr>
        <w:spacing w:before="182" w:line="290" w:lineRule="auto"/>
        <w:ind w:left="2" w:firstLine="489"/>
        <w:rPr>
          <w:rFonts w:ascii="宋体" w:hAnsi="宋体" w:eastAsia="宋体" w:cs="宋体"/>
          <w:sz w:val="24"/>
          <w:szCs w:val="24"/>
          <w:highlight w:val="none"/>
        </w:rPr>
      </w:pPr>
      <w:r>
        <w:rPr>
          <w:rFonts w:ascii="宋体" w:hAnsi="宋体" w:eastAsia="宋体" w:cs="宋体"/>
          <w:spacing w:val="12"/>
          <w:sz w:val="24"/>
          <w:szCs w:val="24"/>
          <w:highlight w:val="none"/>
        </w:rPr>
        <w:t>（1）审查、评价响应文件是否符合征集文件的商务、技术、服务等实质性要</w:t>
      </w:r>
      <w:r>
        <w:rPr>
          <w:rFonts w:ascii="宋体" w:hAnsi="宋体" w:eastAsia="宋体" w:cs="宋体"/>
          <w:spacing w:val="-6"/>
          <w:sz w:val="24"/>
          <w:szCs w:val="24"/>
          <w:highlight w:val="none"/>
        </w:rPr>
        <w:t>求；</w:t>
      </w:r>
    </w:p>
    <w:p w14:paraId="4C745465">
      <w:pPr>
        <w:spacing w:before="181"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（2）要求供应商对响应文件有关事项作出澄清或者说明；</w:t>
      </w:r>
    </w:p>
    <w:p w14:paraId="49E14030">
      <w:pPr>
        <w:spacing w:before="182"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（3）对响应文件进行比较和评价；</w:t>
      </w:r>
    </w:p>
    <w:p w14:paraId="35A6668C">
      <w:pPr>
        <w:spacing w:before="181"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（4）评审小组提交书面评审报告和入围候选供应商名单；</w:t>
      </w:r>
    </w:p>
    <w:p w14:paraId="2FEE03AF">
      <w:pPr>
        <w:spacing w:before="181"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（5）向征集人、采购代理机构或者有关部门报告评标中发现的违法行为。</w:t>
      </w:r>
    </w:p>
    <w:p w14:paraId="74B74315">
      <w:pPr>
        <w:spacing w:before="184"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8.3.4</w:t>
      </w:r>
      <w:r>
        <w:rPr>
          <w:rFonts w:ascii="宋体" w:hAnsi="宋体" w:eastAsia="宋体" w:cs="宋体"/>
          <w:spacing w:val="-51"/>
          <w:sz w:val="24"/>
          <w:szCs w:val="24"/>
          <w:highlight w:val="none"/>
        </w:rPr>
        <w:t xml:space="preserve"> </w:t>
      </w:r>
      <w:r>
        <w:rPr>
          <w:rFonts w:ascii="宋体" w:hAnsi="宋体" w:eastAsia="宋体" w:cs="宋体"/>
          <w:spacing w:val="-1"/>
          <w:sz w:val="24"/>
          <w:szCs w:val="24"/>
          <w:highlight w:val="none"/>
        </w:rPr>
        <w:t>评标委员会成员应当履行下列义务：</w:t>
      </w:r>
    </w:p>
    <w:p w14:paraId="56113779">
      <w:pPr>
        <w:spacing w:before="183" w:line="220"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（1）遵纪守法，客观、公正、廉洁地履行职责；</w:t>
      </w:r>
    </w:p>
    <w:p w14:paraId="34CCF2BC">
      <w:pPr>
        <w:spacing w:before="180"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（2）根据采购文件的规定独立进行评审，对个人的评审意见承担法律责任；</w:t>
      </w:r>
    </w:p>
    <w:p w14:paraId="1BDE8EDA">
      <w:pPr>
        <w:spacing w:before="182"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（3）参与征集评审报告的起草；</w:t>
      </w:r>
    </w:p>
    <w:p w14:paraId="00D3B6F4">
      <w:pPr>
        <w:spacing w:before="182"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（4）配合征集人、采购代理机构答复供应商提出的质疑；</w:t>
      </w:r>
    </w:p>
    <w:p w14:paraId="100E0F9E">
      <w:pPr>
        <w:spacing w:before="183" w:line="220"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（5）配合财政部门的投诉处理和监督检查工作。</w:t>
      </w:r>
    </w:p>
    <w:p w14:paraId="387C51FF">
      <w:pPr>
        <w:spacing w:before="180"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8.3.5 采购代理机构负责组织评标工作并履行下列职责：</w:t>
      </w:r>
    </w:p>
    <w:p w14:paraId="0215EED1">
      <w:pPr>
        <w:spacing w:before="184" w:line="288" w:lineRule="auto"/>
        <w:ind w:left="1" w:right="199" w:firstLine="490"/>
        <w:rPr>
          <w:rFonts w:ascii="宋体" w:hAnsi="宋体" w:eastAsia="宋体" w:cs="宋体"/>
          <w:sz w:val="24"/>
          <w:szCs w:val="24"/>
          <w:highlight w:val="none"/>
        </w:rPr>
      </w:pPr>
      <w:r>
        <w:rPr>
          <w:rFonts w:ascii="宋体" w:hAnsi="宋体" w:eastAsia="宋体" w:cs="宋体"/>
          <w:spacing w:val="-1"/>
          <w:sz w:val="24"/>
          <w:szCs w:val="24"/>
          <w:highlight w:val="none"/>
        </w:rPr>
        <w:t>（1）核对评审专家身份和征集人代表授权函，对评审专家在政府采购活动中的</w:t>
      </w:r>
      <w:r>
        <w:rPr>
          <w:rFonts w:ascii="宋体" w:hAnsi="宋体" w:eastAsia="宋体" w:cs="宋体"/>
          <w:sz w:val="24"/>
          <w:szCs w:val="24"/>
          <w:highlight w:val="none"/>
        </w:rPr>
        <w:t>职责履行情况予以记录，并及时将有关违法</w:t>
      </w:r>
      <w:r>
        <w:rPr>
          <w:rFonts w:ascii="宋体" w:hAnsi="宋体" w:eastAsia="宋体" w:cs="宋体"/>
          <w:spacing w:val="-1"/>
          <w:sz w:val="24"/>
          <w:szCs w:val="24"/>
          <w:highlight w:val="none"/>
        </w:rPr>
        <w:t>违规行为向财政部门报告；</w:t>
      </w:r>
    </w:p>
    <w:p w14:paraId="0C5090CF">
      <w:pPr>
        <w:spacing w:before="184"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（2）宣布评标纪律和开启录音录像设备；</w:t>
      </w:r>
    </w:p>
    <w:p w14:paraId="558A2759">
      <w:pPr>
        <w:spacing w:before="180"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（3）公布供应商名单，告知评标专家应当回避的情形；</w:t>
      </w:r>
    </w:p>
    <w:p w14:paraId="0AD40ABD">
      <w:pPr>
        <w:spacing w:before="184"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（4）组织评标委员会推选评标组长，征集人代表不得担任组长；</w:t>
      </w:r>
    </w:p>
    <w:p w14:paraId="18053779">
      <w:pPr>
        <w:spacing w:before="184"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（5）在评标期间采取必要的通讯管理措施，保证评标活动不受外界干扰；</w:t>
      </w:r>
    </w:p>
    <w:p w14:paraId="5C026FA3">
      <w:pPr>
        <w:spacing w:before="180"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（6）根据评标委员会的要求介绍政府采购相关政策法规、征集文件；</w:t>
      </w:r>
    </w:p>
    <w:p w14:paraId="39A32ED7">
      <w:pPr>
        <w:spacing w:before="182" w:line="313" w:lineRule="auto"/>
        <w:ind w:left="2" w:firstLine="489"/>
        <w:rPr>
          <w:rFonts w:ascii="宋体" w:hAnsi="宋体" w:eastAsia="宋体" w:cs="宋体"/>
          <w:sz w:val="24"/>
          <w:szCs w:val="24"/>
          <w:highlight w:val="none"/>
        </w:rPr>
      </w:pPr>
      <w:r>
        <w:rPr>
          <w:rFonts w:ascii="宋体" w:hAnsi="宋体" w:eastAsia="宋体" w:cs="宋体"/>
          <w:spacing w:val="5"/>
          <w:sz w:val="24"/>
          <w:szCs w:val="24"/>
          <w:highlight w:val="none"/>
        </w:rPr>
        <w:t>（7）维护评标秩序，监督评标委员会依照评标文件规定的评审程序、方法和标</w:t>
      </w:r>
      <w:r>
        <w:rPr>
          <w:rFonts w:ascii="宋体" w:hAnsi="宋体" w:eastAsia="宋体" w:cs="宋体"/>
          <w:spacing w:val="2"/>
          <w:sz w:val="24"/>
          <w:szCs w:val="24"/>
          <w:highlight w:val="none"/>
        </w:rPr>
        <w:t>准进行独立评审，及时制止和纠正征集人代表、评审专家的倾</w:t>
      </w:r>
      <w:r>
        <w:rPr>
          <w:rFonts w:ascii="宋体" w:hAnsi="宋体" w:eastAsia="宋体" w:cs="宋体"/>
          <w:spacing w:val="1"/>
          <w:sz w:val="24"/>
          <w:szCs w:val="24"/>
          <w:highlight w:val="none"/>
        </w:rPr>
        <w:t>向性言论或违法违规行</w:t>
      </w:r>
      <w:r>
        <w:rPr>
          <w:rFonts w:ascii="宋体" w:hAnsi="宋体" w:eastAsia="宋体" w:cs="宋体"/>
          <w:spacing w:val="-6"/>
          <w:sz w:val="24"/>
          <w:szCs w:val="24"/>
          <w:highlight w:val="none"/>
        </w:rPr>
        <w:t>为；</w:t>
      </w:r>
    </w:p>
    <w:p w14:paraId="4BD9C608">
      <w:pPr>
        <w:spacing w:before="49" w:line="312" w:lineRule="auto"/>
        <w:ind w:left="2" w:firstLine="490"/>
        <w:rPr>
          <w:rFonts w:ascii="宋体" w:hAnsi="宋体" w:eastAsia="宋体" w:cs="宋体"/>
          <w:sz w:val="24"/>
          <w:szCs w:val="24"/>
          <w:highlight w:val="none"/>
        </w:rPr>
      </w:pPr>
      <w:r>
        <w:rPr>
          <w:rFonts w:ascii="宋体" w:hAnsi="宋体" w:eastAsia="宋体" w:cs="宋体"/>
          <w:spacing w:val="5"/>
          <w:sz w:val="24"/>
          <w:szCs w:val="24"/>
          <w:highlight w:val="none"/>
        </w:rPr>
        <w:t>（8）核对评标结果，有《政府采购货物和服务招标投标管理办法》第六十四条</w:t>
      </w:r>
      <w:r>
        <w:rPr>
          <w:rFonts w:ascii="宋体" w:hAnsi="宋体" w:eastAsia="宋体" w:cs="宋体"/>
          <w:spacing w:val="2"/>
          <w:sz w:val="24"/>
          <w:szCs w:val="24"/>
          <w:highlight w:val="none"/>
        </w:rPr>
        <w:t>规定情形的，要求评标委员会复核或书面说明理由，评标委员会拒绝</w:t>
      </w:r>
      <w:r>
        <w:rPr>
          <w:rFonts w:ascii="宋体" w:hAnsi="宋体" w:eastAsia="宋体" w:cs="宋体"/>
          <w:spacing w:val="1"/>
          <w:sz w:val="24"/>
          <w:szCs w:val="24"/>
          <w:highlight w:val="none"/>
        </w:rPr>
        <w:t>的，应予记录并</w:t>
      </w:r>
      <w:r>
        <w:rPr>
          <w:rFonts w:ascii="宋体" w:hAnsi="宋体" w:eastAsia="宋体" w:cs="宋体"/>
          <w:spacing w:val="-2"/>
          <w:sz w:val="24"/>
          <w:szCs w:val="24"/>
          <w:highlight w:val="none"/>
        </w:rPr>
        <w:t>向本级财政部门报告；</w:t>
      </w:r>
    </w:p>
    <w:p w14:paraId="6C95C38A">
      <w:pPr>
        <w:spacing w:before="184" w:line="289" w:lineRule="auto"/>
        <w:ind w:left="5" w:right="255" w:firstLine="487"/>
        <w:rPr>
          <w:rFonts w:ascii="宋体" w:hAnsi="宋体" w:eastAsia="宋体" w:cs="宋体"/>
          <w:sz w:val="24"/>
          <w:szCs w:val="24"/>
          <w:highlight w:val="none"/>
        </w:rPr>
      </w:pPr>
      <w:r>
        <w:rPr>
          <w:rFonts w:ascii="宋体" w:hAnsi="宋体" w:eastAsia="宋体" w:cs="宋体"/>
          <w:spacing w:val="-2"/>
          <w:sz w:val="24"/>
          <w:szCs w:val="24"/>
          <w:highlight w:val="none"/>
        </w:rPr>
        <w:t>（9）评审工作完成后，按照规定向评审专家支付劳务报酬</w:t>
      </w:r>
      <w:r>
        <w:rPr>
          <w:rFonts w:ascii="宋体" w:hAnsi="宋体" w:eastAsia="宋体" w:cs="宋体"/>
          <w:spacing w:val="-3"/>
          <w:sz w:val="24"/>
          <w:szCs w:val="24"/>
          <w:highlight w:val="none"/>
        </w:rPr>
        <w:t>和异地评审差旅费，</w:t>
      </w:r>
      <w:r>
        <w:rPr>
          <w:rFonts w:ascii="宋体" w:hAnsi="宋体" w:eastAsia="宋体" w:cs="宋体"/>
          <w:spacing w:val="-1"/>
          <w:sz w:val="24"/>
          <w:szCs w:val="24"/>
          <w:highlight w:val="none"/>
        </w:rPr>
        <w:t>不得向评审专家以外的其他人员支付评审劳务报酬；</w:t>
      </w:r>
    </w:p>
    <w:p w14:paraId="420B210F">
      <w:pPr>
        <w:spacing w:before="181" w:line="221" w:lineRule="auto"/>
        <w:ind w:left="517"/>
        <w:rPr>
          <w:rFonts w:ascii="宋体" w:hAnsi="宋体" w:eastAsia="宋体" w:cs="宋体"/>
          <w:sz w:val="24"/>
          <w:szCs w:val="24"/>
          <w:highlight w:val="none"/>
        </w:rPr>
      </w:pPr>
      <w:r>
        <w:rPr>
          <w:rFonts w:ascii="宋体" w:hAnsi="宋体" w:eastAsia="宋体" w:cs="宋体"/>
          <w:spacing w:val="-2"/>
          <w:sz w:val="24"/>
          <w:szCs w:val="24"/>
          <w:highlight w:val="none"/>
        </w:rPr>
        <w:t>（10）处理与评标有关的其他事项。</w:t>
      </w:r>
    </w:p>
    <w:p w14:paraId="41630789">
      <w:pPr>
        <w:spacing w:before="179" w:line="313" w:lineRule="auto"/>
        <w:ind w:firstLine="506"/>
        <w:rPr>
          <w:rFonts w:hint="default" w:ascii="宋体" w:hAnsi="宋体" w:eastAsia="宋体" w:cs="宋体"/>
          <w:sz w:val="24"/>
          <w:szCs w:val="24"/>
          <w:highlight w:val="none"/>
          <w:lang w:val="en-US" w:eastAsia="zh-CN"/>
        </w:rPr>
      </w:pPr>
      <w:r>
        <w:rPr>
          <w:rFonts w:ascii="宋体" w:hAnsi="宋体" w:eastAsia="宋体" w:cs="宋体"/>
          <w:spacing w:val="9"/>
          <w:sz w:val="24"/>
          <w:szCs w:val="24"/>
          <w:highlight w:val="none"/>
        </w:rPr>
        <w:t>8.3.6</w:t>
      </w:r>
      <w:r>
        <w:rPr>
          <w:rFonts w:ascii="宋体" w:hAnsi="宋体" w:eastAsia="宋体" w:cs="宋体"/>
          <w:spacing w:val="-36"/>
          <w:sz w:val="24"/>
          <w:szCs w:val="24"/>
          <w:highlight w:val="none"/>
        </w:rPr>
        <w:t xml:space="preserve"> </w:t>
      </w:r>
      <w:r>
        <w:rPr>
          <w:rFonts w:ascii="宋体" w:hAnsi="宋体" w:eastAsia="宋体" w:cs="宋体"/>
          <w:spacing w:val="9"/>
          <w:sz w:val="24"/>
          <w:szCs w:val="24"/>
          <w:highlight w:val="none"/>
        </w:rPr>
        <w:t>征集人可以在评标前介绍项目背景和采购需求，介绍内容不</w:t>
      </w:r>
      <w:r>
        <w:rPr>
          <w:rFonts w:ascii="宋体" w:hAnsi="宋体" w:eastAsia="宋体" w:cs="宋体"/>
          <w:spacing w:val="8"/>
          <w:sz w:val="24"/>
          <w:szCs w:val="24"/>
          <w:highlight w:val="none"/>
        </w:rPr>
        <w:t>得含有歧视</w:t>
      </w:r>
      <w:r>
        <w:rPr>
          <w:rFonts w:ascii="宋体" w:hAnsi="宋体" w:eastAsia="宋体" w:cs="宋体"/>
          <w:spacing w:val="2"/>
          <w:sz w:val="24"/>
          <w:szCs w:val="24"/>
          <w:highlight w:val="none"/>
        </w:rPr>
        <w:t>性、倾向性意见，不得超出征集文件所述范围。</w:t>
      </w:r>
    </w:p>
    <w:p w14:paraId="1B804A0A">
      <w:pPr>
        <w:spacing w:before="179" w:line="220" w:lineRule="auto"/>
        <w:ind w:left="677"/>
        <w:rPr>
          <w:rFonts w:ascii="宋体" w:hAnsi="宋体" w:eastAsia="宋体" w:cs="宋体"/>
          <w:sz w:val="24"/>
          <w:szCs w:val="24"/>
          <w:highlight w:val="none"/>
        </w:rPr>
      </w:pPr>
      <w:r>
        <w:rPr>
          <w:rFonts w:ascii="宋体" w:hAnsi="宋体" w:eastAsia="宋体" w:cs="宋体"/>
          <w:spacing w:val="-2"/>
          <w:sz w:val="24"/>
          <w:szCs w:val="24"/>
          <w:highlight w:val="none"/>
        </w:rPr>
        <w:t>8.3.7</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评标过程严格保密</w:t>
      </w:r>
    </w:p>
    <w:p w14:paraId="44E91B8A">
      <w:pPr>
        <w:spacing w:before="181" w:line="313" w:lineRule="auto"/>
        <w:ind w:left="3" w:firstLine="719"/>
        <w:rPr>
          <w:rFonts w:ascii="宋体" w:hAnsi="宋体" w:eastAsia="宋体" w:cs="宋体"/>
          <w:sz w:val="24"/>
          <w:szCs w:val="24"/>
          <w:highlight w:val="none"/>
        </w:rPr>
      </w:pPr>
      <w:r>
        <w:rPr>
          <w:rFonts w:ascii="宋体" w:hAnsi="宋体" w:eastAsia="宋体" w:cs="宋体"/>
          <w:spacing w:val="2"/>
          <w:sz w:val="24"/>
          <w:szCs w:val="24"/>
          <w:highlight w:val="none"/>
        </w:rPr>
        <w:t>8.3.7.1 征集人、采购代理机构应当采取必要措施，保证</w:t>
      </w:r>
      <w:r>
        <w:rPr>
          <w:rFonts w:ascii="宋体" w:hAnsi="宋体" w:eastAsia="宋体" w:cs="宋体"/>
          <w:spacing w:val="1"/>
          <w:sz w:val="24"/>
          <w:szCs w:val="24"/>
          <w:highlight w:val="none"/>
        </w:rPr>
        <w:t>评标在严格保密的情</w:t>
      </w:r>
      <w:r>
        <w:rPr>
          <w:rFonts w:ascii="宋体" w:hAnsi="宋体" w:eastAsia="宋体" w:cs="宋体"/>
          <w:spacing w:val="2"/>
          <w:sz w:val="24"/>
          <w:szCs w:val="24"/>
          <w:highlight w:val="none"/>
        </w:rPr>
        <w:t>况下进行。除征集人代表、评标现场组织人员外，征集人的其他工</w:t>
      </w:r>
      <w:r>
        <w:rPr>
          <w:rFonts w:ascii="宋体" w:hAnsi="宋体" w:eastAsia="宋体" w:cs="宋体"/>
          <w:spacing w:val="1"/>
          <w:sz w:val="24"/>
          <w:szCs w:val="24"/>
          <w:highlight w:val="none"/>
        </w:rPr>
        <w:t>作人员以及与评标</w:t>
      </w:r>
      <w:r>
        <w:rPr>
          <w:rFonts w:ascii="宋体" w:hAnsi="宋体" w:eastAsia="宋体" w:cs="宋体"/>
          <w:spacing w:val="-1"/>
          <w:sz w:val="24"/>
          <w:szCs w:val="24"/>
          <w:highlight w:val="none"/>
        </w:rPr>
        <w:t>工作无关的人员不得进入评标现场。</w:t>
      </w:r>
    </w:p>
    <w:p w14:paraId="43A4A1B2">
      <w:pPr>
        <w:spacing w:before="177" w:line="325" w:lineRule="auto"/>
        <w:ind w:left="1" w:firstLine="720"/>
        <w:rPr>
          <w:rFonts w:ascii="宋体" w:hAnsi="宋体" w:eastAsia="宋体" w:cs="宋体"/>
          <w:sz w:val="24"/>
          <w:szCs w:val="24"/>
          <w:highlight w:val="none"/>
        </w:rPr>
      </w:pPr>
      <w:r>
        <w:rPr>
          <w:rFonts w:ascii="宋体" w:hAnsi="宋体" w:eastAsia="宋体" w:cs="宋体"/>
          <w:spacing w:val="2"/>
          <w:sz w:val="24"/>
          <w:szCs w:val="24"/>
          <w:highlight w:val="none"/>
        </w:rPr>
        <w:t>8.3.7.2 有关人员对评标情况以及在评标过程中获悉的国</w:t>
      </w:r>
      <w:r>
        <w:rPr>
          <w:rFonts w:ascii="宋体" w:hAnsi="宋体" w:eastAsia="宋体" w:cs="宋体"/>
          <w:spacing w:val="1"/>
          <w:sz w:val="24"/>
          <w:szCs w:val="24"/>
          <w:highlight w:val="none"/>
        </w:rPr>
        <w:t>家秘密、商业秘密负</w:t>
      </w:r>
      <w:r>
        <w:rPr>
          <w:rFonts w:ascii="宋体" w:hAnsi="宋体" w:eastAsia="宋体" w:cs="宋体"/>
          <w:spacing w:val="2"/>
          <w:sz w:val="24"/>
          <w:szCs w:val="24"/>
          <w:highlight w:val="none"/>
        </w:rPr>
        <w:t>有保密责任。开标后，直至授予成交供应商合同为止，凡属于对响应文</w:t>
      </w:r>
      <w:r>
        <w:rPr>
          <w:rFonts w:ascii="宋体" w:hAnsi="宋体" w:eastAsia="宋体" w:cs="宋体"/>
          <w:spacing w:val="1"/>
          <w:sz w:val="24"/>
          <w:szCs w:val="24"/>
          <w:highlight w:val="none"/>
        </w:rPr>
        <w:t>件的审查、澄</w:t>
      </w:r>
      <w:r>
        <w:rPr>
          <w:rFonts w:ascii="宋体" w:hAnsi="宋体" w:eastAsia="宋体" w:cs="宋体"/>
          <w:spacing w:val="2"/>
          <w:sz w:val="24"/>
          <w:szCs w:val="24"/>
          <w:highlight w:val="none"/>
        </w:rPr>
        <w:t>清、评价和比较的有关资料以及中标候选人的推荐情况，与评标有关的</w:t>
      </w:r>
      <w:r>
        <w:rPr>
          <w:rFonts w:ascii="宋体" w:hAnsi="宋体" w:eastAsia="宋体" w:cs="宋体"/>
          <w:spacing w:val="1"/>
          <w:sz w:val="24"/>
          <w:szCs w:val="24"/>
          <w:highlight w:val="none"/>
        </w:rPr>
        <w:t>其他任何情况</w:t>
      </w:r>
      <w:r>
        <w:rPr>
          <w:rFonts w:ascii="宋体" w:hAnsi="宋体" w:eastAsia="宋体" w:cs="宋体"/>
          <w:spacing w:val="-2"/>
          <w:sz w:val="24"/>
          <w:szCs w:val="24"/>
          <w:highlight w:val="none"/>
        </w:rPr>
        <w:t>均严格保密。</w:t>
      </w:r>
    </w:p>
    <w:p w14:paraId="59D848DC">
      <w:pPr>
        <w:spacing w:before="180" w:line="290" w:lineRule="auto"/>
        <w:ind w:left="11" w:firstLine="471"/>
        <w:rPr>
          <w:rFonts w:ascii="宋体" w:hAnsi="宋体" w:eastAsia="宋体" w:cs="宋体"/>
          <w:sz w:val="24"/>
          <w:szCs w:val="24"/>
          <w:highlight w:val="none"/>
        </w:rPr>
      </w:pPr>
      <w:r>
        <w:rPr>
          <w:rFonts w:ascii="宋体" w:hAnsi="宋体" w:eastAsia="宋体" w:cs="宋体"/>
          <w:spacing w:val="2"/>
          <w:sz w:val="24"/>
          <w:szCs w:val="24"/>
          <w:highlight w:val="none"/>
        </w:rPr>
        <w:t>8.3.8 供应商对评标委员会的评标过程或合同授予决定施加</w:t>
      </w:r>
      <w:r>
        <w:rPr>
          <w:rFonts w:ascii="宋体" w:hAnsi="宋体" w:eastAsia="宋体" w:cs="宋体"/>
          <w:spacing w:val="1"/>
          <w:sz w:val="24"/>
          <w:szCs w:val="24"/>
          <w:highlight w:val="none"/>
        </w:rPr>
        <w:t>影响的任何行为都可</w:t>
      </w:r>
      <w:r>
        <w:rPr>
          <w:rFonts w:ascii="宋体" w:hAnsi="宋体" w:eastAsia="宋体" w:cs="宋体"/>
          <w:spacing w:val="-2"/>
          <w:sz w:val="24"/>
          <w:szCs w:val="24"/>
          <w:highlight w:val="none"/>
        </w:rPr>
        <w:t>能导致其投标被拒绝。</w:t>
      </w:r>
    </w:p>
    <w:p w14:paraId="66F2FA59">
      <w:pPr>
        <w:spacing w:before="298" w:line="290" w:lineRule="auto"/>
        <w:ind w:left="4" w:firstLine="478"/>
        <w:rPr>
          <w:rFonts w:ascii="宋体" w:hAnsi="宋体" w:eastAsia="宋体" w:cs="宋体"/>
          <w:sz w:val="24"/>
          <w:szCs w:val="24"/>
          <w:highlight w:val="none"/>
        </w:rPr>
      </w:pPr>
      <w:r>
        <w:rPr>
          <w:rFonts w:ascii="宋体" w:hAnsi="宋体" w:eastAsia="宋体" w:cs="宋体"/>
          <w:spacing w:val="2"/>
          <w:sz w:val="24"/>
          <w:szCs w:val="24"/>
          <w:highlight w:val="none"/>
        </w:rPr>
        <w:t>8.3.8 评审完成后，评审小组应当向征集人提交书面评审报</w:t>
      </w:r>
      <w:r>
        <w:rPr>
          <w:rFonts w:ascii="宋体" w:hAnsi="宋体" w:eastAsia="宋体" w:cs="宋体"/>
          <w:spacing w:val="1"/>
          <w:sz w:val="24"/>
          <w:szCs w:val="24"/>
          <w:highlight w:val="none"/>
        </w:rPr>
        <w:t>告和入围候选供应商</w:t>
      </w:r>
      <w:r>
        <w:rPr>
          <w:rFonts w:ascii="宋体" w:hAnsi="宋体" w:eastAsia="宋体" w:cs="宋体"/>
          <w:spacing w:val="-1"/>
          <w:sz w:val="24"/>
          <w:szCs w:val="24"/>
          <w:highlight w:val="none"/>
        </w:rPr>
        <w:t>名单。评审小组推荐入围候选供应商的数量见供应商须知前附表。</w:t>
      </w:r>
    </w:p>
    <w:p w14:paraId="5F1B97FD">
      <w:pPr>
        <w:spacing w:before="300" w:line="221" w:lineRule="auto"/>
        <w:ind w:left="482"/>
        <w:rPr>
          <w:rFonts w:ascii="宋体" w:hAnsi="宋体" w:eastAsia="宋体" w:cs="宋体"/>
          <w:sz w:val="24"/>
          <w:szCs w:val="24"/>
          <w:highlight w:val="none"/>
        </w:rPr>
      </w:pPr>
      <w:r>
        <w:rPr>
          <w:rFonts w:ascii="宋体" w:hAnsi="宋体" w:eastAsia="宋体" w:cs="宋体"/>
          <w:b/>
          <w:bCs/>
          <w:spacing w:val="-5"/>
          <w:sz w:val="24"/>
          <w:szCs w:val="24"/>
          <w:highlight w:val="none"/>
        </w:rPr>
        <w:t>9.定标</w:t>
      </w:r>
    </w:p>
    <w:p w14:paraId="5E6FF7F6">
      <w:pPr>
        <w:spacing w:before="301" w:line="221" w:lineRule="auto"/>
        <w:ind w:left="2"/>
        <w:rPr>
          <w:rFonts w:ascii="宋体" w:hAnsi="宋体" w:eastAsia="宋体" w:cs="宋体"/>
          <w:sz w:val="24"/>
          <w:szCs w:val="24"/>
          <w:highlight w:val="none"/>
        </w:rPr>
      </w:pPr>
      <w:r>
        <w:rPr>
          <w:rFonts w:ascii="宋体" w:hAnsi="宋体" w:eastAsia="宋体" w:cs="宋体"/>
          <w:b/>
          <w:bCs/>
          <w:spacing w:val="-6"/>
          <w:sz w:val="24"/>
          <w:szCs w:val="24"/>
          <w:highlight w:val="none"/>
        </w:rPr>
        <w:t>9.1</w:t>
      </w:r>
      <w:r>
        <w:rPr>
          <w:rFonts w:ascii="宋体" w:hAnsi="宋体" w:eastAsia="宋体" w:cs="宋体"/>
          <w:spacing w:val="17"/>
          <w:sz w:val="24"/>
          <w:szCs w:val="24"/>
          <w:highlight w:val="none"/>
        </w:rPr>
        <w:t xml:space="preserve"> </w:t>
      </w:r>
      <w:r>
        <w:rPr>
          <w:rFonts w:ascii="宋体" w:hAnsi="宋体" w:eastAsia="宋体" w:cs="宋体"/>
          <w:b/>
          <w:bCs/>
          <w:spacing w:val="-6"/>
          <w:sz w:val="24"/>
          <w:szCs w:val="24"/>
          <w:highlight w:val="none"/>
        </w:rPr>
        <w:t>定标原则</w:t>
      </w:r>
    </w:p>
    <w:p w14:paraId="2B8B585F">
      <w:pPr>
        <w:spacing w:before="301" w:line="360" w:lineRule="auto"/>
        <w:ind w:left="2" w:firstLine="470"/>
        <w:rPr>
          <w:rFonts w:ascii="宋体" w:hAnsi="宋体" w:eastAsia="宋体" w:cs="宋体"/>
          <w:sz w:val="24"/>
          <w:szCs w:val="24"/>
          <w:highlight w:val="none"/>
        </w:rPr>
      </w:pPr>
      <w:r>
        <w:rPr>
          <w:rFonts w:ascii="宋体" w:hAnsi="宋体" w:eastAsia="宋体" w:cs="宋体"/>
          <w:spacing w:val="3"/>
          <w:sz w:val="24"/>
          <w:szCs w:val="24"/>
          <w:highlight w:val="none"/>
        </w:rPr>
        <w:t>9.1.1</w:t>
      </w:r>
      <w:r>
        <w:rPr>
          <w:rFonts w:ascii="宋体" w:hAnsi="宋体" w:eastAsia="宋体" w:cs="宋体"/>
          <w:spacing w:val="-34"/>
          <w:sz w:val="24"/>
          <w:szCs w:val="24"/>
          <w:highlight w:val="none"/>
        </w:rPr>
        <w:t xml:space="preserve"> </w:t>
      </w:r>
      <w:r>
        <w:rPr>
          <w:rFonts w:ascii="宋体" w:hAnsi="宋体" w:eastAsia="宋体" w:cs="宋体"/>
          <w:spacing w:val="3"/>
          <w:sz w:val="24"/>
          <w:szCs w:val="24"/>
          <w:highlight w:val="none"/>
        </w:rPr>
        <w:t>评审小组根据评审方法及标准的规定对供应商进行评审排序，按征集文件</w:t>
      </w:r>
      <w:r>
        <w:rPr>
          <w:rFonts w:ascii="宋体" w:hAnsi="宋体" w:eastAsia="宋体" w:cs="宋体"/>
          <w:sz w:val="24"/>
          <w:szCs w:val="24"/>
          <w:highlight w:val="none"/>
        </w:rPr>
        <w:t>规定推荐入围候选供应商，作为评审结果。评审结果</w:t>
      </w:r>
      <w:r>
        <w:rPr>
          <w:rFonts w:ascii="宋体" w:hAnsi="宋体" w:eastAsia="宋体" w:cs="宋体"/>
          <w:spacing w:val="-1"/>
          <w:sz w:val="24"/>
          <w:szCs w:val="24"/>
          <w:highlight w:val="none"/>
        </w:rPr>
        <w:t>由评审小组成员签字确认。</w:t>
      </w:r>
    </w:p>
    <w:p w14:paraId="26E1F342">
      <w:pPr>
        <w:spacing w:before="115" w:line="221" w:lineRule="auto"/>
        <w:ind w:left="2"/>
        <w:rPr>
          <w:rFonts w:ascii="宋体" w:hAnsi="宋体" w:eastAsia="宋体" w:cs="宋体"/>
          <w:sz w:val="24"/>
          <w:szCs w:val="24"/>
          <w:highlight w:val="none"/>
        </w:rPr>
      </w:pPr>
      <w:r>
        <w:rPr>
          <w:rFonts w:ascii="宋体" w:hAnsi="宋体" w:eastAsia="宋体" w:cs="宋体"/>
          <w:b/>
          <w:bCs/>
          <w:spacing w:val="-6"/>
          <w:sz w:val="24"/>
          <w:szCs w:val="24"/>
          <w:highlight w:val="none"/>
        </w:rPr>
        <w:t>9.2</w:t>
      </w:r>
      <w:r>
        <w:rPr>
          <w:rFonts w:ascii="宋体" w:hAnsi="宋体" w:eastAsia="宋体" w:cs="宋体"/>
          <w:spacing w:val="17"/>
          <w:sz w:val="24"/>
          <w:szCs w:val="24"/>
          <w:highlight w:val="none"/>
        </w:rPr>
        <w:t xml:space="preserve"> </w:t>
      </w:r>
      <w:r>
        <w:rPr>
          <w:rFonts w:ascii="宋体" w:hAnsi="宋体" w:eastAsia="宋体" w:cs="宋体"/>
          <w:b/>
          <w:bCs/>
          <w:spacing w:val="-6"/>
          <w:sz w:val="24"/>
          <w:szCs w:val="24"/>
          <w:highlight w:val="none"/>
        </w:rPr>
        <w:t>定标程序</w:t>
      </w:r>
    </w:p>
    <w:p w14:paraId="6F024ADD">
      <w:pPr>
        <w:spacing w:before="48" w:line="360" w:lineRule="auto"/>
        <w:ind w:left="2" w:firstLine="480" w:firstLineChars="200"/>
        <w:rPr>
          <w:rFonts w:ascii="宋体" w:hAnsi="宋体" w:eastAsia="宋体" w:cs="宋体"/>
          <w:sz w:val="24"/>
          <w:szCs w:val="24"/>
          <w:highlight w:val="none"/>
        </w:rPr>
      </w:pPr>
      <w:r>
        <w:rPr>
          <w:rFonts w:ascii="宋体" w:hAnsi="宋体" w:eastAsia="宋体" w:cs="宋体"/>
          <w:sz w:val="24"/>
          <w:szCs w:val="24"/>
          <w:highlight w:val="none"/>
        </w:rPr>
        <w:t>9.2.1</w:t>
      </w:r>
      <w:r>
        <w:rPr>
          <w:rFonts w:ascii="宋体" w:hAnsi="宋体" w:eastAsia="宋体" w:cs="宋体"/>
          <w:spacing w:val="-52"/>
          <w:sz w:val="24"/>
          <w:szCs w:val="24"/>
          <w:highlight w:val="none"/>
        </w:rPr>
        <w:t xml:space="preserve"> </w:t>
      </w:r>
      <w:r>
        <w:rPr>
          <w:rFonts w:ascii="宋体" w:hAnsi="宋体" w:eastAsia="宋体" w:cs="宋体"/>
          <w:sz w:val="24"/>
          <w:szCs w:val="24"/>
          <w:highlight w:val="none"/>
        </w:rPr>
        <w:t>采购代理机构在评审结束后 2 个工作日内将评审报告送征集人。征</w:t>
      </w:r>
      <w:r>
        <w:rPr>
          <w:rFonts w:ascii="宋体" w:hAnsi="宋体" w:eastAsia="宋体" w:cs="宋体"/>
          <w:spacing w:val="-1"/>
          <w:sz w:val="24"/>
          <w:szCs w:val="24"/>
          <w:highlight w:val="none"/>
        </w:rPr>
        <w:t>集人应</w:t>
      </w:r>
      <w:r>
        <w:rPr>
          <w:rFonts w:ascii="宋体" w:hAnsi="宋体" w:eastAsia="宋体" w:cs="宋体"/>
          <w:spacing w:val="5"/>
          <w:sz w:val="24"/>
          <w:szCs w:val="24"/>
          <w:highlight w:val="none"/>
        </w:rPr>
        <w:t>当在收到评审报告后 5 个工作日内，按照评</w:t>
      </w:r>
      <w:r>
        <w:rPr>
          <w:rFonts w:ascii="宋体" w:hAnsi="宋体" w:eastAsia="宋体" w:cs="宋体"/>
          <w:spacing w:val="4"/>
          <w:sz w:val="24"/>
          <w:szCs w:val="24"/>
          <w:highlight w:val="none"/>
        </w:rPr>
        <w:t>审报告中推荐的入围候选供应商顺序和</w:t>
      </w:r>
      <w:r>
        <w:rPr>
          <w:rFonts w:ascii="宋体" w:hAnsi="宋体" w:eastAsia="宋体" w:cs="宋体"/>
          <w:spacing w:val="-1"/>
          <w:sz w:val="24"/>
          <w:szCs w:val="24"/>
          <w:highlight w:val="none"/>
        </w:rPr>
        <w:t>有关规定确定入围供应商。</w:t>
      </w:r>
    </w:p>
    <w:p w14:paraId="6BF6A174">
      <w:pPr>
        <w:spacing w:before="182" w:line="324" w:lineRule="auto"/>
        <w:ind w:left="1" w:firstLine="420"/>
        <w:rPr>
          <w:rFonts w:ascii="宋体" w:hAnsi="宋体" w:eastAsia="宋体" w:cs="宋体"/>
          <w:sz w:val="24"/>
          <w:szCs w:val="24"/>
          <w:highlight w:val="none"/>
        </w:rPr>
      </w:pPr>
      <w:r>
        <w:rPr>
          <w:rFonts w:ascii="宋体" w:hAnsi="宋体" w:eastAsia="宋体" w:cs="宋体"/>
          <w:spacing w:val="3"/>
          <w:sz w:val="24"/>
          <w:szCs w:val="24"/>
          <w:highlight w:val="none"/>
        </w:rPr>
        <w:t>9.2.2 确定的入围候选供应商放弃入围、在规定期限内未能签订合同、因不可抗</w:t>
      </w:r>
      <w:r>
        <w:rPr>
          <w:rFonts w:ascii="宋体" w:hAnsi="宋体" w:eastAsia="宋体" w:cs="宋体"/>
          <w:spacing w:val="9"/>
          <w:sz w:val="24"/>
          <w:szCs w:val="24"/>
          <w:highlight w:val="none"/>
        </w:rPr>
        <w:t>力不能履行合同或者被查实存在影响入围结果</w:t>
      </w:r>
      <w:r>
        <w:rPr>
          <w:rFonts w:ascii="宋体" w:hAnsi="宋体" w:eastAsia="宋体" w:cs="宋体"/>
          <w:spacing w:val="8"/>
          <w:sz w:val="24"/>
          <w:szCs w:val="24"/>
          <w:highlight w:val="none"/>
        </w:rPr>
        <w:t>的违法行为等情形，不符合入围条件</w:t>
      </w:r>
      <w:r>
        <w:rPr>
          <w:rFonts w:ascii="宋体" w:hAnsi="宋体" w:eastAsia="宋体" w:cs="宋体"/>
          <w:spacing w:val="2"/>
          <w:sz w:val="24"/>
          <w:szCs w:val="24"/>
          <w:highlight w:val="none"/>
        </w:rPr>
        <w:t>的，征集人可以按照评审小组提出的入围候选供应商名单排序依次确定</w:t>
      </w:r>
      <w:r>
        <w:rPr>
          <w:rFonts w:ascii="宋体" w:hAnsi="宋体" w:eastAsia="宋体" w:cs="宋体"/>
          <w:spacing w:val="1"/>
          <w:sz w:val="24"/>
          <w:szCs w:val="24"/>
          <w:highlight w:val="none"/>
        </w:rPr>
        <w:t>其他入围候选</w:t>
      </w:r>
      <w:r>
        <w:rPr>
          <w:rFonts w:ascii="宋体" w:hAnsi="宋体" w:eastAsia="宋体" w:cs="宋体"/>
          <w:spacing w:val="-1"/>
          <w:sz w:val="24"/>
          <w:szCs w:val="24"/>
          <w:highlight w:val="none"/>
        </w:rPr>
        <w:t>供应商为入围供应商，也可以重新招标。</w:t>
      </w:r>
    </w:p>
    <w:p w14:paraId="21F36A46">
      <w:pPr>
        <w:spacing w:before="183" w:line="219" w:lineRule="auto"/>
        <w:ind w:left="422"/>
        <w:rPr>
          <w:rFonts w:ascii="宋体" w:hAnsi="宋体" w:eastAsia="宋体" w:cs="宋体"/>
          <w:sz w:val="24"/>
          <w:szCs w:val="24"/>
          <w:highlight w:val="none"/>
        </w:rPr>
      </w:pPr>
      <w:r>
        <w:rPr>
          <w:rFonts w:ascii="宋体" w:hAnsi="宋体" w:eastAsia="宋体" w:cs="宋体"/>
          <w:sz w:val="24"/>
          <w:szCs w:val="24"/>
          <w:highlight w:val="none"/>
        </w:rPr>
        <w:t>9.2.3 征集人也可以授权评审小组评</w:t>
      </w:r>
      <w:r>
        <w:rPr>
          <w:rFonts w:ascii="宋体" w:hAnsi="宋体" w:eastAsia="宋体" w:cs="宋体"/>
          <w:spacing w:val="-1"/>
          <w:sz w:val="24"/>
          <w:szCs w:val="24"/>
          <w:highlight w:val="none"/>
        </w:rPr>
        <w:t>审后直接确定入围供应商。</w:t>
      </w:r>
    </w:p>
    <w:p w14:paraId="396015CF">
      <w:pPr>
        <w:spacing w:before="179" w:line="291" w:lineRule="auto"/>
        <w:ind w:left="1" w:firstLine="420"/>
        <w:rPr>
          <w:rFonts w:ascii="宋体" w:hAnsi="宋体" w:eastAsia="宋体" w:cs="宋体"/>
          <w:sz w:val="24"/>
          <w:szCs w:val="24"/>
          <w:highlight w:val="none"/>
        </w:rPr>
      </w:pPr>
      <w:r>
        <w:rPr>
          <w:rFonts w:ascii="宋体" w:hAnsi="宋体" w:eastAsia="宋体" w:cs="宋体"/>
          <w:spacing w:val="3"/>
          <w:sz w:val="24"/>
          <w:szCs w:val="24"/>
          <w:highlight w:val="none"/>
        </w:rPr>
        <w:t>9.2.4 入围供应商确定之后，入围结果将在财政部门指定的政府采购信息发布媒</w:t>
      </w:r>
      <w:r>
        <w:rPr>
          <w:rFonts w:ascii="宋体" w:hAnsi="宋体" w:eastAsia="宋体" w:cs="宋体"/>
          <w:sz w:val="24"/>
          <w:szCs w:val="24"/>
          <w:highlight w:val="none"/>
        </w:rPr>
        <w:t>体</w:t>
      </w:r>
    </w:p>
    <w:p w14:paraId="6F97771F">
      <w:pPr>
        <w:spacing w:before="180" w:line="359" w:lineRule="auto"/>
        <w:ind w:left="1" w:firstLine="421"/>
        <w:jc w:val="both"/>
        <w:rPr>
          <w:rFonts w:ascii="宋体" w:hAnsi="宋体" w:eastAsia="宋体" w:cs="宋体"/>
          <w:sz w:val="24"/>
          <w:szCs w:val="24"/>
          <w:highlight w:val="none"/>
        </w:rPr>
      </w:pPr>
      <w:r>
        <w:rPr>
          <w:rFonts w:ascii="宋体" w:hAnsi="宋体" w:eastAsia="宋体" w:cs="宋体"/>
          <w:spacing w:val="4"/>
          <w:sz w:val="24"/>
          <w:szCs w:val="24"/>
          <w:highlight w:val="none"/>
        </w:rPr>
        <w:t>上发布公示。征集文件应当随中标结果同时公告</w:t>
      </w:r>
      <w:r>
        <w:rPr>
          <w:rFonts w:ascii="宋体" w:hAnsi="宋体" w:eastAsia="宋体" w:cs="宋体"/>
          <w:spacing w:val="3"/>
          <w:sz w:val="24"/>
          <w:szCs w:val="24"/>
          <w:highlight w:val="none"/>
        </w:rPr>
        <w:t>；成交供应商享受了中小企业发</w:t>
      </w:r>
      <w:r>
        <w:rPr>
          <w:rFonts w:ascii="宋体" w:hAnsi="宋体" w:eastAsia="宋体" w:cs="宋体"/>
          <w:spacing w:val="2"/>
          <w:sz w:val="24"/>
          <w:szCs w:val="24"/>
          <w:highlight w:val="none"/>
        </w:rPr>
        <w:t>展扶持政策的，其《中小企业声明函》或者《残疾人福利性单位声明函</w:t>
      </w:r>
      <w:r>
        <w:rPr>
          <w:rFonts w:ascii="宋体" w:hAnsi="宋体" w:eastAsia="宋体" w:cs="宋体"/>
          <w:spacing w:val="1"/>
          <w:sz w:val="24"/>
          <w:szCs w:val="24"/>
          <w:highlight w:val="none"/>
        </w:rPr>
        <w:t>》也应随中标</w:t>
      </w:r>
      <w:r>
        <w:rPr>
          <w:rFonts w:ascii="宋体" w:hAnsi="宋体" w:eastAsia="宋体" w:cs="宋体"/>
          <w:spacing w:val="2"/>
          <w:sz w:val="24"/>
          <w:szCs w:val="24"/>
          <w:highlight w:val="none"/>
        </w:rPr>
        <w:t>结果同时公告。在公告中标结果的同时，征集人或采购代理机构应当向</w:t>
      </w:r>
      <w:r>
        <w:rPr>
          <w:rFonts w:ascii="宋体" w:hAnsi="宋体" w:eastAsia="宋体" w:cs="宋体"/>
          <w:spacing w:val="1"/>
          <w:sz w:val="24"/>
          <w:szCs w:val="24"/>
          <w:highlight w:val="none"/>
        </w:rPr>
        <w:t>成交供应商发出《入围通知书》，</w:t>
      </w:r>
      <w:r>
        <w:rPr>
          <w:rFonts w:ascii="宋体" w:hAnsi="宋体" w:eastAsia="宋体" w:cs="宋体"/>
          <w:b/>
          <w:bCs/>
          <w:spacing w:val="1"/>
          <w:sz w:val="24"/>
          <w:szCs w:val="24"/>
          <w:highlight w:val="none"/>
        </w:rPr>
        <w:t>向未成交供应商发出评标结果通知书</w:t>
      </w:r>
      <w:r>
        <w:rPr>
          <w:rFonts w:ascii="宋体" w:hAnsi="宋体" w:eastAsia="宋体" w:cs="宋体"/>
          <w:spacing w:val="1"/>
          <w:sz w:val="24"/>
          <w:szCs w:val="24"/>
          <w:highlight w:val="none"/>
        </w:rPr>
        <w:t>。对未</w:t>
      </w:r>
      <w:r>
        <w:rPr>
          <w:rFonts w:ascii="宋体" w:hAnsi="宋体" w:eastAsia="宋体" w:cs="宋体"/>
          <w:sz w:val="24"/>
          <w:szCs w:val="24"/>
          <w:highlight w:val="none"/>
        </w:rPr>
        <w:t>通过资格审查或未通</w:t>
      </w:r>
      <w:r>
        <w:rPr>
          <w:rFonts w:ascii="宋体" w:hAnsi="宋体" w:eastAsia="宋体" w:cs="宋体"/>
          <w:spacing w:val="2"/>
          <w:sz w:val="24"/>
          <w:szCs w:val="24"/>
          <w:highlight w:val="none"/>
        </w:rPr>
        <w:t>符合性审查的供应商，应告知其未通过的原因；对于其他参与评分的未</w:t>
      </w:r>
      <w:r>
        <w:rPr>
          <w:rFonts w:ascii="宋体" w:hAnsi="宋体" w:eastAsia="宋体" w:cs="宋体"/>
          <w:spacing w:val="1"/>
          <w:sz w:val="24"/>
          <w:szCs w:val="24"/>
          <w:highlight w:val="none"/>
        </w:rPr>
        <w:t>成交供应商，</w:t>
      </w:r>
      <w:r>
        <w:rPr>
          <w:rFonts w:ascii="宋体" w:hAnsi="宋体" w:eastAsia="宋体" w:cs="宋体"/>
          <w:spacing w:val="-1"/>
          <w:sz w:val="24"/>
          <w:szCs w:val="24"/>
          <w:highlight w:val="none"/>
        </w:rPr>
        <w:t>应当告知其本人的评审得分与排序。</w:t>
      </w:r>
    </w:p>
    <w:p w14:paraId="2D23BC66">
      <w:pPr>
        <w:spacing w:before="1" w:line="360" w:lineRule="auto"/>
        <w:ind w:left="30" w:firstLine="391"/>
        <w:rPr>
          <w:rFonts w:ascii="宋体" w:hAnsi="宋体" w:eastAsia="宋体" w:cs="宋体"/>
          <w:sz w:val="24"/>
          <w:szCs w:val="24"/>
          <w:highlight w:val="none"/>
        </w:rPr>
      </w:pPr>
      <w:r>
        <w:rPr>
          <w:rFonts w:ascii="宋体" w:hAnsi="宋体" w:eastAsia="宋体" w:cs="宋体"/>
          <w:spacing w:val="3"/>
          <w:sz w:val="24"/>
          <w:szCs w:val="24"/>
          <w:highlight w:val="none"/>
        </w:rPr>
        <w:t>9.2.5 供应商或者其他利害关系人对评审结果有异议的，应当在法律规定的时间</w:t>
      </w:r>
      <w:r>
        <w:rPr>
          <w:rFonts w:ascii="宋体" w:hAnsi="宋体" w:eastAsia="宋体" w:cs="宋体"/>
          <w:spacing w:val="-10"/>
          <w:sz w:val="24"/>
          <w:szCs w:val="24"/>
          <w:highlight w:val="none"/>
        </w:rPr>
        <w:t>内提出。</w:t>
      </w:r>
    </w:p>
    <w:p w14:paraId="78BDEFD7">
      <w:pPr>
        <w:spacing w:before="117" w:line="219" w:lineRule="auto"/>
        <w:ind w:left="2"/>
        <w:rPr>
          <w:rFonts w:ascii="宋体" w:hAnsi="宋体" w:eastAsia="宋体" w:cs="宋体"/>
          <w:sz w:val="24"/>
          <w:szCs w:val="24"/>
          <w:highlight w:val="none"/>
        </w:rPr>
      </w:pPr>
      <w:r>
        <w:rPr>
          <w:rFonts w:ascii="宋体" w:hAnsi="宋体" w:eastAsia="宋体" w:cs="宋体"/>
          <w:b/>
          <w:bCs/>
          <w:spacing w:val="-3"/>
          <w:sz w:val="24"/>
          <w:szCs w:val="24"/>
          <w:highlight w:val="none"/>
        </w:rPr>
        <w:t>9.3</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入围通知书</w:t>
      </w:r>
    </w:p>
    <w:p w14:paraId="212EE054">
      <w:pPr>
        <w:spacing w:before="301" w:line="219" w:lineRule="auto"/>
        <w:ind w:left="482"/>
        <w:rPr>
          <w:rFonts w:ascii="宋体" w:hAnsi="宋体" w:eastAsia="宋体" w:cs="宋体"/>
          <w:sz w:val="24"/>
          <w:szCs w:val="24"/>
          <w:highlight w:val="none"/>
        </w:rPr>
      </w:pPr>
      <w:r>
        <w:rPr>
          <w:rFonts w:ascii="宋体" w:hAnsi="宋体" w:eastAsia="宋体" w:cs="宋体"/>
          <w:sz w:val="24"/>
          <w:szCs w:val="24"/>
          <w:highlight w:val="none"/>
        </w:rPr>
        <w:t>9.3</w:t>
      </w:r>
      <w:r>
        <w:rPr>
          <w:rFonts w:ascii="宋体" w:hAnsi="宋体" w:eastAsia="宋体" w:cs="宋体"/>
          <w:b/>
          <w:bCs/>
          <w:sz w:val="24"/>
          <w:szCs w:val="24"/>
          <w:highlight w:val="none"/>
        </w:rPr>
        <w:t>.</w:t>
      </w:r>
      <w:r>
        <w:rPr>
          <w:rFonts w:ascii="宋体" w:hAnsi="宋体" w:eastAsia="宋体" w:cs="宋体"/>
          <w:sz w:val="24"/>
          <w:szCs w:val="24"/>
          <w:highlight w:val="none"/>
        </w:rPr>
        <w:t>1 入围通知书为签订政府采购合同的依据</w:t>
      </w:r>
      <w:r>
        <w:rPr>
          <w:rFonts w:ascii="宋体" w:hAnsi="宋体" w:eastAsia="宋体" w:cs="宋体"/>
          <w:spacing w:val="-1"/>
          <w:sz w:val="24"/>
          <w:szCs w:val="24"/>
          <w:highlight w:val="none"/>
        </w:rPr>
        <w:t>之一，是合同的有效组成部分。</w:t>
      </w:r>
    </w:p>
    <w:p w14:paraId="3EC5F02C">
      <w:pPr>
        <w:spacing w:before="182" w:line="313" w:lineRule="auto"/>
        <w:ind w:left="4" w:firstLine="478"/>
        <w:rPr>
          <w:rFonts w:ascii="宋体" w:hAnsi="宋体" w:eastAsia="宋体" w:cs="宋体"/>
          <w:sz w:val="24"/>
          <w:szCs w:val="24"/>
          <w:highlight w:val="none"/>
        </w:rPr>
      </w:pPr>
      <w:r>
        <w:rPr>
          <w:rFonts w:ascii="宋体" w:hAnsi="宋体" w:eastAsia="宋体" w:cs="宋体"/>
          <w:spacing w:val="2"/>
          <w:sz w:val="24"/>
          <w:szCs w:val="24"/>
          <w:highlight w:val="none"/>
        </w:rPr>
        <w:t>9.3.2 入围通知书对征集人和成交供应商均具有法律效力。</w:t>
      </w:r>
      <w:r>
        <w:rPr>
          <w:rFonts w:ascii="宋体" w:hAnsi="宋体" w:eastAsia="宋体" w:cs="宋体"/>
          <w:spacing w:val="1"/>
          <w:sz w:val="24"/>
          <w:szCs w:val="24"/>
          <w:highlight w:val="none"/>
        </w:rPr>
        <w:t>入围通知书发出后，</w:t>
      </w:r>
      <w:r>
        <w:rPr>
          <w:rFonts w:ascii="宋体" w:hAnsi="宋体" w:eastAsia="宋体" w:cs="宋体"/>
          <w:spacing w:val="2"/>
          <w:sz w:val="24"/>
          <w:szCs w:val="24"/>
          <w:highlight w:val="none"/>
        </w:rPr>
        <w:t>征集人改变中标结果，或者成交供应商无正当理由放弃中标的，</w:t>
      </w:r>
      <w:r>
        <w:rPr>
          <w:rFonts w:ascii="宋体" w:hAnsi="宋体" w:eastAsia="宋体" w:cs="宋体"/>
          <w:spacing w:val="1"/>
          <w:sz w:val="24"/>
          <w:szCs w:val="24"/>
          <w:highlight w:val="none"/>
        </w:rPr>
        <w:t>应当承担相应的法律</w:t>
      </w:r>
      <w:r>
        <w:rPr>
          <w:rFonts w:ascii="宋体" w:hAnsi="宋体" w:eastAsia="宋体" w:cs="宋体"/>
          <w:spacing w:val="-5"/>
          <w:sz w:val="24"/>
          <w:szCs w:val="24"/>
          <w:highlight w:val="none"/>
        </w:rPr>
        <w:t>责任。</w:t>
      </w:r>
    </w:p>
    <w:p w14:paraId="01AC971E">
      <w:pPr>
        <w:spacing w:before="179" w:line="290" w:lineRule="auto"/>
        <w:ind w:left="1" w:firstLine="480"/>
        <w:rPr>
          <w:rFonts w:ascii="宋体" w:hAnsi="宋体" w:eastAsia="宋体" w:cs="宋体"/>
          <w:sz w:val="24"/>
          <w:szCs w:val="24"/>
          <w:highlight w:val="none"/>
        </w:rPr>
      </w:pPr>
      <w:r>
        <w:rPr>
          <w:rFonts w:ascii="宋体" w:hAnsi="宋体" w:eastAsia="宋体" w:cs="宋体"/>
          <w:spacing w:val="1"/>
          <w:sz w:val="24"/>
          <w:szCs w:val="24"/>
          <w:highlight w:val="none"/>
        </w:rPr>
        <w:t>9.3.3 成交供应商应当在接到采购代理机构通知之日起</w:t>
      </w:r>
      <w:r>
        <w:rPr>
          <w:rFonts w:ascii="宋体" w:hAnsi="宋体" w:eastAsia="宋体" w:cs="宋体"/>
          <w:spacing w:val="-40"/>
          <w:sz w:val="24"/>
          <w:szCs w:val="24"/>
          <w:highlight w:val="none"/>
        </w:rPr>
        <w:t xml:space="preserve"> </w:t>
      </w:r>
      <w:r>
        <w:rPr>
          <w:rFonts w:ascii="宋体" w:hAnsi="宋体" w:eastAsia="宋体" w:cs="宋体"/>
          <w:spacing w:val="1"/>
          <w:sz w:val="24"/>
          <w:szCs w:val="24"/>
          <w:highlight w:val="none"/>
        </w:rPr>
        <w:t>2</w:t>
      </w:r>
      <w:r>
        <w:rPr>
          <w:rFonts w:ascii="宋体" w:hAnsi="宋体" w:eastAsia="宋体" w:cs="宋体"/>
          <w:spacing w:val="-51"/>
          <w:sz w:val="24"/>
          <w:szCs w:val="24"/>
          <w:highlight w:val="none"/>
        </w:rPr>
        <w:t xml:space="preserve"> </w:t>
      </w:r>
      <w:r>
        <w:rPr>
          <w:rFonts w:ascii="宋体" w:hAnsi="宋体" w:eastAsia="宋体" w:cs="宋体"/>
          <w:spacing w:val="1"/>
          <w:sz w:val="24"/>
          <w:szCs w:val="24"/>
          <w:highlight w:val="none"/>
        </w:rPr>
        <w:t>个工作日内领取《入围</w:t>
      </w:r>
      <w:r>
        <w:rPr>
          <w:rFonts w:ascii="宋体" w:hAnsi="宋体" w:eastAsia="宋体" w:cs="宋体"/>
          <w:spacing w:val="-2"/>
          <w:sz w:val="24"/>
          <w:szCs w:val="24"/>
          <w:highlight w:val="none"/>
        </w:rPr>
        <w:t>通知书》。</w:t>
      </w:r>
    </w:p>
    <w:p w14:paraId="0A90C311">
      <w:pPr>
        <w:spacing w:before="181" w:line="324" w:lineRule="auto"/>
        <w:ind w:firstLine="482"/>
        <w:rPr>
          <w:rFonts w:ascii="宋体" w:hAnsi="宋体" w:eastAsia="宋体" w:cs="宋体"/>
          <w:sz w:val="24"/>
          <w:szCs w:val="24"/>
          <w:highlight w:val="none"/>
        </w:rPr>
      </w:pPr>
      <w:r>
        <w:rPr>
          <w:rFonts w:ascii="宋体" w:hAnsi="宋体" w:eastAsia="宋体" w:cs="宋体"/>
          <w:spacing w:val="2"/>
          <w:sz w:val="24"/>
          <w:szCs w:val="24"/>
          <w:highlight w:val="none"/>
        </w:rPr>
        <w:t>9.3.4 在《入围通知书》发出后，发现成交供应商有政府采</w:t>
      </w:r>
      <w:r>
        <w:rPr>
          <w:rFonts w:ascii="宋体" w:hAnsi="宋体" w:eastAsia="宋体" w:cs="宋体"/>
          <w:spacing w:val="1"/>
          <w:sz w:val="24"/>
          <w:szCs w:val="24"/>
          <w:highlight w:val="none"/>
        </w:rPr>
        <w:t>购法律法规规章制度</w:t>
      </w:r>
      <w:r>
        <w:rPr>
          <w:rFonts w:ascii="宋体" w:hAnsi="宋体" w:eastAsia="宋体" w:cs="宋体"/>
          <w:spacing w:val="2"/>
          <w:sz w:val="24"/>
          <w:szCs w:val="24"/>
          <w:highlight w:val="none"/>
        </w:rPr>
        <w:t>规定的中标无效情形的，采购代理机构应当宣布发出的入围通知书无效</w:t>
      </w:r>
      <w:r>
        <w:rPr>
          <w:rFonts w:ascii="宋体" w:hAnsi="宋体" w:eastAsia="宋体" w:cs="宋体"/>
          <w:spacing w:val="1"/>
          <w:sz w:val="24"/>
          <w:szCs w:val="24"/>
          <w:highlight w:val="none"/>
        </w:rPr>
        <w:t>，并收回发出的入围通知书（成交供应商也应当交回</w:t>
      </w:r>
      <w:r>
        <w:rPr>
          <w:rFonts w:ascii="宋体" w:hAnsi="宋体" w:eastAsia="宋体" w:cs="宋体"/>
          <w:spacing w:val="16"/>
          <w:sz w:val="24"/>
          <w:szCs w:val="24"/>
          <w:highlight w:val="none"/>
        </w:rPr>
        <w:t>），</w:t>
      </w:r>
      <w:r>
        <w:rPr>
          <w:rFonts w:ascii="宋体" w:hAnsi="宋体" w:eastAsia="宋体" w:cs="宋体"/>
          <w:spacing w:val="1"/>
          <w:sz w:val="24"/>
          <w:szCs w:val="24"/>
          <w:highlight w:val="none"/>
        </w:rPr>
        <w:t>依法重新确定成交供应商或者重新开展采</w:t>
      </w:r>
      <w:r>
        <w:rPr>
          <w:rFonts w:ascii="宋体" w:hAnsi="宋体" w:eastAsia="宋体" w:cs="宋体"/>
          <w:spacing w:val="-1"/>
          <w:sz w:val="24"/>
          <w:szCs w:val="24"/>
          <w:highlight w:val="none"/>
        </w:rPr>
        <w:t>购活动，同时向同级财政部门报告。</w:t>
      </w:r>
    </w:p>
    <w:p w14:paraId="223EFCE8">
      <w:pPr>
        <w:spacing w:before="182" w:line="290" w:lineRule="auto"/>
        <w:ind w:left="30" w:firstLine="451"/>
        <w:rPr>
          <w:rFonts w:ascii="宋体" w:hAnsi="宋体" w:eastAsia="宋体" w:cs="宋体"/>
          <w:sz w:val="24"/>
          <w:szCs w:val="24"/>
          <w:highlight w:val="none"/>
        </w:rPr>
      </w:pPr>
      <w:r>
        <w:rPr>
          <w:rFonts w:ascii="宋体" w:hAnsi="宋体" w:eastAsia="宋体" w:cs="宋体"/>
          <w:spacing w:val="2"/>
          <w:sz w:val="24"/>
          <w:szCs w:val="24"/>
          <w:highlight w:val="none"/>
        </w:rPr>
        <w:t>9.3.5 入围通知书发出后，征集人不得违法改变中标结果，</w:t>
      </w:r>
      <w:r>
        <w:rPr>
          <w:rFonts w:ascii="宋体" w:hAnsi="宋体" w:eastAsia="宋体" w:cs="宋体"/>
          <w:spacing w:val="1"/>
          <w:sz w:val="24"/>
          <w:szCs w:val="24"/>
          <w:highlight w:val="none"/>
        </w:rPr>
        <w:t>成交供应商无正当理</w:t>
      </w:r>
      <w:r>
        <w:rPr>
          <w:rFonts w:ascii="宋体" w:hAnsi="宋体" w:eastAsia="宋体" w:cs="宋体"/>
          <w:spacing w:val="-5"/>
          <w:sz w:val="24"/>
          <w:szCs w:val="24"/>
          <w:highlight w:val="none"/>
        </w:rPr>
        <w:t>由不得放弃中标。</w:t>
      </w:r>
    </w:p>
    <w:p w14:paraId="6D5FB7D3">
      <w:pPr>
        <w:spacing w:before="48" w:line="219" w:lineRule="auto"/>
        <w:ind w:left="17"/>
        <w:rPr>
          <w:rFonts w:ascii="宋体" w:hAnsi="宋体" w:eastAsia="宋体" w:cs="宋体"/>
          <w:sz w:val="24"/>
          <w:szCs w:val="24"/>
          <w:highlight w:val="none"/>
        </w:rPr>
      </w:pPr>
      <w:r>
        <w:rPr>
          <w:rFonts w:ascii="宋体" w:hAnsi="宋体" w:eastAsia="宋体" w:cs="宋体"/>
          <w:b/>
          <w:bCs/>
          <w:spacing w:val="-4"/>
          <w:sz w:val="24"/>
          <w:szCs w:val="24"/>
          <w:highlight w:val="none"/>
        </w:rPr>
        <w:t>10.</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签订政府采购框架协议</w:t>
      </w:r>
    </w:p>
    <w:p w14:paraId="579AE812">
      <w:pPr>
        <w:spacing w:before="265" w:line="331" w:lineRule="auto"/>
        <w:ind w:firstLine="436"/>
        <w:rPr>
          <w:rFonts w:ascii="宋体" w:hAnsi="宋体" w:eastAsia="宋体" w:cs="宋体"/>
          <w:sz w:val="24"/>
          <w:szCs w:val="24"/>
          <w:highlight w:val="none"/>
        </w:rPr>
      </w:pPr>
      <w:r>
        <w:rPr>
          <w:rFonts w:ascii="宋体" w:hAnsi="宋体" w:eastAsia="宋体" w:cs="宋体"/>
          <w:sz w:val="24"/>
          <w:szCs w:val="24"/>
          <w:highlight w:val="none"/>
        </w:rPr>
        <w:t>10.1 征集人应当自入围通知书发出之日起三十日内，按照征</w:t>
      </w:r>
      <w:r>
        <w:rPr>
          <w:rFonts w:ascii="宋体" w:hAnsi="宋体" w:eastAsia="宋体" w:cs="宋体"/>
          <w:spacing w:val="-1"/>
          <w:sz w:val="24"/>
          <w:szCs w:val="24"/>
          <w:highlight w:val="none"/>
        </w:rPr>
        <w:t>集文件和入围供应商</w:t>
      </w:r>
      <w:r>
        <w:rPr>
          <w:rFonts w:ascii="宋体" w:hAnsi="宋体" w:eastAsia="宋体" w:cs="宋体"/>
          <w:spacing w:val="2"/>
          <w:sz w:val="24"/>
          <w:szCs w:val="24"/>
          <w:highlight w:val="none"/>
        </w:rPr>
        <w:t>响应文件（包括评审中形成的澄清文件）的约定，与入围供应商签订</w:t>
      </w:r>
      <w:r>
        <w:rPr>
          <w:rFonts w:ascii="宋体" w:hAnsi="宋体" w:eastAsia="宋体" w:cs="宋体"/>
          <w:spacing w:val="1"/>
          <w:sz w:val="24"/>
          <w:szCs w:val="24"/>
          <w:highlight w:val="none"/>
        </w:rPr>
        <w:t>框架协议。</w:t>
      </w:r>
      <w:r>
        <w:rPr>
          <w:rFonts w:ascii="宋体" w:hAnsi="宋体" w:eastAsia="宋体" w:cs="宋体"/>
          <w:spacing w:val="5"/>
          <w:sz w:val="24"/>
          <w:szCs w:val="24"/>
          <w:highlight w:val="none"/>
        </w:rPr>
        <w:t>并在框架协议签订后 7 个工作日内，将框架协议副本报本级财政部门备案。</w:t>
      </w:r>
      <w:r>
        <w:rPr>
          <w:rFonts w:ascii="宋体" w:hAnsi="宋体" w:eastAsia="宋体" w:cs="宋体"/>
          <w:spacing w:val="4"/>
          <w:sz w:val="24"/>
          <w:szCs w:val="24"/>
          <w:highlight w:val="none"/>
        </w:rPr>
        <w:t>所签订</w:t>
      </w:r>
      <w:r>
        <w:rPr>
          <w:rFonts w:ascii="宋体" w:hAnsi="宋体" w:eastAsia="宋体" w:cs="宋体"/>
          <w:spacing w:val="2"/>
          <w:sz w:val="24"/>
          <w:szCs w:val="24"/>
          <w:highlight w:val="none"/>
        </w:rPr>
        <w:t>的合同不得对征集文件和入围供应商的响应文件（包括评审中形成的</w:t>
      </w:r>
      <w:r>
        <w:rPr>
          <w:rFonts w:ascii="宋体" w:hAnsi="宋体" w:eastAsia="宋体" w:cs="宋体"/>
          <w:spacing w:val="1"/>
          <w:sz w:val="24"/>
          <w:szCs w:val="24"/>
          <w:highlight w:val="none"/>
        </w:rPr>
        <w:t>澄清文件）作实</w:t>
      </w:r>
      <w:r>
        <w:rPr>
          <w:rFonts w:ascii="宋体" w:hAnsi="宋体" w:eastAsia="宋体" w:cs="宋体"/>
          <w:sz w:val="24"/>
          <w:szCs w:val="24"/>
          <w:highlight w:val="none"/>
        </w:rPr>
        <w:t>质性修改。征集人不得向入围供应商提出任何不合理的</w:t>
      </w:r>
      <w:r>
        <w:rPr>
          <w:rFonts w:ascii="宋体" w:hAnsi="宋体" w:eastAsia="宋体" w:cs="宋体"/>
          <w:spacing w:val="-1"/>
          <w:sz w:val="24"/>
          <w:szCs w:val="24"/>
          <w:highlight w:val="none"/>
        </w:rPr>
        <w:t>要求作为签订合同的条件。</w:t>
      </w:r>
    </w:p>
    <w:p w14:paraId="149B9385">
      <w:pPr>
        <w:spacing w:before="302" w:line="313" w:lineRule="auto"/>
        <w:ind w:firstLine="436"/>
        <w:rPr>
          <w:rFonts w:ascii="宋体" w:hAnsi="宋体" w:eastAsia="宋体" w:cs="宋体"/>
          <w:sz w:val="24"/>
          <w:szCs w:val="24"/>
          <w:highlight w:val="none"/>
        </w:rPr>
      </w:pPr>
      <w:r>
        <w:rPr>
          <w:rFonts w:ascii="宋体" w:hAnsi="宋体" w:eastAsia="宋体" w:cs="宋体"/>
          <w:spacing w:val="1"/>
          <w:sz w:val="24"/>
          <w:szCs w:val="24"/>
          <w:highlight w:val="none"/>
        </w:rPr>
        <w:t>10.2</w:t>
      </w:r>
      <w:r>
        <w:rPr>
          <w:rFonts w:ascii="宋体" w:hAnsi="宋体" w:eastAsia="宋体" w:cs="宋体"/>
          <w:spacing w:val="-47"/>
          <w:sz w:val="24"/>
          <w:szCs w:val="24"/>
          <w:highlight w:val="none"/>
        </w:rPr>
        <w:t xml:space="preserve"> </w:t>
      </w:r>
      <w:r>
        <w:rPr>
          <w:rFonts w:ascii="宋体" w:hAnsi="宋体" w:eastAsia="宋体" w:cs="宋体"/>
          <w:spacing w:val="1"/>
          <w:sz w:val="24"/>
          <w:szCs w:val="24"/>
          <w:highlight w:val="none"/>
        </w:rPr>
        <w:t>入围供应商拒绝与征集人签订合同的，征集人可以按照评审报告推荐的入围</w:t>
      </w:r>
      <w:r>
        <w:rPr>
          <w:rFonts w:ascii="宋体" w:hAnsi="宋体" w:eastAsia="宋体" w:cs="宋体"/>
          <w:spacing w:val="2"/>
          <w:sz w:val="24"/>
          <w:szCs w:val="24"/>
          <w:highlight w:val="none"/>
        </w:rPr>
        <w:t>候选供应商名单排序，确定下一候选供应商为入围供应商，也可以重</w:t>
      </w:r>
      <w:r>
        <w:rPr>
          <w:rFonts w:ascii="宋体" w:hAnsi="宋体" w:eastAsia="宋体" w:cs="宋体"/>
          <w:spacing w:val="1"/>
          <w:sz w:val="24"/>
          <w:szCs w:val="24"/>
          <w:highlight w:val="none"/>
        </w:rPr>
        <w:t>新开展政府采购</w:t>
      </w:r>
      <w:r>
        <w:rPr>
          <w:rFonts w:ascii="宋体" w:hAnsi="宋体" w:eastAsia="宋体" w:cs="宋体"/>
          <w:spacing w:val="-4"/>
          <w:sz w:val="24"/>
          <w:szCs w:val="24"/>
          <w:highlight w:val="none"/>
        </w:rPr>
        <w:t>活动。</w:t>
      </w:r>
    </w:p>
    <w:p w14:paraId="33D9C222">
      <w:pPr>
        <w:spacing w:before="300" w:line="289" w:lineRule="auto"/>
        <w:ind w:right="40" w:firstLine="437"/>
        <w:rPr>
          <w:rFonts w:ascii="宋体" w:hAnsi="宋体" w:eastAsia="宋体" w:cs="宋体"/>
          <w:sz w:val="24"/>
          <w:szCs w:val="24"/>
          <w:highlight w:val="none"/>
        </w:rPr>
      </w:pPr>
      <w:r>
        <w:rPr>
          <w:rFonts w:ascii="宋体" w:hAnsi="宋体" w:eastAsia="宋体" w:cs="宋体"/>
          <w:sz w:val="24"/>
          <w:szCs w:val="24"/>
          <w:highlight w:val="none"/>
        </w:rPr>
        <w:t>10.3</w:t>
      </w:r>
      <w:r>
        <w:rPr>
          <w:rFonts w:ascii="宋体" w:hAnsi="宋体" w:eastAsia="宋体" w:cs="宋体"/>
          <w:spacing w:val="-46"/>
          <w:sz w:val="24"/>
          <w:szCs w:val="24"/>
          <w:highlight w:val="none"/>
        </w:rPr>
        <w:t xml:space="preserve"> </w:t>
      </w:r>
      <w:r>
        <w:rPr>
          <w:rFonts w:ascii="宋体" w:hAnsi="宋体" w:eastAsia="宋体" w:cs="宋体"/>
          <w:sz w:val="24"/>
          <w:szCs w:val="24"/>
          <w:highlight w:val="none"/>
        </w:rPr>
        <w:t>征集文件、入围供应商的响应文件、《入围通知书》及其澄清、说</w:t>
      </w:r>
      <w:r>
        <w:rPr>
          <w:rFonts w:ascii="宋体" w:hAnsi="宋体" w:eastAsia="宋体" w:cs="宋体"/>
          <w:spacing w:val="-1"/>
          <w:sz w:val="24"/>
          <w:szCs w:val="24"/>
          <w:highlight w:val="none"/>
        </w:rPr>
        <w:t>明文件、承诺等，均为签订采购合同的依据，作为采购合同的组成部分。</w:t>
      </w:r>
    </w:p>
    <w:p w14:paraId="01041A30">
      <w:pPr>
        <w:spacing w:before="300" w:line="219" w:lineRule="auto"/>
        <w:ind w:left="17"/>
        <w:rPr>
          <w:rFonts w:ascii="宋体" w:hAnsi="宋体" w:eastAsia="宋体" w:cs="宋体"/>
          <w:sz w:val="24"/>
          <w:szCs w:val="24"/>
          <w:highlight w:val="none"/>
        </w:rPr>
      </w:pPr>
      <w:r>
        <w:rPr>
          <w:rFonts w:ascii="宋体" w:hAnsi="宋体" w:eastAsia="宋体" w:cs="宋体"/>
          <w:b/>
          <w:bCs/>
          <w:spacing w:val="-4"/>
          <w:sz w:val="24"/>
          <w:szCs w:val="24"/>
          <w:highlight w:val="none"/>
        </w:rPr>
        <w:t>11.</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废标或变更采购方式</w:t>
      </w:r>
    </w:p>
    <w:p w14:paraId="01A74F36">
      <w:pPr>
        <w:spacing w:before="303" w:line="221" w:lineRule="auto"/>
        <w:ind w:left="17"/>
        <w:rPr>
          <w:rFonts w:ascii="宋体" w:hAnsi="宋体" w:eastAsia="宋体" w:cs="宋体"/>
          <w:sz w:val="24"/>
          <w:szCs w:val="24"/>
          <w:highlight w:val="none"/>
        </w:rPr>
      </w:pPr>
      <w:r>
        <w:rPr>
          <w:rFonts w:ascii="宋体" w:hAnsi="宋体" w:eastAsia="宋体" w:cs="宋体"/>
          <w:b/>
          <w:bCs/>
          <w:spacing w:val="-6"/>
          <w:sz w:val="24"/>
          <w:szCs w:val="24"/>
          <w:highlight w:val="none"/>
        </w:rPr>
        <w:t>11.1</w:t>
      </w:r>
      <w:r>
        <w:rPr>
          <w:rFonts w:ascii="宋体" w:hAnsi="宋体" w:eastAsia="宋体" w:cs="宋体"/>
          <w:spacing w:val="-50"/>
          <w:sz w:val="24"/>
          <w:szCs w:val="24"/>
          <w:highlight w:val="none"/>
        </w:rPr>
        <w:t xml:space="preserve"> </w:t>
      </w:r>
      <w:r>
        <w:rPr>
          <w:rFonts w:ascii="宋体" w:hAnsi="宋体" w:eastAsia="宋体" w:cs="宋体"/>
          <w:b/>
          <w:bCs/>
          <w:spacing w:val="-6"/>
          <w:sz w:val="24"/>
          <w:szCs w:val="24"/>
          <w:highlight w:val="none"/>
        </w:rPr>
        <w:t>废标的情形</w:t>
      </w:r>
    </w:p>
    <w:p w14:paraId="0B10DF03">
      <w:pPr>
        <w:spacing w:before="301" w:line="219" w:lineRule="auto"/>
        <w:ind w:left="497"/>
        <w:rPr>
          <w:rFonts w:ascii="宋体" w:hAnsi="宋体" w:eastAsia="宋体" w:cs="宋体"/>
          <w:sz w:val="24"/>
          <w:szCs w:val="24"/>
          <w:highlight w:val="none"/>
        </w:rPr>
      </w:pPr>
      <w:r>
        <w:rPr>
          <w:rFonts w:ascii="宋体" w:hAnsi="宋体" w:eastAsia="宋体" w:cs="宋体"/>
          <w:spacing w:val="-1"/>
          <w:sz w:val="24"/>
          <w:szCs w:val="24"/>
          <w:highlight w:val="none"/>
        </w:rPr>
        <w:t>1.1.1 招标采购中，出现下列情形之一的，应予以废标：</w:t>
      </w:r>
    </w:p>
    <w:p w14:paraId="21E4DFD5">
      <w:pPr>
        <w:spacing w:before="181" w:line="219" w:lineRule="auto"/>
        <w:ind w:left="537"/>
        <w:rPr>
          <w:rFonts w:ascii="宋体" w:hAnsi="宋体" w:eastAsia="宋体" w:cs="宋体"/>
          <w:sz w:val="24"/>
          <w:szCs w:val="24"/>
          <w:highlight w:val="none"/>
        </w:rPr>
      </w:pPr>
      <w:r>
        <w:rPr>
          <w:rFonts w:ascii="宋体" w:hAnsi="宋体" w:eastAsia="宋体" w:cs="宋体"/>
          <w:spacing w:val="-1"/>
          <w:sz w:val="24"/>
          <w:szCs w:val="24"/>
          <w:highlight w:val="none"/>
        </w:rPr>
        <w:t>（1）符合专业条件的供应商或者对征集文件作实</w:t>
      </w:r>
      <w:r>
        <w:rPr>
          <w:rFonts w:ascii="宋体" w:hAnsi="宋体" w:eastAsia="宋体" w:cs="宋体"/>
          <w:spacing w:val="-2"/>
          <w:sz w:val="24"/>
          <w:szCs w:val="24"/>
          <w:highlight w:val="none"/>
        </w:rPr>
        <w:t>质响应的供应商不足</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3</w:t>
      </w:r>
      <w:r>
        <w:rPr>
          <w:rFonts w:ascii="宋体" w:hAnsi="宋体" w:eastAsia="宋体" w:cs="宋体"/>
          <w:spacing w:val="-48"/>
          <w:sz w:val="24"/>
          <w:szCs w:val="24"/>
          <w:highlight w:val="none"/>
        </w:rPr>
        <w:t xml:space="preserve"> </w:t>
      </w:r>
      <w:r>
        <w:rPr>
          <w:rFonts w:ascii="宋体" w:hAnsi="宋体" w:eastAsia="宋体" w:cs="宋体"/>
          <w:spacing w:val="-2"/>
          <w:sz w:val="24"/>
          <w:szCs w:val="24"/>
          <w:highlight w:val="none"/>
        </w:rPr>
        <w:t>家的；</w:t>
      </w:r>
    </w:p>
    <w:p w14:paraId="2943580C">
      <w:pPr>
        <w:spacing w:before="184" w:line="219" w:lineRule="auto"/>
        <w:ind w:left="537"/>
        <w:rPr>
          <w:rFonts w:ascii="宋体" w:hAnsi="宋体" w:eastAsia="宋体" w:cs="宋体"/>
          <w:sz w:val="24"/>
          <w:szCs w:val="24"/>
          <w:highlight w:val="none"/>
        </w:rPr>
      </w:pPr>
      <w:r>
        <w:rPr>
          <w:rFonts w:ascii="宋体" w:hAnsi="宋体" w:eastAsia="宋体" w:cs="宋体"/>
          <w:spacing w:val="-1"/>
          <w:sz w:val="24"/>
          <w:szCs w:val="24"/>
          <w:highlight w:val="none"/>
        </w:rPr>
        <w:t>（2）出现影响采购公正的违法、违规行为的；</w:t>
      </w:r>
    </w:p>
    <w:p w14:paraId="187F71AF">
      <w:pPr>
        <w:spacing w:before="180" w:line="219" w:lineRule="auto"/>
        <w:ind w:left="537"/>
        <w:rPr>
          <w:rFonts w:ascii="宋体" w:hAnsi="宋体" w:eastAsia="宋体" w:cs="宋体"/>
          <w:sz w:val="24"/>
          <w:szCs w:val="24"/>
          <w:highlight w:val="none"/>
        </w:rPr>
      </w:pPr>
      <w:r>
        <w:rPr>
          <w:rFonts w:ascii="宋体" w:hAnsi="宋体" w:eastAsia="宋体" w:cs="宋体"/>
          <w:spacing w:val="-1"/>
          <w:sz w:val="24"/>
          <w:szCs w:val="24"/>
          <w:highlight w:val="none"/>
        </w:rPr>
        <w:t>（3）供应商的报价均超过了采购预算或最高限价，征集人不能支付的；</w:t>
      </w:r>
    </w:p>
    <w:p w14:paraId="7E7FC2BF">
      <w:pPr>
        <w:spacing w:before="184" w:line="219" w:lineRule="auto"/>
        <w:ind w:left="537"/>
        <w:rPr>
          <w:rFonts w:ascii="宋体" w:hAnsi="宋体" w:eastAsia="宋体" w:cs="宋体"/>
          <w:sz w:val="24"/>
          <w:szCs w:val="24"/>
          <w:highlight w:val="none"/>
        </w:rPr>
      </w:pPr>
      <w:r>
        <w:rPr>
          <w:rFonts w:ascii="宋体" w:hAnsi="宋体" w:eastAsia="宋体" w:cs="宋体"/>
          <w:spacing w:val="-2"/>
          <w:sz w:val="24"/>
          <w:szCs w:val="24"/>
          <w:highlight w:val="none"/>
        </w:rPr>
        <w:t>（4）因重大变故，采购任务取消的。</w:t>
      </w:r>
    </w:p>
    <w:p w14:paraId="7BD5DBA9">
      <w:pPr>
        <w:spacing w:before="181" w:line="219" w:lineRule="auto"/>
        <w:ind w:left="543"/>
        <w:rPr>
          <w:rFonts w:ascii="宋体" w:hAnsi="宋体" w:eastAsia="宋体" w:cs="宋体"/>
          <w:sz w:val="24"/>
          <w:szCs w:val="24"/>
          <w:highlight w:val="none"/>
        </w:rPr>
      </w:pPr>
      <w:r>
        <w:rPr>
          <w:rFonts w:ascii="宋体" w:hAnsi="宋体" w:eastAsia="宋体" w:cs="宋体"/>
          <w:spacing w:val="-1"/>
          <w:sz w:val="24"/>
          <w:szCs w:val="24"/>
          <w:highlight w:val="none"/>
        </w:rPr>
        <w:t>11.1.2 废标后，征集人、采购代理机构应当将废标理由通知所有供应商。</w:t>
      </w:r>
    </w:p>
    <w:p w14:paraId="208D9E14">
      <w:pPr>
        <w:spacing w:before="184" w:line="331" w:lineRule="auto"/>
        <w:ind w:left="1" w:firstLine="541"/>
        <w:rPr>
          <w:rFonts w:ascii="宋体" w:hAnsi="宋体" w:eastAsia="宋体" w:cs="宋体"/>
          <w:sz w:val="24"/>
          <w:szCs w:val="24"/>
          <w:highlight w:val="none"/>
        </w:rPr>
      </w:pPr>
      <w:r>
        <w:rPr>
          <w:rFonts w:ascii="宋体" w:hAnsi="宋体" w:eastAsia="宋体" w:cs="宋体"/>
          <w:spacing w:val="2"/>
          <w:sz w:val="24"/>
          <w:szCs w:val="24"/>
          <w:highlight w:val="none"/>
        </w:rPr>
        <w:t>11.1.3</w:t>
      </w:r>
      <w:r>
        <w:rPr>
          <w:rFonts w:ascii="宋体" w:hAnsi="宋体" w:eastAsia="宋体" w:cs="宋体"/>
          <w:spacing w:val="51"/>
          <w:sz w:val="24"/>
          <w:szCs w:val="24"/>
          <w:highlight w:val="none"/>
        </w:rPr>
        <w:t xml:space="preserve"> </w:t>
      </w:r>
      <w:r>
        <w:rPr>
          <w:rFonts w:ascii="宋体" w:hAnsi="宋体" w:eastAsia="宋体" w:cs="宋体"/>
          <w:spacing w:val="2"/>
          <w:sz w:val="24"/>
          <w:szCs w:val="24"/>
          <w:highlight w:val="none"/>
        </w:rPr>
        <w:t>因重大变故，采购任务取消终止招标的，征集人、采购代理机构应当及</w:t>
      </w:r>
      <w:r>
        <w:rPr>
          <w:rFonts w:ascii="宋体" w:hAnsi="宋体" w:eastAsia="宋体" w:cs="宋体"/>
          <w:spacing w:val="8"/>
          <w:sz w:val="24"/>
          <w:szCs w:val="24"/>
          <w:highlight w:val="none"/>
        </w:rPr>
        <w:t>时在原公告发布媒体上发布终止公告，以书面形式通知已经获取征集文件</w:t>
      </w:r>
      <w:r>
        <w:rPr>
          <w:rFonts w:ascii="宋体" w:hAnsi="宋体" w:eastAsia="宋体" w:cs="宋体"/>
          <w:b/>
          <w:bCs/>
          <w:spacing w:val="8"/>
          <w:sz w:val="24"/>
          <w:szCs w:val="24"/>
          <w:highlight w:val="none"/>
        </w:rPr>
        <w:t>潜在供应</w:t>
      </w:r>
      <w:r>
        <w:rPr>
          <w:rFonts w:ascii="宋体" w:hAnsi="宋体" w:eastAsia="宋体" w:cs="宋体"/>
          <w:b/>
          <w:bCs/>
          <w:spacing w:val="2"/>
          <w:sz w:val="24"/>
          <w:szCs w:val="24"/>
          <w:highlight w:val="none"/>
        </w:rPr>
        <w:t>商</w:t>
      </w:r>
      <w:r>
        <w:rPr>
          <w:rFonts w:ascii="宋体" w:hAnsi="宋体" w:eastAsia="宋体" w:cs="宋体"/>
          <w:spacing w:val="2"/>
          <w:sz w:val="24"/>
          <w:szCs w:val="24"/>
          <w:highlight w:val="none"/>
        </w:rPr>
        <w:t>，并将项目实施情况和采购任务取消原因报告本级财政部门</w:t>
      </w:r>
      <w:r>
        <w:rPr>
          <w:rFonts w:ascii="宋体" w:hAnsi="宋体" w:eastAsia="宋体" w:cs="宋体"/>
          <w:spacing w:val="1"/>
          <w:sz w:val="24"/>
          <w:szCs w:val="24"/>
          <w:highlight w:val="none"/>
        </w:rPr>
        <w:t>。已经收取征集文件费</w:t>
      </w:r>
      <w:r>
        <w:rPr>
          <w:rFonts w:ascii="宋体" w:hAnsi="宋体" w:eastAsia="宋体" w:cs="宋体"/>
          <w:spacing w:val="7"/>
          <w:sz w:val="24"/>
          <w:szCs w:val="24"/>
          <w:highlight w:val="none"/>
        </w:rPr>
        <w:t>用或者申请保证金的，征集人或者采购代理机构应当在终止采购活动后</w:t>
      </w:r>
      <w:r>
        <w:rPr>
          <w:rFonts w:ascii="宋体" w:hAnsi="宋体" w:eastAsia="宋体" w:cs="宋体"/>
          <w:spacing w:val="-25"/>
          <w:sz w:val="24"/>
          <w:szCs w:val="24"/>
          <w:highlight w:val="none"/>
        </w:rPr>
        <w:t xml:space="preserve"> </w:t>
      </w:r>
      <w:r>
        <w:rPr>
          <w:rFonts w:ascii="宋体" w:hAnsi="宋体" w:eastAsia="宋体" w:cs="宋体"/>
          <w:spacing w:val="7"/>
          <w:sz w:val="24"/>
          <w:szCs w:val="24"/>
          <w:highlight w:val="none"/>
        </w:rPr>
        <w:t>5</w:t>
      </w:r>
      <w:r>
        <w:rPr>
          <w:rFonts w:ascii="宋体" w:hAnsi="宋体" w:eastAsia="宋体" w:cs="宋体"/>
          <w:spacing w:val="-43"/>
          <w:sz w:val="24"/>
          <w:szCs w:val="24"/>
          <w:highlight w:val="none"/>
        </w:rPr>
        <w:t xml:space="preserve"> </w:t>
      </w:r>
      <w:r>
        <w:rPr>
          <w:rFonts w:ascii="宋体" w:hAnsi="宋体" w:eastAsia="宋体" w:cs="宋体"/>
          <w:spacing w:val="7"/>
          <w:sz w:val="24"/>
          <w:szCs w:val="24"/>
          <w:highlight w:val="none"/>
        </w:rPr>
        <w:t>个工作日</w:t>
      </w:r>
      <w:r>
        <w:rPr>
          <w:rFonts w:ascii="宋体" w:hAnsi="宋体" w:eastAsia="宋体" w:cs="宋体"/>
          <w:spacing w:val="-1"/>
          <w:sz w:val="24"/>
          <w:szCs w:val="24"/>
          <w:highlight w:val="none"/>
        </w:rPr>
        <w:t>内，退还所收取的征集文件费用和所收取的申请保证金。</w:t>
      </w:r>
    </w:p>
    <w:p w14:paraId="09908B32">
      <w:pPr>
        <w:pStyle w:val="5"/>
        <w:spacing w:line="341" w:lineRule="auto"/>
        <w:rPr>
          <w:highlight w:val="none"/>
        </w:rPr>
      </w:pPr>
    </w:p>
    <w:p w14:paraId="3C94955A">
      <w:pPr>
        <w:spacing w:before="79" w:line="221" w:lineRule="auto"/>
        <w:ind w:left="17"/>
        <w:rPr>
          <w:rFonts w:ascii="宋体" w:hAnsi="宋体" w:eastAsia="宋体" w:cs="宋体"/>
          <w:sz w:val="24"/>
          <w:szCs w:val="24"/>
          <w:highlight w:val="none"/>
        </w:rPr>
      </w:pPr>
      <w:r>
        <w:rPr>
          <w:rFonts w:ascii="宋体" w:hAnsi="宋体" w:eastAsia="宋体" w:cs="宋体"/>
          <w:b/>
          <w:bCs/>
          <w:spacing w:val="-6"/>
          <w:sz w:val="24"/>
          <w:szCs w:val="24"/>
          <w:highlight w:val="none"/>
        </w:rPr>
        <w:t>12.质疑与投诉</w:t>
      </w:r>
    </w:p>
    <w:p w14:paraId="745D1723">
      <w:pPr>
        <w:spacing w:before="298" w:line="221" w:lineRule="auto"/>
        <w:ind w:left="17"/>
        <w:rPr>
          <w:rFonts w:ascii="宋体" w:hAnsi="宋体" w:eastAsia="宋体" w:cs="宋体"/>
          <w:sz w:val="24"/>
          <w:szCs w:val="24"/>
          <w:highlight w:val="none"/>
        </w:rPr>
      </w:pPr>
      <w:r>
        <w:rPr>
          <w:rFonts w:ascii="宋体" w:hAnsi="宋体" w:eastAsia="宋体" w:cs="宋体"/>
          <w:b/>
          <w:bCs/>
          <w:spacing w:val="-8"/>
          <w:sz w:val="24"/>
          <w:szCs w:val="24"/>
          <w:highlight w:val="none"/>
        </w:rPr>
        <w:t>12.1</w:t>
      </w:r>
      <w:r>
        <w:rPr>
          <w:rFonts w:ascii="宋体" w:hAnsi="宋体" w:eastAsia="宋体" w:cs="宋体"/>
          <w:spacing w:val="-53"/>
          <w:sz w:val="24"/>
          <w:szCs w:val="24"/>
          <w:highlight w:val="none"/>
        </w:rPr>
        <w:t xml:space="preserve"> </w:t>
      </w:r>
      <w:r>
        <w:rPr>
          <w:rFonts w:ascii="宋体" w:hAnsi="宋体" w:eastAsia="宋体" w:cs="宋体"/>
          <w:b/>
          <w:bCs/>
          <w:spacing w:val="-8"/>
          <w:sz w:val="24"/>
          <w:szCs w:val="24"/>
          <w:highlight w:val="none"/>
        </w:rPr>
        <w:t>质疑</w:t>
      </w:r>
    </w:p>
    <w:p w14:paraId="529727E1">
      <w:pPr>
        <w:spacing w:before="46" w:line="313" w:lineRule="auto"/>
        <w:ind w:firstLine="497"/>
        <w:rPr>
          <w:rFonts w:ascii="宋体" w:hAnsi="宋体" w:eastAsia="宋体" w:cs="宋体"/>
          <w:spacing w:val="-2"/>
          <w:sz w:val="24"/>
          <w:szCs w:val="24"/>
          <w:highlight w:val="none"/>
        </w:rPr>
      </w:pPr>
      <w:r>
        <w:rPr>
          <w:rFonts w:ascii="宋体" w:hAnsi="宋体" w:eastAsia="宋体" w:cs="宋体"/>
          <w:spacing w:val="4"/>
          <w:sz w:val="24"/>
          <w:szCs w:val="24"/>
          <w:highlight w:val="none"/>
        </w:rPr>
        <w:t>12.1.1 如供应商对本次采购活动有疑问，认为需要提出质疑和投诉的，应当按</w:t>
      </w:r>
      <w:r>
        <w:rPr>
          <w:rFonts w:ascii="宋体" w:hAnsi="宋体" w:eastAsia="宋体" w:cs="宋体"/>
          <w:spacing w:val="-1"/>
          <w:sz w:val="24"/>
          <w:szCs w:val="24"/>
          <w:highlight w:val="none"/>
        </w:rPr>
        <w:t>照《政府采购质疑投诉办法》（财政部</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94</w:t>
      </w:r>
      <w:r>
        <w:rPr>
          <w:rFonts w:ascii="宋体" w:hAnsi="宋体" w:eastAsia="宋体" w:cs="宋体"/>
          <w:spacing w:val="-45"/>
          <w:sz w:val="24"/>
          <w:szCs w:val="24"/>
          <w:highlight w:val="none"/>
        </w:rPr>
        <w:t xml:space="preserve"> </w:t>
      </w:r>
      <w:r>
        <w:rPr>
          <w:rFonts w:ascii="宋体" w:hAnsi="宋体" w:eastAsia="宋体" w:cs="宋体"/>
          <w:spacing w:val="-1"/>
          <w:sz w:val="24"/>
          <w:szCs w:val="24"/>
          <w:highlight w:val="none"/>
        </w:rPr>
        <w:t>号令）的</w:t>
      </w:r>
      <w:r>
        <w:rPr>
          <w:rFonts w:ascii="宋体" w:hAnsi="宋体" w:eastAsia="宋体" w:cs="宋体"/>
          <w:spacing w:val="-2"/>
          <w:sz w:val="24"/>
          <w:szCs w:val="24"/>
          <w:highlight w:val="none"/>
        </w:rPr>
        <w:t>有关规定办理。</w:t>
      </w:r>
    </w:p>
    <w:p w14:paraId="60F79AC0">
      <w:pPr>
        <w:spacing w:before="46" w:line="313" w:lineRule="auto"/>
        <w:ind w:firstLine="497"/>
        <w:rPr>
          <w:rFonts w:ascii="宋体" w:hAnsi="宋体" w:eastAsia="宋体" w:cs="宋体"/>
          <w:sz w:val="24"/>
          <w:szCs w:val="24"/>
          <w:highlight w:val="none"/>
        </w:rPr>
      </w:pPr>
      <w:r>
        <w:rPr>
          <w:rFonts w:ascii="宋体" w:hAnsi="宋体" w:eastAsia="宋体" w:cs="宋体"/>
          <w:spacing w:val="5"/>
          <w:sz w:val="24"/>
          <w:szCs w:val="24"/>
          <w:highlight w:val="none"/>
        </w:rPr>
        <w:t>12.1.2 供应商对采购文件、采购过</w:t>
      </w:r>
      <w:r>
        <w:rPr>
          <w:rFonts w:ascii="宋体" w:hAnsi="宋体" w:eastAsia="宋体" w:cs="宋体"/>
          <w:spacing w:val="4"/>
          <w:sz w:val="24"/>
          <w:szCs w:val="24"/>
          <w:highlight w:val="none"/>
        </w:rPr>
        <w:t>程或中标结果使自身的合法权益受到损害，</w:t>
      </w:r>
      <w:r>
        <w:rPr>
          <w:rFonts w:ascii="宋体" w:hAnsi="宋体" w:eastAsia="宋体" w:cs="宋体"/>
          <w:spacing w:val="2"/>
          <w:sz w:val="24"/>
          <w:szCs w:val="24"/>
          <w:highlight w:val="none"/>
        </w:rPr>
        <w:t>应当在法定期限内，按照质疑函范本格式要求以书面形式向采购代理机</w:t>
      </w:r>
      <w:r>
        <w:rPr>
          <w:rFonts w:ascii="宋体" w:hAnsi="宋体" w:eastAsia="宋体" w:cs="宋体"/>
          <w:spacing w:val="1"/>
          <w:sz w:val="24"/>
          <w:szCs w:val="24"/>
          <w:highlight w:val="none"/>
        </w:rPr>
        <w:t>构或征集人提</w:t>
      </w:r>
      <w:r>
        <w:rPr>
          <w:rFonts w:ascii="宋体" w:hAnsi="宋体" w:eastAsia="宋体" w:cs="宋体"/>
          <w:spacing w:val="-1"/>
          <w:sz w:val="24"/>
          <w:szCs w:val="24"/>
          <w:highlight w:val="none"/>
        </w:rPr>
        <w:t>出质疑，并附必要的证明材料。</w:t>
      </w:r>
    </w:p>
    <w:p w14:paraId="2015E4F3">
      <w:pPr>
        <w:spacing w:before="182" w:line="220" w:lineRule="auto"/>
        <w:ind w:left="497"/>
        <w:rPr>
          <w:rFonts w:ascii="宋体" w:hAnsi="宋体" w:eastAsia="宋体" w:cs="宋体"/>
          <w:sz w:val="24"/>
          <w:szCs w:val="24"/>
          <w:highlight w:val="none"/>
        </w:rPr>
      </w:pPr>
      <w:r>
        <w:rPr>
          <w:rFonts w:ascii="宋体" w:hAnsi="宋体" w:eastAsia="宋体" w:cs="宋体"/>
          <w:spacing w:val="-2"/>
          <w:sz w:val="24"/>
          <w:szCs w:val="24"/>
          <w:highlight w:val="none"/>
        </w:rPr>
        <w:t>12.1.3 质疑函应当包括下列内容：</w:t>
      </w:r>
    </w:p>
    <w:p w14:paraId="5BEFA766">
      <w:pPr>
        <w:spacing w:before="179" w:line="219" w:lineRule="auto"/>
        <w:ind w:left="491"/>
        <w:rPr>
          <w:rFonts w:ascii="宋体" w:hAnsi="宋体" w:eastAsia="宋体" w:cs="宋体"/>
          <w:sz w:val="24"/>
          <w:szCs w:val="24"/>
          <w:highlight w:val="none"/>
        </w:rPr>
      </w:pPr>
      <w:r>
        <w:rPr>
          <w:rFonts w:ascii="宋体" w:hAnsi="宋体" w:eastAsia="宋体" w:cs="宋体"/>
          <w:spacing w:val="-1"/>
          <w:sz w:val="24"/>
          <w:szCs w:val="24"/>
          <w:highlight w:val="none"/>
        </w:rPr>
        <w:t>（1）供应商的姓名或者名称、地址、邮编、联系人及联系电话；</w:t>
      </w:r>
    </w:p>
    <w:p w14:paraId="7E734D2E">
      <w:pPr>
        <w:spacing w:before="183" w:line="220"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（2）质疑项目的名称、编号；</w:t>
      </w:r>
    </w:p>
    <w:p w14:paraId="1A04A309">
      <w:pPr>
        <w:spacing w:before="179" w:line="220" w:lineRule="auto"/>
        <w:ind w:left="491"/>
        <w:rPr>
          <w:rFonts w:ascii="宋体" w:hAnsi="宋体" w:eastAsia="宋体" w:cs="宋体"/>
          <w:sz w:val="24"/>
          <w:szCs w:val="24"/>
          <w:highlight w:val="none"/>
        </w:rPr>
      </w:pPr>
      <w:r>
        <w:rPr>
          <w:rFonts w:ascii="宋体" w:hAnsi="宋体" w:eastAsia="宋体" w:cs="宋体"/>
          <w:spacing w:val="-1"/>
          <w:sz w:val="24"/>
          <w:szCs w:val="24"/>
          <w:highlight w:val="none"/>
        </w:rPr>
        <w:t>（3）具体、明确的质疑事项和与质疑事项相关的请求；</w:t>
      </w:r>
    </w:p>
    <w:p w14:paraId="74A176AB">
      <w:pPr>
        <w:spacing w:before="183" w:line="219" w:lineRule="auto"/>
        <w:ind w:left="491"/>
        <w:rPr>
          <w:rFonts w:ascii="宋体" w:hAnsi="宋体" w:eastAsia="宋体" w:cs="宋体"/>
          <w:sz w:val="24"/>
          <w:szCs w:val="24"/>
          <w:highlight w:val="none"/>
        </w:rPr>
      </w:pPr>
      <w:r>
        <w:rPr>
          <w:rFonts w:ascii="宋体" w:hAnsi="宋体" w:eastAsia="宋体" w:cs="宋体"/>
          <w:spacing w:val="-3"/>
          <w:sz w:val="24"/>
          <w:szCs w:val="24"/>
          <w:highlight w:val="none"/>
        </w:rPr>
        <w:t>（4）事实依据；</w:t>
      </w:r>
    </w:p>
    <w:p w14:paraId="4EBD331D">
      <w:pPr>
        <w:spacing w:before="183" w:line="219"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（5）必要的法律依据；</w:t>
      </w:r>
    </w:p>
    <w:p w14:paraId="5AEAC89B">
      <w:pPr>
        <w:spacing w:before="180" w:line="221"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（6）提出质疑的日期。</w:t>
      </w:r>
    </w:p>
    <w:p w14:paraId="5EA9F2FE">
      <w:pPr>
        <w:spacing w:before="179" w:line="360" w:lineRule="auto"/>
        <w:ind w:left="5" w:firstLine="474"/>
        <w:rPr>
          <w:rFonts w:ascii="宋体" w:hAnsi="宋体" w:eastAsia="宋体" w:cs="宋体"/>
          <w:sz w:val="24"/>
          <w:szCs w:val="24"/>
          <w:highlight w:val="none"/>
        </w:rPr>
      </w:pPr>
      <w:r>
        <w:rPr>
          <w:rFonts w:ascii="宋体" w:hAnsi="宋体" w:eastAsia="宋体" w:cs="宋体"/>
          <w:spacing w:val="2"/>
          <w:sz w:val="24"/>
          <w:szCs w:val="24"/>
          <w:highlight w:val="none"/>
        </w:rPr>
        <w:t>供应商为自然人的，应当由本人签名；供应商为法人或者其他组织的，应当</w:t>
      </w:r>
      <w:r>
        <w:rPr>
          <w:rFonts w:ascii="宋体" w:hAnsi="宋体" w:eastAsia="宋体" w:cs="宋体"/>
          <w:spacing w:val="1"/>
          <w:sz w:val="24"/>
          <w:szCs w:val="24"/>
          <w:highlight w:val="none"/>
        </w:rPr>
        <w:t>由法</w:t>
      </w:r>
      <w:r>
        <w:rPr>
          <w:rFonts w:ascii="宋体" w:hAnsi="宋体" w:eastAsia="宋体" w:cs="宋体"/>
          <w:spacing w:val="-1"/>
          <w:sz w:val="24"/>
          <w:szCs w:val="24"/>
          <w:highlight w:val="none"/>
        </w:rPr>
        <w:t>定代表人、主要负责人，或者其授权代表签名或者盖章，并加盖单位章。</w:t>
      </w:r>
    </w:p>
    <w:p w14:paraId="73440270">
      <w:pPr>
        <w:spacing w:before="2" w:line="312" w:lineRule="auto"/>
        <w:ind w:firstLine="496"/>
        <w:rPr>
          <w:rFonts w:ascii="宋体" w:hAnsi="宋体" w:eastAsia="宋体" w:cs="宋体"/>
          <w:sz w:val="24"/>
          <w:szCs w:val="24"/>
          <w:highlight w:val="none"/>
        </w:rPr>
      </w:pPr>
      <w:r>
        <w:rPr>
          <w:rFonts w:ascii="宋体" w:hAnsi="宋体" w:eastAsia="宋体" w:cs="宋体"/>
          <w:spacing w:val="-1"/>
          <w:sz w:val="24"/>
          <w:szCs w:val="24"/>
          <w:highlight w:val="none"/>
        </w:rPr>
        <w:t>12.1.4</w:t>
      </w:r>
      <w:r>
        <w:rPr>
          <w:rFonts w:ascii="宋体" w:hAnsi="宋体" w:eastAsia="宋体" w:cs="宋体"/>
          <w:spacing w:val="-31"/>
          <w:sz w:val="24"/>
          <w:szCs w:val="24"/>
          <w:highlight w:val="none"/>
        </w:rPr>
        <w:t xml:space="preserve"> </w:t>
      </w:r>
      <w:r>
        <w:rPr>
          <w:rFonts w:ascii="宋体" w:hAnsi="宋体" w:eastAsia="宋体" w:cs="宋体"/>
          <w:spacing w:val="-1"/>
          <w:sz w:val="24"/>
          <w:szCs w:val="24"/>
          <w:highlight w:val="none"/>
        </w:rPr>
        <w:t>质疑人可以委托代理人办理质疑事项，代理人办理质疑事项时，除提交质</w:t>
      </w:r>
      <w:r>
        <w:rPr>
          <w:rFonts w:ascii="宋体" w:hAnsi="宋体" w:eastAsia="宋体" w:cs="宋体"/>
          <w:spacing w:val="2"/>
          <w:sz w:val="24"/>
          <w:szCs w:val="24"/>
          <w:highlight w:val="none"/>
        </w:rPr>
        <w:t>疑函外，还应当提交质疑人的授权委托书及代理人的有效身份证明，</w:t>
      </w:r>
      <w:r>
        <w:rPr>
          <w:rFonts w:ascii="宋体" w:hAnsi="宋体" w:eastAsia="宋体" w:cs="宋体"/>
          <w:spacing w:val="1"/>
          <w:sz w:val="24"/>
          <w:szCs w:val="24"/>
          <w:highlight w:val="none"/>
        </w:rPr>
        <w:t>授权委托书应当</w:t>
      </w:r>
      <w:r>
        <w:rPr>
          <w:rFonts w:ascii="宋体" w:hAnsi="宋体" w:eastAsia="宋体" w:cs="宋体"/>
          <w:spacing w:val="-1"/>
          <w:sz w:val="24"/>
          <w:szCs w:val="24"/>
          <w:highlight w:val="none"/>
        </w:rPr>
        <w:t>载明委托代理的具体权限期限和相关事项。</w:t>
      </w:r>
    </w:p>
    <w:p w14:paraId="21D35FDB">
      <w:pPr>
        <w:spacing w:before="181" w:line="290" w:lineRule="auto"/>
        <w:ind w:left="7" w:firstLine="490"/>
        <w:rPr>
          <w:rFonts w:ascii="宋体" w:hAnsi="宋体" w:eastAsia="宋体" w:cs="宋体"/>
          <w:sz w:val="24"/>
          <w:szCs w:val="24"/>
          <w:highlight w:val="none"/>
        </w:rPr>
      </w:pPr>
      <w:r>
        <w:rPr>
          <w:rFonts w:ascii="宋体" w:hAnsi="宋体" w:eastAsia="宋体" w:cs="宋体"/>
          <w:sz w:val="24"/>
          <w:szCs w:val="24"/>
          <w:highlight w:val="none"/>
        </w:rPr>
        <w:t>12.1.5 质疑函范本格式在中国政府采购网站（</w:t>
      </w:r>
      <w:r>
        <w:rPr>
          <w:highlight w:val="none"/>
        </w:rPr>
        <w:fldChar w:fldCharType="begin"/>
      </w:r>
      <w:r>
        <w:rPr>
          <w:highlight w:val="none"/>
        </w:rPr>
        <w:instrText xml:space="preserve"> HYPERLINK "http://www.ccgp.gov.cn/" </w:instrText>
      </w:r>
      <w:r>
        <w:rPr>
          <w:highlight w:val="none"/>
        </w:rPr>
        <w:fldChar w:fldCharType="separate"/>
      </w:r>
      <w:r>
        <w:rPr>
          <w:rFonts w:ascii="宋体" w:hAnsi="宋体" w:eastAsia="宋体" w:cs="宋体"/>
          <w:sz w:val="24"/>
          <w:szCs w:val="24"/>
          <w:highlight w:val="none"/>
        </w:rPr>
        <w:t>http://www.ccgp.go</w:t>
      </w:r>
      <w:r>
        <w:rPr>
          <w:rFonts w:ascii="宋体" w:hAnsi="宋体" w:eastAsia="宋体" w:cs="宋体"/>
          <w:spacing w:val="-1"/>
          <w:sz w:val="24"/>
          <w:szCs w:val="24"/>
          <w:highlight w:val="none"/>
        </w:rPr>
        <w:t>v.cn/</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r>
        <w:rPr>
          <w:rFonts w:ascii="宋体" w:hAnsi="宋体" w:eastAsia="宋体" w:cs="宋体"/>
          <w:spacing w:val="-61"/>
          <w:sz w:val="24"/>
          <w:szCs w:val="24"/>
          <w:highlight w:val="none"/>
        </w:rPr>
        <w:t xml:space="preserve"> </w:t>
      </w:r>
      <w:r>
        <w:rPr>
          <w:rFonts w:ascii="宋体" w:hAnsi="宋体" w:eastAsia="宋体" w:cs="宋体"/>
          <w:spacing w:val="-1"/>
          <w:sz w:val="24"/>
          <w:szCs w:val="24"/>
          <w:highlight w:val="none"/>
        </w:rPr>
        <w:t>自行</w:t>
      </w:r>
      <w:r>
        <w:rPr>
          <w:rFonts w:ascii="宋体" w:hAnsi="宋体" w:eastAsia="宋体" w:cs="宋体"/>
          <w:spacing w:val="-6"/>
          <w:sz w:val="24"/>
          <w:szCs w:val="24"/>
          <w:highlight w:val="none"/>
        </w:rPr>
        <w:t>下载。</w:t>
      </w:r>
    </w:p>
    <w:p w14:paraId="470A0D11">
      <w:pPr>
        <w:spacing w:before="178" w:line="219" w:lineRule="auto"/>
        <w:ind w:left="497"/>
        <w:rPr>
          <w:rFonts w:ascii="宋体" w:hAnsi="宋体" w:eastAsia="宋体" w:cs="宋体"/>
          <w:sz w:val="24"/>
          <w:szCs w:val="24"/>
          <w:highlight w:val="none"/>
        </w:rPr>
      </w:pPr>
      <w:r>
        <w:rPr>
          <w:rFonts w:ascii="宋体" w:hAnsi="宋体" w:eastAsia="宋体" w:cs="宋体"/>
          <w:spacing w:val="-1"/>
          <w:sz w:val="24"/>
          <w:szCs w:val="24"/>
          <w:highlight w:val="none"/>
        </w:rPr>
        <w:t>12.1.6 接收质疑函的联系部门、联系电话和通讯地址同征集公告。</w:t>
      </w:r>
    </w:p>
    <w:p w14:paraId="02B83864">
      <w:pPr>
        <w:spacing w:before="184" w:line="219" w:lineRule="auto"/>
        <w:ind w:left="497"/>
        <w:rPr>
          <w:rFonts w:ascii="宋体" w:hAnsi="宋体" w:eastAsia="宋体" w:cs="宋体"/>
          <w:sz w:val="24"/>
          <w:szCs w:val="24"/>
          <w:highlight w:val="none"/>
        </w:rPr>
      </w:pPr>
      <w:r>
        <w:rPr>
          <w:rFonts w:ascii="宋体" w:hAnsi="宋体" w:eastAsia="宋体" w:cs="宋体"/>
          <w:spacing w:val="-1"/>
          <w:sz w:val="24"/>
          <w:szCs w:val="24"/>
          <w:highlight w:val="none"/>
        </w:rPr>
        <w:t>12.1.7 有下列情形之一的，属于无效质疑，采购代理机构和征集人不予受理：</w:t>
      </w:r>
    </w:p>
    <w:p w14:paraId="4623DF33">
      <w:pPr>
        <w:spacing w:before="181" w:line="219" w:lineRule="auto"/>
        <w:ind w:left="491"/>
        <w:rPr>
          <w:rFonts w:ascii="宋体" w:hAnsi="宋体" w:eastAsia="宋体" w:cs="宋体"/>
          <w:sz w:val="24"/>
          <w:szCs w:val="24"/>
          <w:highlight w:val="none"/>
        </w:rPr>
      </w:pPr>
      <w:r>
        <w:rPr>
          <w:rFonts w:ascii="宋体" w:hAnsi="宋体" w:eastAsia="宋体" w:cs="宋体"/>
          <w:spacing w:val="-1"/>
          <w:sz w:val="24"/>
          <w:szCs w:val="24"/>
          <w:highlight w:val="none"/>
        </w:rPr>
        <w:t>（1）质疑人不是参与本次政府采购项目的供应商；</w:t>
      </w:r>
    </w:p>
    <w:p w14:paraId="74189CED">
      <w:pPr>
        <w:spacing w:before="183" w:line="220"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（2）质疑人与质疑事项不存在利害关系的；</w:t>
      </w:r>
    </w:p>
    <w:p w14:paraId="5D9E5E51">
      <w:pPr>
        <w:spacing w:before="180" w:line="220"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（3）未在法定期限内提出质疑的；</w:t>
      </w:r>
    </w:p>
    <w:p w14:paraId="4402B3D7">
      <w:pPr>
        <w:spacing w:before="181" w:line="290" w:lineRule="auto"/>
        <w:ind w:left="4" w:firstLine="486"/>
        <w:rPr>
          <w:rFonts w:ascii="宋体" w:hAnsi="宋体" w:eastAsia="宋体" w:cs="宋体"/>
          <w:sz w:val="24"/>
          <w:szCs w:val="24"/>
          <w:highlight w:val="none"/>
        </w:rPr>
      </w:pPr>
      <w:r>
        <w:rPr>
          <w:rFonts w:ascii="宋体" w:hAnsi="宋体" w:eastAsia="宋体" w:cs="宋体"/>
          <w:spacing w:val="5"/>
          <w:sz w:val="24"/>
          <w:szCs w:val="24"/>
          <w:highlight w:val="none"/>
        </w:rPr>
        <w:t>（4）质疑未以书面形式提出，以传真、电子邮件、移动通信等形式即时收悉提</w:t>
      </w:r>
      <w:r>
        <w:rPr>
          <w:rFonts w:ascii="宋体" w:hAnsi="宋体" w:eastAsia="宋体" w:cs="宋体"/>
          <w:spacing w:val="-3"/>
          <w:sz w:val="24"/>
          <w:szCs w:val="24"/>
          <w:highlight w:val="none"/>
        </w:rPr>
        <w:t>交的质疑材料；</w:t>
      </w:r>
    </w:p>
    <w:p w14:paraId="191269E9">
      <w:pPr>
        <w:spacing w:before="181" w:line="219"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（5）质疑未按质疑函范本格式提出的；</w:t>
      </w:r>
    </w:p>
    <w:p w14:paraId="3DBB30E2">
      <w:pPr>
        <w:spacing w:before="181" w:line="219" w:lineRule="auto"/>
        <w:ind w:left="491"/>
        <w:rPr>
          <w:rFonts w:ascii="宋体" w:hAnsi="宋体" w:eastAsia="宋体" w:cs="宋体"/>
          <w:sz w:val="24"/>
          <w:szCs w:val="24"/>
          <w:highlight w:val="none"/>
        </w:rPr>
      </w:pPr>
      <w:r>
        <w:rPr>
          <w:rFonts w:ascii="宋体" w:hAnsi="宋体" w:eastAsia="宋体" w:cs="宋体"/>
          <w:spacing w:val="-2"/>
          <w:sz w:val="24"/>
          <w:szCs w:val="24"/>
          <w:highlight w:val="none"/>
        </w:rPr>
        <w:t>（6）质疑书主要内容构成不完整的；</w:t>
      </w:r>
    </w:p>
    <w:p w14:paraId="4249BBAD">
      <w:pPr>
        <w:spacing w:before="182" w:line="289" w:lineRule="auto"/>
        <w:ind w:left="4" w:firstLine="486"/>
        <w:rPr>
          <w:rFonts w:ascii="宋体" w:hAnsi="宋体" w:eastAsia="宋体" w:cs="宋体"/>
          <w:sz w:val="24"/>
          <w:szCs w:val="24"/>
          <w:highlight w:val="none"/>
        </w:rPr>
      </w:pPr>
      <w:r>
        <w:rPr>
          <w:rFonts w:ascii="宋体" w:hAnsi="宋体" w:eastAsia="宋体" w:cs="宋体"/>
          <w:spacing w:val="5"/>
          <w:sz w:val="24"/>
          <w:szCs w:val="24"/>
          <w:highlight w:val="none"/>
        </w:rPr>
        <w:t>（7）未提交营业执照或法人证书复印件，由授权代表签名的，未提交授权委托</w:t>
      </w:r>
      <w:r>
        <w:rPr>
          <w:rFonts w:ascii="宋体" w:hAnsi="宋体" w:eastAsia="宋体" w:cs="宋体"/>
          <w:spacing w:val="-8"/>
          <w:sz w:val="24"/>
          <w:szCs w:val="24"/>
          <w:highlight w:val="none"/>
        </w:rPr>
        <w:t>书；</w:t>
      </w:r>
    </w:p>
    <w:p w14:paraId="1006BAF2">
      <w:pPr>
        <w:spacing w:before="183" w:line="219" w:lineRule="auto"/>
        <w:ind w:left="491"/>
        <w:rPr>
          <w:rFonts w:ascii="宋体" w:hAnsi="宋体" w:eastAsia="宋体" w:cs="宋体"/>
          <w:sz w:val="24"/>
          <w:szCs w:val="24"/>
          <w:highlight w:val="none"/>
        </w:rPr>
      </w:pPr>
      <w:r>
        <w:rPr>
          <w:rFonts w:ascii="宋体" w:hAnsi="宋体" w:eastAsia="宋体" w:cs="宋体"/>
          <w:spacing w:val="-1"/>
          <w:sz w:val="24"/>
          <w:szCs w:val="24"/>
          <w:highlight w:val="none"/>
        </w:rPr>
        <w:t>（8）质疑书没有合法有效的签名、盖章或授权的；</w:t>
      </w:r>
    </w:p>
    <w:p w14:paraId="3736F584">
      <w:pPr>
        <w:spacing w:before="48" w:line="220" w:lineRule="auto"/>
        <w:ind w:left="489"/>
        <w:rPr>
          <w:rFonts w:ascii="宋体" w:hAnsi="宋体" w:eastAsia="宋体" w:cs="宋体"/>
          <w:spacing w:val="-2"/>
          <w:sz w:val="24"/>
          <w:szCs w:val="24"/>
          <w:highlight w:val="none"/>
        </w:rPr>
      </w:pPr>
      <w:r>
        <w:rPr>
          <w:rFonts w:ascii="宋体" w:hAnsi="宋体" w:eastAsia="宋体" w:cs="宋体"/>
          <w:spacing w:val="-2"/>
          <w:sz w:val="24"/>
          <w:szCs w:val="24"/>
          <w:highlight w:val="none"/>
        </w:rPr>
        <w:t>（9）以非法手段取得证据、材料的；</w:t>
      </w:r>
    </w:p>
    <w:p w14:paraId="5EF777C6">
      <w:pPr>
        <w:spacing w:before="48" w:line="220" w:lineRule="auto"/>
        <w:ind w:left="489"/>
        <w:rPr>
          <w:rFonts w:ascii="宋体" w:hAnsi="宋体" w:eastAsia="宋体" w:cs="宋体"/>
          <w:sz w:val="24"/>
          <w:szCs w:val="24"/>
          <w:highlight w:val="none"/>
        </w:rPr>
      </w:pPr>
      <w:r>
        <w:rPr>
          <w:rFonts w:ascii="宋体" w:hAnsi="宋体" w:eastAsia="宋体" w:cs="宋体"/>
          <w:spacing w:val="-1"/>
          <w:sz w:val="24"/>
          <w:szCs w:val="24"/>
          <w:highlight w:val="none"/>
        </w:rPr>
        <w:t>（10）质疑答复后，同一质疑人就同一事项再次提出质疑的；</w:t>
      </w:r>
    </w:p>
    <w:p w14:paraId="68567BA1">
      <w:pPr>
        <w:spacing w:before="182" w:line="219" w:lineRule="auto"/>
        <w:ind w:left="489"/>
        <w:rPr>
          <w:rFonts w:ascii="宋体" w:hAnsi="宋体" w:eastAsia="宋体" w:cs="宋体"/>
          <w:sz w:val="24"/>
          <w:szCs w:val="24"/>
          <w:highlight w:val="none"/>
        </w:rPr>
      </w:pPr>
      <w:r>
        <w:rPr>
          <w:rFonts w:ascii="宋体" w:hAnsi="宋体" w:eastAsia="宋体" w:cs="宋体"/>
          <w:spacing w:val="-1"/>
          <w:sz w:val="24"/>
          <w:szCs w:val="24"/>
          <w:highlight w:val="none"/>
        </w:rPr>
        <w:t>（11）不符合法律、法规、规章和政府采购监管机构规定的其他条件的。</w:t>
      </w:r>
    </w:p>
    <w:p w14:paraId="101FFB8B">
      <w:pPr>
        <w:spacing w:before="179" w:line="362" w:lineRule="auto"/>
        <w:ind w:left="25" w:firstLine="470"/>
        <w:rPr>
          <w:rFonts w:ascii="宋体" w:hAnsi="宋体" w:eastAsia="宋体" w:cs="宋体"/>
          <w:sz w:val="24"/>
          <w:szCs w:val="24"/>
          <w:highlight w:val="none"/>
        </w:rPr>
      </w:pPr>
      <w:r>
        <w:rPr>
          <w:rFonts w:ascii="宋体" w:hAnsi="宋体" w:eastAsia="宋体" w:cs="宋体"/>
          <w:spacing w:val="3"/>
          <w:sz w:val="24"/>
          <w:szCs w:val="24"/>
          <w:highlight w:val="none"/>
        </w:rPr>
        <w:t>12.1.8 采购代理机构或征集人将在收到书面质疑后</w:t>
      </w:r>
      <w:r>
        <w:rPr>
          <w:rFonts w:ascii="宋体" w:hAnsi="宋体" w:eastAsia="宋体" w:cs="宋体"/>
          <w:spacing w:val="-20"/>
          <w:sz w:val="24"/>
          <w:szCs w:val="24"/>
          <w:highlight w:val="none"/>
        </w:rPr>
        <w:t xml:space="preserve"> </w:t>
      </w:r>
      <w:r>
        <w:rPr>
          <w:rFonts w:ascii="宋体" w:hAnsi="宋体" w:eastAsia="宋体" w:cs="宋体"/>
          <w:spacing w:val="3"/>
          <w:sz w:val="24"/>
          <w:szCs w:val="24"/>
          <w:highlight w:val="none"/>
        </w:rPr>
        <w:t>7</w:t>
      </w:r>
      <w:r>
        <w:rPr>
          <w:rFonts w:ascii="宋体" w:hAnsi="宋体" w:eastAsia="宋体" w:cs="宋体"/>
          <w:spacing w:val="-44"/>
          <w:sz w:val="24"/>
          <w:szCs w:val="24"/>
          <w:highlight w:val="none"/>
        </w:rPr>
        <w:t xml:space="preserve"> </w:t>
      </w:r>
      <w:r>
        <w:rPr>
          <w:rFonts w:ascii="宋体" w:hAnsi="宋体" w:eastAsia="宋体" w:cs="宋体"/>
          <w:spacing w:val="3"/>
          <w:sz w:val="24"/>
          <w:szCs w:val="24"/>
          <w:highlight w:val="none"/>
        </w:rPr>
        <w:t>个工作日内做出答复，并</w:t>
      </w:r>
      <w:r>
        <w:rPr>
          <w:rFonts w:ascii="宋体" w:hAnsi="宋体" w:eastAsia="宋体" w:cs="宋体"/>
          <w:spacing w:val="-2"/>
          <w:sz w:val="24"/>
          <w:szCs w:val="24"/>
          <w:highlight w:val="none"/>
        </w:rPr>
        <w:t>以书面形式通知质疑人和其他有关供应商。</w:t>
      </w:r>
    </w:p>
    <w:p w14:paraId="6E0AEFC4">
      <w:pPr>
        <w:spacing w:before="112" w:line="221" w:lineRule="auto"/>
        <w:ind w:left="15"/>
        <w:rPr>
          <w:rFonts w:ascii="宋体" w:hAnsi="宋体" w:eastAsia="宋体" w:cs="宋体"/>
          <w:sz w:val="24"/>
          <w:szCs w:val="24"/>
          <w:highlight w:val="none"/>
        </w:rPr>
      </w:pPr>
      <w:r>
        <w:rPr>
          <w:rFonts w:ascii="宋体" w:hAnsi="宋体" w:eastAsia="宋体" w:cs="宋体"/>
          <w:b/>
          <w:bCs/>
          <w:spacing w:val="-9"/>
          <w:sz w:val="24"/>
          <w:szCs w:val="24"/>
          <w:highlight w:val="none"/>
        </w:rPr>
        <w:t>12.2</w:t>
      </w:r>
      <w:r>
        <w:rPr>
          <w:rFonts w:ascii="宋体" w:hAnsi="宋体" w:eastAsia="宋体" w:cs="宋体"/>
          <w:spacing w:val="15"/>
          <w:sz w:val="24"/>
          <w:szCs w:val="24"/>
          <w:highlight w:val="none"/>
        </w:rPr>
        <w:t xml:space="preserve"> </w:t>
      </w:r>
      <w:r>
        <w:rPr>
          <w:rFonts w:ascii="宋体" w:hAnsi="宋体" w:eastAsia="宋体" w:cs="宋体"/>
          <w:b/>
          <w:bCs/>
          <w:spacing w:val="-9"/>
          <w:sz w:val="24"/>
          <w:szCs w:val="24"/>
          <w:highlight w:val="none"/>
        </w:rPr>
        <w:t>投诉</w:t>
      </w:r>
    </w:p>
    <w:p w14:paraId="0A143A3C">
      <w:pPr>
        <w:spacing w:before="300" w:line="313" w:lineRule="auto"/>
        <w:ind w:firstLine="377"/>
        <w:rPr>
          <w:rFonts w:ascii="宋体" w:hAnsi="宋体" w:eastAsia="宋体" w:cs="宋体"/>
          <w:sz w:val="24"/>
          <w:szCs w:val="24"/>
          <w:highlight w:val="none"/>
        </w:rPr>
      </w:pPr>
      <w:r>
        <w:rPr>
          <w:rFonts w:ascii="宋体" w:hAnsi="宋体" w:eastAsia="宋体" w:cs="宋体"/>
          <w:spacing w:val="1"/>
          <w:sz w:val="24"/>
          <w:szCs w:val="24"/>
          <w:highlight w:val="none"/>
        </w:rPr>
        <w:t>12.2.1 质疑人对采购代理机构或征集人的答复不满意，或者征集人、采购代理机</w:t>
      </w:r>
      <w:r>
        <w:rPr>
          <w:rFonts w:ascii="宋体" w:hAnsi="宋体" w:eastAsia="宋体" w:cs="宋体"/>
          <w:spacing w:val="4"/>
          <w:sz w:val="24"/>
          <w:szCs w:val="24"/>
          <w:highlight w:val="none"/>
        </w:rPr>
        <w:t>构未在规定时间内作出答复的，可以在答复期满后</w:t>
      </w:r>
      <w:r>
        <w:rPr>
          <w:rFonts w:ascii="宋体" w:hAnsi="宋体" w:eastAsia="宋体" w:cs="宋体"/>
          <w:spacing w:val="-28"/>
          <w:sz w:val="24"/>
          <w:szCs w:val="24"/>
          <w:highlight w:val="none"/>
        </w:rPr>
        <w:t xml:space="preserve"> </w:t>
      </w:r>
      <w:r>
        <w:rPr>
          <w:rFonts w:ascii="宋体" w:hAnsi="宋体" w:eastAsia="宋体" w:cs="宋体"/>
          <w:spacing w:val="4"/>
          <w:sz w:val="24"/>
          <w:szCs w:val="24"/>
          <w:highlight w:val="none"/>
        </w:rPr>
        <w:t>15</w:t>
      </w:r>
      <w:r>
        <w:rPr>
          <w:rFonts w:ascii="宋体" w:hAnsi="宋体" w:eastAsia="宋体" w:cs="宋体"/>
          <w:spacing w:val="-46"/>
          <w:sz w:val="24"/>
          <w:szCs w:val="24"/>
          <w:highlight w:val="none"/>
        </w:rPr>
        <w:t xml:space="preserve"> </w:t>
      </w:r>
      <w:r>
        <w:rPr>
          <w:rFonts w:ascii="宋体" w:hAnsi="宋体" w:eastAsia="宋体" w:cs="宋体"/>
          <w:spacing w:val="4"/>
          <w:sz w:val="24"/>
          <w:szCs w:val="24"/>
          <w:highlight w:val="none"/>
        </w:rPr>
        <w:t>个工</w:t>
      </w:r>
      <w:r>
        <w:rPr>
          <w:rFonts w:ascii="宋体" w:hAnsi="宋体" w:eastAsia="宋体" w:cs="宋体"/>
          <w:spacing w:val="3"/>
          <w:sz w:val="24"/>
          <w:szCs w:val="24"/>
          <w:highlight w:val="none"/>
        </w:rPr>
        <w:t>作日内向</w:t>
      </w:r>
      <w:r>
        <w:rPr>
          <w:rFonts w:ascii="宋体" w:hAnsi="宋体" w:eastAsia="宋体" w:cs="宋体"/>
          <w:spacing w:val="3"/>
          <w:sz w:val="24"/>
          <w:szCs w:val="24"/>
          <w:highlight w:val="none"/>
          <w:u w:val="single" w:color="auto"/>
        </w:rPr>
        <w:t>富阎产业合作园</w:t>
      </w:r>
      <w:r>
        <w:rPr>
          <w:rFonts w:ascii="宋体" w:hAnsi="宋体" w:eastAsia="宋体" w:cs="宋体"/>
          <w:spacing w:val="-1"/>
          <w:sz w:val="24"/>
          <w:szCs w:val="24"/>
          <w:highlight w:val="none"/>
          <w:u w:val="single" w:color="auto"/>
        </w:rPr>
        <w:t>区财政局</w:t>
      </w:r>
      <w:r>
        <w:rPr>
          <w:rFonts w:ascii="宋体" w:hAnsi="宋体" w:eastAsia="宋体" w:cs="宋体"/>
          <w:spacing w:val="-1"/>
          <w:sz w:val="24"/>
          <w:szCs w:val="24"/>
          <w:highlight w:val="none"/>
        </w:rPr>
        <w:t>（财政部门）提起投诉。</w:t>
      </w:r>
    </w:p>
    <w:p w14:paraId="3F113C79">
      <w:pPr>
        <w:spacing w:before="301" w:line="312" w:lineRule="auto"/>
        <w:ind w:right="2" w:firstLine="495"/>
        <w:rPr>
          <w:rFonts w:ascii="宋体" w:hAnsi="宋体" w:eastAsia="宋体" w:cs="宋体"/>
          <w:sz w:val="24"/>
          <w:szCs w:val="24"/>
          <w:highlight w:val="none"/>
        </w:rPr>
      </w:pPr>
      <w:r>
        <w:rPr>
          <w:rFonts w:ascii="宋体" w:hAnsi="宋体" w:eastAsia="宋体" w:cs="宋体"/>
          <w:spacing w:val="8"/>
          <w:sz w:val="24"/>
          <w:szCs w:val="24"/>
          <w:highlight w:val="none"/>
        </w:rPr>
        <w:t>12.2.2 投诉人投诉时,应当提交投诉书和</w:t>
      </w:r>
      <w:r>
        <w:rPr>
          <w:rFonts w:ascii="宋体" w:hAnsi="宋体" w:eastAsia="宋体" w:cs="宋体"/>
          <w:spacing w:val="7"/>
          <w:sz w:val="24"/>
          <w:szCs w:val="24"/>
          <w:highlight w:val="none"/>
        </w:rPr>
        <w:t>必要的证明材料，并按照被投诉征集</w:t>
      </w:r>
      <w:r>
        <w:rPr>
          <w:rFonts w:ascii="宋体" w:hAnsi="宋体" w:eastAsia="宋体" w:cs="宋体"/>
          <w:spacing w:val="2"/>
          <w:sz w:val="24"/>
          <w:szCs w:val="24"/>
          <w:highlight w:val="none"/>
        </w:rPr>
        <w:t>人、采购代理机构（以下简称被投诉人）和与投诉事项有关的</w:t>
      </w:r>
      <w:r>
        <w:rPr>
          <w:rFonts w:ascii="宋体" w:hAnsi="宋体" w:eastAsia="宋体" w:cs="宋体"/>
          <w:spacing w:val="1"/>
          <w:sz w:val="24"/>
          <w:szCs w:val="24"/>
          <w:highlight w:val="none"/>
        </w:rPr>
        <w:t>供应商数量提供投诉书</w:t>
      </w:r>
      <w:r>
        <w:rPr>
          <w:rFonts w:ascii="宋体" w:hAnsi="宋体" w:eastAsia="宋体" w:cs="宋体"/>
          <w:spacing w:val="-1"/>
          <w:sz w:val="24"/>
          <w:szCs w:val="24"/>
          <w:highlight w:val="none"/>
        </w:rPr>
        <w:t>的副本。投诉书应当包括下列内容：</w:t>
      </w:r>
    </w:p>
    <w:p w14:paraId="0BC07638">
      <w:pPr>
        <w:spacing w:before="183" w:line="291" w:lineRule="auto"/>
        <w:ind w:left="26" w:firstLine="955"/>
        <w:rPr>
          <w:rFonts w:ascii="宋体" w:hAnsi="宋体" w:eastAsia="宋体" w:cs="宋体"/>
          <w:sz w:val="24"/>
          <w:szCs w:val="24"/>
          <w:highlight w:val="none"/>
        </w:rPr>
      </w:pPr>
      <w:r>
        <w:rPr>
          <w:rFonts w:ascii="宋体" w:hAnsi="宋体" w:eastAsia="宋体" w:cs="宋体"/>
          <w:spacing w:val="5"/>
          <w:sz w:val="24"/>
          <w:szCs w:val="24"/>
          <w:highlight w:val="none"/>
        </w:rPr>
        <w:t>（1）投诉人和被投诉人的姓名或者名称、通讯地址、邮编、联系人及联系</w:t>
      </w:r>
      <w:r>
        <w:rPr>
          <w:rFonts w:ascii="宋体" w:hAnsi="宋体" w:eastAsia="宋体" w:cs="宋体"/>
          <w:spacing w:val="-13"/>
          <w:sz w:val="24"/>
          <w:szCs w:val="24"/>
          <w:highlight w:val="none"/>
        </w:rPr>
        <w:t>电话；</w:t>
      </w:r>
    </w:p>
    <w:p w14:paraId="51310DBC">
      <w:pPr>
        <w:spacing w:before="177" w:line="219" w:lineRule="auto"/>
        <w:ind w:left="969"/>
        <w:rPr>
          <w:rFonts w:ascii="宋体" w:hAnsi="宋体" w:eastAsia="宋体" w:cs="宋体"/>
          <w:sz w:val="24"/>
          <w:szCs w:val="24"/>
          <w:highlight w:val="none"/>
        </w:rPr>
      </w:pPr>
      <w:r>
        <w:rPr>
          <w:rFonts w:ascii="宋体" w:hAnsi="宋体" w:eastAsia="宋体" w:cs="宋体"/>
          <w:spacing w:val="-1"/>
          <w:sz w:val="24"/>
          <w:szCs w:val="24"/>
          <w:highlight w:val="none"/>
        </w:rPr>
        <w:t>（2）质疑和质疑答复情况说明及相关证明材料；</w:t>
      </w:r>
    </w:p>
    <w:p w14:paraId="05088778">
      <w:pPr>
        <w:spacing w:before="183" w:line="220" w:lineRule="auto"/>
        <w:ind w:left="969"/>
        <w:rPr>
          <w:rFonts w:ascii="宋体" w:hAnsi="宋体" w:eastAsia="宋体" w:cs="宋体"/>
          <w:sz w:val="24"/>
          <w:szCs w:val="24"/>
          <w:highlight w:val="none"/>
        </w:rPr>
      </w:pPr>
      <w:r>
        <w:rPr>
          <w:rFonts w:ascii="宋体" w:hAnsi="宋体" w:eastAsia="宋体" w:cs="宋体"/>
          <w:spacing w:val="-1"/>
          <w:sz w:val="24"/>
          <w:szCs w:val="24"/>
          <w:highlight w:val="none"/>
        </w:rPr>
        <w:t>（3）具体、明确的投诉事项和与投诉事项相关的投诉请求；</w:t>
      </w:r>
    </w:p>
    <w:p w14:paraId="1963AA18">
      <w:pPr>
        <w:spacing w:before="180" w:line="219" w:lineRule="auto"/>
        <w:ind w:left="969"/>
        <w:rPr>
          <w:rFonts w:ascii="宋体" w:hAnsi="宋体" w:eastAsia="宋体" w:cs="宋体"/>
          <w:sz w:val="24"/>
          <w:szCs w:val="24"/>
          <w:highlight w:val="none"/>
        </w:rPr>
      </w:pPr>
      <w:r>
        <w:rPr>
          <w:rFonts w:ascii="宋体" w:hAnsi="宋体" w:eastAsia="宋体" w:cs="宋体"/>
          <w:spacing w:val="-3"/>
          <w:sz w:val="24"/>
          <w:szCs w:val="24"/>
          <w:highlight w:val="none"/>
        </w:rPr>
        <w:t>（4）事实依据；</w:t>
      </w:r>
    </w:p>
    <w:p w14:paraId="0770698E">
      <w:pPr>
        <w:spacing w:before="184" w:line="219" w:lineRule="auto"/>
        <w:ind w:left="969"/>
        <w:rPr>
          <w:rFonts w:ascii="宋体" w:hAnsi="宋体" w:eastAsia="宋体" w:cs="宋体"/>
          <w:sz w:val="24"/>
          <w:szCs w:val="24"/>
          <w:highlight w:val="none"/>
        </w:rPr>
      </w:pPr>
      <w:r>
        <w:rPr>
          <w:rFonts w:ascii="宋体" w:hAnsi="宋体" w:eastAsia="宋体" w:cs="宋体"/>
          <w:spacing w:val="-3"/>
          <w:sz w:val="24"/>
          <w:szCs w:val="24"/>
          <w:highlight w:val="none"/>
        </w:rPr>
        <w:t>（5）法律依据；</w:t>
      </w:r>
    </w:p>
    <w:p w14:paraId="144E51B2">
      <w:pPr>
        <w:spacing w:before="180" w:line="221" w:lineRule="auto"/>
        <w:ind w:left="969"/>
        <w:rPr>
          <w:rFonts w:ascii="宋体" w:hAnsi="宋体" w:eastAsia="宋体" w:cs="宋体"/>
          <w:sz w:val="24"/>
          <w:szCs w:val="24"/>
          <w:highlight w:val="none"/>
        </w:rPr>
      </w:pPr>
      <w:r>
        <w:rPr>
          <w:rFonts w:ascii="宋体" w:hAnsi="宋体" w:eastAsia="宋体" w:cs="宋体"/>
          <w:spacing w:val="-2"/>
          <w:sz w:val="24"/>
          <w:szCs w:val="24"/>
          <w:highlight w:val="none"/>
        </w:rPr>
        <w:t>（6）提起投诉的日期。</w:t>
      </w:r>
    </w:p>
    <w:p w14:paraId="163CAD99">
      <w:pPr>
        <w:spacing w:before="181" w:line="359" w:lineRule="auto"/>
        <w:ind w:left="13" w:right="2" w:firstLine="1089"/>
        <w:rPr>
          <w:rFonts w:ascii="宋体" w:hAnsi="宋体" w:eastAsia="宋体" w:cs="宋体"/>
          <w:sz w:val="24"/>
          <w:szCs w:val="24"/>
          <w:highlight w:val="none"/>
        </w:rPr>
      </w:pPr>
      <w:r>
        <w:rPr>
          <w:rFonts w:ascii="宋体" w:hAnsi="宋体" w:eastAsia="宋体" w:cs="宋体"/>
          <w:spacing w:val="5"/>
          <w:sz w:val="24"/>
          <w:szCs w:val="24"/>
          <w:highlight w:val="none"/>
        </w:rPr>
        <w:t>投诉人为自然人的，应当由本人签名；投诉人为法人或者其他组织的，应</w:t>
      </w:r>
      <w:r>
        <w:rPr>
          <w:rFonts w:ascii="宋体" w:hAnsi="宋体" w:eastAsia="宋体" w:cs="宋体"/>
          <w:spacing w:val="-1"/>
          <w:sz w:val="24"/>
          <w:szCs w:val="24"/>
          <w:highlight w:val="none"/>
        </w:rPr>
        <w:t>当由法定代表人、主要负责人，或者其授权代表签名或者盖章，并加盖单位章。</w:t>
      </w:r>
    </w:p>
    <w:p w14:paraId="28370CA1">
      <w:pPr>
        <w:spacing w:before="1" w:line="289" w:lineRule="auto"/>
        <w:ind w:left="5" w:firstLine="490"/>
        <w:rPr>
          <w:rFonts w:ascii="宋体" w:hAnsi="宋体" w:eastAsia="宋体" w:cs="宋体"/>
          <w:sz w:val="24"/>
          <w:szCs w:val="24"/>
          <w:highlight w:val="none"/>
        </w:rPr>
      </w:pPr>
      <w:r>
        <w:rPr>
          <w:rFonts w:ascii="宋体" w:hAnsi="宋体" w:eastAsia="宋体" w:cs="宋体"/>
          <w:sz w:val="24"/>
          <w:szCs w:val="24"/>
          <w:highlight w:val="none"/>
        </w:rPr>
        <w:t>12.2.3 投诉书范本格式在中国政府采购网站（</w:t>
      </w:r>
      <w:r>
        <w:rPr>
          <w:highlight w:val="none"/>
        </w:rPr>
        <w:fldChar w:fldCharType="begin"/>
      </w:r>
      <w:r>
        <w:rPr>
          <w:highlight w:val="none"/>
        </w:rPr>
        <w:instrText xml:space="preserve"> HYPERLINK "http://www.ccgp.gov.cn/" </w:instrText>
      </w:r>
      <w:r>
        <w:rPr>
          <w:highlight w:val="none"/>
        </w:rPr>
        <w:fldChar w:fldCharType="separate"/>
      </w:r>
      <w:r>
        <w:rPr>
          <w:rFonts w:ascii="宋体" w:hAnsi="宋体" w:eastAsia="宋体" w:cs="宋体"/>
          <w:sz w:val="24"/>
          <w:szCs w:val="24"/>
          <w:highlight w:val="none"/>
        </w:rPr>
        <w:t>http://www.ccgp.go</w:t>
      </w:r>
      <w:r>
        <w:rPr>
          <w:rFonts w:ascii="宋体" w:hAnsi="宋体" w:eastAsia="宋体" w:cs="宋体"/>
          <w:spacing w:val="-1"/>
          <w:sz w:val="24"/>
          <w:szCs w:val="24"/>
          <w:highlight w:val="none"/>
        </w:rPr>
        <w:t>v.cn/</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r>
        <w:rPr>
          <w:rFonts w:ascii="宋体" w:hAnsi="宋体" w:eastAsia="宋体" w:cs="宋体"/>
          <w:spacing w:val="-61"/>
          <w:sz w:val="24"/>
          <w:szCs w:val="24"/>
          <w:highlight w:val="none"/>
        </w:rPr>
        <w:t xml:space="preserve"> </w:t>
      </w:r>
      <w:r>
        <w:rPr>
          <w:rFonts w:ascii="宋体" w:hAnsi="宋体" w:eastAsia="宋体" w:cs="宋体"/>
          <w:spacing w:val="-1"/>
          <w:sz w:val="24"/>
          <w:szCs w:val="24"/>
          <w:highlight w:val="none"/>
        </w:rPr>
        <w:t>自行</w:t>
      </w:r>
      <w:r>
        <w:rPr>
          <w:rFonts w:ascii="宋体" w:hAnsi="宋体" w:eastAsia="宋体" w:cs="宋体"/>
          <w:spacing w:val="-6"/>
          <w:sz w:val="24"/>
          <w:szCs w:val="24"/>
          <w:highlight w:val="none"/>
        </w:rPr>
        <w:t>下载。</w:t>
      </w:r>
    </w:p>
    <w:p w14:paraId="0159286B">
      <w:pPr>
        <w:spacing w:before="181" w:line="220" w:lineRule="auto"/>
        <w:ind w:left="495"/>
        <w:rPr>
          <w:rFonts w:ascii="宋体" w:hAnsi="宋体" w:eastAsia="宋体" w:cs="宋体"/>
          <w:sz w:val="24"/>
          <w:szCs w:val="24"/>
          <w:highlight w:val="none"/>
        </w:rPr>
      </w:pPr>
      <w:r>
        <w:rPr>
          <w:rFonts w:ascii="宋体" w:hAnsi="宋体" w:eastAsia="宋体" w:cs="宋体"/>
          <w:spacing w:val="-2"/>
          <w:sz w:val="24"/>
          <w:szCs w:val="24"/>
          <w:highlight w:val="none"/>
        </w:rPr>
        <w:t>12.2.4 投诉人提起投诉应当符合下列条件：</w:t>
      </w:r>
    </w:p>
    <w:p w14:paraId="0C4FE98F">
      <w:pPr>
        <w:spacing w:before="183" w:line="219" w:lineRule="auto"/>
        <w:ind w:left="969"/>
        <w:rPr>
          <w:rFonts w:ascii="宋体" w:hAnsi="宋体" w:eastAsia="宋体" w:cs="宋体"/>
          <w:sz w:val="24"/>
          <w:szCs w:val="24"/>
          <w:highlight w:val="none"/>
        </w:rPr>
      </w:pPr>
      <w:r>
        <w:rPr>
          <w:rFonts w:ascii="宋体" w:hAnsi="宋体" w:eastAsia="宋体" w:cs="宋体"/>
          <w:spacing w:val="-2"/>
          <w:sz w:val="24"/>
          <w:szCs w:val="24"/>
          <w:highlight w:val="none"/>
        </w:rPr>
        <w:t>（1）提起投诉前已依法进行质疑；</w:t>
      </w:r>
    </w:p>
    <w:p w14:paraId="2F5350F9">
      <w:pPr>
        <w:spacing w:before="181" w:line="219" w:lineRule="auto"/>
        <w:ind w:left="969"/>
        <w:rPr>
          <w:rFonts w:ascii="宋体" w:hAnsi="宋体" w:eastAsia="宋体" w:cs="宋体"/>
          <w:sz w:val="24"/>
          <w:szCs w:val="24"/>
          <w:highlight w:val="none"/>
        </w:rPr>
      </w:pPr>
      <w:r>
        <w:rPr>
          <w:rFonts w:ascii="宋体" w:hAnsi="宋体" w:eastAsia="宋体" w:cs="宋体"/>
          <w:spacing w:val="-3"/>
          <w:sz w:val="24"/>
          <w:szCs w:val="24"/>
          <w:highlight w:val="none"/>
        </w:rPr>
        <w:t>（2）投诉书内容符合财政部</w:t>
      </w:r>
      <w:r>
        <w:rPr>
          <w:rFonts w:ascii="宋体" w:hAnsi="宋体" w:eastAsia="宋体" w:cs="宋体"/>
          <w:spacing w:val="-34"/>
          <w:sz w:val="24"/>
          <w:szCs w:val="24"/>
          <w:highlight w:val="none"/>
        </w:rPr>
        <w:t xml:space="preserve"> </w:t>
      </w:r>
      <w:r>
        <w:rPr>
          <w:rFonts w:ascii="宋体" w:hAnsi="宋体" w:eastAsia="宋体" w:cs="宋体"/>
          <w:spacing w:val="-3"/>
          <w:sz w:val="24"/>
          <w:szCs w:val="24"/>
          <w:highlight w:val="none"/>
        </w:rPr>
        <w:t>94</w:t>
      </w:r>
      <w:r>
        <w:rPr>
          <w:rFonts w:ascii="宋体" w:hAnsi="宋体" w:eastAsia="宋体" w:cs="宋体"/>
          <w:spacing w:val="-45"/>
          <w:sz w:val="24"/>
          <w:szCs w:val="24"/>
          <w:highlight w:val="none"/>
        </w:rPr>
        <w:t xml:space="preserve"> </w:t>
      </w:r>
      <w:r>
        <w:rPr>
          <w:rFonts w:ascii="宋体" w:hAnsi="宋体" w:eastAsia="宋体" w:cs="宋体"/>
          <w:spacing w:val="-3"/>
          <w:sz w:val="24"/>
          <w:szCs w:val="24"/>
          <w:highlight w:val="none"/>
        </w:rPr>
        <w:t>号令的规定；</w:t>
      </w:r>
    </w:p>
    <w:p w14:paraId="47869060">
      <w:pPr>
        <w:spacing w:before="180" w:line="220" w:lineRule="auto"/>
        <w:ind w:left="969"/>
        <w:rPr>
          <w:rFonts w:ascii="宋体" w:hAnsi="宋体" w:eastAsia="宋体" w:cs="宋体"/>
          <w:sz w:val="24"/>
          <w:szCs w:val="24"/>
          <w:highlight w:val="none"/>
        </w:rPr>
      </w:pPr>
      <w:r>
        <w:rPr>
          <w:rFonts w:ascii="宋体" w:hAnsi="宋体" w:eastAsia="宋体" w:cs="宋体"/>
          <w:spacing w:val="-2"/>
          <w:sz w:val="24"/>
          <w:szCs w:val="24"/>
          <w:highlight w:val="none"/>
        </w:rPr>
        <w:t>（3）在投诉有效期限内提起投诉；</w:t>
      </w:r>
    </w:p>
    <w:p w14:paraId="7EB3BE7E">
      <w:pPr>
        <w:spacing w:before="182" w:line="220" w:lineRule="auto"/>
        <w:ind w:left="969"/>
        <w:rPr>
          <w:rFonts w:ascii="宋体" w:hAnsi="宋体" w:eastAsia="宋体" w:cs="宋体"/>
          <w:sz w:val="24"/>
          <w:szCs w:val="24"/>
          <w:highlight w:val="none"/>
        </w:rPr>
      </w:pPr>
      <w:r>
        <w:rPr>
          <w:rFonts w:ascii="宋体" w:hAnsi="宋体" w:eastAsia="宋体" w:cs="宋体"/>
          <w:spacing w:val="-2"/>
          <w:sz w:val="24"/>
          <w:szCs w:val="24"/>
          <w:highlight w:val="none"/>
        </w:rPr>
        <w:t>（4）同一投诉事项未经财政部门投诉处理；</w:t>
      </w:r>
    </w:p>
    <w:p w14:paraId="2DBF221F">
      <w:pPr>
        <w:spacing w:before="180" w:line="220" w:lineRule="auto"/>
        <w:ind w:left="969"/>
        <w:rPr>
          <w:rFonts w:ascii="宋体" w:hAnsi="宋体" w:eastAsia="宋体" w:cs="宋体"/>
          <w:sz w:val="24"/>
          <w:szCs w:val="24"/>
          <w:highlight w:val="none"/>
        </w:rPr>
      </w:pPr>
      <w:r>
        <w:rPr>
          <w:rFonts w:ascii="宋体" w:hAnsi="宋体" w:eastAsia="宋体" w:cs="宋体"/>
          <w:spacing w:val="-2"/>
          <w:sz w:val="24"/>
          <w:szCs w:val="24"/>
          <w:highlight w:val="none"/>
        </w:rPr>
        <w:t>（5）财政部规定的其他条件。</w:t>
      </w:r>
    </w:p>
    <w:p w14:paraId="6FC43D92">
      <w:pPr>
        <w:spacing w:before="48" w:line="362" w:lineRule="auto"/>
        <w:ind w:left="22" w:firstLine="477"/>
        <w:rPr>
          <w:rFonts w:ascii="宋体" w:hAnsi="宋体" w:eastAsia="宋体" w:cs="宋体"/>
          <w:sz w:val="24"/>
          <w:szCs w:val="24"/>
          <w:highlight w:val="none"/>
        </w:rPr>
      </w:pPr>
      <w:r>
        <w:rPr>
          <w:rFonts w:ascii="宋体" w:hAnsi="宋体" w:eastAsia="宋体" w:cs="宋体"/>
          <w:spacing w:val="1"/>
          <w:sz w:val="24"/>
          <w:szCs w:val="24"/>
          <w:highlight w:val="none"/>
        </w:rPr>
        <w:t>12.2.5  投诉人投诉的事项不得超出已质疑事项的范围，但基于质疑答复内容提</w:t>
      </w:r>
      <w:r>
        <w:rPr>
          <w:rFonts w:ascii="宋体" w:hAnsi="宋体" w:eastAsia="宋体" w:cs="宋体"/>
          <w:spacing w:val="-4"/>
          <w:sz w:val="24"/>
          <w:szCs w:val="24"/>
          <w:highlight w:val="none"/>
        </w:rPr>
        <w:t>出的投诉事项除外。</w:t>
      </w:r>
    </w:p>
    <w:p w14:paraId="23E05213">
      <w:pPr>
        <w:spacing w:before="112" w:line="221" w:lineRule="auto"/>
        <w:ind w:left="19"/>
        <w:rPr>
          <w:rFonts w:ascii="宋体" w:hAnsi="宋体" w:eastAsia="宋体" w:cs="宋体"/>
          <w:sz w:val="24"/>
          <w:szCs w:val="24"/>
          <w:highlight w:val="none"/>
        </w:rPr>
      </w:pPr>
      <w:r>
        <w:rPr>
          <w:rFonts w:ascii="宋体" w:hAnsi="宋体" w:eastAsia="宋体" w:cs="宋体"/>
          <w:b/>
          <w:bCs/>
          <w:spacing w:val="-8"/>
          <w:sz w:val="24"/>
          <w:szCs w:val="24"/>
          <w:highlight w:val="none"/>
        </w:rPr>
        <w:t>13.其他</w:t>
      </w:r>
    </w:p>
    <w:p w14:paraId="31597106">
      <w:pPr>
        <w:spacing w:before="301" w:line="219" w:lineRule="auto"/>
        <w:ind w:left="19"/>
        <w:rPr>
          <w:rFonts w:ascii="宋体" w:hAnsi="宋体" w:eastAsia="宋体" w:cs="宋体"/>
          <w:sz w:val="24"/>
          <w:szCs w:val="24"/>
          <w:highlight w:val="none"/>
        </w:rPr>
      </w:pPr>
      <w:r>
        <w:rPr>
          <w:rFonts w:ascii="宋体" w:hAnsi="宋体" w:eastAsia="宋体" w:cs="宋体"/>
          <w:b/>
          <w:bCs/>
          <w:spacing w:val="-6"/>
          <w:sz w:val="24"/>
          <w:szCs w:val="24"/>
          <w:highlight w:val="none"/>
        </w:rPr>
        <w:t>13.1</w:t>
      </w:r>
      <w:r>
        <w:rPr>
          <w:rFonts w:ascii="宋体" w:hAnsi="宋体" w:eastAsia="宋体" w:cs="宋体"/>
          <w:spacing w:val="-43"/>
          <w:sz w:val="24"/>
          <w:szCs w:val="24"/>
          <w:highlight w:val="none"/>
        </w:rPr>
        <w:t xml:space="preserve"> </w:t>
      </w:r>
      <w:r>
        <w:rPr>
          <w:rFonts w:ascii="宋体" w:hAnsi="宋体" w:eastAsia="宋体" w:cs="宋体"/>
          <w:b/>
          <w:bCs/>
          <w:spacing w:val="-6"/>
          <w:sz w:val="24"/>
          <w:szCs w:val="24"/>
          <w:highlight w:val="none"/>
        </w:rPr>
        <w:t>成交供应商融资</w:t>
      </w:r>
    </w:p>
    <w:p w14:paraId="485109A3">
      <w:pPr>
        <w:spacing w:before="298" w:line="359" w:lineRule="auto"/>
        <w:ind w:right="199" w:firstLine="481"/>
        <w:jc w:val="both"/>
        <w:rPr>
          <w:rFonts w:ascii="宋体" w:hAnsi="宋体" w:eastAsia="宋体" w:cs="宋体"/>
          <w:sz w:val="24"/>
          <w:szCs w:val="24"/>
          <w:highlight w:val="none"/>
        </w:rPr>
      </w:pPr>
      <w:r>
        <w:rPr>
          <w:rFonts w:ascii="宋体" w:hAnsi="宋体" w:eastAsia="宋体" w:cs="宋体"/>
          <w:spacing w:val="-1"/>
          <w:sz w:val="24"/>
          <w:szCs w:val="24"/>
          <w:highlight w:val="none"/>
        </w:rPr>
        <w:t>本着 “银企自愿，风险自担</w:t>
      </w:r>
      <w:r>
        <w:rPr>
          <w:rFonts w:ascii="宋体" w:hAnsi="宋体" w:eastAsia="宋体" w:cs="宋体"/>
          <w:spacing w:val="-88"/>
          <w:sz w:val="24"/>
          <w:szCs w:val="24"/>
          <w:highlight w:val="none"/>
        </w:rPr>
        <w:t xml:space="preserve"> </w:t>
      </w:r>
      <w:r>
        <w:rPr>
          <w:rFonts w:ascii="宋体" w:hAnsi="宋体" w:eastAsia="宋体" w:cs="宋体"/>
          <w:spacing w:val="-1"/>
          <w:sz w:val="24"/>
          <w:szCs w:val="24"/>
          <w:highlight w:val="none"/>
        </w:rPr>
        <w:t>”的原则，成交供应商为中小</w:t>
      </w:r>
      <w:r>
        <w:rPr>
          <w:rFonts w:ascii="宋体" w:hAnsi="宋体" w:eastAsia="宋体" w:cs="宋体"/>
          <w:spacing w:val="-2"/>
          <w:sz w:val="24"/>
          <w:szCs w:val="24"/>
          <w:highlight w:val="none"/>
        </w:rPr>
        <w:t>企业的可以自愿选择</w:t>
      </w:r>
      <w:r>
        <w:rPr>
          <w:rFonts w:ascii="宋体" w:hAnsi="宋体" w:eastAsia="宋体" w:cs="宋体"/>
          <w:sz w:val="24"/>
          <w:szCs w:val="24"/>
          <w:highlight w:val="none"/>
        </w:rPr>
        <w:t>政府采购贷进行融资，通过“陕西省政府采购合同融资平台”（</w:t>
      </w:r>
      <w:r>
        <w:rPr>
          <w:highlight w:val="none"/>
        </w:rPr>
        <w:fldChar w:fldCharType="begin"/>
      </w:r>
      <w:r>
        <w:rPr>
          <w:highlight w:val="none"/>
        </w:rPr>
        <w:instrText xml:space="preserve"> HYPERLINK "http://www.ccgp" </w:instrText>
      </w:r>
      <w:r>
        <w:rPr>
          <w:highlight w:val="none"/>
        </w:rPr>
        <w:fldChar w:fldCharType="separate"/>
      </w:r>
      <w:r>
        <w:rPr>
          <w:rFonts w:ascii="宋体" w:hAnsi="宋体" w:eastAsia="宋体" w:cs="宋体"/>
          <w:sz w:val="24"/>
          <w:szCs w:val="24"/>
          <w:highlight w:val="none"/>
        </w:rPr>
        <w:t>http:/</w:t>
      </w:r>
      <w:r>
        <w:rPr>
          <w:rFonts w:ascii="宋体" w:hAnsi="宋体" w:eastAsia="宋体" w:cs="宋体"/>
          <w:spacing w:val="-1"/>
          <w:sz w:val="24"/>
          <w:szCs w:val="24"/>
          <w:highlight w:val="none"/>
        </w:rPr>
        <w:t>/www.ccgp</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shaanxi.gov.cn/）实施。</w:t>
      </w:r>
    </w:p>
    <w:p w14:paraId="38EAE1B9">
      <w:pPr>
        <w:spacing w:before="123" w:line="220" w:lineRule="auto"/>
        <w:ind w:left="19"/>
        <w:rPr>
          <w:rFonts w:ascii="宋体" w:hAnsi="宋体" w:eastAsia="宋体" w:cs="宋体"/>
          <w:sz w:val="24"/>
          <w:szCs w:val="24"/>
          <w:highlight w:val="none"/>
        </w:rPr>
      </w:pPr>
      <w:r>
        <w:rPr>
          <w:rFonts w:ascii="宋体" w:hAnsi="宋体" w:eastAsia="宋体" w:cs="宋体"/>
          <w:b/>
          <w:bCs/>
          <w:spacing w:val="-6"/>
          <w:sz w:val="24"/>
          <w:szCs w:val="24"/>
          <w:highlight w:val="none"/>
        </w:rPr>
        <w:t>13.2</w:t>
      </w:r>
      <w:r>
        <w:rPr>
          <w:rFonts w:ascii="宋体" w:hAnsi="宋体" w:eastAsia="宋体" w:cs="宋体"/>
          <w:spacing w:val="-43"/>
          <w:sz w:val="24"/>
          <w:szCs w:val="24"/>
          <w:highlight w:val="none"/>
        </w:rPr>
        <w:t xml:space="preserve"> </w:t>
      </w:r>
      <w:r>
        <w:rPr>
          <w:rFonts w:ascii="宋体" w:hAnsi="宋体" w:eastAsia="宋体" w:cs="宋体"/>
          <w:b/>
          <w:bCs/>
          <w:spacing w:val="-6"/>
          <w:sz w:val="24"/>
          <w:szCs w:val="24"/>
          <w:highlight w:val="none"/>
        </w:rPr>
        <w:t>招标代理服务费</w:t>
      </w:r>
    </w:p>
    <w:p w14:paraId="17DC59CB">
      <w:pPr>
        <w:spacing w:before="301" w:line="289" w:lineRule="auto"/>
        <w:ind w:left="6" w:firstLine="586"/>
        <w:rPr>
          <w:rFonts w:ascii="宋体" w:hAnsi="宋体" w:eastAsia="宋体" w:cs="宋体"/>
          <w:sz w:val="24"/>
          <w:szCs w:val="24"/>
          <w:highlight w:val="none"/>
        </w:rPr>
      </w:pPr>
      <w:r>
        <w:rPr>
          <w:rFonts w:ascii="宋体" w:hAnsi="宋体" w:eastAsia="宋体" w:cs="宋体"/>
          <w:spacing w:val="3"/>
          <w:sz w:val="24"/>
          <w:szCs w:val="24"/>
          <w:highlight w:val="none"/>
        </w:rPr>
        <w:t>13.2.1</w:t>
      </w:r>
      <w:r>
        <w:rPr>
          <w:rFonts w:ascii="宋体" w:hAnsi="宋体" w:eastAsia="宋体" w:cs="宋体"/>
          <w:spacing w:val="-34"/>
          <w:sz w:val="24"/>
          <w:szCs w:val="24"/>
          <w:highlight w:val="none"/>
        </w:rPr>
        <w:t xml:space="preserve"> </w:t>
      </w:r>
      <w:r>
        <w:rPr>
          <w:rFonts w:ascii="宋体" w:hAnsi="宋体" w:eastAsia="宋体" w:cs="宋体"/>
          <w:spacing w:val="3"/>
          <w:sz w:val="24"/>
          <w:szCs w:val="24"/>
          <w:highlight w:val="none"/>
        </w:rPr>
        <w:t>征集人与采购代理机构约定，由成交供应商支付招标代理服务费的，成</w:t>
      </w:r>
      <w:r>
        <w:rPr>
          <w:rFonts w:ascii="宋体" w:hAnsi="宋体" w:eastAsia="宋体" w:cs="宋体"/>
          <w:sz w:val="24"/>
          <w:szCs w:val="24"/>
          <w:highlight w:val="none"/>
        </w:rPr>
        <w:t>交供应商在领取《入围通知书》之前，应向</w:t>
      </w:r>
      <w:r>
        <w:rPr>
          <w:rFonts w:ascii="宋体" w:hAnsi="宋体" w:eastAsia="宋体" w:cs="宋体"/>
          <w:spacing w:val="-1"/>
          <w:sz w:val="24"/>
          <w:szCs w:val="24"/>
          <w:highlight w:val="none"/>
        </w:rPr>
        <w:t>采购代理机构交纳招标代理服务费。</w:t>
      </w:r>
    </w:p>
    <w:p w14:paraId="1763B456">
      <w:pPr>
        <w:spacing w:before="180" w:line="219" w:lineRule="auto"/>
        <w:ind w:left="593"/>
        <w:rPr>
          <w:rFonts w:ascii="宋体" w:hAnsi="宋体" w:eastAsia="宋体" w:cs="宋体"/>
          <w:sz w:val="24"/>
          <w:szCs w:val="24"/>
          <w:highlight w:val="none"/>
        </w:rPr>
      </w:pPr>
      <w:r>
        <w:rPr>
          <w:rFonts w:ascii="宋体" w:hAnsi="宋体" w:eastAsia="宋体" w:cs="宋体"/>
          <w:spacing w:val="-1"/>
          <w:sz w:val="24"/>
          <w:szCs w:val="24"/>
          <w:highlight w:val="none"/>
        </w:rPr>
        <w:t>13.2.2 招标代理服务费定额人民币叁仟元整 (￥3000.00 元）/家收取。</w:t>
      </w:r>
    </w:p>
    <w:p w14:paraId="16A39914">
      <w:pPr>
        <w:spacing w:before="182" w:line="290" w:lineRule="auto"/>
        <w:ind w:left="1" w:firstLine="591"/>
        <w:rPr>
          <w:rFonts w:ascii="宋体" w:hAnsi="宋体" w:eastAsia="宋体" w:cs="宋体"/>
          <w:sz w:val="24"/>
          <w:szCs w:val="24"/>
          <w:highlight w:val="none"/>
        </w:rPr>
      </w:pPr>
      <w:r>
        <w:rPr>
          <w:rFonts w:ascii="宋体" w:hAnsi="宋体" w:eastAsia="宋体" w:cs="宋体"/>
          <w:spacing w:val="7"/>
          <w:sz w:val="24"/>
          <w:szCs w:val="24"/>
          <w:highlight w:val="none"/>
        </w:rPr>
        <w:t>13.2.3 招标代理服务费，成交供应商可以采取现金或者支票、银行汇票、</w:t>
      </w:r>
      <w:r>
        <w:rPr>
          <w:rFonts w:ascii="宋体" w:hAnsi="宋体" w:eastAsia="宋体" w:cs="宋体"/>
          <w:spacing w:val="-62"/>
          <w:sz w:val="24"/>
          <w:szCs w:val="24"/>
          <w:highlight w:val="none"/>
        </w:rPr>
        <w:t xml:space="preserve"> </w:t>
      </w:r>
      <w:r>
        <w:rPr>
          <w:rFonts w:ascii="宋体" w:hAnsi="宋体" w:eastAsia="宋体" w:cs="宋体"/>
          <w:spacing w:val="7"/>
          <w:sz w:val="24"/>
          <w:szCs w:val="24"/>
          <w:highlight w:val="none"/>
        </w:rPr>
        <w:t>电</w:t>
      </w:r>
      <w:r>
        <w:rPr>
          <w:rFonts w:ascii="宋体" w:hAnsi="宋体" w:eastAsia="宋体" w:cs="宋体"/>
          <w:spacing w:val="-1"/>
          <w:sz w:val="24"/>
          <w:szCs w:val="24"/>
          <w:highlight w:val="none"/>
        </w:rPr>
        <w:t>汇、网银等金融机构转账方式交纳。</w:t>
      </w:r>
    </w:p>
    <w:p w14:paraId="3C9C8446">
      <w:pPr>
        <w:spacing w:before="181" w:line="220" w:lineRule="auto"/>
        <w:ind w:left="1037"/>
        <w:rPr>
          <w:rFonts w:ascii="宋体" w:hAnsi="宋体" w:eastAsia="宋体" w:cs="宋体"/>
          <w:sz w:val="24"/>
          <w:szCs w:val="24"/>
          <w:highlight w:val="none"/>
        </w:rPr>
      </w:pPr>
      <w:r>
        <w:rPr>
          <w:rFonts w:ascii="宋体" w:hAnsi="宋体" w:eastAsia="宋体" w:cs="宋体"/>
          <w:b/>
          <w:bCs/>
          <w:spacing w:val="-3"/>
          <w:sz w:val="24"/>
          <w:szCs w:val="24"/>
          <w:highlight w:val="none"/>
        </w:rPr>
        <w:t>招标代理服务费以转账或现金形式缴纳至以下账户：</w:t>
      </w:r>
    </w:p>
    <w:p w14:paraId="365342EE">
      <w:pPr>
        <w:spacing w:before="298" w:line="220" w:lineRule="auto"/>
        <w:ind w:left="19" w:firstLine="1155" w:firstLineChars="500"/>
        <w:rPr>
          <w:rFonts w:hint="eastAsia" w:ascii="宋体" w:hAnsi="宋体" w:eastAsia="宋体" w:cs="宋体"/>
          <w:b/>
          <w:bCs/>
          <w:spacing w:val="-5"/>
          <w:sz w:val="24"/>
          <w:szCs w:val="24"/>
          <w:highlight w:val="none"/>
        </w:rPr>
      </w:pPr>
      <w:r>
        <w:rPr>
          <w:rFonts w:hint="eastAsia" w:ascii="宋体" w:hAnsi="宋体" w:eastAsia="宋体" w:cs="宋体"/>
          <w:b/>
          <w:bCs/>
          <w:spacing w:val="-5"/>
          <w:sz w:val="24"/>
          <w:szCs w:val="24"/>
          <w:highlight w:val="none"/>
        </w:rPr>
        <w:t>①开户名称：陕西至诚项目管理集团有限公司</w:t>
      </w:r>
    </w:p>
    <w:p w14:paraId="3AB42EFC">
      <w:pPr>
        <w:spacing w:before="298" w:line="220" w:lineRule="auto"/>
        <w:ind w:left="19" w:firstLine="1155" w:firstLineChars="500"/>
        <w:rPr>
          <w:rFonts w:hint="eastAsia" w:ascii="宋体" w:hAnsi="宋体" w:eastAsia="宋体" w:cs="宋体"/>
          <w:b/>
          <w:bCs/>
          <w:spacing w:val="-5"/>
          <w:sz w:val="24"/>
          <w:szCs w:val="24"/>
          <w:highlight w:val="none"/>
        </w:rPr>
      </w:pPr>
      <w:r>
        <w:rPr>
          <w:rFonts w:hint="eastAsia" w:ascii="宋体" w:hAnsi="宋体" w:eastAsia="宋体" w:cs="宋体"/>
          <w:b/>
          <w:bCs/>
          <w:spacing w:val="-5"/>
          <w:sz w:val="24"/>
          <w:szCs w:val="24"/>
          <w:highlight w:val="none"/>
        </w:rPr>
        <w:t>②开户行：中国建设银行股份有限公司西安高新技术产业开发区支行</w:t>
      </w:r>
    </w:p>
    <w:p w14:paraId="455E99A9">
      <w:pPr>
        <w:spacing w:before="298" w:line="220" w:lineRule="auto"/>
        <w:ind w:left="19" w:firstLine="1155" w:firstLineChars="500"/>
        <w:rPr>
          <w:rFonts w:hint="eastAsia" w:ascii="宋体" w:hAnsi="宋体" w:eastAsia="宋体" w:cs="宋体"/>
          <w:b/>
          <w:bCs/>
          <w:spacing w:val="-5"/>
          <w:sz w:val="24"/>
          <w:szCs w:val="24"/>
          <w:highlight w:val="none"/>
        </w:rPr>
      </w:pPr>
      <w:r>
        <w:rPr>
          <w:rFonts w:hint="eastAsia" w:ascii="宋体" w:hAnsi="宋体" w:eastAsia="宋体" w:cs="宋体"/>
          <w:b/>
          <w:bCs/>
          <w:spacing w:val="-5"/>
          <w:sz w:val="24"/>
          <w:szCs w:val="24"/>
          <w:highlight w:val="none"/>
        </w:rPr>
        <w:t>③账号：61050192090000002152。</w:t>
      </w:r>
    </w:p>
    <w:p w14:paraId="08E8155A">
      <w:pPr>
        <w:spacing w:before="298" w:line="220" w:lineRule="auto"/>
        <w:rPr>
          <w:rFonts w:ascii="宋体" w:hAnsi="宋体" w:eastAsia="宋体" w:cs="宋体"/>
          <w:sz w:val="24"/>
          <w:szCs w:val="24"/>
          <w:highlight w:val="none"/>
        </w:rPr>
      </w:pPr>
      <w:r>
        <w:rPr>
          <w:rFonts w:ascii="宋体" w:hAnsi="宋体" w:eastAsia="宋体" w:cs="宋体"/>
          <w:b/>
          <w:bCs/>
          <w:spacing w:val="-5"/>
          <w:sz w:val="24"/>
          <w:szCs w:val="24"/>
          <w:highlight w:val="none"/>
        </w:rPr>
        <w:t>13.3</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录音录像</w:t>
      </w:r>
    </w:p>
    <w:p w14:paraId="174C4EC8">
      <w:pPr>
        <w:spacing w:before="302" w:line="360" w:lineRule="auto"/>
        <w:ind w:left="2" w:firstLine="478"/>
        <w:rPr>
          <w:rFonts w:ascii="宋体" w:hAnsi="宋体" w:eastAsia="宋体" w:cs="宋体"/>
          <w:sz w:val="24"/>
          <w:szCs w:val="24"/>
          <w:highlight w:val="none"/>
        </w:rPr>
      </w:pPr>
      <w:r>
        <w:rPr>
          <w:rFonts w:ascii="宋体" w:hAnsi="宋体" w:eastAsia="宋体" w:cs="宋体"/>
          <w:spacing w:val="9"/>
          <w:sz w:val="24"/>
          <w:szCs w:val="24"/>
          <w:highlight w:val="none"/>
        </w:rPr>
        <w:t>采购代理机构对开标、供应商资格审查和评标过程进行全程录音录像、文字记</w:t>
      </w:r>
      <w:r>
        <w:rPr>
          <w:rFonts w:ascii="宋体" w:hAnsi="宋体" w:eastAsia="宋体" w:cs="宋体"/>
          <w:spacing w:val="-2"/>
          <w:sz w:val="24"/>
          <w:szCs w:val="24"/>
          <w:highlight w:val="none"/>
        </w:rPr>
        <w:t>录，并存档备查。</w:t>
      </w:r>
    </w:p>
    <w:p w14:paraId="3C6F2A76">
      <w:pPr>
        <w:spacing w:before="117" w:line="220" w:lineRule="auto"/>
        <w:ind w:left="19"/>
        <w:rPr>
          <w:rFonts w:ascii="宋体" w:hAnsi="宋体" w:eastAsia="宋体" w:cs="宋体"/>
          <w:sz w:val="24"/>
          <w:szCs w:val="24"/>
          <w:highlight w:val="none"/>
        </w:rPr>
      </w:pPr>
      <w:r>
        <w:rPr>
          <w:rFonts w:ascii="宋体" w:hAnsi="宋体" w:eastAsia="宋体" w:cs="宋体"/>
          <w:b/>
          <w:bCs/>
          <w:spacing w:val="-6"/>
          <w:sz w:val="24"/>
          <w:szCs w:val="24"/>
          <w:highlight w:val="none"/>
        </w:rPr>
        <w:t>13.4</w:t>
      </w:r>
      <w:r>
        <w:rPr>
          <w:rFonts w:ascii="宋体" w:hAnsi="宋体" w:eastAsia="宋体" w:cs="宋体"/>
          <w:spacing w:val="-34"/>
          <w:sz w:val="24"/>
          <w:szCs w:val="24"/>
          <w:highlight w:val="none"/>
        </w:rPr>
        <w:t xml:space="preserve"> </w:t>
      </w:r>
      <w:r>
        <w:rPr>
          <w:rFonts w:ascii="宋体" w:hAnsi="宋体" w:eastAsia="宋体" w:cs="宋体"/>
          <w:b/>
          <w:bCs/>
          <w:spacing w:val="-6"/>
          <w:sz w:val="24"/>
          <w:szCs w:val="24"/>
          <w:highlight w:val="none"/>
        </w:rPr>
        <w:t>需要补充的其他内容</w:t>
      </w:r>
    </w:p>
    <w:p w14:paraId="0716B7C6">
      <w:pPr>
        <w:spacing w:before="301" w:line="359" w:lineRule="auto"/>
        <w:ind w:right="79" w:firstLine="499"/>
        <w:jc w:val="both"/>
        <w:rPr>
          <w:rFonts w:ascii="宋体" w:hAnsi="宋体" w:eastAsia="宋体" w:cs="宋体"/>
          <w:sz w:val="24"/>
          <w:szCs w:val="24"/>
          <w:highlight w:val="none"/>
        </w:rPr>
      </w:pPr>
      <w:r>
        <w:rPr>
          <w:rFonts w:ascii="宋体" w:hAnsi="宋体" w:eastAsia="宋体" w:cs="宋体"/>
          <w:spacing w:val="-1"/>
          <w:sz w:val="24"/>
          <w:szCs w:val="24"/>
          <w:highlight w:val="none"/>
        </w:rPr>
        <w:t>13.4.1 采购代理机构向征集人提交征集评审报告、征集人确定成交供应商、采</w:t>
      </w:r>
      <w:r>
        <w:rPr>
          <w:rFonts w:ascii="宋体" w:hAnsi="宋体" w:eastAsia="宋体" w:cs="宋体"/>
          <w:sz w:val="24"/>
          <w:szCs w:val="24"/>
          <w:highlight w:val="none"/>
        </w:rPr>
        <w:t>购代理机构发布中标公告和征集人或采购代理机构发出入围通知</w:t>
      </w:r>
      <w:r>
        <w:rPr>
          <w:rFonts w:ascii="宋体" w:hAnsi="宋体" w:eastAsia="宋体" w:cs="宋体"/>
          <w:spacing w:val="-1"/>
          <w:sz w:val="24"/>
          <w:szCs w:val="24"/>
          <w:highlight w:val="none"/>
        </w:rPr>
        <w:t>书的期限要求，均在</w:t>
      </w:r>
      <w:r>
        <w:rPr>
          <w:rFonts w:ascii="宋体" w:hAnsi="宋体" w:eastAsia="宋体" w:cs="宋体"/>
          <w:spacing w:val="-3"/>
          <w:sz w:val="24"/>
          <w:szCs w:val="24"/>
          <w:highlight w:val="none"/>
        </w:rPr>
        <w:t>法定期限要求基础上提前</w:t>
      </w:r>
      <w:r>
        <w:rPr>
          <w:rFonts w:ascii="宋体" w:hAnsi="宋体" w:eastAsia="宋体" w:cs="宋体"/>
          <w:spacing w:val="-27"/>
          <w:sz w:val="24"/>
          <w:szCs w:val="24"/>
          <w:highlight w:val="none"/>
        </w:rPr>
        <w:t xml:space="preserve"> </w:t>
      </w:r>
      <w:r>
        <w:rPr>
          <w:rFonts w:ascii="宋体" w:hAnsi="宋体" w:eastAsia="宋体" w:cs="宋体"/>
          <w:spacing w:val="-3"/>
          <w:sz w:val="24"/>
          <w:szCs w:val="24"/>
          <w:highlight w:val="none"/>
        </w:rPr>
        <w:t>1</w:t>
      </w:r>
      <w:r>
        <w:rPr>
          <w:rFonts w:ascii="宋体" w:hAnsi="宋体" w:eastAsia="宋体" w:cs="宋体"/>
          <w:spacing w:val="-51"/>
          <w:sz w:val="24"/>
          <w:szCs w:val="24"/>
          <w:highlight w:val="none"/>
        </w:rPr>
        <w:t xml:space="preserve"> </w:t>
      </w:r>
      <w:r>
        <w:rPr>
          <w:rFonts w:ascii="宋体" w:hAnsi="宋体" w:eastAsia="宋体" w:cs="宋体"/>
          <w:spacing w:val="-3"/>
          <w:sz w:val="24"/>
          <w:szCs w:val="24"/>
          <w:highlight w:val="none"/>
        </w:rPr>
        <w:t>个工作日。</w:t>
      </w:r>
    </w:p>
    <w:p w14:paraId="61E9A1D4">
      <w:pPr>
        <w:spacing w:before="1" w:line="219" w:lineRule="auto"/>
        <w:ind w:left="499"/>
        <w:outlineLvl w:val="0"/>
        <w:rPr>
          <w:rFonts w:ascii="宋体" w:hAnsi="宋体" w:eastAsia="宋体" w:cs="宋体"/>
          <w:sz w:val="24"/>
          <w:szCs w:val="24"/>
          <w:highlight w:val="none"/>
        </w:rPr>
      </w:pPr>
      <w:bookmarkStart w:id="13" w:name="_Toc4823"/>
      <w:bookmarkStart w:id="14" w:name="_Toc30232"/>
      <w:r>
        <w:rPr>
          <w:rFonts w:ascii="宋体" w:hAnsi="宋体" w:eastAsia="宋体" w:cs="宋体"/>
          <w:spacing w:val="-1"/>
          <w:sz w:val="24"/>
          <w:szCs w:val="24"/>
          <w:highlight w:val="none"/>
        </w:rPr>
        <w:t>13.4.2</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征集文件需要补充的其他内容</w:t>
      </w:r>
      <w:r>
        <w:rPr>
          <w:rFonts w:ascii="宋体" w:hAnsi="宋体" w:eastAsia="宋体" w:cs="宋体"/>
          <w:spacing w:val="-2"/>
          <w:sz w:val="24"/>
          <w:szCs w:val="24"/>
          <w:highlight w:val="none"/>
        </w:rPr>
        <w:t>见，供应商须知前附表。</w:t>
      </w:r>
      <w:bookmarkEnd w:id="13"/>
      <w:bookmarkEnd w:id="14"/>
    </w:p>
    <w:p w14:paraId="7D0BC4E2">
      <w:pPr>
        <w:spacing w:line="219" w:lineRule="auto"/>
        <w:rPr>
          <w:rFonts w:ascii="宋体" w:hAnsi="宋体" w:eastAsia="宋体" w:cs="宋体"/>
          <w:sz w:val="24"/>
          <w:szCs w:val="24"/>
          <w:highlight w:val="none"/>
        </w:rPr>
        <w:sectPr>
          <w:footerReference r:id="rId8" w:type="default"/>
          <w:pgSz w:w="11907" w:h="16840"/>
          <w:pgMar w:top="1426" w:right="1474" w:bottom="1199" w:left="1481" w:header="0" w:footer="984" w:gutter="0"/>
          <w:pgNumType w:fmt="decimal"/>
          <w:cols w:space="720" w:num="1"/>
        </w:sectPr>
      </w:pPr>
    </w:p>
    <w:p w14:paraId="46FC6B2F">
      <w:pPr>
        <w:spacing w:before="87" w:line="224" w:lineRule="auto"/>
        <w:ind w:left="2419"/>
        <w:outlineLvl w:val="0"/>
        <w:rPr>
          <w:rFonts w:ascii="宋体" w:hAnsi="宋体" w:eastAsia="宋体" w:cs="宋体"/>
          <w:sz w:val="42"/>
          <w:szCs w:val="42"/>
          <w:highlight w:val="none"/>
        </w:rPr>
      </w:pPr>
      <w:bookmarkStart w:id="15" w:name="bookmark3"/>
      <w:bookmarkEnd w:id="15"/>
      <w:bookmarkStart w:id="16" w:name="_Toc6926"/>
      <w:r>
        <w:rPr>
          <w:rFonts w:ascii="宋体" w:hAnsi="宋体" w:eastAsia="宋体" w:cs="宋体"/>
          <w:b/>
          <w:bCs/>
          <w:spacing w:val="5"/>
          <w:sz w:val="43"/>
          <w:szCs w:val="43"/>
          <w:highlight w:val="none"/>
        </w:rPr>
        <w:t>第三章</w:t>
      </w:r>
      <w:r>
        <w:rPr>
          <w:rFonts w:ascii="宋体" w:hAnsi="宋体" w:eastAsia="宋体" w:cs="宋体"/>
          <w:spacing w:val="5"/>
          <w:sz w:val="43"/>
          <w:szCs w:val="43"/>
          <w:highlight w:val="none"/>
        </w:rPr>
        <w:t xml:space="preserve"> </w:t>
      </w:r>
      <w:r>
        <w:rPr>
          <w:rFonts w:ascii="宋体" w:hAnsi="宋体" w:eastAsia="宋体" w:cs="宋体"/>
          <w:b/>
          <w:bCs/>
          <w:spacing w:val="5"/>
          <w:sz w:val="42"/>
          <w:szCs w:val="42"/>
          <w:highlight w:val="none"/>
        </w:rPr>
        <w:t>框架协议文本</w:t>
      </w:r>
      <w:bookmarkEnd w:id="16"/>
    </w:p>
    <w:p w14:paraId="1385EDFB">
      <w:pPr>
        <w:spacing w:before="19" w:line="220" w:lineRule="auto"/>
        <w:rPr>
          <w:rFonts w:ascii="宋体" w:hAnsi="宋体" w:eastAsia="宋体" w:cs="宋体"/>
          <w:sz w:val="24"/>
          <w:szCs w:val="24"/>
          <w:highlight w:val="none"/>
        </w:rPr>
      </w:pPr>
      <w:r>
        <w:rPr>
          <w:rFonts w:ascii="宋体" w:hAnsi="宋体" w:eastAsia="宋体" w:cs="宋体"/>
          <w:spacing w:val="-4"/>
          <w:sz w:val="24"/>
          <w:szCs w:val="24"/>
          <w:highlight w:val="none"/>
        </w:rPr>
        <w:t>注释：</w:t>
      </w:r>
    </w:p>
    <w:p w14:paraId="57C3118D">
      <w:pPr>
        <w:spacing w:before="181" w:line="360" w:lineRule="auto"/>
        <w:ind w:firstLine="480"/>
        <w:jc w:val="both"/>
        <w:rPr>
          <w:rFonts w:ascii="宋体" w:hAnsi="宋体" w:eastAsia="宋体" w:cs="宋体"/>
          <w:sz w:val="24"/>
          <w:szCs w:val="24"/>
          <w:highlight w:val="none"/>
        </w:rPr>
      </w:pPr>
      <w:r>
        <w:rPr>
          <w:rFonts w:ascii="宋体" w:hAnsi="宋体" w:eastAsia="宋体" w:cs="宋体"/>
          <w:sz w:val="24"/>
          <w:szCs w:val="24"/>
          <w:highlight w:val="none"/>
        </w:rPr>
        <w:t>本格式条款仅作为双方签订合同的参考，为阐明各方</w:t>
      </w:r>
      <w:r>
        <w:rPr>
          <w:rFonts w:ascii="宋体" w:hAnsi="宋体" w:eastAsia="宋体" w:cs="宋体"/>
          <w:spacing w:val="-1"/>
          <w:sz w:val="24"/>
          <w:szCs w:val="24"/>
          <w:highlight w:val="none"/>
        </w:rPr>
        <w:t>的权利和义务，经协商可增</w:t>
      </w:r>
      <w:r>
        <w:rPr>
          <w:rFonts w:ascii="宋体" w:hAnsi="宋体" w:eastAsia="宋体" w:cs="宋体"/>
          <w:sz w:val="24"/>
          <w:szCs w:val="24"/>
          <w:highlight w:val="none"/>
        </w:rPr>
        <w:t>加新的条款。合同的标的、价款、付款方式、质量、履行期</w:t>
      </w:r>
      <w:r>
        <w:rPr>
          <w:rFonts w:ascii="宋体" w:hAnsi="宋体" w:eastAsia="宋体" w:cs="宋体"/>
          <w:spacing w:val="-1"/>
          <w:sz w:val="24"/>
          <w:szCs w:val="24"/>
          <w:highlight w:val="none"/>
        </w:rPr>
        <w:t>限等主要条款应当与征集</w:t>
      </w:r>
      <w:r>
        <w:rPr>
          <w:rFonts w:ascii="宋体" w:hAnsi="宋体" w:eastAsia="宋体" w:cs="宋体"/>
          <w:sz w:val="24"/>
          <w:szCs w:val="24"/>
          <w:highlight w:val="none"/>
        </w:rPr>
        <w:t>文件和入围供应商的响应文件的内容一致，征集人和入围供</w:t>
      </w:r>
      <w:r>
        <w:rPr>
          <w:rFonts w:ascii="宋体" w:hAnsi="宋体" w:eastAsia="宋体" w:cs="宋体"/>
          <w:spacing w:val="-1"/>
          <w:sz w:val="24"/>
          <w:szCs w:val="24"/>
          <w:highlight w:val="none"/>
        </w:rPr>
        <w:t>应商不得再行订立背离合同实质性内容的其他协议。</w:t>
      </w:r>
    </w:p>
    <w:p w14:paraId="05E18CF9">
      <w:pPr>
        <w:spacing w:line="360" w:lineRule="auto"/>
        <w:rPr>
          <w:rFonts w:ascii="宋体" w:hAnsi="宋体" w:eastAsia="宋体" w:cs="宋体"/>
          <w:sz w:val="24"/>
          <w:szCs w:val="24"/>
          <w:highlight w:val="none"/>
        </w:rPr>
        <w:sectPr>
          <w:footerReference r:id="rId9" w:type="default"/>
          <w:pgSz w:w="11907" w:h="16840"/>
          <w:pgMar w:top="1417" w:right="1553" w:bottom="1199" w:left="1482" w:header="0" w:footer="984" w:gutter="0"/>
          <w:pgNumType w:fmt="decimal"/>
          <w:cols w:space="720" w:num="1"/>
        </w:sectPr>
      </w:pPr>
    </w:p>
    <w:p w14:paraId="2761BB00">
      <w:pPr>
        <w:spacing w:before="61" w:line="226" w:lineRule="auto"/>
        <w:ind w:left="2304"/>
        <w:rPr>
          <w:rFonts w:ascii="宋体" w:hAnsi="宋体" w:eastAsia="宋体" w:cs="宋体"/>
          <w:sz w:val="30"/>
          <w:szCs w:val="30"/>
          <w:highlight w:val="none"/>
        </w:rPr>
      </w:pPr>
      <w:r>
        <w:rPr>
          <w:rFonts w:ascii="宋体" w:hAnsi="宋体" w:eastAsia="宋体" w:cs="宋体"/>
          <w:b/>
          <w:bCs/>
          <w:spacing w:val="6"/>
          <w:sz w:val="30"/>
          <w:szCs w:val="30"/>
          <w:highlight w:val="none"/>
        </w:rPr>
        <w:t>政府采购框架协议文本（服务）</w:t>
      </w:r>
    </w:p>
    <w:p w14:paraId="782749A2">
      <w:pPr>
        <w:spacing w:before="225" w:line="214" w:lineRule="auto"/>
        <w:ind w:left="31"/>
        <w:rPr>
          <w:rFonts w:ascii="宋体" w:hAnsi="宋体" w:eastAsia="宋体" w:cs="宋体"/>
          <w:sz w:val="24"/>
          <w:szCs w:val="24"/>
          <w:highlight w:val="none"/>
        </w:rPr>
      </w:pPr>
      <w:r>
        <w:rPr>
          <w:rFonts w:ascii="宋体" w:hAnsi="宋体" w:eastAsia="宋体" w:cs="宋体"/>
          <w:spacing w:val="-1"/>
          <w:sz w:val="24"/>
          <w:szCs w:val="24"/>
          <w:highlight w:val="none"/>
        </w:rPr>
        <w:t>甲方</w:t>
      </w:r>
      <w:r>
        <w:rPr>
          <w:rFonts w:ascii="宋体" w:hAnsi="宋体" w:eastAsia="宋体" w:cs="宋体"/>
          <w:spacing w:val="-14"/>
          <w:sz w:val="24"/>
          <w:szCs w:val="24"/>
          <w:highlight w:val="none"/>
        </w:rPr>
        <w:t>：（</w:t>
      </w:r>
      <w:r>
        <w:rPr>
          <w:rFonts w:ascii="宋体" w:hAnsi="宋体" w:eastAsia="宋体" w:cs="宋体"/>
          <w:spacing w:val="-1"/>
          <w:sz w:val="24"/>
          <w:szCs w:val="24"/>
          <w:highlight w:val="none"/>
        </w:rPr>
        <w:t>征集人）_________</w:t>
      </w:r>
    </w:p>
    <w:p w14:paraId="1B0232E5">
      <w:pPr>
        <w:spacing w:before="187" w:line="214" w:lineRule="auto"/>
        <w:ind w:left="20"/>
        <w:rPr>
          <w:rFonts w:ascii="宋体" w:hAnsi="宋体" w:eastAsia="宋体" w:cs="宋体"/>
          <w:sz w:val="24"/>
          <w:szCs w:val="24"/>
          <w:highlight w:val="none"/>
        </w:rPr>
      </w:pPr>
      <w:r>
        <w:rPr>
          <w:rFonts w:ascii="宋体" w:hAnsi="宋体" w:eastAsia="宋体" w:cs="宋体"/>
          <w:sz w:val="24"/>
          <w:szCs w:val="24"/>
          <w:highlight w:val="none"/>
        </w:rPr>
        <w:t>乙方</w:t>
      </w:r>
      <w:r>
        <w:rPr>
          <w:rFonts w:ascii="宋体" w:hAnsi="宋体" w:eastAsia="宋体" w:cs="宋体"/>
          <w:spacing w:val="-16"/>
          <w:sz w:val="24"/>
          <w:szCs w:val="24"/>
          <w:highlight w:val="none"/>
        </w:rPr>
        <w:t>：（</w:t>
      </w:r>
      <w:r>
        <w:rPr>
          <w:rFonts w:ascii="宋体" w:hAnsi="宋体" w:eastAsia="宋体" w:cs="宋体"/>
          <w:sz w:val="24"/>
          <w:szCs w:val="24"/>
          <w:highlight w:val="none"/>
        </w:rPr>
        <w:t>入围供应商）_________</w:t>
      </w:r>
    </w:p>
    <w:p w14:paraId="0B8A7217">
      <w:pPr>
        <w:spacing w:before="187" w:line="360" w:lineRule="auto"/>
        <w:ind w:left="5" w:right="319" w:firstLine="506"/>
        <w:rPr>
          <w:rFonts w:ascii="宋体" w:hAnsi="宋体" w:eastAsia="宋体" w:cs="宋体"/>
          <w:sz w:val="24"/>
          <w:szCs w:val="24"/>
          <w:highlight w:val="none"/>
        </w:rPr>
      </w:pPr>
      <w:r>
        <w:rPr>
          <w:rFonts w:ascii="宋体" w:hAnsi="宋体" w:eastAsia="宋体" w:cs="宋体"/>
          <w:spacing w:val="-1"/>
          <w:sz w:val="24"/>
          <w:szCs w:val="24"/>
          <w:highlight w:val="none"/>
        </w:rPr>
        <w:t>甲、乙双方根据征集人</w:t>
      </w:r>
      <w:r>
        <w:rPr>
          <w:rFonts w:hint="eastAsia" w:ascii="宋体" w:hAnsi="宋体" w:eastAsia="宋体" w:cs="宋体"/>
          <w:spacing w:val="-1"/>
          <w:sz w:val="24"/>
          <w:szCs w:val="24"/>
          <w:highlight w:val="none"/>
          <w:lang w:eastAsia="zh-CN"/>
        </w:rPr>
        <w:t>富阎产业合作园区重点项目考古发掘劳务服务项</w:t>
      </w:r>
      <w:r>
        <w:rPr>
          <w:rFonts w:hint="eastAsia" w:ascii="宋体" w:hAnsi="宋体" w:eastAsia="宋体" w:cs="宋体"/>
          <w:spacing w:val="-1"/>
          <w:sz w:val="24"/>
          <w:szCs w:val="24"/>
          <w:highlight w:val="none"/>
          <w:lang w:val="en-US" w:eastAsia="zh-CN"/>
        </w:rPr>
        <w:t>目</w:t>
      </w:r>
      <w:r>
        <w:rPr>
          <w:rFonts w:ascii="宋体" w:hAnsi="宋体" w:eastAsia="宋体" w:cs="宋体"/>
          <w:spacing w:val="-2"/>
          <w:sz w:val="24"/>
          <w:szCs w:val="24"/>
          <w:highlight w:val="none"/>
        </w:rPr>
        <w:t>的结果，签署本文本。</w:t>
      </w:r>
    </w:p>
    <w:p w14:paraId="38561EE7">
      <w:pPr>
        <w:spacing w:before="1" w:line="219" w:lineRule="auto"/>
        <w:ind w:left="484"/>
        <w:rPr>
          <w:rFonts w:ascii="宋体" w:hAnsi="宋体" w:eastAsia="宋体" w:cs="宋体"/>
          <w:sz w:val="24"/>
          <w:szCs w:val="24"/>
          <w:highlight w:val="none"/>
        </w:rPr>
      </w:pPr>
      <w:r>
        <w:rPr>
          <w:rFonts w:ascii="宋体" w:hAnsi="宋体" w:eastAsia="宋体" w:cs="宋体"/>
          <w:b/>
          <w:bCs/>
          <w:spacing w:val="-4"/>
          <w:sz w:val="24"/>
          <w:szCs w:val="24"/>
          <w:highlight w:val="none"/>
        </w:rPr>
        <w:t>一、项目基本情况</w:t>
      </w:r>
    </w:p>
    <w:p w14:paraId="738DA34C">
      <w:pPr>
        <w:spacing w:before="181" w:line="219" w:lineRule="auto"/>
        <w:ind w:left="498"/>
        <w:rPr>
          <w:rFonts w:ascii="宋体" w:hAnsi="宋体" w:eastAsia="宋体" w:cs="宋体"/>
          <w:sz w:val="24"/>
          <w:szCs w:val="24"/>
          <w:highlight w:val="none"/>
        </w:rPr>
      </w:pPr>
      <w:r>
        <w:rPr>
          <w:rFonts w:ascii="宋体" w:hAnsi="宋体" w:eastAsia="宋体" w:cs="宋体"/>
          <w:spacing w:val="-2"/>
          <w:sz w:val="24"/>
          <w:szCs w:val="24"/>
          <w:highlight w:val="none"/>
        </w:rPr>
        <w:t>1.1 采购需求：见征集文件需求</w:t>
      </w:r>
    </w:p>
    <w:p w14:paraId="6973DA58">
      <w:pPr>
        <w:spacing w:before="182" w:line="219" w:lineRule="auto"/>
        <w:ind w:left="498"/>
        <w:rPr>
          <w:rFonts w:ascii="宋体" w:hAnsi="宋体" w:eastAsia="宋体" w:cs="宋体"/>
          <w:sz w:val="24"/>
          <w:szCs w:val="24"/>
          <w:highlight w:val="none"/>
        </w:rPr>
      </w:pPr>
      <w:r>
        <w:rPr>
          <w:rFonts w:ascii="宋体" w:hAnsi="宋体" w:eastAsia="宋体" w:cs="宋体"/>
          <w:spacing w:val="-2"/>
          <w:sz w:val="24"/>
          <w:szCs w:val="24"/>
          <w:highlight w:val="none"/>
        </w:rPr>
        <w:t>1.2 产品最高限制单价：见征集文件</w:t>
      </w:r>
    </w:p>
    <w:p w14:paraId="137CC94B">
      <w:pPr>
        <w:spacing w:before="182" w:line="219" w:lineRule="auto"/>
        <w:ind w:left="498"/>
        <w:rPr>
          <w:rFonts w:ascii="宋体" w:hAnsi="宋体" w:eastAsia="宋体" w:cs="宋体"/>
          <w:sz w:val="24"/>
          <w:szCs w:val="24"/>
          <w:highlight w:val="none"/>
        </w:rPr>
      </w:pPr>
      <w:r>
        <w:rPr>
          <w:rFonts w:ascii="宋体" w:hAnsi="宋体" w:eastAsia="宋体" w:cs="宋体"/>
          <w:spacing w:val="-1"/>
          <w:sz w:val="24"/>
          <w:szCs w:val="24"/>
          <w:highlight w:val="none"/>
        </w:rPr>
        <w:t>1.3 适用本次框架协议的征集人或服务</w:t>
      </w:r>
      <w:r>
        <w:rPr>
          <w:rFonts w:ascii="宋体" w:hAnsi="宋体" w:eastAsia="宋体" w:cs="宋体"/>
          <w:spacing w:val="-2"/>
          <w:sz w:val="24"/>
          <w:szCs w:val="24"/>
          <w:highlight w:val="none"/>
        </w:rPr>
        <w:t>对象范围：</w:t>
      </w:r>
    </w:p>
    <w:p w14:paraId="5D50629F">
      <w:pPr>
        <w:spacing w:before="182" w:line="221" w:lineRule="auto"/>
        <w:ind w:left="498"/>
        <w:rPr>
          <w:rFonts w:ascii="宋体" w:hAnsi="宋体" w:eastAsia="宋体" w:cs="宋体"/>
          <w:sz w:val="24"/>
          <w:szCs w:val="24"/>
          <w:highlight w:val="none"/>
        </w:rPr>
      </w:pPr>
      <w:r>
        <w:rPr>
          <w:rFonts w:ascii="宋体" w:hAnsi="宋体" w:eastAsia="宋体" w:cs="宋体"/>
          <w:spacing w:val="-2"/>
          <w:sz w:val="24"/>
          <w:szCs w:val="24"/>
          <w:highlight w:val="none"/>
        </w:rPr>
        <w:t>1.4 履行合同的地域范围：</w:t>
      </w:r>
    </w:p>
    <w:p w14:paraId="05C34155">
      <w:pPr>
        <w:spacing w:before="179" w:line="220" w:lineRule="auto"/>
        <w:ind w:left="484"/>
        <w:rPr>
          <w:rFonts w:ascii="宋体" w:hAnsi="宋体" w:eastAsia="宋体" w:cs="宋体"/>
          <w:sz w:val="24"/>
          <w:szCs w:val="24"/>
          <w:highlight w:val="none"/>
        </w:rPr>
      </w:pPr>
      <w:r>
        <w:rPr>
          <w:rFonts w:ascii="宋体" w:hAnsi="宋体" w:eastAsia="宋体" w:cs="宋体"/>
          <w:b/>
          <w:bCs/>
          <w:spacing w:val="-3"/>
          <w:sz w:val="24"/>
          <w:szCs w:val="24"/>
          <w:highlight w:val="none"/>
        </w:rPr>
        <w:t>二、第一阶段入围服务的相关信息</w:t>
      </w:r>
    </w:p>
    <w:p w14:paraId="559DDAE0">
      <w:pPr>
        <w:spacing w:before="182" w:line="219" w:lineRule="auto"/>
        <w:ind w:left="483"/>
        <w:rPr>
          <w:rFonts w:ascii="宋体" w:hAnsi="宋体" w:eastAsia="宋体" w:cs="宋体"/>
          <w:sz w:val="24"/>
          <w:szCs w:val="24"/>
          <w:highlight w:val="none"/>
        </w:rPr>
      </w:pPr>
      <w:r>
        <w:rPr>
          <w:rFonts w:ascii="宋体" w:hAnsi="宋体" w:eastAsia="宋体" w:cs="宋体"/>
          <w:spacing w:val="-1"/>
          <w:sz w:val="24"/>
          <w:szCs w:val="24"/>
          <w:highlight w:val="none"/>
        </w:rPr>
        <w:t>2.1 入围供应商相关信息：见响应文件</w:t>
      </w:r>
    </w:p>
    <w:p w14:paraId="1689C2B5">
      <w:pPr>
        <w:spacing w:before="181" w:line="220" w:lineRule="auto"/>
        <w:ind w:left="483"/>
        <w:rPr>
          <w:rFonts w:ascii="宋体" w:hAnsi="宋体" w:eastAsia="宋体" w:cs="宋体"/>
          <w:sz w:val="24"/>
          <w:szCs w:val="24"/>
          <w:highlight w:val="none"/>
        </w:rPr>
      </w:pPr>
      <w:r>
        <w:rPr>
          <w:rFonts w:ascii="宋体" w:hAnsi="宋体" w:eastAsia="宋体" w:cs="宋体"/>
          <w:spacing w:val="-1"/>
          <w:sz w:val="24"/>
          <w:szCs w:val="24"/>
          <w:highlight w:val="none"/>
        </w:rPr>
        <w:t>2.2 服务标准：见响应文件</w:t>
      </w:r>
    </w:p>
    <w:p w14:paraId="41626DEC">
      <w:pPr>
        <w:spacing w:before="182" w:line="289" w:lineRule="auto"/>
        <w:ind w:left="15" w:firstLine="470"/>
        <w:rPr>
          <w:rFonts w:ascii="宋体" w:hAnsi="宋体" w:eastAsia="宋体" w:cs="宋体"/>
          <w:sz w:val="24"/>
          <w:szCs w:val="24"/>
          <w:highlight w:val="none"/>
        </w:rPr>
      </w:pPr>
      <w:r>
        <w:rPr>
          <w:rFonts w:ascii="宋体" w:hAnsi="宋体" w:eastAsia="宋体" w:cs="宋体"/>
          <w:spacing w:val="4"/>
          <w:sz w:val="24"/>
          <w:szCs w:val="24"/>
          <w:highlight w:val="none"/>
        </w:rPr>
        <w:t xml:space="preserve">3.3 </w:t>
      </w:r>
      <w:r>
        <w:rPr>
          <w:rFonts w:hint="eastAsia" w:ascii="宋体" w:hAnsi="宋体" w:eastAsia="宋体" w:cs="宋体"/>
          <w:spacing w:val="4"/>
          <w:sz w:val="24"/>
          <w:szCs w:val="24"/>
          <w:highlight w:val="none"/>
          <w:lang w:val="en-US" w:eastAsia="zh-CN"/>
        </w:rPr>
        <w:t>报价</w:t>
      </w:r>
      <w:r>
        <w:rPr>
          <w:rFonts w:ascii="宋体" w:hAnsi="宋体" w:eastAsia="宋体" w:cs="宋体"/>
          <w:spacing w:val="4"/>
          <w:sz w:val="24"/>
          <w:szCs w:val="24"/>
          <w:highlight w:val="none"/>
        </w:rPr>
        <w:t>：</w:t>
      </w:r>
      <w:r>
        <w:rPr>
          <w:rFonts w:ascii="宋体" w:hAnsi="宋体" w:eastAsia="宋体" w:cs="宋体"/>
          <w:spacing w:val="4"/>
          <w:sz w:val="24"/>
          <w:szCs w:val="24"/>
          <w:highlight w:val="none"/>
          <w:u w:val="single" w:color="auto"/>
        </w:rPr>
        <w:t xml:space="preserve">        </w:t>
      </w:r>
      <w:r>
        <w:rPr>
          <w:rFonts w:ascii="宋体" w:hAnsi="宋体" w:eastAsia="宋体" w:cs="宋体"/>
          <w:spacing w:val="-101"/>
          <w:sz w:val="24"/>
          <w:szCs w:val="24"/>
          <w:highlight w:val="none"/>
        </w:rPr>
        <w:t xml:space="preserve"> </w:t>
      </w:r>
      <w:r>
        <w:rPr>
          <w:rFonts w:hint="eastAsia" w:ascii="宋体" w:hAnsi="宋体" w:eastAsia="宋体" w:cs="宋体"/>
          <w:spacing w:val="-101"/>
          <w:sz w:val="24"/>
          <w:szCs w:val="24"/>
          <w:highlight w:val="none"/>
          <w:lang w:val="en-US" w:eastAsia="zh-CN"/>
        </w:rPr>
        <w:t xml:space="preserve">  </w:t>
      </w:r>
      <w:r>
        <w:rPr>
          <w:rFonts w:ascii="宋体" w:hAnsi="宋体" w:eastAsia="宋体" w:cs="宋体"/>
          <w:spacing w:val="4"/>
          <w:sz w:val="24"/>
          <w:szCs w:val="24"/>
          <w:highlight w:val="none"/>
        </w:rPr>
        <w:t>（其中包括民工费、安保费、支护费等文物发掘工作</w:t>
      </w:r>
      <w:r>
        <w:rPr>
          <w:rFonts w:ascii="宋体" w:hAnsi="宋体" w:eastAsia="宋体" w:cs="宋体"/>
          <w:spacing w:val="-3"/>
          <w:sz w:val="24"/>
          <w:szCs w:val="24"/>
          <w:highlight w:val="none"/>
        </w:rPr>
        <w:t>除技术外的所有费用）</w:t>
      </w:r>
    </w:p>
    <w:p w14:paraId="5A6CC04A">
      <w:pPr>
        <w:spacing w:before="181" w:line="219" w:lineRule="auto"/>
        <w:ind w:left="483"/>
        <w:rPr>
          <w:rFonts w:ascii="宋体" w:hAnsi="宋体" w:eastAsia="宋体" w:cs="宋体"/>
          <w:sz w:val="24"/>
          <w:szCs w:val="24"/>
          <w:highlight w:val="none"/>
        </w:rPr>
      </w:pPr>
      <w:r>
        <w:rPr>
          <w:rFonts w:ascii="宋体" w:hAnsi="宋体" w:eastAsia="宋体" w:cs="宋体"/>
          <w:spacing w:val="-1"/>
          <w:sz w:val="24"/>
          <w:szCs w:val="24"/>
          <w:highlight w:val="none"/>
        </w:rPr>
        <w:t>最终的成交价按照第一阶段入围供应商所报单价的平均价作为合同单价</w:t>
      </w:r>
    </w:p>
    <w:p w14:paraId="5A7A4B73">
      <w:pPr>
        <w:spacing w:before="185" w:line="219" w:lineRule="auto"/>
        <w:ind w:left="480"/>
        <w:rPr>
          <w:rFonts w:ascii="宋体" w:hAnsi="宋体" w:eastAsia="宋体" w:cs="宋体"/>
          <w:sz w:val="24"/>
          <w:szCs w:val="24"/>
          <w:highlight w:val="none"/>
        </w:rPr>
      </w:pPr>
      <w:r>
        <w:rPr>
          <w:rFonts w:ascii="宋体" w:hAnsi="宋体" w:eastAsia="宋体" w:cs="宋体"/>
          <w:b/>
          <w:bCs/>
          <w:spacing w:val="-3"/>
          <w:sz w:val="24"/>
          <w:szCs w:val="24"/>
          <w:highlight w:val="none"/>
        </w:rPr>
        <w:t>三、确定第二阶段成交供应商的方式及说明</w:t>
      </w:r>
    </w:p>
    <w:p w14:paraId="701AEC14">
      <w:pPr>
        <w:spacing w:before="180" w:line="359" w:lineRule="auto"/>
        <w:ind w:right="79" w:firstLine="482"/>
        <w:rPr>
          <w:rFonts w:ascii="宋体" w:hAnsi="宋体" w:eastAsia="宋体" w:cs="宋体"/>
          <w:sz w:val="24"/>
          <w:szCs w:val="24"/>
          <w:highlight w:val="none"/>
        </w:rPr>
      </w:pPr>
      <w:r>
        <w:rPr>
          <w:rFonts w:ascii="宋体" w:hAnsi="宋体" w:eastAsia="宋体" w:cs="宋体"/>
          <w:sz w:val="24"/>
          <w:szCs w:val="24"/>
          <w:highlight w:val="none"/>
        </w:rPr>
        <w:t>征集人依据入围单价、质量以及服务方案、用户</w:t>
      </w:r>
      <w:r>
        <w:rPr>
          <w:rFonts w:ascii="宋体" w:hAnsi="宋体" w:eastAsia="宋体" w:cs="宋体"/>
          <w:spacing w:val="-1"/>
          <w:sz w:val="24"/>
          <w:szCs w:val="24"/>
          <w:highlight w:val="none"/>
        </w:rPr>
        <w:t>评价等因素，从第一阶段入围供应商中按照顺序轮候方式进行选定。</w:t>
      </w:r>
    </w:p>
    <w:p w14:paraId="3F191D73">
      <w:pPr>
        <w:spacing w:line="220" w:lineRule="auto"/>
        <w:ind w:left="503"/>
        <w:rPr>
          <w:rFonts w:ascii="宋体" w:hAnsi="宋体" w:eastAsia="宋体" w:cs="宋体"/>
          <w:sz w:val="24"/>
          <w:szCs w:val="24"/>
          <w:highlight w:val="none"/>
        </w:rPr>
      </w:pPr>
      <w:r>
        <w:rPr>
          <w:rFonts w:ascii="宋体" w:hAnsi="宋体" w:eastAsia="宋体" w:cs="宋体"/>
          <w:b/>
          <w:bCs/>
          <w:spacing w:val="-4"/>
          <w:sz w:val="24"/>
          <w:szCs w:val="24"/>
          <w:highlight w:val="none"/>
        </w:rPr>
        <w:t>四、资金支付方式、时间和条件</w:t>
      </w:r>
    </w:p>
    <w:p w14:paraId="4E7FCE62">
      <w:pPr>
        <w:spacing w:before="180" w:line="219" w:lineRule="auto"/>
        <w:ind w:left="510"/>
        <w:rPr>
          <w:rFonts w:ascii="宋体" w:hAnsi="宋体" w:eastAsia="宋体" w:cs="宋体"/>
          <w:sz w:val="24"/>
          <w:szCs w:val="24"/>
          <w:highlight w:val="none"/>
        </w:rPr>
      </w:pPr>
      <w:r>
        <w:rPr>
          <w:rFonts w:ascii="宋体" w:hAnsi="宋体" w:eastAsia="宋体" w:cs="宋体"/>
          <w:spacing w:val="-3"/>
          <w:sz w:val="24"/>
          <w:szCs w:val="24"/>
          <w:highlight w:val="none"/>
        </w:rPr>
        <w:t>由征集人和入围供应商按照合同约定执行。</w:t>
      </w:r>
    </w:p>
    <w:p w14:paraId="7019BCCB">
      <w:pPr>
        <w:spacing w:before="183" w:line="220" w:lineRule="auto"/>
        <w:ind w:left="484"/>
        <w:rPr>
          <w:rFonts w:ascii="宋体" w:hAnsi="宋体" w:eastAsia="宋体" w:cs="宋体"/>
          <w:sz w:val="24"/>
          <w:szCs w:val="24"/>
          <w:highlight w:val="none"/>
        </w:rPr>
      </w:pPr>
      <w:r>
        <w:rPr>
          <w:rFonts w:ascii="宋体" w:hAnsi="宋体" w:eastAsia="宋体" w:cs="宋体"/>
          <w:b/>
          <w:bCs/>
          <w:spacing w:val="-4"/>
          <w:sz w:val="24"/>
          <w:szCs w:val="24"/>
          <w:highlight w:val="none"/>
        </w:rPr>
        <w:t>五、框架协议期限</w:t>
      </w:r>
    </w:p>
    <w:p w14:paraId="5D914670">
      <w:pPr>
        <w:spacing w:before="183"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本框架协议合同履约期限为自合同签订之日起</w:t>
      </w:r>
      <w:r>
        <w:rPr>
          <w:rFonts w:hint="eastAsia" w:ascii="宋体" w:hAnsi="宋体" w:eastAsia="宋体" w:cs="宋体"/>
          <w:spacing w:val="-1"/>
          <w:sz w:val="24"/>
          <w:szCs w:val="24"/>
          <w:highlight w:val="none"/>
          <w:lang w:val="en-US" w:eastAsia="zh-CN"/>
        </w:rPr>
        <w:t>三</w:t>
      </w:r>
      <w:r>
        <w:rPr>
          <w:rFonts w:ascii="宋体" w:hAnsi="宋体" w:eastAsia="宋体" w:cs="宋体"/>
          <w:spacing w:val="-1"/>
          <w:sz w:val="24"/>
          <w:szCs w:val="24"/>
          <w:highlight w:val="none"/>
        </w:rPr>
        <w:t>年。</w:t>
      </w:r>
    </w:p>
    <w:p w14:paraId="2F95AE91">
      <w:pPr>
        <w:spacing w:before="181" w:line="219" w:lineRule="auto"/>
        <w:ind w:left="482"/>
        <w:rPr>
          <w:rFonts w:ascii="宋体" w:hAnsi="宋体" w:eastAsia="宋体" w:cs="宋体"/>
          <w:sz w:val="24"/>
          <w:szCs w:val="24"/>
          <w:highlight w:val="none"/>
        </w:rPr>
      </w:pPr>
      <w:r>
        <w:rPr>
          <w:rFonts w:ascii="宋体" w:hAnsi="宋体" w:eastAsia="宋体" w:cs="宋体"/>
          <w:b/>
          <w:bCs/>
          <w:spacing w:val="-3"/>
          <w:sz w:val="24"/>
          <w:szCs w:val="24"/>
          <w:highlight w:val="none"/>
        </w:rPr>
        <w:t>六、入围供应商的清退和补充规则</w:t>
      </w:r>
    </w:p>
    <w:p w14:paraId="0752211D">
      <w:pPr>
        <w:spacing w:before="181" w:line="313" w:lineRule="auto"/>
        <w:ind w:right="79" w:firstLine="486"/>
        <w:rPr>
          <w:rFonts w:ascii="宋体" w:hAnsi="宋体" w:eastAsia="宋体" w:cs="宋体"/>
          <w:sz w:val="24"/>
          <w:szCs w:val="24"/>
          <w:highlight w:val="none"/>
        </w:rPr>
      </w:pPr>
      <w:r>
        <w:rPr>
          <w:rFonts w:ascii="宋体" w:hAnsi="宋体" w:eastAsia="宋体" w:cs="宋体"/>
          <w:sz w:val="24"/>
          <w:szCs w:val="24"/>
          <w:highlight w:val="none"/>
        </w:rPr>
        <w:t>7.1 清退规则：入围供应商存在《政府采</w:t>
      </w:r>
      <w:r>
        <w:rPr>
          <w:rFonts w:ascii="宋体" w:hAnsi="宋体" w:eastAsia="宋体" w:cs="宋体"/>
          <w:spacing w:val="-1"/>
          <w:sz w:val="24"/>
          <w:szCs w:val="24"/>
          <w:highlight w:val="none"/>
        </w:rPr>
        <w:t>购框架协议采购方式管理暂行办法》第</w:t>
      </w:r>
      <w:r>
        <w:rPr>
          <w:rFonts w:ascii="宋体" w:hAnsi="宋体" w:eastAsia="宋体" w:cs="宋体"/>
          <w:sz w:val="24"/>
          <w:szCs w:val="24"/>
          <w:highlight w:val="none"/>
        </w:rPr>
        <w:t>十九条规定情形的，尚未签订框架协议的，取消其入围资格；</w:t>
      </w:r>
      <w:r>
        <w:rPr>
          <w:rFonts w:ascii="宋体" w:hAnsi="宋体" w:eastAsia="宋体" w:cs="宋体"/>
          <w:spacing w:val="-1"/>
          <w:sz w:val="24"/>
          <w:szCs w:val="24"/>
          <w:highlight w:val="none"/>
        </w:rPr>
        <w:t>已经签订框架协议的，解除与其签订的框架协议。</w:t>
      </w:r>
    </w:p>
    <w:p w14:paraId="3B5823A3">
      <w:pPr>
        <w:spacing w:before="179" w:line="290" w:lineRule="auto"/>
        <w:ind w:right="139" w:firstLine="485"/>
        <w:rPr>
          <w:rFonts w:ascii="宋体" w:hAnsi="宋体" w:eastAsia="宋体" w:cs="宋体"/>
          <w:sz w:val="24"/>
          <w:szCs w:val="24"/>
          <w:highlight w:val="none"/>
        </w:rPr>
      </w:pPr>
      <w:r>
        <w:rPr>
          <w:rFonts w:ascii="宋体" w:hAnsi="宋体" w:eastAsia="宋体" w:cs="宋体"/>
          <w:spacing w:val="-1"/>
          <w:sz w:val="24"/>
          <w:szCs w:val="24"/>
          <w:highlight w:val="none"/>
        </w:rPr>
        <w:t>7.2 补充规则：如出现剩余入围供应商不足入围供应商总数</w:t>
      </w:r>
      <w:r>
        <w:rPr>
          <w:rFonts w:ascii="宋体" w:hAnsi="宋体" w:eastAsia="宋体" w:cs="宋体"/>
          <w:spacing w:val="-39"/>
          <w:sz w:val="24"/>
          <w:szCs w:val="24"/>
          <w:highlight w:val="none"/>
        </w:rPr>
        <w:t xml:space="preserve"> </w:t>
      </w:r>
      <w:r>
        <w:rPr>
          <w:rFonts w:ascii="宋体" w:hAnsi="宋体" w:eastAsia="宋体" w:cs="宋体"/>
          <w:spacing w:val="-1"/>
          <w:sz w:val="24"/>
          <w:szCs w:val="24"/>
          <w:highlight w:val="none"/>
        </w:rPr>
        <w:t>70%且影响框架协议</w:t>
      </w:r>
      <w:r>
        <w:rPr>
          <w:rFonts w:ascii="宋体" w:hAnsi="宋体" w:eastAsia="宋体" w:cs="宋体"/>
          <w:sz w:val="24"/>
          <w:szCs w:val="24"/>
          <w:highlight w:val="none"/>
        </w:rPr>
        <w:t>执行的情形时，征集人报监管部门同意后，将进行补充征</w:t>
      </w:r>
      <w:r>
        <w:rPr>
          <w:rFonts w:ascii="宋体" w:hAnsi="宋体" w:eastAsia="宋体" w:cs="宋体"/>
          <w:spacing w:val="-1"/>
          <w:sz w:val="24"/>
          <w:szCs w:val="24"/>
          <w:highlight w:val="none"/>
        </w:rPr>
        <w:t>集供应商。补充征集的条</w:t>
      </w:r>
    </w:p>
    <w:p w14:paraId="1D909E68">
      <w:pPr>
        <w:spacing w:line="290" w:lineRule="auto"/>
        <w:rPr>
          <w:rFonts w:ascii="宋体" w:hAnsi="宋体" w:eastAsia="宋体" w:cs="宋体"/>
          <w:sz w:val="24"/>
          <w:szCs w:val="24"/>
          <w:highlight w:val="none"/>
        </w:rPr>
        <w:sectPr>
          <w:footerReference r:id="rId10" w:type="default"/>
          <w:pgSz w:w="11907" w:h="16840"/>
          <w:pgMar w:top="1424" w:right="1474" w:bottom="1199" w:left="1481" w:header="0" w:footer="984" w:gutter="0"/>
          <w:pgNumType w:fmt="decimal"/>
          <w:cols w:space="720" w:num="1"/>
        </w:sectPr>
      </w:pPr>
    </w:p>
    <w:p w14:paraId="363FF65C">
      <w:pPr>
        <w:spacing w:before="48" w:line="359" w:lineRule="auto"/>
        <w:ind w:left="3" w:right="239" w:hanging="3"/>
        <w:rPr>
          <w:rFonts w:ascii="宋体" w:hAnsi="宋体" w:eastAsia="宋体" w:cs="宋体"/>
          <w:sz w:val="24"/>
          <w:szCs w:val="24"/>
          <w:highlight w:val="none"/>
        </w:rPr>
      </w:pPr>
      <w:r>
        <w:rPr>
          <w:rFonts w:ascii="宋体" w:hAnsi="宋体" w:eastAsia="宋体" w:cs="宋体"/>
          <w:sz w:val="24"/>
          <w:szCs w:val="24"/>
          <w:highlight w:val="none"/>
        </w:rPr>
        <w:t>件、程序、评审方法和淘汰比例与初次征集相同。补充征集</w:t>
      </w:r>
      <w:r>
        <w:rPr>
          <w:rFonts w:ascii="宋体" w:hAnsi="宋体" w:eastAsia="宋体" w:cs="宋体"/>
          <w:spacing w:val="-1"/>
          <w:sz w:val="24"/>
          <w:szCs w:val="24"/>
          <w:highlight w:val="none"/>
        </w:rPr>
        <w:t>遵守原框架协议的有效期。补充征集期间，原框架协议继续履行。</w:t>
      </w:r>
    </w:p>
    <w:p w14:paraId="495907CC">
      <w:pPr>
        <w:spacing w:line="219" w:lineRule="auto"/>
        <w:ind w:left="480"/>
        <w:rPr>
          <w:rFonts w:ascii="宋体" w:hAnsi="宋体" w:eastAsia="宋体" w:cs="宋体"/>
          <w:sz w:val="24"/>
          <w:szCs w:val="24"/>
          <w:highlight w:val="none"/>
        </w:rPr>
      </w:pPr>
      <w:r>
        <w:rPr>
          <w:rFonts w:ascii="宋体" w:hAnsi="宋体" w:eastAsia="宋体" w:cs="宋体"/>
          <w:b/>
          <w:bCs/>
          <w:spacing w:val="-3"/>
          <w:sz w:val="24"/>
          <w:szCs w:val="24"/>
          <w:highlight w:val="none"/>
        </w:rPr>
        <w:t>七、采购合同文本</w:t>
      </w:r>
    </w:p>
    <w:p w14:paraId="1700570E">
      <w:pPr>
        <w:spacing w:before="183" w:line="219" w:lineRule="auto"/>
        <w:ind w:left="484"/>
        <w:rPr>
          <w:rFonts w:ascii="宋体" w:hAnsi="宋体" w:eastAsia="宋体" w:cs="宋体"/>
          <w:sz w:val="24"/>
          <w:szCs w:val="24"/>
          <w:highlight w:val="none"/>
        </w:rPr>
      </w:pPr>
      <w:r>
        <w:rPr>
          <w:rFonts w:ascii="宋体" w:hAnsi="宋体" w:eastAsia="宋体" w:cs="宋体"/>
          <w:spacing w:val="6"/>
          <w:sz w:val="24"/>
          <w:szCs w:val="24"/>
          <w:highlight w:val="none"/>
        </w:rPr>
        <w:t>见“框架协议文本附件</w:t>
      </w:r>
      <w:r>
        <w:rPr>
          <w:rFonts w:ascii="宋体" w:hAnsi="宋体" w:eastAsia="宋体" w:cs="宋体"/>
          <w:spacing w:val="-86"/>
          <w:sz w:val="24"/>
          <w:szCs w:val="24"/>
          <w:highlight w:val="none"/>
        </w:rPr>
        <w:t xml:space="preserve"> </w:t>
      </w:r>
      <w:r>
        <w:rPr>
          <w:rFonts w:ascii="宋体" w:hAnsi="宋体" w:eastAsia="宋体" w:cs="宋体"/>
          <w:spacing w:val="6"/>
          <w:sz w:val="24"/>
          <w:szCs w:val="24"/>
          <w:highlight w:val="none"/>
        </w:rPr>
        <w:t>”</w:t>
      </w:r>
    </w:p>
    <w:p w14:paraId="2B712B2D">
      <w:pPr>
        <w:spacing w:before="180" w:line="220" w:lineRule="auto"/>
        <w:ind w:left="484"/>
        <w:rPr>
          <w:rFonts w:ascii="宋体" w:hAnsi="宋体" w:eastAsia="宋体" w:cs="宋体"/>
          <w:sz w:val="24"/>
          <w:szCs w:val="24"/>
          <w:highlight w:val="none"/>
        </w:rPr>
      </w:pPr>
      <w:r>
        <w:rPr>
          <w:rFonts w:ascii="宋体" w:hAnsi="宋体" w:eastAsia="宋体" w:cs="宋体"/>
          <w:b/>
          <w:bCs/>
          <w:spacing w:val="-3"/>
          <w:sz w:val="24"/>
          <w:szCs w:val="24"/>
          <w:highlight w:val="none"/>
        </w:rPr>
        <w:t>八、甲乙双方的权利和义务</w:t>
      </w:r>
    </w:p>
    <w:p w14:paraId="73798429">
      <w:pPr>
        <w:spacing w:before="182" w:line="220" w:lineRule="auto"/>
        <w:ind w:left="481"/>
        <w:rPr>
          <w:rFonts w:ascii="宋体" w:hAnsi="宋体" w:eastAsia="宋体" w:cs="宋体"/>
          <w:sz w:val="24"/>
          <w:szCs w:val="24"/>
          <w:highlight w:val="none"/>
        </w:rPr>
      </w:pPr>
      <w:r>
        <w:rPr>
          <w:rFonts w:ascii="宋体" w:hAnsi="宋体" w:eastAsia="宋体" w:cs="宋体"/>
          <w:spacing w:val="-7"/>
          <w:sz w:val="24"/>
          <w:szCs w:val="24"/>
          <w:highlight w:val="none"/>
        </w:rPr>
        <w:t>8.1</w:t>
      </w:r>
      <w:r>
        <w:rPr>
          <w:rFonts w:ascii="宋体" w:hAnsi="宋体" w:eastAsia="宋体" w:cs="宋体"/>
          <w:spacing w:val="44"/>
          <w:sz w:val="24"/>
          <w:szCs w:val="24"/>
          <w:highlight w:val="none"/>
        </w:rPr>
        <w:t xml:space="preserve"> </w:t>
      </w:r>
      <w:r>
        <w:rPr>
          <w:rFonts w:ascii="宋体" w:hAnsi="宋体" w:eastAsia="宋体" w:cs="宋体"/>
          <w:spacing w:val="-7"/>
          <w:sz w:val="24"/>
          <w:szCs w:val="24"/>
          <w:highlight w:val="none"/>
        </w:rPr>
        <w:t>甲方的权利</w:t>
      </w:r>
    </w:p>
    <w:p w14:paraId="1F4934FB">
      <w:pPr>
        <w:spacing w:before="179"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（1）确定框架协议采购需求。</w:t>
      </w:r>
    </w:p>
    <w:p w14:paraId="5F37FBED">
      <w:pPr>
        <w:spacing w:before="182"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（2）确定入围供应商的单价</w:t>
      </w:r>
    </w:p>
    <w:p w14:paraId="517695B6">
      <w:pPr>
        <w:spacing w:before="184" w:line="220"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（3）确定框架协议有限期。</w:t>
      </w:r>
    </w:p>
    <w:p w14:paraId="71F56904">
      <w:pPr>
        <w:spacing w:before="180" w:line="289" w:lineRule="auto"/>
        <w:ind w:right="119" w:firstLine="491"/>
        <w:rPr>
          <w:rFonts w:ascii="宋体" w:hAnsi="宋体" w:eastAsia="宋体" w:cs="宋体"/>
          <w:sz w:val="24"/>
          <w:szCs w:val="24"/>
          <w:highlight w:val="none"/>
        </w:rPr>
      </w:pPr>
      <w:r>
        <w:rPr>
          <w:rFonts w:ascii="宋体" w:hAnsi="宋体" w:eastAsia="宋体" w:cs="宋体"/>
          <w:spacing w:val="-1"/>
          <w:sz w:val="24"/>
          <w:szCs w:val="24"/>
          <w:highlight w:val="none"/>
        </w:rPr>
        <w:t>（4）制定统一的采购合同文本供征集人、供应商使用，并明确要求征集人、供应商不得擅自改变框架协议约定的合同实质性条款。</w:t>
      </w:r>
    </w:p>
    <w:p w14:paraId="71FE85C7">
      <w:pPr>
        <w:spacing w:before="181" w:line="290" w:lineRule="auto"/>
        <w:ind w:left="6" w:right="119" w:firstLine="485"/>
        <w:rPr>
          <w:rFonts w:ascii="宋体" w:hAnsi="宋体" w:eastAsia="宋体" w:cs="宋体"/>
          <w:sz w:val="24"/>
          <w:szCs w:val="24"/>
          <w:highlight w:val="none"/>
        </w:rPr>
      </w:pPr>
      <w:r>
        <w:rPr>
          <w:rFonts w:ascii="宋体" w:hAnsi="宋体" w:eastAsia="宋体" w:cs="宋体"/>
          <w:spacing w:val="-1"/>
          <w:sz w:val="24"/>
          <w:szCs w:val="24"/>
          <w:highlight w:val="none"/>
        </w:rPr>
        <w:t>（5）乙方存在《政府采购框架协议采购方式管理暂行办法》第十九条第一款规定的情形时，取消入围供应商的入围资格，或解除与其签订的框架协议。</w:t>
      </w:r>
    </w:p>
    <w:p w14:paraId="675FD7F9">
      <w:pPr>
        <w:spacing w:before="181" w:line="220"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（6）在框架协议期内，随时对乙方履约情况进行检查。</w:t>
      </w:r>
    </w:p>
    <w:p w14:paraId="4D3465AC">
      <w:pPr>
        <w:spacing w:before="182" w:line="220" w:lineRule="auto"/>
        <w:ind w:left="481"/>
        <w:rPr>
          <w:rFonts w:ascii="宋体" w:hAnsi="宋体" w:eastAsia="宋体" w:cs="宋体"/>
          <w:sz w:val="24"/>
          <w:szCs w:val="24"/>
          <w:highlight w:val="none"/>
        </w:rPr>
      </w:pPr>
      <w:r>
        <w:rPr>
          <w:rFonts w:ascii="宋体" w:hAnsi="宋体" w:eastAsia="宋体" w:cs="宋体"/>
          <w:spacing w:val="-7"/>
          <w:sz w:val="24"/>
          <w:szCs w:val="24"/>
          <w:highlight w:val="none"/>
        </w:rPr>
        <w:t>8.2</w:t>
      </w:r>
      <w:r>
        <w:rPr>
          <w:rFonts w:ascii="宋体" w:hAnsi="宋体" w:eastAsia="宋体" w:cs="宋体"/>
          <w:spacing w:val="44"/>
          <w:sz w:val="24"/>
          <w:szCs w:val="24"/>
          <w:highlight w:val="none"/>
        </w:rPr>
        <w:t xml:space="preserve"> </w:t>
      </w:r>
      <w:r>
        <w:rPr>
          <w:rFonts w:ascii="宋体" w:hAnsi="宋体" w:eastAsia="宋体" w:cs="宋体"/>
          <w:spacing w:val="-7"/>
          <w:sz w:val="24"/>
          <w:szCs w:val="24"/>
          <w:highlight w:val="none"/>
        </w:rPr>
        <w:t>甲方的义务</w:t>
      </w:r>
    </w:p>
    <w:p w14:paraId="4667236E">
      <w:pPr>
        <w:spacing w:before="180"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（1）为第二阶段合同授予提供工作便利。</w:t>
      </w:r>
    </w:p>
    <w:p w14:paraId="2C12D7D8">
      <w:pPr>
        <w:spacing w:before="182"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（2）对第二阶段单价和需求标准执行情况进行管理。</w:t>
      </w:r>
    </w:p>
    <w:p w14:paraId="16B4E16E">
      <w:pPr>
        <w:spacing w:before="182"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（3）对第二阶段确定成交供应商情况进行管理。</w:t>
      </w:r>
    </w:p>
    <w:p w14:paraId="7A37A3C4">
      <w:pPr>
        <w:spacing w:before="185" w:line="312" w:lineRule="auto"/>
        <w:ind w:left="1" w:firstLine="490"/>
        <w:rPr>
          <w:rFonts w:ascii="宋体" w:hAnsi="宋体" w:eastAsia="宋体" w:cs="宋体"/>
          <w:sz w:val="24"/>
          <w:szCs w:val="24"/>
          <w:highlight w:val="none"/>
        </w:rPr>
      </w:pPr>
      <w:r>
        <w:rPr>
          <w:rFonts w:ascii="宋体" w:hAnsi="宋体" w:eastAsia="宋体" w:cs="宋体"/>
          <w:spacing w:val="-1"/>
          <w:sz w:val="24"/>
          <w:szCs w:val="24"/>
          <w:highlight w:val="none"/>
        </w:rPr>
        <w:t>（4）建立用户反馈和评价机制，接受征集人和服务对象对入围供应商履行框架</w:t>
      </w:r>
      <w:r>
        <w:rPr>
          <w:rFonts w:ascii="宋体" w:hAnsi="宋体" w:eastAsia="宋体" w:cs="宋体"/>
          <w:sz w:val="24"/>
          <w:szCs w:val="24"/>
          <w:highlight w:val="none"/>
        </w:rPr>
        <w:t>协议和采购合同情况的反馈与评价，并将用户反馈和评价</w:t>
      </w:r>
      <w:r>
        <w:rPr>
          <w:rFonts w:ascii="宋体" w:hAnsi="宋体" w:eastAsia="宋体" w:cs="宋体"/>
          <w:spacing w:val="-1"/>
          <w:sz w:val="24"/>
          <w:szCs w:val="24"/>
          <w:highlight w:val="none"/>
        </w:rPr>
        <w:t>情况向征集人和服务对象公开，作为第二阶段直接选定成交供应商的参考。</w:t>
      </w:r>
    </w:p>
    <w:p w14:paraId="26317812">
      <w:pPr>
        <w:spacing w:before="180" w:line="220"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（5）公开封闭式框架协议的第二阶段成交结果。</w:t>
      </w:r>
    </w:p>
    <w:p w14:paraId="13F5A11D">
      <w:pPr>
        <w:spacing w:before="183"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（6）办理入围供应商清退和补充相关事宜。</w:t>
      </w:r>
    </w:p>
    <w:p w14:paraId="71A5A7C4">
      <w:pPr>
        <w:spacing w:before="184" w:line="289" w:lineRule="auto"/>
        <w:ind w:right="119" w:firstLine="491"/>
        <w:rPr>
          <w:rFonts w:ascii="宋体" w:hAnsi="宋体" w:eastAsia="宋体" w:cs="宋体"/>
          <w:sz w:val="24"/>
          <w:szCs w:val="24"/>
          <w:highlight w:val="none"/>
        </w:rPr>
      </w:pPr>
      <w:r>
        <w:rPr>
          <w:rFonts w:ascii="宋体" w:hAnsi="宋体" w:eastAsia="宋体" w:cs="宋体"/>
          <w:spacing w:val="-1"/>
          <w:sz w:val="24"/>
          <w:szCs w:val="24"/>
          <w:highlight w:val="none"/>
        </w:rPr>
        <w:t>（7）建立真实完整的框架协议采购档案，妥善保存每项采购活动的采购文件资</w:t>
      </w:r>
      <w:r>
        <w:rPr>
          <w:rFonts w:ascii="宋体" w:hAnsi="宋体" w:eastAsia="宋体" w:cs="宋体"/>
          <w:spacing w:val="-5"/>
          <w:sz w:val="24"/>
          <w:szCs w:val="24"/>
          <w:highlight w:val="none"/>
        </w:rPr>
        <w:t>料。</w:t>
      </w:r>
    </w:p>
    <w:p w14:paraId="1DE7980E">
      <w:pPr>
        <w:spacing w:before="178" w:line="220" w:lineRule="auto"/>
        <w:ind w:left="481"/>
        <w:rPr>
          <w:rFonts w:ascii="宋体" w:hAnsi="宋体" w:eastAsia="宋体" w:cs="宋体"/>
          <w:sz w:val="24"/>
          <w:szCs w:val="24"/>
          <w:highlight w:val="none"/>
        </w:rPr>
      </w:pPr>
      <w:r>
        <w:rPr>
          <w:rFonts w:ascii="宋体" w:hAnsi="宋体" w:eastAsia="宋体" w:cs="宋体"/>
          <w:spacing w:val="-5"/>
          <w:sz w:val="24"/>
          <w:szCs w:val="24"/>
          <w:highlight w:val="none"/>
        </w:rPr>
        <w:t>8.3</w:t>
      </w:r>
      <w:r>
        <w:rPr>
          <w:rFonts w:ascii="宋体" w:hAnsi="宋体" w:eastAsia="宋体" w:cs="宋体"/>
          <w:spacing w:val="29"/>
          <w:sz w:val="24"/>
          <w:szCs w:val="24"/>
          <w:highlight w:val="none"/>
        </w:rPr>
        <w:t xml:space="preserve"> </w:t>
      </w:r>
      <w:r>
        <w:rPr>
          <w:rFonts w:ascii="宋体" w:hAnsi="宋体" w:eastAsia="宋体" w:cs="宋体"/>
          <w:spacing w:val="-5"/>
          <w:sz w:val="24"/>
          <w:szCs w:val="24"/>
          <w:highlight w:val="none"/>
        </w:rPr>
        <w:t>乙方的权利</w:t>
      </w:r>
    </w:p>
    <w:p w14:paraId="3E340A1D">
      <w:pPr>
        <w:spacing w:before="183"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（1）乙方具有为征集人供货及提供相关服务的资格。</w:t>
      </w:r>
    </w:p>
    <w:p w14:paraId="395AC3FD">
      <w:pPr>
        <w:spacing w:before="180" w:line="290" w:lineRule="auto"/>
        <w:ind w:left="4" w:right="119" w:firstLine="487"/>
        <w:rPr>
          <w:rFonts w:ascii="宋体" w:hAnsi="宋体" w:eastAsia="宋体" w:cs="宋体"/>
          <w:sz w:val="24"/>
          <w:szCs w:val="24"/>
          <w:highlight w:val="none"/>
        </w:rPr>
      </w:pPr>
      <w:r>
        <w:rPr>
          <w:rFonts w:ascii="宋体" w:hAnsi="宋体" w:eastAsia="宋体" w:cs="宋体"/>
          <w:spacing w:val="-1"/>
          <w:sz w:val="24"/>
          <w:szCs w:val="24"/>
          <w:highlight w:val="none"/>
        </w:rPr>
        <w:t>（2）乙方有权拒绝征集人提出的以本次框架协议采购名义购买非入围产品或满足征集人超出响应承诺以外的其他要求。</w:t>
      </w:r>
    </w:p>
    <w:p w14:paraId="4251CE30">
      <w:pPr>
        <w:spacing w:line="290" w:lineRule="auto"/>
        <w:rPr>
          <w:rFonts w:ascii="宋体" w:hAnsi="宋体" w:eastAsia="宋体" w:cs="宋体"/>
          <w:sz w:val="24"/>
          <w:szCs w:val="24"/>
          <w:highlight w:val="none"/>
        </w:rPr>
        <w:sectPr>
          <w:footerReference r:id="rId11" w:type="default"/>
          <w:pgSz w:w="11907" w:h="16840"/>
          <w:pgMar w:top="1426" w:right="1553" w:bottom="1199" w:left="1481" w:header="0" w:footer="984" w:gutter="0"/>
          <w:pgNumType w:fmt="decimal"/>
          <w:cols w:space="720" w:num="1"/>
        </w:sectPr>
      </w:pPr>
    </w:p>
    <w:p w14:paraId="551A42F6">
      <w:pPr>
        <w:spacing w:before="48" w:line="359" w:lineRule="auto"/>
        <w:ind w:left="3" w:right="119" w:firstLine="487"/>
        <w:rPr>
          <w:rFonts w:ascii="宋体" w:hAnsi="宋体" w:eastAsia="宋体" w:cs="宋体"/>
          <w:sz w:val="24"/>
          <w:szCs w:val="24"/>
          <w:highlight w:val="none"/>
        </w:rPr>
      </w:pPr>
      <w:r>
        <w:rPr>
          <w:rFonts w:ascii="宋体" w:hAnsi="宋体" w:eastAsia="宋体" w:cs="宋体"/>
          <w:spacing w:val="-1"/>
          <w:sz w:val="24"/>
          <w:szCs w:val="24"/>
          <w:highlight w:val="none"/>
        </w:rPr>
        <w:t>（3）对征集人在文物发掘过程中的不正当要求和违规行为进行投诉，并要求有</w:t>
      </w:r>
      <w:r>
        <w:rPr>
          <w:rFonts w:ascii="宋体" w:hAnsi="宋体" w:eastAsia="宋体" w:cs="宋体"/>
          <w:spacing w:val="-2"/>
          <w:sz w:val="24"/>
          <w:szCs w:val="24"/>
          <w:highlight w:val="none"/>
        </w:rPr>
        <w:t>关部门做出处理。</w:t>
      </w:r>
    </w:p>
    <w:p w14:paraId="12E40CC0">
      <w:pPr>
        <w:spacing w:line="220" w:lineRule="auto"/>
        <w:ind w:left="480"/>
        <w:rPr>
          <w:rFonts w:ascii="宋体" w:hAnsi="宋体" w:eastAsia="宋体" w:cs="宋体"/>
          <w:sz w:val="24"/>
          <w:szCs w:val="24"/>
          <w:highlight w:val="none"/>
        </w:rPr>
      </w:pPr>
      <w:r>
        <w:rPr>
          <w:rFonts w:ascii="宋体" w:hAnsi="宋体" w:eastAsia="宋体" w:cs="宋体"/>
          <w:spacing w:val="-5"/>
          <w:sz w:val="24"/>
          <w:szCs w:val="24"/>
          <w:highlight w:val="none"/>
        </w:rPr>
        <w:t>8.4</w:t>
      </w:r>
      <w:r>
        <w:rPr>
          <w:rFonts w:ascii="宋体" w:hAnsi="宋体" w:eastAsia="宋体" w:cs="宋体"/>
          <w:spacing w:val="29"/>
          <w:sz w:val="24"/>
          <w:szCs w:val="24"/>
          <w:highlight w:val="none"/>
        </w:rPr>
        <w:t xml:space="preserve"> </w:t>
      </w:r>
      <w:r>
        <w:rPr>
          <w:rFonts w:ascii="宋体" w:hAnsi="宋体" w:eastAsia="宋体" w:cs="宋体"/>
          <w:spacing w:val="-5"/>
          <w:sz w:val="24"/>
          <w:szCs w:val="24"/>
          <w:highlight w:val="none"/>
        </w:rPr>
        <w:t>乙方的义务</w:t>
      </w:r>
    </w:p>
    <w:p w14:paraId="0F9FD7A4">
      <w:pPr>
        <w:spacing w:before="181" w:line="289" w:lineRule="auto"/>
        <w:ind w:right="119" w:firstLine="490"/>
        <w:rPr>
          <w:rFonts w:ascii="宋体" w:hAnsi="宋体" w:eastAsia="宋体" w:cs="宋体"/>
          <w:sz w:val="24"/>
          <w:szCs w:val="24"/>
          <w:highlight w:val="none"/>
        </w:rPr>
      </w:pPr>
      <w:r>
        <w:rPr>
          <w:rFonts w:ascii="宋体" w:hAnsi="宋体" w:eastAsia="宋体" w:cs="宋体"/>
          <w:spacing w:val="-1"/>
          <w:sz w:val="24"/>
          <w:szCs w:val="24"/>
          <w:highlight w:val="none"/>
        </w:rPr>
        <w:t>（1）严格执行国家法律法规，严格按照响应文件承诺的单价和服务履约，遵守</w:t>
      </w:r>
      <w:r>
        <w:rPr>
          <w:rFonts w:ascii="宋体" w:hAnsi="宋体" w:eastAsia="宋体" w:cs="宋体"/>
          <w:spacing w:val="-2"/>
          <w:sz w:val="24"/>
          <w:szCs w:val="24"/>
          <w:highlight w:val="none"/>
        </w:rPr>
        <w:t>本合同条款。</w:t>
      </w:r>
    </w:p>
    <w:p w14:paraId="7EA17739">
      <w:pPr>
        <w:spacing w:before="181" w:line="313" w:lineRule="auto"/>
        <w:ind w:firstLine="491"/>
        <w:rPr>
          <w:rFonts w:ascii="宋体" w:hAnsi="宋体" w:eastAsia="宋体" w:cs="宋体"/>
          <w:sz w:val="24"/>
          <w:szCs w:val="24"/>
          <w:highlight w:val="none"/>
        </w:rPr>
      </w:pPr>
      <w:r>
        <w:rPr>
          <w:rFonts w:ascii="宋体" w:hAnsi="宋体" w:eastAsia="宋体" w:cs="宋体"/>
          <w:spacing w:val="-1"/>
          <w:sz w:val="24"/>
          <w:szCs w:val="24"/>
          <w:highlight w:val="none"/>
        </w:rPr>
        <w:t>（2）乙方如委托分公司代其接受征集人合同授予并履行采购合同，在签订框架</w:t>
      </w:r>
      <w:r>
        <w:rPr>
          <w:rFonts w:ascii="宋体" w:hAnsi="宋体" w:eastAsia="宋体" w:cs="宋体"/>
          <w:sz w:val="24"/>
          <w:szCs w:val="24"/>
          <w:highlight w:val="none"/>
        </w:rPr>
        <w:t>协议时需提供委托代理协议和分公司名单，作为框架协议的</w:t>
      </w:r>
      <w:r>
        <w:rPr>
          <w:rFonts w:ascii="宋体" w:hAnsi="宋体" w:eastAsia="宋体" w:cs="宋体"/>
          <w:spacing w:val="-1"/>
          <w:sz w:val="24"/>
          <w:szCs w:val="24"/>
          <w:highlight w:val="none"/>
        </w:rPr>
        <w:t>附件。乙方委托的分公司应当具有履行合同的能力。</w:t>
      </w:r>
    </w:p>
    <w:p w14:paraId="2C87DE42">
      <w:pPr>
        <w:spacing w:before="182" w:line="288" w:lineRule="auto"/>
        <w:ind w:right="119" w:firstLine="491"/>
        <w:rPr>
          <w:rFonts w:ascii="宋体" w:hAnsi="宋体" w:eastAsia="宋体" w:cs="宋体"/>
          <w:sz w:val="24"/>
          <w:szCs w:val="24"/>
          <w:highlight w:val="none"/>
        </w:rPr>
      </w:pPr>
      <w:r>
        <w:rPr>
          <w:rFonts w:ascii="宋体" w:hAnsi="宋体" w:eastAsia="宋体" w:cs="宋体"/>
          <w:spacing w:val="-1"/>
          <w:sz w:val="24"/>
          <w:szCs w:val="24"/>
          <w:highlight w:val="none"/>
        </w:rPr>
        <w:t>（3）随时接受并配合甲方的监督检查，并配合财政部门对征集人和其他入围供</w:t>
      </w:r>
      <w:r>
        <w:rPr>
          <w:rFonts w:ascii="宋体" w:hAnsi="宋体" w:eastAsia="宋体" w:cs="宋体"/>
          <w:sz w:val="24"/>
          <w:szCs w:val="24"/>
          <w:highlight w:val="none"/>
        </w:rPr>
        <w:t>应商对框架协议执行情况进行监督，发现违规违约情形的</w:t>
      </w:r>
      <w:r>
        <w:rPr>
          <w:rFonts w:ascii="宋体" w:hAnsi="宋体" w:eastAsia="宋体" w:cs="宋体"/>
          <w:spacing w:val="-1"/>
          <w:sz w:val="24"/>
          <w:szCs w:val="24"/>
          <w:highlight w:val="none"/>
        </w:rPr>
        <w:t>，及时向财政部门报告。</w:t>
      </w:r>
    </w:p>
    <w:p w14:paraId="5D7E5701">
      <w:pPr>
        <w:spacing w:before="181" w:line="290" w:lineRule="auto"/>
        <w:ind w:left="1" w:right="119" w:firstLine="489"/>
        <w:rPr>
          <w:rFonts w:ascii="宋体" w:hAnsi="宋体" w:eastAsia="宋体" w:cs="宋体"/>
          <w:sz w:val="24"/>
          <w:szCs w:val="24"/>
          <w:highlight w:val="none"/>
        </w:rPr>
      </w:pPr>
      <w:r>
        <w:rPr>
          <w:rFonts w:ascii="宋体" w:hAnsi="宋体" w:eastAsia="宋体" w:cs="宋体"/>
          <w:spacing w:val="-1"/>
          <w:sz w:val="24"/>
          <w:szCs w:val="24"/>
          <w:highlight w:val="none"/>
        </w:rPr>
        <w:t>（4）在框架协议有效期内，按照不高于协议单价的价格，向征集人提供相关服</w:t>
      </w:r>
      <w:r>
        <w:rPr>
          <w:rFonts w:ascii="宋体" w:hAnsi="宋体" w:eastAsia="宋体" w:cs="宋体"/>
          <w:spacing w:val="-6"/>
          <w:sz w:val="24"/>
          <w:szCs w:val="24"/>
          <w:highlight w:val="none"/>
        </w:rPr>
        <w:t>务。</w:t>
      </w:r>
    </w:p>
    <w:p w14:paraId="2539583E">
      <w:pPr>
        <w:spacing w:before="183" w:line="289" w:lineRule="auto"/>
        <w:ind w:left="3" w:right="119" w:firstLine="487"/>
        <w:rPr>
          <w:rFonts w:ascii="宋体" w:hAnsi="宋体" w:eastAsia="宋体" w:cs="宋体"/>
          <w:sz w:val="24"/>
          <w:szCs w:val="24"/>
          <w:highlight w:val="none"/>
        </w:rPr>
      </w:pPr>
      <w:r>
        <w:rPr>
          <w:rFonts w:ascii="宋体" w:hAnsi="宋体" w:eastAsia="宋体" w:cs="宋体"/>
          <w:spacing w:val="-1"/>
          <w:sz w:val="24"/>
          <w:szCs w:val="24"/>
          <w:highlight w:val="none"/>
        </w:rPr>
        <w:t>（5）乙方及其委托的分公司对本项目承担连带责任，乙方委托的分公司必须履行乙方在响应文件中承诺的责任和义务。</w:t>
      </w:r>
    </w:p>
    <w:p w14:paraId="4A57ABDD">
      <w:pPr>
        <w:spacing w:before="181" w:line="221" w:lineRule="auto"/>
        <w:ind w:left="485"/>
        <w:rPr>
          <w:rFonts w:ascii="宋体" w:hAnsi="宋体" w:eastAsia="宋体" w:cs="宋体"/>
          <w:sz w:val="24"/>
          <w:szCs w:val="24"/>
          <w:highlight w:val="none"/>
        </w:rPr>
      </w:pPr>
      <w:r>
        <w:rPr>
          <w:rFonts w:ascii="宋体" w:hAnsi="宋体" w:eastAsia="宋体" w:cs="宋体"/>
          <w:b/>
          <w:bCs/>
          <w:spacing w:val="-6"/>
          <w:sz w:val="24"/>
          <w:szCs w:val="24"/>
          <w:highlight w:val="none"/>
        </w:rPr>
        <w:t>九、税费</w:t>
      </w:r>
    </w:p>
    <w:p w14:paraId="4FD2CB1C">
      <w:pPr>
        <w:spacing w:before="179" w:line="219" w:lineRule="auto"/>
        <w:ind w:left="480"/>
        <w:rPr>
          <w:rFonts w:ascii="宋体" w:hAnsi="宋体" w:eastAsia="宋体" w:cs="宋体"/>
          <w:sz w:val="24"/>
          <w:szCs w:val="24"/>
          <w:highlight w:val="none"/>
        </w:rPr>
      </w:pPr>
      <w:r>
        <w:rPr>
          <w:rFonts w:ascii="宋体" w:hAnsi="宋体" w:eastAsia="宋体" w:cs="宋体"/>
          <w:spacing w:val="-1"/>
          <w:sz w:val="24"/>
          <w:szCs w:val="24"/>
          <w:highlight w:val="none"/>
        </w:rPr>
        <w:t>9.1 本框架协议执行中相关的一切税费均由乙方负担。</w:t>
      </w:r>
    </w:p>
    <w:p w14:paraId="5EB3A909">
      <w:pPr>
        <w:spacing w:before="184" w:line="219" w:lineRule="auto"/>
        <w:ind w:left="480"/>
        <w:rPr>
          <w:rFonts w:ascii="宋体" w:hAnsi="宋体" w:eastAsia="宋体" w:cs="宋体"/>
          <w:sz w:val="24"/>
          <w:szCs w:val="24"/>
          <w:highlight w:val="none"/>
        </w:rPr>
      </w:pPr>
      <w:r>
        <w:rPr>
          <w:rFonts w:ascii="宋体" w:hAnsi="宋体" w:eastAsia="宋体" w:cs="宋体"/>
          <w:b/>
          <w:bCs/>
          <w:spacing w:val="-3"/>
          <w:sz w:val="24"/>
          <w:szCs w:val="24"/>
          <w:highlight w:val="none"/>
        </w:rPr>
        <w:t>十、框架协议文本的生效及其它</w:t>
      </w:r>
    </w:p>
    <w:p w14:paraId="18A7A70B">
      <w:pPr>
        <w:spacing w:before="179" w:line="290" w:lineRule="auto"/>
        <w:ind w:left="7" w:right="119" w:firstLine="490"/>
        <w:rPr>
          <w:rFonts w:ascii="宋体" w:hAnsi="宋体" w:eastAsia="宋体" w:cs="宋体"/>
          <w:sz w:val="24"/>
          <w:szCs w:val="24"/>
          <w:highlight w:val="none"/>
        </w:rPr>
      </w:pPr>
      <w:r>
        <w:rPr>
          <w:rFonts w:ascii="宋体" w:hAnsi="宋体" w:eastAsia="宋体" w:cs="宋体"/>
          <w:spacing w:val="-1"/>
          <w:sz w:val="24"/>
          <w:szCs w:val="24"/>
          <w:highlight w:val="none"/>
        </w:rPr>
        <w:t>10.1 本框架协议文本经甲乙双方法定代表人或授权委托代表人签字并加盖单位</w:t>
      </w:r>
      <w:r>
        <w:rPr>
          <w:rFonts w:ascii="宋体" w:hAnsi="宋体" w:eastAsia="宋体" w:cs="宋体"/>
          <w:spacing w:val="-3"/>
          <w:sz w:val="24"/>
          <w:szCs w:val="24"/>
          <w:highlight w:val="none"/>
        </w:rPr>
        <w:t>公章后生效。</w:t>
      </w:r>
    </w:p>
    <w:p w14:paraId="0C4DA1E3">
      <w:pPr>
        <w:spacing w:before="182" w:line="290" w:lineRule="auto"/>
        <w:ind w:left="3" w:right="359" w:firstLine="493"/>
        <w:rPr>
          <w:rFonts w:ascii="宋体" w:hAnsi="宋体" w:eastAsia="宋体" w:cs="宋体"/>
          <w:sz w:val="24"/>
          <w:szCs w:val="24"/>
          <w:highlight w:val="none"/>
        </w:rPr>
      </w:pPr>
      <w:r>
        <w:rPr>
          <w:rFonts w:ascii="宋体" w:hAnsi="宋体" w:eastAsia="宋体" w:cs="宋体"/>
          <w:spacing w:val="-1"/>
          <w:sz w:val="24"/>
          <w:szCs w:val="24"/>
          <w:highlight w:val="none"/>
        </w:rPr>
        <w:t>10.2 本框架协议文本未尽事宜，遵照《中华人民共和国民法典》有关条文执</w:t>
      </w:r>
      <w:r>
        <w:rPr>
          <w:rFonts w:ascii="宋体" w:hAnsi="宋体" w:eastAsia="宋体" w:cs="宋体"/>
          <w:spacing w:val="-7"/>
          <w:sz w:val="24"/>
          <w:szCs w:val="24"/>
          <w:highlight w:val="none"/>
        </w:rPr>
        <w:t>行。</w:t>
      </w:r>
    </w:p>
    <w:p w14:paraId="123E8CB1">
      <w:pPr>
        <w:spacing w:before="178" w:line="290" w:lineRule="auto"/>
        <w:ind w:right="359" w:firstLine="497"/>
        <w:rPr>
          <w:rFonts w:ascii="宋体" w:hAnsi="宋体" w:eastAsia="宋体" w:cs="宋体"/>
          <w:sz w:val="24"/>
          <w:szCs w:val="24"/>
          <w:highlight w:val="none"/>
        </w:rPr>
      </w:pPr>
      <w:r>
        <w:rPr>
          <w:rFonts w:ascii="宋体" w:hAnsi="宋体" w:eastAsia="宋体" w:cs="宋体"/>
          <w:spacing w:val="-1"/>
          <w:sz w:val="24"/>
          <w:szCs w:val="24"/>
          <w:highlight w:val="none"/>
        </w:rPr>
        <w:t>10.3 本框架协议文本正本一式两份，具有同等法律效力，甲方、乙方各执一</w:t>
      </w:r>
      <w:r>
        <w:rPr>
          <w:rFonts w:ascii="宋体" w:hAnsi="宋体" w:eastAsia="宋体" w:cs="宋体"/>
          <w:spacing w:val="-5"/>
          <w:sz w:val="24"/>
          <w:szCs w:val="24"/>
          <w:highlight w:val="none"/>
        </w:rPr>
        <w:t>份。</w:t>
      </w:r>
    </w:p>
    <w:p w14:paraId="2EE3E0AA">
      <w:pPr>
        <w:spacing w:before="182" w:line="222" w:lineRule="auto"/>
        <w:ind w:left="510"/>
        <w:rPr>
          <w:rFonts w:ascii="宋体" w:hAnsi="宋体" w:eastAsia="宋体" w:cs="宋体"/>
          <w:sz w:val="24"/>
          <w:szCs w:val="24"/>
          <w:highlight w:val="none"/>
        </w:rPr>
      </w:pPr>
      <w:r>
        <w:rPr>
          <w:rFonts w:ascii="宋体" w:hAnsi="宋体" w:eastAsia="宋体" w:cs="宋体"/>
          <w:spacing w:val="-14"/>
          <w:sz w:val="24"/>
          <w:szCs w:val="24"/>
          <w:highlight w:val="none"/>
        </w:rPr>
        <w:t>甲方：</w:t>
      </w:r>
    </w:p>
    <w:p w14:paraId="04DF4EB9">
      <w:pPr>
        <w:pStyle w:val="5"/>
        <w:spacing w:line="253" w:lineRule="auto"/>
        <w:rPr>
          <w:highlight w:val="none"/>
        </w:rPr>
      </w:pPr>
    </w:p>
    <w:p w14:paraId="58974E50">
      <w:pPr>
        <w:spacing w:before="78" w:line="222" w:lineRule="auto"/>
        <w:ind w:left="499"/>
        <w:rPr>
          <w:rFonts w:ascii="宋体" w:hAnsi="宋体" w:eastAsia="宋体" w:cs="宋体"/>
          <w:sz w:val="24"/>
          <w:szCs w:val="24"/>
          <w:highlight w:val="none"/>
        </w:rPr>
      </w:pPr>
      <w:r>
        <w:rPr>
          <w:rFonts w:ascii="宋体" w:hAnsi="宋体" w:eastAsia="宋体" w:cs="宋体"/>
          <w:spacing w:val="-10"/>
          <w:sz w:val="24"/>
          <w:szCs w:val="24"/>
          <w:highlight w:val="none"/>
        </w:rPr>
        <w:t>乙方：</w:t>
      </w:r>
    </w:p>
    <w:p w14:paraId="3D813827">
      <w:pPr>
        <w:pStyle w:val="5"/>
        <w:spacing w:line="254" w:lineRule="auto"/>
        <w:rPr>
          <w:highlight w:val="none"/>
        </w:rPr>
      </w:pPr>
    </w:p>
    <w:p w14:paraId="7A775B1C">
      <w:pPr>
        <w:spacing w:before="79" w:line="229" w:lineRule="auto"/>
        <w:ind w:left="480"/>
        <w:rPr>
          <w:rFonts w:ascii="宋体" w:hAnsi="宋体" w:eastAsia="宋体" w:cs="宋体"/>
          <w:sz w:val="24"/>
          <w:szCs w:val="24"/>
          <w:highlight w:val="none"/>
        </w:rPr>
      </w:pPr>
      <w:r>
        <w:rPr>
          <w:rFonts w:ascii="宋体" w:hAnsi="宋体" w:eastAsia="宋体" w:cs="宋体"/>
          <w:spacing w:val="-4"/>
          <w:sz w:val="24"/>
          <w:szCs w:val="24"/>
          <w:highlight w:val="none"/>
        </w:rPr>
        <w:t>地址：</w:t>
      </w:r>
    </w:p>
    <w:p w14:paraId="1F13349B">
      <w:pPr>
        <w:pStyle w:val="5"/>
        <w:spacing w:line="244" w:lineRule="auto"/>
        <w:rPr>
          <w:highlight w:val="none"/>
        </w:rPr>
      </w:pPr>
    </w:p>
    <w:p w14:paraId="72FB030B">
      <w:pPr>
        <w:spacing w:before="78" w:line="229" w:lineRule="auto"/>
        <w:ind w:left="480"/>
        <w:rPr>
          <w:rFonts w:ascii="宋体" w:hAnsi="宋体" w:eastAsia="宋体" w:cs="宋体"/>
          <w:sz w:val="24"/>
          <w:szCs w:val="24"/>
          <w:highlight w:val="none"/>
        </w:rPr>
      </w:pPr>
      <w:r>
        <w:rPr>
          <w:rFonts w:ascii="宋体" w:hAnsi="宋体" w:eastAsia="宋体" w:cs="宋体"/>
          <w:spacing w:val="-4"/>
          <w:sz w:val="24"/>
          <w:szCs w:val="24"/>
          <w:highlight w:val="none"/>
        </w:rPr>
        <w:t>地址：</w:t>
      </w:r>
    </w:p>
    <w:p w14:paraId="23C3C859">
      <w:pPr>
        <w:pStyle w:val="5"/>
        <w:spacing w:line="246" w:lineRule="auto"/>
        <w:rPr>
          <w:highlight w:val="none"/>
        </w:rPr>
      </w:pPr>
    </w:p>
    <w:p w14:paraId="179FAE61">
      <w:pPr>
        <w:spacing w:before="78" w:line="220" w:lineRule="auto"/>
        <w:ind w:left="480"/>
        <w:rPr>
          <w:rFonts w:ascii="宋体" w:hAnsi="宋体" w:eastAsia="宋体" w:cs="宋体"/>
          <w:sz w:val="24"/>
          <w:szCs w:val="24"/>
          <w:highlight w:val="none"/>
        </w:rPr>
      </w:pPr>
      <w:r>
        <w:rPr>
          <w:rFonts w:ascii="宋体" w:hAnsi="宋体" w:eastAsia="宋体" w:cs="宋体"/>
          <w:spacing w:val="-1"/>
          <w:sz w:val="24"/>
          <w:szCs w:val="24"/>
          <w:highlight w:val="none"/>
        </w:rPr>
        <w:t>法定代表人或授权代表：</w:t>
      </w:r>
    </w:p>
    <w:p w14:paraId="7182D534">
      <w:pPr>
        <w:spacing w:line="220" w:lineRule="auto"/>
        <w:rPr>
          <w:rFonts w:ascii="宋体" w:hAnsi="宋体" w:eastAsia="宋体" w:cs="宋体"/>
          <w:sz w:val="24"/>
          <w:szCs w:val="24"/>
          <w:highlight w:val="none"/>
        </w:rPr>
        <w:sectPr>
          <w:footerReference r:id="rId12" w:type="default"/>
          <w:pgSz w:w="11907" w:h="16840"/>
          <w:pgMar w:top="1426" w:right="1553" w:bottom="1199" w:left="1482" w:header="0" w:footer="984" w:gutter="0"/>
          <w:pgNumType w:fmt="decimal"/>
          <w:cols w:space="720" w:num="1"/>
        </w:sectPr>
      </w:pPr>
    </w:p>
    <w:p w14:paraId="656ACAE2">
      <w:pPr>
        <w:spacing w:before="48" w:line="220" w:lineRule="auto"/>
        <w:ind w:left="177"/>
        <w:rPr>
          <w:rFonts w:ascii="宋体" w:hAnsi="宋体" w:eastAsia="宋体" w:cs="宋体"/>
          <w:sz w:val="24"/>
          <w:szCs w:val="24"/>
          <w:highlight w:val="none"/>
        </w:rPr>
      </w:pPr>
      <w:r>
        <w:rPr>
          <w:rFonts w:ascii="宋体" w:hAnsi="宋体" w:eastAsia="宋体" w:cs="宋体"/>
          <w:spacing w:val="-1"/>
          <w:sz w:val="24"/>
          <w:szCs w:val="24"/>
          <w:highlight w:val="none"/>
        </w:rPr>
        <w:t>法定代表人或授权代表：</w:t>
      </w:r>
    </w:p>
    <w:p w14:paraId="142083EA">
      <w:pPr>
        <w:pStyle w:val="5"/>
        <w:spacing w:line="258" w:lineRule="auto"/>
        <w:rPr>
          <w:highlight w:val="none"/>
        </w:rPr>
      </w:pPr>
    </w:p>
    <w:p w14:paraId="20D9E02A">
      <w:pPr>
        <w:spacing w:before="78" w:line="222" w:lineRule="auto"/>
        <w:ind w:left="177"/>
        <w:rPr>
          <w:rFonts w:ascii="宋体" w:hAnsi="宋体" w:eastAsia="宋体" w:cs="宋体"/>
          <w:sz w:val="24"/>
          <w:szCs w:val="24"/>
          <w:highlight w:val="none"/>
        </w:rPr>
      </w:pPr>
      <w:r>
        <w:rPr>
          <w:rFonts w:ascii="宋体" w:hAnsi="宋体" w:eastAsia="宋体" w:cs="宋体"/>
          <w:spacing w:val="-3"/>
          <w:sz w:val="24"/>
          <w:szCs w:val="24"/>
          <w:highlight w:val="none"/>
        </w:rPr>
        <w:t>联系电话：</w:t>
      </w:r>
    </w:p>
    <w:p w14:paraId="2553E951">
      <w:pPr>
        <w:pStyle w:val="5"/>
        <w:spacing w:line="253" w:lineRule="auto"/>
        <w:rPr>
          <w:highlight w:val="none"/>
        </w:rPr>
      </w:pPr>
    </w:p>
    <w:p w14:paraId="31EA9FB0">
      <w:pPr>
        <w:spacing w:before="78" w:line="222" w:lineRule="auto"/>
        <w:ind w:left="177"/>
        <w:rPr>
          <w:rFonts w:ascii="宋体" w:hAnsi="宋体" w:eastAsia="宋体" w:cs="宋体"/>
          <w:sz w:val="24"/>
          <w:szCs w:val="24"/>
          <w:highlight w:val="none"/>
        </w:rPr>
      </w:pPr>
      <w:r>
        <w:rPr>
          <w:rFonts w:ascii="宋体" w:hAnsi="宋体" w:eastAsia="宋体" w:cs="宋体"/>
          <w:spacing w:val="-3"/>
          <w:sz w:val="24"/>
          <w:szCs w:val="24"/>
          <w:highlight w:val="none"/>
        </w:rPr>
        <w:t>联系电话：</w:t>
      </w:r>
    </w:p>
    <w:p w14:paraId="1E983998">
      <w:pPr>
        <w:pStyle w:val="5"/>
        <w:spacing w:line="253" w:lineRule="auto"/>
        <w:rPr>
          <w:highlight w:val="none"/>
        </w:rPr>
      </w:pPr>
    </w:p>
    <w:p w14:paraId="7131292F">
      <w:pPr>
        <w:spacing w:before="78" w:line="220" w:lineRule="auto"/>
        <w:ind w:left="176"/>
        <w:rPr>
          <w:rFonts w:ascii="宋体" w:hAnsi="宋体" w:eastAsia="宋体" w:cs="宋体"/>
          <w:sz w:val="24"/>
          <w:szCs w:val="24"/>
          <w:highlight w:val="none"/>
        </w:rPr>
      </w:pPr>
      <w:r>
        <w:rPr>
          <w:rFonts w:ascii="宋体" w:hAnsi="宋体" w:eastAsia="宋体" w:cs="宋体"/>
          <w:spacing w:val="-2"/>
          <w:sz w:val="24"/>
          <w:szCs w:val="24"/>
          <w:highlight w:val="none"/>
        </w:rPr>
        <w:t>签订日期：年 月</w:t>
      </w:r>
      <w:r>
        <w:rPr>
          <w:rFonts w:ascii="宋体" w:hAnsi="宋体" w:eastAsia="宋体" w:cs="宋体"/>
          <w:spacing w:val="58"/>
          <w:sz w:val="24"/>
          <w:szCs w:val="24"/>
          <w:highlight w:val="none"/>
        </w:rPr>
        <w:t xml:space="preserve"> </w:t>
      </w:r>
      <w:r>
        <w:rPr>
          <w:rFonts w:ascii="宋体" w:hAnsi="宋体" w:eastAsia="宋体" w:cs="宋体"/>
          <w:spacing w:val="-2"/>
          <w:sz w:val="24"/>
          <w:szCs w:val="24"/>
          <w:highlight w:val="none"/>
        </w:rPr>
        <w:t>日</w:t>
      </w:r>
    </w:p>
    <w:p w14:paraId="12611700">
      <w:pPr>
        <w:spacing w:before="61" w:line="226" w:lineRule="auto"/>
        <w:ind w:left="2775"/>
        <w:rPr>
          <w:rFonts w:ascii="宋体" w:hAnsi="宋体" w:eastAsia="宋体" w:cs="宋体"/>
          <w:b/>
          <w:bCs/>
          <w:spacing w:val="6"/>
          <w:sz w:val="30"/>
          <w:szCs w:val="30"/>
          <w:highlight w:val="none"/>
        </w:rPr>
      </w:pPr>
    </w:p>
    <w:p w14:paraId="6FF205F8">
      <w:pPr>
        <w:spacing w:before="61" w:line="226" w:lineRule="auto"/>
        <w:ind w:left="2775"/>
        <w:rPr>
          <w:rFonts w:ascii="宋体" w:hAnsi="宋体" w:eastAsia="宋体" w:cs="宋体"/>
          <w:b/>
          <w:bCs/>
          <w:spacing w:val="6"/>
          <w:sz w:val="30"/>
          <w:szCs w:val="30"/>
          <w:highlight w:val="none"/>
        </w:rPr>
      </w:pPr>
    </w:p>
    <w:p w14:paraId="41D1E5C3">
      <w:pPr>
        <w:spacing w:before="61" w:line="226" w:lineRule="auto"/>
        <w:ind w:left="2775"/>
        <w:rPr>
          <w:rFonts w:ascii="宋体" w:hAnsi="宋体" w:eastAsia="宋体" w:cs="宋体"/>
          <w:b/>
          <w:bCs/>
          <w:spacing w:val="6"/>
          <w:sz w:val="30"/>
          <w:szCs w:val="30"/>
          <w:highlight w:val="none"/>
        </w:rPr>
      </w:pPr>
    </w:p>
    <w:p w14:paraId="6BC77BCC">
      <w:pPr>
        <w:spacing w:before="61" w:line="226" w:lineRule="auto"/>
        <w:ind w:left="2775"/>
        <w:rPr>
          <w:rFonts w:ascii="宋体" w:hAnsi="宋体" w:eastAsia="宋体" w:cs="宋体"/>
          <w:sz w:val="30"/>
          <w:szCs w:val="30"/>
          <w:highlight w:val="none"/>
        </w:rPr>
      </w:pPr>
      <w:r>
        <w:rPr>
          <w:rFonts w:ascii="宋体" w:hAnsi="宋体" w:eastAsia="宋体" w:cs="宋体"/>
          <w:b/>
          <w:bCs/>
          <w:spacing w:val="6"/>
          <w:sz w:val="30"/>
          <w:szCs w:val="30"/>
          <w:highlight w:val="none"/>
        </w:rPr>
        <w:t>具体签订的采购合同文本</w:t>
      </w:r>
    </w:p>
    <w:p w14:paraId="3EEEB0A0">
      <w:pPr>
        <w:pStyle w:val="5"/>
        <w:spacing w:line="250" w:lineRule="auto"/>
        <w:rPr>
          <w:highlight w:val="none"/>
        </w:rPr>
      </w:pPr>
    </w:p>
    <w:p w14:paraId="4A60DEA5">
      <w:pPr>
        <w:pStyle w:val="5"/>
        <w:spacing w:line="250" w:lineRule="auto"/>
        <w:rPr>
          <w:highlight w:val="none"/>
        </w:rPr>
      </w:pPr>
    </w:p>
    <w:p w14:paraId="17862CC6">
      <w:pPr>
        <w:pStyle w:val="5"/>
        <w:spacing w:line="250" w:lineRule="auto"/>
        <w:rPr>
          <w:highlight w:val="none"/>
        </w:rPr>
      </w:pPr>
    </w:p>
    <w:p w14:paraId="6EB8A5A6">
      <w:pPr>
        <w:pStyle w:val="5"/>
        <w:spacing w:line="250" w:lineRule="auto"/>
        <w:rPr>
          <w:highlight w:val="none"/>
        </w:rPr>
      </w:pPr>
    </w:p>
    <w:p w14:paraId="06FAA77F">
      <w:pPr>
        <w:pStyle w:val="5"/>
        <w:spacing w:line="250" w:lineRule="auto"/>
        <w:rPr>
          <w:highlight w:val="none"/>
        </w:rPr>
      </w:pPr>
    </w:p>
    <w:p w14:paraId="768F7545">
      <w:pPr>
        <w:spacing w:before="139" w:line="223" w:lineRule="auto"/>
        <w:ind w:left="2275"/>
        <w:outlineLvl w:val="0"/>
        <w:rPr>
          <w:rFonts w:ascii="宋体" w:hAnsi="宋体" w:eastAsia="宋体" w:cs="宋体"/>
          <w:sz w:val="43"/>
          <w:szCs w:val="43"/>
          <w:highlight w:val="none"/>
        </w:rPr>
      </w:pPr>
      <w:bookmarkStart w:id="17" w:name="_Toc1609"/>
      <w:bookmarkStart w:id="18" w:name="_Toc17633"/>
      <w:r>
        <w:rPr>
          <w:rFonts w:ascii="宋体" w:hAnsi="宋体" w:eastAsia="宋体" w:cs="宋体"/>
          <w:b/>
          <w:bCs/>
          <w:spacing w:val="4"/>
          <w:sz w:val="43"/>
          <w:szCs w:val="43"/>
          <w:highlight w:val="none"/>
        </w:rPr>
        <w:t>政府采购合同（服务）</w:t>
      </w:r>
      <w:bookmarkEnd w:id="17"/>
      <w:bookmarkEnd w:id="18"/>
    </w:p>
    <w:p w14:paraId="65828952">
      <w:pPr>
        <w:pStyle w:val="5"/>
        <w:spacing w:line="268" w:lineRule="auto"/>
        <w:rPr>
          <w:highlight w:val="none"/>
        </w:rPr>
      </w:pPr>
    </w:p>
    <w:p w14:paraId="45E97A5D">
      <w:pPr>
        <w:pStyle w:val="5"/>
        <w:spacing w:line="269" w:lineRule="auto"/>
        <w:rPr>
          <w:highlight w:val="none"/>
        </w:rPr>
      </w:pPr>
    </w:p>
    <w:p w14:paraId="41CBC09B">
      <w:pPr>
        <w:spacing w:before="72" w:line="264" w:lineRule="auto"/>
        <w:rPr>
          <w:rFonts w:ascii="宋体" w:hAnsi="宋体" w:eastAsia="宋体" w:cs="宋体"/>
          <w:sz w:val="22"/>
          <w:szCs w:val="22"/>
          <w:highlight w:val="none"/>
        </w:rPr>
      </w:pPr>
      <w:r>
        <w:rPr>
          <w:rFonts w:ascii="宋体" w:hAnsi="宋体" w:eastAsia="宋体" w:cs="宋体"/>
          <w:b/>
          <w:bCs/>
          <w:spacing w:val="-2"/>
          <w:sz w:val="22"/>
          <w:szCs w:val="22"/>
          <w:highlight w:val="none"/>
        </w:rPr>
        <w:t>说明：本合同作为合同的基本格式，不作为最终合同，甲方有权在签订合同时对合同的相关</w:t>
      </w:r>
      <w:r>
        <w:rPr>
          <w:rFonts w:ascii="宋体" w:hAnsi="宋体" w:eastAsia="宋体" w:cs="宋体"/>
          <w:b/>
          <w:bCs/>
          <w:spacing w:val="-3"/>
          <w:sz w:val="22"/>
          <w:szCs w:val="22"/>
          <w:highlight w:val="none"/>
        </w:rPr>
        <w:t>条款及内容作进一步的细化和修改。</w:t>
      </w:r>
    </w:p>
    <w:p w14:paraId="5D4A5CDE">
      <w:pPr>
        <w:spacing w:line="264" w:lineRule="auto"/>
        <w:rPr>
          <w:rFonts w:ascii="宋体" w:hAnsi="宋体" w:eastAsia="宋体" w:cs="宋体"/>
          <w:sz w:val="22"/>
          <w:szCs w:val="22"/>
          <w:highlight w:val="none"/>
        </w:rPr>
        <w:sectPr>
          <w:footerReference r:id="rId13" w:type="default"/>
          <w:pgSz w:w="11907" w:h="16840"/>
          <w:pgMar w:top="1424" w:right="1598" w:bottom="1199" w:left="1483" w:header="0" w:footer="984" w:gutter="0"/>
          <w:pgNumType w:fmt="decimal"/>
          <w:cols w:space="720" w:num="1"/>
        </w:sectPr>
      </w:pPr>
    </w:p>
    <w:p w14:paraId="11754AC0">
      <w:pPr>
        <w:pStyle w:val="5"/>
        <w:spacing w:line="274" w:lineRule="auto"/>
        <w:rPr>
          <w:highlight w:val="none"/>
        </w:rPr>
      </w:pPr>
    </w:p>
    <w:p w14:paraId="7A9BDD38">
      <w:pPr>
        <w:spacing w:before="130" w:line="221" w:lineRule="auto"/>
        <w:ind w:left="2480"/>
        <w:rPr>
          <w:rFonts w:ascii="宋体" w:hAnsi="宋体" w:eastAsia="宋体" w:cs="宋体"/>
          <w:sz w:val="40"/>
          <w:szCs w:val="40"/>
          <w:highlight w:val="none"/>
        </w:rPr>
      </w:pPr>
      <w:r>
        <w:rPr>
          <w:rFonts w:ascii="宋体" w:hAnsi="宋体" w:eastAsia="宋体" w:cs="宋体"/>
          <w:b/>
          <w:bCs/>
          <w:spacing w:val="-5"/>
          <w:sz w:val="40"/>
          <w:szCs w:val="40"/>
          <w:highlight w:val="none"/>
        </w:rPr>
        <w:t>考古发掘劳务服务协议</w:t>
      </w:r>
    </w:p>
    <w:p w14:paraId="2EDC9522">
      <w:pPr>
        <w:pStyle w:val="5"/>
        <w:spacing w:line="247" w:lineRule="auto"/>
        <w:rPr>
          <w:highlight w:val="none"/>
        </w:rPr>
      </w:pPr>
    </w:p>
    <w:p w14:paraId="235BD6F5">
      <w:pPr>
        <w:pStyle w:val="5"/>
        <w:spacing w:line="247" w:lineRule="auto"/>
        <w:rPr>
          <w:highlight w:val="none"/>
        </w:rPr>
      </w:pPr>
    </w:p>
    <w:p w14:paraId="0945A4AE">
      <w:pPr>
        <w:pStyle w:val="5"/>
        <w:spacing w:line="247" w:lineRule="auto"/>
        <w:rPr>
          <w:highlight w:val="none"/>
        </w:rPr>
      </w:pPr>
    </w:p>
    <w:p w14:paraId="4B181B5B">
      <w:pPr>
        <w:pStyle w:val="5"/>
        <w:spacing w:line="248" w:lineRule="auto"/>
        <w:rPr>
          <w:highlight w:val="none"/>
        </w:rPr>
      </w:pPr>
    </w:p>
    <w:p w14:paraId="085601AA">
      <w:pPr>
        <w:spacing w:before="78" w:line="222" w:lineRule="auto"/>
        <w:ind w:left="443"/>
        <w:rPr>
          <w:rFonts w:ascii="宋体" w:hAnsi="宋体" w:eastAsia="宋体" w:cs="宋体"/>
          <w:sz w:val="24"/>
          <w:szCs w:val="24"/>
          <w:highlight w:val="none"/>
        </w:rPr>
      </w:pPr>
      <w:r>
        <w:rPr>
          <w:rFonts w:ascii="宋体" w:hAnsi="宋体" w:eastAsia="宋体" w:cs="宋体"/>
          <w:spacing w:val="-27"/>
          <w:sz w:val="24"/>
          <w:szCs w:val="24"/>
          <w:highlight w:val="none"/>
        </w:rPr>
        <w:t>甲</w:t>
      </w:r>
      <w:r>
        <w:rPr>
          <w:rFonts w:ascii="宋体" w:hAnsi="宋体" w:eastAsia="宋体" w:cs="宋体"/>
          <w:spacing w:val="2"/>
          <w:sz w:val="24"/>
          <w:szCs w:val="24"/>
          <w:highlight w:val="none"/>
        </w:rPr>
        <w:t xml:space="preserve">    </w:t>
      </w:r>
      <w:r>
        <w:rPr>
          <w:rFonts w:ascii="宋体" w:hAnsi="宋体" w:eastAsia="宋体" w:cs="宋体"/>
          <w:spacing w:val="-27"/>
          <w:sz w:val="24"/>
          <w:szCs w:val="24"/>
          <w:highlight w:val="none"/>
        </w:rPr>
        <w:t>方</w:t>
      </w:r>
      <w:r>
        <w:rPr>
          <w:rFonts w:ascii="宋体" w:hAnsi="宋体" w:eastAsia="宋体" w:cs="宋体"/>
          <w:spacing w:val="-89"/>
          <w:sz w:val="24"/>
          <w:szCs w:val="24"/>
          <w:highlight w:val="none"/>
        </w:rPr>
        <w:t xml:space="preserve"> </w:t>
      </w:r>
      <w:r>
        <w:rPr>
          <w:rFonts w:ascii="宋体" w:hAnsi="宋体" w:eastAsia="宋体" w:cs="宋体"/>
          <w:spacing w:val="-27"/>
          <w:sz w:val="24"/>
          <w:szCs w:val="24"/>
          <w:highlight w:val="none"/>
        </w:rPr>
        <w:t>：</w:t>
      </w:r>
      <w:r>
        <w:rPr>
          <w:rFonts w:ascii="宋体" w:hAnsi="宋体" w:eastAsia="宋体" w:cs="宋体"/>
          <w:sz w:val="24"/>
          <w:szCs w:val="24"/>
          <w:highlight w:val="none"/>
          <w:u w:val="single" w:color="auto"/>
        </w:rPr>
        <w:t xml:space="preserve">                           </w:t>
      </w:r>
    </w:p>
    <w:p w14:paraId="5CDF5DFD">
      <w:pPr>
        <w:spacing w:before="177" w:line="222" w:lineRule="auto"/>
        <w:ind w:left="431"/>
        <w:rPr>
          <w:rFonts w:ascii="宋体" w:hAnsi="宋体" w:eastAsia="宋体" w:cs="宋体"/>
          <w:sz w:val="24"/>
          <w:szCs w:val="24"/>
          <w:highlight w:val="none"/>
        </w:rPr>
      </w:pPr>
      <w:r>
        <w:rPr>
          <w:rFonts w:ascii="宋体" w:hAnsi="宋体" w:eastAsia="宋体" w:cs="宋体"/>
          <w:spacing w:val="-24"/>
          <w:sz w:val="24"/>
          <w:szCs w:val="24"/>
          <w:highlight w:val="none"/>
        </w:rPr>
        <w:t>乙</w:t>
      </w:r>
      <w:r>
        <w:rPr>
          <w:rFonts w:ascii="宋体" w:hAnsi="宋体" w:eastAsia="宋体" w:cs="宋体"/>
          <w:spacing w:val="2"/>
          <w:sz w:val="24"/>
          <w:szCs w:val="24"/>
          <w:highlight w:val="none"/>
        </w:rPr>
        <w:t xml:space="preserve">    </w:t>
      </w:r>
      <w:r>
        <w:rPr>
          <w:rFonts w:ascii="宋体" w:hAnsi="宋体" w:eastAsia="宋体" w:cs="宋体"/>
          <w:spacing w:val="-24"/>
          <w:sz w:val="24"/>
          <w:szCs w:val="24"/>
          <w:highlight w:val="none"/>
        </w:rPr>
        <w:t>方</w:t>
      </w:r>
      <w:r>
        <w:rPr>
          <w:rFonts w:ascii="宋体" w:hAnsi="宋体" w:eastAsia="宋体" w:cs="宋体"/>
          <w:spacing w:val="-87"/>
          <w:sz w:val="24"/>
          <w:szCs w:val="24"/>
          <w:highlight w:val="none"/>
        </w:rPr>
        <w:t xml:space="preserve"> </w:t>
      </w:r>
      <w:r>
        <w:rPr>
          <w:rFonts w:ascii="宋体" w:hAnsi="宋体" w:eastAsia="宋体" w:cs="宋体"/>
          <w:spacing w:val="-24"/>
          <w:sz w:val="24"/>
          <w:szCs w:val="24"/>
          <w:highlight w:val="none"/>
        </w:rPr>
        <w:t>：</w:t>
      </w:r>
      <w:r>
        <w:rPr>
          <w:rFonts w:ascii="宋体" w:hAnsi="宋体" w:eastAsia="宋体" w:cs="宋体"/>
          <w:sz w:val="24"/>
          <w:szCs w:val="24"/>
          <w:highlight w:val="none"/>
          <w:u w:val="single" w:color="auto"/>
        </w:rPr>
        <w:t xml:space="preserve">                           </w:t>
      </w:r>
    </w:p>
    <w:p w14:paraId="2216EF26">
      <w:pPr>
        <w:spacing w:before="179" w:line="221" w:lineRule="auto"/>
        <w:ind w:left="415"/>
        <w:rPr>
          <w:rFonts w:ascii="宋体" w:hAnsi="宋体" w:eastAsia="宋体" w:cs="宋体"/>
          <w:sz w:val="24"/>
          <w:szCs w:val="24"/>
          <w:highlight w:val="none"/>
        </w:rPr>
      </w:pPr>
      <w:r>
        <w:rPr>
          <w:rFonts w:ascii="宋体" w:hAnsi="宋体" w:eastAsia="宋体" w:cs="宋体"/>
          <w:spacing w:val="-3"/>
          <w:sz w:val="24"/>
          <w:szCs w:val="24"/>
          <w:highlight w:val="none"/>
        </w:rPr>
        <w:t>工程名称：</w:t>
      </w:r>
      <w:r>
        <w:rPr>
          <w:rFonts w:ascii="宋体" w:hAnsi="宋体" w:eastAsia="宋体" w:cs="宋体"/>
          <w:sz w:val="24"/>
          <w:szCs w:val="24"/>
          <w:highlight w:val="none"/>
          <w:u w:val="single" w:color="auto"/>
        </w:rPr>
        <w:t xml:space="preserve">                           </w:t>
      </w:r>
    </w:p>
    <w:p w14:paraId="228B36F9">
      <w:pPr>
        <w:spacing w:before="181" w:line="220" w:lineRule="auto"/>
        <w:ind w:left="415"/>
        <w:rPr>
          <w:rFonts w:ascii="宋体" w:hAnsi="宋体" w:eastAsia="宋体" w:cs="宋体"/>
          <w:sz w:val="24"/>
          <w:szCs w:val="24"/>
          <w:highlight w:val="none"/>
        </w:rPr>
      </w:pPr>
      <w:r>
        <w:rPr>
          <w:rFonts w:ascii="宋体" w:hAnsi="宋体" w:eastAsia="宋体" w:cs="宋体"/>
          <w:spacing w:val="-1"/>
          <w:sz w:val="24"/>
          <w:szCs w:val="24"/>
          <w:highlight w:val="none"/>
        </w:rPr>
        <w:t>工程地点：</w:t>
      </w:r>
      <w:r>
        <w:rPr>
          <w:rFonts w:ascii="宋体" w:hAnsi="宋体" w:eastAsia="宋体" w:cs="宋体"/>
          <w:spacing w:val="-1"/>
          <w:sz w:val="24"/>
          <w:szCs w:val="24"/>
          <w:highlight w:val="none"/>
          <w:u w:val="single" w:color="auto"/>
        </w:rPr>
        <w:t>富阎产业合作园区</w:t>
      </w:r>
    </w:p>
    <w:p w14:paraId="445569D7">
      <w:pPr>
        <w:spacing w:before="179" w:line="220" w:lineRule="auto"/>
        <w:ind w:left="412"/>
        <w:rPr>
          <w:rFonts w:ascii="宋体" w:hAnsi="宋体" w:eastAsia="宋体" w:cs="宋体"/>
          <w:sz w:val="24"/>
          <w:szCs w:val="24"/>
          <w:highlight w:val="none"/>
        </w:rPr>
      </w:pPr>
      <w:r>
        <w:rPr>
          <w:rFonts w:ascii="宋体" w:hAnsi="宋体" w:eastAsia="宋体" w:cs="宋体"/>
          <w:sz w:val="24"/>
          <w:szCs w:val="24"/>
          <w:highlight w:val="none"/>
        </w:rPr>
        <w:t>根据《中华人民共和国文物保护法》、《陕西省文物</w:t>
      </w:r>
      <w:r>
        <w:rPr>
          <w:rFonts w:ascii="宋体" w:hAnsi="宋体" w:eastAsia="宋体" w:cs="宋体"/>
          <w:spacing w:val="-1"/>
          <w:sz w:val="24"/>
          <w:szCs w:val="24"/>
          <w:highlight w:val="none"/>
        </w:rPr>
        <w:t>保护条例》、国家文物局</w:t>
      </w:r>
    </w:p>
    <w:p w14:paraId="6ECE8DDD">
      <w:pPr>
        <w:spacing w:before="183" w:line="359" w:lineRule="auto"/>
        <w:ind w:right="50" w:firstLine="76"/>
        <w:rPr>
          <w:rFonts w:ascii="宋体" w:hAnsi="宋体" w:eastAsia="宋体" w:cs="宋体"/>
          <w:sz w:val="24"/>
          <w:szCs w:val="24"/>
          <w:highlight w:val="none"/>
        </w:rPr>
      </w:pPr>
      <w:r>
        <w:rPr>
          <w:rFonts w:ascii="宋体" w:hAnsi="宋体" w:eastAsia="宋体" w:cs="宋体"/>
          <w:spacing w:val="-3"/>
          <w:sz w:val="24"/>
          <w:szCs w:val="24"/>
          <w:highlight w:val="none"/>
        </w:rPr>
        <w:t>﹝90﹞248</w:t>
      </w:r>
      <w:r>
        <w:rPr>
          <w:rFonts w:ascii="宋体" w:hAnsi="宋体" w:eastAsia="宋体" w:cs="宋体"/>
          <w:spacing w:val="-45"/>
          <w:sz w:val="24"/>
          <w:szCs w:val="24"/>
          <w:highlight w:val="none"/>
        </w:rPr>
        <w:t xml:space="preserve"> </w:t>
      </w:r>
      <w:r>
        <w:rPr>
          <w:rFonts w:ascii="宋体" w:hAnsi="宋体" w:eastAsia="宋体" w:cs="宋体"/>
          <w:spacing w:val="-3"/>
          <w:sz w:val="24"/>
          <w:szCs w:val="24"/>
          <w:highlight w:val="none"/>
        </w:rPr>
        <w:t>号文件、陕文物发﹝2014﹞</w:t>
      </w:r>
      <w:r>
        <w:rPr>
          <w:rFonts w:ascii="宋体" w:hAnsi="宋体" w:eastAsia="宋体" w:cs="宋体"/>
          <w:spacing w:val="-93"/>
          <w:sz w:val="24"/>
          <w:szCs w:val="24"/>
          <w:highlight w:val="none"/>
        </w:rPr>
        <w:t xml:space="preserve"> </w:t>
      </w:r>
      <w:r>
        <w:rPr>
          <w:rFonts w:ascii="宋体" w:hAnsi="宋体" w:eastAsia="宋体" w:cs="宋体"/>
          <w:spacing w:val="-3"/>
          <w:sz w:val="24"/>
          <w:szCs w:val="24"/>
          <w:highlight w:val="none"/>
        </w:rPr>
        <w:t>147 号文件等法律及相关文件的规定与指导精</w:t>
      </w:r>
      <w:r>
        <w:rPr>
          <w:rFonts w:ascii="宋体" w:hAnsi="宋体" w:eastAsia="宋体" w:cs="宋体"/>
          <w:spacing w:val="-1"/>
          <w:sz w:val="24"/>
          <w:szCs w:val="24"/>
          <w:highlight w:val="none"/>
        </w:rPr>
        <w:t>神，甲方将</w:t>
      </w:r>
      <w:r>
        <w:rPr>
          <w:rFonts w:ascii="宋体" w:hAnsi="宋体" w:eastAsia="宋体" w:cs="宋体"/>
          <w:spacing w:val="-1"/>
          <w:sz w:val="24"/>
          <w:szCs w:val="24"/>
          <w:highlight w:val="none"/>
          <w:u w:val="single" w:color="auto"/>
        </w:rPr>
        <w:t xml:space="preserve">      （项目名称）          </w:t>
      </w:r>
      <w:r>
        <w:rPr>
          <w:rFonts w:ascii="宋体" w:hAnsi="宋体" w:eastAsia="宋体" w:cs="宋体"/>
          <w:spacing w:val="-85"/>
          <w:sz w:val="24"/>
          <w:szCs w:val="24"/>
          <w:highlight w:val="none"/>
        </w:rPr>
        <w:t xml:space="preserve"> </w:t>
      </w:r>
      <w:r>
        <w:rPr>
          <w:rFonts w:ascii="宋体" w:hAnsi="宋体" w:eastAsia="宋体" w:cs="宋体"/>
          <w:spacing w:val="-1"/>
          <w:sz w:val="24"/>
          <w:szCs w:val="24"/>
          <w:highlight w:val="none"/>
        </w:rPr>
        <w:t>的考古发掘劳务工作委托乙方承担，具体</w:t>
      </w:r>
      <w:r>
        <w:rPr>
          <w:rFonts w:ascii="宋体" w:hAnsi="宋体" w:eastAsia="宋体" w:cs="宋体"/>
          <w:sz w:val="24"/>
          <w:szCs w:val="24"/>
          <w:highlight w:val="none"/>
        </w:rPr>
        <w:t>委托事务：劳务、安保等除考古发掘技术服务以外的其他相</w:t>
      </w:r>
      <w:r>
        <w:rPr>
          <w:rFonts w:ascii="宋体" w:hAnsi="宋体" w:eastAsia="宋体" w:cs="宋体"/>
          <w:spacing w:val="-1"/>
          <w:sz w:val="24"/>
          <w:szCs w:val="24"/>
          <w:highlight w:val="none"/>
        </w:rPr>
        <w:t>关事项。经双方充分协</w:t>
      </w:r>
    </w:p>
    <w:p w14:paraId="347CAA0B">
      <w:pPr>
        <w:spacing w:before="1" w:line="220" w:lineRule="auto"/>
        <w:ind w:left="6"/>
        <w:rPr>
          <w:rFonts w:ascii="宋体" w:hAnsi="宋体" w:eastAsia="宋体" w:cs="宋体"/>
          <w:sz w:val="24"/>
          <w:szCs w:val="24"/>
          <w:highlight w:val="none"/>
        </w:rPr>
      </w:pPr>
      <w:r>
        <w:rPr>
          <w:rFonts w:ascii="宋体" w:hAnsi="宋体" w:eastAsia="宋体" w:cs="宋体"/>
          <w:spacing w:val="-2"/>
          <w:sz w:val="24"/>
          <w:szCs w:val="24"/>
          <w:highlight w:val="none"/>
        </w:rPr>
        <w:t>商，签订协议如下：</w:t>
      </w:r>
    </w:p>
    <w:p w14:paraId="14F4D2B7">
      <w:pPr>
        <w:spacing w:before="178" w:line="220" w:lineRule="auto"/>
        <w:ind w:left="5"/>
        <w:outlineLvl w:val="1"/>
        <w:rPr>
          <w:rFonts w:ascii="宋体" w:hAnsi="宋体" w:eastAsia="宋体" w:cs="宋体"/>
          <w:sz w:val="24"/>
          <w:szCs w:val="24"/>
          <w:highlight w:val="none"/>
        </w:rPr>
      </w:pPr>
      <w:r>
        <w:rPr>
          <w:rFonts w:ascii="宋体" w:hAnsi="宋体" w:eastAsia="宋体" w:cs="宋体"/>
          <w:spacing w:val="-2"/>
          <w:sz w:val="24"/>
          <w:szCs w:val="24"/>
          <w:highlight w:val="none"/>
        </w:rPr>
        <w:t>一、甲方责任：</w:t>
      </w:r>
    </w:p>
    <w:p w14:paraId="1DB93847">
      <w:pPr>
        <w:spacing w:before="180" w:line="290" w:lineRule="auto"/>
        <w:ind w:left="1" w:right="50" w:firstLine="497"/>
        <w:rPr>
          <w:rFonts w:ascii="宋体" w:hAnsi="宋体" w:eastAsia="宋体" w:cs="宋体"/>
          <w:sz w:val="24"/>
          <w:szCs w:val="24"/>
          <w:highlight w:val="none"/>
        </w:rPr>
      </w:pPr>
      <w:r>
        <w:rPr>
          <w:rFonts w:ascii="宋体" w:hAnsi="宋体" w:eastAsia="宋体" w:cs="宋体"/>
          <w:spacing w:val="-1"/>
          <w:sz w:val="24"/>
          <w:szCs w:val="24"/>
          <w:highlight w:val="none"/>
        </w:rPr>
        <w:t>1、负责协调当地村镇及相关部门的关系，排除干扰考古发掘的各种 因素，以保证考古发掘顺利进行。</w:t>
      </w:r>
    </w:p>
    <w:p w14:paraId="6BF0B8D9">
      <w:pPr>
        <w:spacing w:before="180" w:line="290" w:lineRule="auto"/>
        <w:ind w:left="3" w:firstLine="411"/>
        <w:rPr>
          <w:rFonts w:ascii="宋体" w:hAnsi="宋体" w:eastAsia="宋体" w:cs="宋体"/>
          <w:sz w:val="24"/>
          <w:szCs w:val="24"/>
          <w:highlight w:val="none"/>
        </w:rPr>
      </w:pPr>
      <w:r>
        <w:rPr>
          <w:rFonts w:ascii="宋体" w:hAnsi="宋体" w:eastAsia="宋体" w:cs="宋体"/>
          <w:sz w:val="24"/>
          <w:szCs w:val="24"/>
          <w:highlight w:val="none"/>
        </w:rPr>
        <w:t>2、在考古发掘开始前，甲方负责清除现场植被、</w:t>
      </w:r>
      <w:r>
        <w:rPr>
          <w:rFonts w:ascii="宋体" w:hAnsi="宋体" w:eastAsia="宋体" w:cs="宋体"/>
          <w:spacing w:val="-1"/>
          <w:sz w:val="24"/>
          <w:szCs w:val="24"/>
          <w:highlight w:val="none"/>
        </w:rPr>
        <w:t>建筑物、堆土、垃圾及硬化地面</w:t>
      </w:r>
      <w:r>
        <w:rPr>
          <w:rFonts w:ascii="宋体" w:hAnsi="宋体" w:eastAsia="宋体" w:cs="宋体"/>
          <w:spacing w:val="-3"/>
          <w:sz w:val="24"/>
          <w:szCs w:val="24"/>
          <w:highlight w:val="none"/>
        </w:rPr>
        <w:t>等障碍。</w:t>
      </w:r>
    </w:p>
    <w:p w14:paraId="6D141E45">
      <w:pPr>
        <w:spacing w:before="182" w:line="291" w:lineRule="auto"/>
        <w:ind w:left="3" w:firstLine="413"/>
        <w:rPr>
          <w:rFonts w:ascii="宋体" w:hAnsi="宋体" w:eastAsia="宋体" w:cs="宋体"/>
          <w:sz w:val="24"/>
          <w:szCs w:val="24"/>
          <w:highlight w:val="none"/>
        </w:rPr>
      </w:pPr>
      <w:r>
        <w:rPr>
          <w:rFonts w:ascii="宋体" w:hAnsi="宋体" w:eastAsia="宋体" w:cs="宋体"/>
          <w:sz w:val="24"/>
          <w:szCs w:val="24"/>
          <w:highlight w:val="none"/>
        </w:rPr>
        <w:t>3、给乙方提供一套完整的考古勘探报告书及</w:t>
      </w:r>
      <w:r>
        <w:rPr>
          <w:rFonts w:ascii="宋体" w:hAnsi="宋体" w:eastAsia="宋体" w:cs="宋体"/>
          <w:spacing w:val="-1"/>
          <w:sz w:val="24"/>
          <w:szCs w:val="24"/>
          <w:highlight w:val="none"/>
        </w:rPr>
        <w:t>电子版一份（含各种记录、表格、图</w:t>
      </w:r>
      <w:r>
        <w:rPr>
          <w:rFonts w:ascii="宋体" w:hAnsi="宋体" w:eastAsia="宋体" w:cs="宋体"/>
          <w:spacing w:val="-4"/>
          <w:sz w:val="24"/>
          <w:szCs w:val="24"/>
          <w:highlight w:val="none"/>
        </w:rPr>
        <w:t>纸）。</w:t>
      </w:r>
    </w:p>
    <w:p w14:paraId="28A49799">
      <w:pPr>
        <w:spacing w:before="177" w:line="220" w:lineRule="auto"/>
        <w:ind w:left="411"/>
        <w:rPr>
          <w:rFonts w:ascii="宋体" w:hAnsi="宋体" w:eastAsia="宋体" w:cs="宋体"/>
          <w:sz w:val="24"/>
          <w:szCs w:val="24"/>
          <w:highlight w:val="none"/>
        </w:rPr>
      </w:pPr>
      <w:r>
        <w:rPr>
          <w:rFonts w:ascii="宋体" w:hAnsi="宋体" w:eastAsia="宋体" w:cs="宋体"/>
          <w:spacing w:val="-1"/>
          <w:sz w:val="24"/>
          <w:szCs w:val="24"/>
          <w:highlight w:val="none"/>
        </w:rPr>
        <w:t>4、按照合同约定，如期支付乙方费用。</w:t>
      </w:r>
    </w:p>
    <w:p w14:paraId="65B248BF">
      <w:pPr>
        <w:spacing w:before="179" w:line="220" w:lineRule="auto"/>
        <w:ind w:left="5"/>
        <w:outlineLvl w:val="1"/>
        <w:rPr>
          <w:rFonts w:ascii="宋体" w:hAnsi="宋体" w:eastAsia="宋体" w:cs="宋体"/>
          <w:sz w:val="24"/>
          <w:szCs w:val="24"/>
          <w:highlight w:val="none"/>
        </w:rPr>
      </w:pPr>
      <w:r>
        <w:rPr>
          <w:rFonts w:ascii="宋体" w:hAnsi="宋体" w:eastAsia="宋体" w:cs="宋体"/>
          <w:spacing w:val="-2"/>
          <w:sz w:val="24"/>
          <w:szCs w:val="24"/>
          <w:highlight w:val="none"/>
        </w:rPr>
        <w:t>二、乙方责任：</w:t>
      </w:r>
    </w:p>
    <w:p w14:paraId="2C578086">
      <w:pPr>
        <w:spacing w:before="180" w:line="313" w:lineRule="auto"/>
        <w:ind w:left="2" w:firstLine="427"/>
        <w:rPr>
          <w:rFonts w:ascii="宋体" w:hAnsi="宋体" w:eastAsia="宋体" w:cs="宋体"/>
          <w:sz w:val="24"/>
          <w:szCs w:val="24"/>
          <w:highlight w:val="none"/>
        </w:rPr>
      </w:pPr>
      <w:r>
        <w:rPr>
          <w:rFonts w:ascii="宋体" w:hAnsi="宋体" w:eastAsia="宋体" w:cs="宋体"/>
          <w:spacing w:val="-1"/>
          <w:sz w:val="24"/>
          <w:szCs w:val="24"/>
          <w:highlight w:val="none"/>
        </w:rPr>
        <w:t>1、乙方负责对甲方提供的勘探资料图纸标明的古墓葬、古遗址等古代文化遗存进</w:t>
      </w:r>
      <w:r>
        <w:rPr>
          <w:rFonts w:ascii="宋体" w:hAnsi="宋体" w:eastAsia="宋体" w:cs="宋体"/>
          <w:sz w:val="24"/>
          <w:szCs w:val="24"/>
          <w:highlight w:val="none"/>
        </w:rPr>
        <w:t>行考古发掘；如发现与勘探报告书不符的情况，按照本合</w:t>
      </w:r>
      <w:r>
        <w:rPr>
          <w:rFonts w:ascii="宋体" w:hAnsi="宋体" w:eastAsia="宋体" w:cs="宋体"/>
          <w:spacing w:val="-1"/>
          <w:sz w:val="24"/>
          <w:szCs w:val="24"/>
          <w:highlight w:val="none"/>
        </w:rPr>
        <w:t>同第四条执行。乙方对甲方提供的考古勘探资料图纸需尽到保管和保密义务。</w:t>
      </w:r>
    </w:p>
    <w:p w14:paraId="3AAD4800">
      <w:pPr>
        <w:spacing w:before="182" w:line="331" w:lineRule="auto"/>
        <w:ind w:right="50" w:firstLine="484"/>
        <w:rPr>
          <w:rFonts w:ascii="宋体" w:hAnsi="宋体" w:eastAsia="宋体" w:cs="宋体"/>
          <w:sz w:val="24"/>
          <w:szCs w:val="24"/>
          <w:highlight w:val="none"/>
        </w:rPr>
      </w:pPr>
      <w:r>
        <w:rPr>
          <w:rFonts w:ascii="宋体" w:hAnsi="宋体" w:eastAsia="宋体" w:cs="宋体"/>
          <w:sz w:val="24"/>
          <w:szCs w:val="24"/>
          <w:highlight w:val="none"/>
        </w:rPr>
        <w:t>2、乙方负责考古发掘所需的劳务人员、土方、</w:t>
      </w:r>
      <w:r>
        <w:rPr>
          <w:rFonts w:ascii="宋体" w:hAnsi="宋体" w:eastAsia="宋体" w:cs="宋体"/>
          <w:spacing w:val="-1"/>
          <w:sz w:val="24"/>
          <w:szCs w:val="24"/>
          <w:highlight w:val="none"/>
        </w:rPr>
        <w:t>安保等项目。乙方应根据现场考</w:t>
      </w:r>
      <w:r>
        <w:rPr>
          <w:rFonts w:ascii="宋体" w:hAnsi="宋体" w:eastAsia="宋体" w:cs="宋体"/>
          <w:sz w:val="24"/>
          <w:szCs w:val="24"/>
          <w:highlight w:val="none"/>
        </w:rPr>
        <w:t>古发掘的需要配备足够的劳务人员，并派专人管理，对发掘中可</w:t>
      </w:r>
      <w:r>
        <w:rPr>
          <w:rFonts w:ascii="宋体" w:hAnsi="宋体" w:eastAsia="宋体" w:cs="宋体"/>
          <w:spacing w:val="-1"/>
          <w:sz w:val="24"/>
          <w:szCs w:val="24"/>
          <w:highlight w:val="none"/>
        </w:rPr>
        <w:t>能存在安全隐患的部</w:t>
      </w:r>
      <w:r>
        <w:rPr>
          <w:rFonts w:ascii="宋体" w:hAnsi="宋体" w:eastAsia="宋体" w:cs="宋体"/>
          <w:sz w:val="24"/>
          <w:szCs w:val="24"/>
          <w:highlight w:val="none"/>
        </w:rPr>
        <w:t>位进行处理，确保施工过程中的人身安全。乙方需确保安全生产</w:t>
      </w:r>
      <w:r>
        <w:rPr>
          <w:rFonts w:ascii="宋体" w:hAnsi="宋体" w:eastAsia="宋体" w:cs="宋体"/>
          <w:spacing w:val="-1"/>
          <w:sz w:val="24"/>
          <w:szCs w:val="24"/>
          <w:highlight w:val="none"/>
        </w:rPr>
        <w:t>，不定期对劳务人员</w:t>
      </w:r>
      <w:r>
        <w:rPr>
          <w:rFonts w:ascii="宋体" w:hAnsi="宋体" w:eastAsia="宋体" w:cs="宋体"/>
          <w:sz w:val="24"/>
          <w:szCs w:val="24"/>
          <w:highlight w:val="none"/>
        </w:rPr>
        <w:t>进行安全教育，并对现场劳务人员安全问题负全责。乙方所有人</w:t>
      </w:r>
      <w:r>
        <w:rPr>
          <w:rFonts w:ascii="宋体" w:hAnsi="宋体" w:eastAsia="宋体" w:cs="宋体"/>
          <w:spacing w:val="-1"/>
          <w:sz w:val="24"/>
          <w:szCs w:val="24"/>
          <w:highlight w:val="none"/>
        </w:rPr>
        <w:t>员必须听从甲方及考</w:t>
      </w:r>
      <w:r>
        <w:rPr>
          <w:rFonts w:ascii="宋体" w:hAnsi="宋体" w:eastAsia="宋体" w:cs="宋体"/>
          <w:sz w:val="24"/>
          <w:szCs w:val="24"/>
          <w:highlight w:val="none"/>
        </w:rPr>
        <w:t>古发掘技术服务单位现场负责人员的安排，不得擅自行动。如因</w:t>
      </w:r>
      <w:r>
        <w:rPr>
          <w:rFonts w:ascii="宋体" w:hAnsi="宋体" w:eastAsia="宋体" w:cs="宋体"/>
          <w:spacing w:val="-1"/>
          <w:sz w:val="24"/>
          <w:szCs w:val="24"/>
          <w:highlight w:val="none"/>
        </w:rPr>
        <w:t>乙方人员不听指挥或</w:t>
      </w:r>
    </w:p>
    <w:p w14:paraId="5E9BFE55">
      <w:pPr>
        <w:spacing w:line="331" w:lineRule="auto"/>
        <w:rPr>
          <w:rFonts w:ascii="宋体" w:hAnsi="宋体" w:eastAsia="宋体" w:cs="宋体"/>
          <w:sz w:val="24"/>
          <w:szCs w:val="24"/>
          <w:highlight w:val="none"/>
        </w:rPr>
        <w:sectPr>
          <w:footerReference r:id="rId14" w:type="default"/>
          <w:pgSz w:w="11907" w:h="16840"/>
          <w:pgMar w:top="1431" w:right="1503" w:bottom="1199" w:left="1481" w:header="0" w:footer="984" w:gutter="0"/>
          <w:pgNumType w:fmt="decimal"/>
          <w:cols w:space="720" w:num="1"/>
        </w:sectPr>
      </w:pPr>
    </w:p>
    <w:p w14:paraId="392B81E3">
      <w:pPr>
        <w:spacing w:before="48" w:line="359" w:lineRule="auto"/>
        <w:ind w:left="1" w:right="50" w:firstLine="38"/>
        <w:rPr>
          <w:rFonts w:ascii="宋体" w:hAnsi="宋体" w:eastAsia="宋体" w:cs="宋体"/>
          <w:sz w:val="24"/>
          <w:szCs w:val="24"/>
          <w:highlight w:val="none"/>
        </w:rPr>
      </w:pPr>
      <w:r>
        <w:rPr>
          <w:rFonts w:ascii="宋体" w:hAnsi="宋体" w:eastAsia="宋体" w:cs="宋体"/>
          <w:spacing w:val="-1"/>
          <w:sz w:val="24"/>
          <w:szCs w:val="24"/>
          <w:highlight w:val="none"/>
        </w:rPr>
        <w:t>自身不慎等原因造成的自身不特定的第三方或给甲方造</w:t>
      </w:r>
      <w:r>
        <w:rPr>
          <w:rFonts w:ascii="宋体" w:hAnsi="宋体" w:eastAsia="宋体" w:cs="宋体"/>
          <w:spacing w:val="-2"/>
          <w:sz w:val="24"/>
          <w:szCs w:val="24"/>
          <w:highlight w:val="none"/>
        </w:rPr>
        <w:t>成的损失等一切责任由乙方承</w:t>
      </w:r>
      <w:r>
        <w:rPr>
          <w:rFonts w:ascii="宋体" w:hAnsi="宋体" w:eastAsia="宋体" w:cs="宋体"/>
          <w:spacing w:val="-6"/>
          <w:sz w:val="24"/>
          <w:szCs w:val="24"/>
          <w:highlight w:val="none"/>
        </w:rPr>
        <w:t>担。</w:t>
      </w:r>
    </w:p>
    <w:p w14:paraId="2E373E45">
      <w:pPr>
        <w:spacing w:before="2" w:line="312" w:lineRule="auto"/>
        <w:ind w:firstLine="416"/>
        <w:rPr>
          <w:rFonts w:ascii="宋体" w:hAnsi="宋体" w:eastAsia="宋体" w:cs="宋体"/>
          <w:sz w:val="24"/>
          <w:szCs w:val="24"/>
          <w:highlight w:val="none"/>
        </w:rPr>
      </w:pPr>
      <w:r>
        <w:rPr>
          <w:rFonts w:ascii="宋体" w:hAnsi="宋体" w:eastAsia="宋体" w:cs="宋体"/>
          <w:sz w:val="24"/>
          <w:szCs w:val="24"/>
          <w:highlight w:val="none"/>
        </w:rPr>
        <w:t>3、乙方应安排专职安全员负责现场的施工安</w:t>
      </w:r>
      <w:r>
        <w:rPr>
          <w:rFonts w:ascii="宋体" w:hAnsi="宋体" w:eastAsia="宋体" w:cs="宋体"/>
          <w:spacing w:val="-1"/>
          <w:sz w:val="24"/>
          <w:szCs w:val="24"/>
          <w:highlight w:val="none"/>
        </w:rPr>
        <w:t>全。开工前应对劳务人员、安保人员</w:t>
      </w:r>
      <w:r>
        <w:rPr>
          <w:rFonts w:ascii="宋体" w:hAnsi="宋体" w:eastAsia="宋体" w:cs="宋体"/>
          <w:sz w:val="24"/>
          <w:szCs w:val="24"/>
          <w:highlight w:val="none"/>
        </w:rPr>
        <w:t>等所有参与发掘工作的人员进行文物安全警示教育。乙方所有</w:t>
      </w:r>
      <w:r>
        <w:rPr>
          <w:rFonts w:ascii="宋体" w:hAnsi="宋体" w:eastAsia="宋体" w:cs="宋体"/>
          <w:spacing w:val="-1"/>
          <w:sz w:val="24"/>
          <w:szCs w:val="24"/>
          <w:highlight w:val="none"/>
        </w:rPr>
        <w:t>工作人员的人身安全以及所有设备、设施的财产安全由乙方独自全权负责。</w:t>
      </w:r>
    </w:p>
    <w:p w14:paraId="251F0B59">
      <w:pPr>
        <w:spacing w:before="182" w:line="331" w:lineRule="auto"/>
        <w:ind w:firstLine="409"/>
        <w:rPr>
          <w:rFonts w:ascii="宋体" w:hAnsi="宋体" w:eastAsia="宋体" w:cs="宋体"/>
          <w:sz w:val="24"/>
          <w:szCs w:val="24"/>
          <w:highlight w:val="none"/>
        </w:rPr>
      </w:pPr>
      <w:r>
        <w:rPr>
          <w:rFonts w:ascii="宋体" w:hAnsi="宋体" w:eastAsia="宋体" w:cs="宋体"/>
          <w:sz w:val="24"/>
          <w:szCs w:val="24"/>
          <w:highlight w:val="none"/>
        </w:rPr>
        <w:t>4、乙方负责发掘工地的安全保卫工作。乙方应与考古发掘</w:t>
      </w:r>
      <w:r>
        <w:rPr>
          <w:rFonts w:ascii="宋体" w:hAnsi="宋体" w:eastAsia="宋体" w:cs="宋体"/>
          <w:spacing w:val="-1"/>
          <w:sz w:val="24"/>
          <w:szCs w:val="24"/>
          <w:highlight w:val="none"/>
        </w:rPr>
        <w:t>技术服务单位协商在工</w:t>
      </w:r>
      <w:r>
        <w:rPr>
          <w:rFonts w:ascii="宋体" w:hAnsi="宋体" w:eastAsia="宋体" w:cs="宋体"/>
          <w:sz w:val="24"/>
          <w:szCs w:val="24"/>
          <w:highlight w:val="none"/>
        </w:rPr>
        <w:t>地现场选取合适位置搭建安全保卫值班室，在考古发掘区域</w:t>
      </w:r>
      <w:r>
        <w:rPr>
          <w:rFonts w:ascii="宋体" w:hAnsi="宋体" w:eastAsia="宋体" w:cs="宋体"/>
          <w:spacing w:val="-1"/>
          <w:sz w:val="24"/>
          <w:szCs w:val="24"/>
          <w:highlight w:val="none"/>
        </w:rPr>
        <w:t>四周设置围挡形成封闭的</w:t>
      </w:r>
      <w:r>
        <w:rPr>
          <w:rFonts w:ascii="宋体" w:hAnsi="宋体" w:eastAsia="宋体" w:cs="宋体"/>
          <w:sz w:val="24"/>
          <w:szCs w:val="24"/>
          <w:highlight w:val="none"/>
        </w:rPr>
        <w:t>工作区域，并在工地四周及出入口设置安全警示标志，安装</w:t>
      </w:r>
      <w:r>
        <w:rPr>
          <w:rFonts w:ascii="宋体" w:hAnsi="宋体" w:eastAsia="宋体" w:cs="宋体"/>
          <w:spacing w:val="-1"/>
          <w:sz w:val="24"/>
          <w:szCs w:val="24"/>
          <w:highlight w:val="none"/>
        </w:rPr>
        <w:t>监控预警等设备。负责安排足够的专职安全保卫人员，昼夜</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24</w:t>
      </w:r>
      <w:r>
        <w:rPr>
          <w:rFonts w:ascii="宋体" w:hAnsi="宋体" w:eastAsia="宋体" w:cs="宋体"/>
          <w:spacing w:val="-44"/>
          <w:sz w:val="24"/>
          <w:szCs w:val="24"/>
          <w:highlight w:val="none"/>
        </w:rPr>
        <w:t xml:space="preserve"> </w:t>
      </w:r>
      <w:r>
        <w:rPr>
          <w:rFonts w:ascii="宋体" w:hAnsi="宋体" w:eastAsia="宋体" w:cs="宋体"/>
          <w:spacing w:val="-1"/>
          <w:sz w:val="24"/>
          <w:szCs w:val="24"/>
          <w:highlight w:val="none"/>
        </w:rPr>
        <w:t>小时在工地值班巡逻，并在每一个考古发</w:t>
      </w:r>
      <w:r>
        <w:rPr>
          <w:rFonts w:ascii="宋体" w:hAnsi="宋体" w:eastAsia="宋体" w:cs="宋体"/>
          <w:spacing w:val="-2"/>
          <w:sz w:val="24"/>
          <w:szCs w:val="24"/>
          <w:highlight w:val="none"/>
        </w:rPr>
        <w:t>掘单</w:t>
      </w:r>
      <w:r>
        <w:rPr>
          <w:rFonts w:ascii="宋体" w:hAnsi="宋体" w:eastAsia="宋体" w:cs="宋体"/>
          <w:spacing w:val="-1"/>
          <w:sz w:val="24"/>
          <w:szCs w:val="24"/>
          <w:highlight w:val="none"/>
        </w:rPr>
        <w:t>位上方架设摄像监控，做到全程无死角监控发掘过程。</w:t>
      </w:r>
    </w:p>
    <w:p w14:paraId="21FDAC87">
      <w:pPr>
        <w:spacing w:before="180" w:line="290" w:lineRule="auto"/>
        <w:ind w:right="170" w:firstLine="484"/>
        <w:rPr>
          <w:rFonts w:ascii="宋体" w:hAnsi="宋体" w:eastAsia="宋体" w:cs="宋体"/>
          <w:sz w:val="24"/>
          <w:szCs w:val="24"/>
          <w:highlight w:val="none"/>
        </w:rPr>
      </w:pPr>
      <w:r>
        <w:rPr>
          <w:rFonts w:ascii="宋体" w:hAnsi="宋体" w:eastAsia="宋体" w:cs="宋体"/>
          <w:sz w:val="24"/>
          <w:szCs w:val="24"/>
          <w:highlight w:val="none"/>
        </w:rPr>
        <w:t>5、乙方所有考古工地的安全记录（包括值</w:t>
      </w:r>
      <w:r>
        <w:rPr>
          <w:rFonts w:ascii="宋体" w:hAnsi="宋体" w:eastAsia="宋体" w:cs="宋体"/>
          <w:spacing w:val="-1"/>
          <w:sz w:val="24"/>
          <w:szCs w:val="24"/>
          <w:highlight w:val="none"/>
        </w:rPr>
        <w:t>班记录、人员车辆出入登记、所有录像监控记录数据等）在工地结束后必须全部提交甲方存档。</w:t>
      </w:r>
    </w:p>
    <w:p w14:paraId="180E7C1B">
      <w:pPr>
        <w:spacing w:before="182" w:line="221" w:lineRule="auto"/>
        <w:outlineLvl w:val="1"/>
        <w:rPr>
          <w:rFonts w:ascii="宋体" w:hAnsi="宋体" w:eastAsia="宋体" w:cs="宋体"/>
          <w:sz w:val="24"/>
          <w:szCs w:val="24"/>
          <w:highlight w:val="none"/>
        </w:rPr>
      </w:pPr>
      <w:r>
        <w:rPr>
          <w:rFonts w:ascii="宋体" w:hAnsi="宋体" w:eastAsia="宋体" w:cs="宋体"/>
          <w:spacing w:val="-2"/>
          <w:sz w:val="24"/>
          <w:szCs w:val="24"/>
          <w:highlight w:val="none"/>
        </w:rPr>
        <w:t>三、发掘时间：</w:t>
      </w:r>
    </w:p>
    <w:p w14:paraId="16609650">
      <w:pPr>
        <w:spacing w:before="178" w:line="359" w:lineRule="auto"/>
        <w:ind w:left="3" w:right="170" w:firstLine="516"/>
        <w:rPr>
          <w:rFonts w:ascii="宋体" w:hAnsi="宋体" w:eastAsia="宋体" w:cs="宋体"/>
          <w:sz w:val="24"/>
          <w:szCs w:val="24"/>
          <w:highlight w:val="none"/>
        </w:rPr>
      </w:pPr>
      <w:r>
        <w:rPr>
          <w:rFonts w:ascii="宋体" w:hAnsi="宋体" w:eastAsia="宋体" w:cs="宋体"/>
          <w:spacing w:val="-2"/>
          <w:sz w:val="24"/>
          <w:szCs w:val="24"/>
          <w:highlight w:val="none"/>
        </w:rPr>
        <w:t>自该合同签订之日起至发掘完成，共计</w:t>
      </w:r>
      <w:r>
        <w:rPr>
          <w:rFonts w:ascii="宋体" w:hAnsi="宋体" w:eastAsia="宋体" w:cs="宋体"/>
          <w:spacing w:val="-2"/>
          <w:sz w:val="24"/>
          <w:szCs w:val="24"/>
          <w:highlight w:val="none"/>
          <w:u w:val="single" w:color="auto"/>
        </w:rPr>
        <w:t xml:space="preserve">     </w:t>
      </w:r>
      <w:r>
        <w:rPr>
          <w:rFonts w:ascii="宋体" w:hAnsi="宋体" w:eastAsia="宋体" w:cs="宋体"/>
          <w:spacing w:val="-96"/>
          <w:sz w:val="24"/>
          <w:szCs w:val="24"/>
          <w:highlight w:val="none"/>
        </w:rPr>
        <w:t xml:space="preserve"> </w:t>
      </w:r>
      <w:r>
        <w:rPr>
          <w:rFonts w:ascii="宋体" w:hAnsi="宋体" w:eastAsia="宋体" w:cs="宋体"/>
          <w:spacing w:val="-2"/>
          <w:sz w:val="24"/>
          <w:szCs w:val="24"/>
          <w:highlight w:val="none"/>
        </w:rPr>
        <w:t>个日历天。如遇天气等不可抗拒因素，工期顺延。</w:t>
      </w:r>
    </w:p>
    <w:p w14:paraId="3FE62AE1">
      <w:pPr>
        <w:spacing w:before="1" w:line="220"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发掘劳务配合费用与支付方式：</w:t>
      </w:r>
    </w:p>
    <w:p w14:paraId="5405506F">
      <w:pPr>
        <w:spacing w:before="180" w:line="313" w:lineRule="auto"/>
        <w:ind w:left="3" w:right="110" w:firstLine="494"/>
        <w:rPr>
          <w:rFonts w:ascii="宋体" w:hAnsi="宋体" w:eastAsia="宋体" w:cs="宋体"/>
          <w:sz w:val="24"/>
          <w:szCs w:val="24"/>
          <w:highlight w:val="none"/>
        </w:rPr>
      </w:pPr>
      <w:r>
        <w:rPr>
          <w:rFonts w:ascii="宋体" w:hAnsi="宋体" w:eastAsia="宋体" w:cs="宋体"/>
          <w:spacing w:val="-1"/>
          <w:sz w:val="24"/>
          <w:szCs w:val="24"/>
          <w:highlight w:val="none"/>
        </w:rPr>
        <w:t>1、取费依据：根据《中华人民共和国文物保护法》及国家计委、财政部、文物</w:t>
      </w:r>
      <w:r>
        <w:rPr>
          <w:rFonts w:ascii="宋体" w:hAnsi="宋体" w:eastAsia="宋体" w:cs="宋体"/>
          <w:spacing w:val="-2"/>
          <w:sz w:val="24"/>
          <w:szCs w:val="24"/>
          <w:highlight w:val="none"/>
        </w:rPr>
        <w:t>局颁发的《考古调查、勘探、发掘、经费预算定额管理办法》 (</w:t>
      </w:r>
      <w:r>
        <w:rPr>
          <w:rFonts w:ascii="宋体" w:hAnsi="宋体" w:eastAsia="宋体" w:cs="宋体"/>
          <w:spacing w:val="-66"/>
          <w:sz w:val="24"/>
          <w:szCs w:val="24"/>
          <w:highlight w:val="none"/>
        </w:rPr>
        <w:t xml:space="preserve"> </w:t>
      </w:r>
      <w:r>
        <w:rPr>
          <w:rFonts w:ascii="宋体" w:hAnsi="宋体" w:eastAsia="宋体" w:cs="宋体"/>
          <w:spacing w:val="-2"/>
          <w:sz w:val="24"/>
          <w:szCs w:val="24"/>
          <w:highlight w:val="none"/>
        </w:rPr>
        <w:t>﹝90﹞文物字第</w:t>
      </w:r>
      <w:r>
        <w:rPr>
          <w:rFonts w:ascii="宋体" w:hAnsi="宋体" w:eastAsia="宋体" w:cs="宋体"/>
          <w:spacing w:val="-48"/>
          <w:sz w:val="24"/>
          <w:szCs w:val="24"/>
          <w:highlight w:val="none"/>
        </w:rPr>
        <w:t xml:space="preserve"> </w:t>
      </w:r>
      <w:r>
        <w:rPr>
          <w:rFonts w:ascii="宋体" w:hAnsi="宋体" w:eastAsia="宋体" w:cs="宋体"/>
          <w:spacing w:val="-2"/>
          <w:sz w:val="24"/>
          <w:szCs w:val="24"/>
          <w:highlight w:val="none"/>
        </w:rPr>
        <w:t>248</w:t>
      </w:r>
      <w:r>
        <w:rPr>
          <w:rFonts w:ascii="宋体" w:hAnsi="宋体" w:eastAsia="宋体" w:cs="宋体"/>
          <w:spacing w:val="-1"/>
          <w:sz w:val="24"/>
          <w:szCs w:val="24"/>
          <w:highlight w:val="none"/>
        </w:rPr>
        <w:t>号）规定，结合项目所在地的实际情况，制订取费标准，进行项目预算。</w:t>
      </w:r>
    </w:p>
    <w:p w14:paraId="2EF9C882">
      <w:pPr>
        <w:spacing w:before="180" w:line="219" w:lineRule="auto"/>
        <w:ind w:left="779"/>
        <w:rPr>
          <w:rFonts w:ascii="宋体" w:hAnsi="宋体" w:eastAsia="宋体" w:cs="宋体"/>
          <w:sz w:val="24"/>
          <w:szCs w:val="24"/>
          <w:highlight w:val="none"/>
        </w:rPr>
      </w:pPr>
      <w:r>
        <w:rPr>
          <w:rFonts w:ascii="宋体" w:hAnsi="宋体" w:eastAsia="宋体" w:cs="宋体"/>
          <w:spacing w:val="-1"/>
          <w:sz w:val="24"/>
          <w:szCs w:val="24"/>
          <w:highlight w:val="none"/>
        </w:rPr>
        <w:t>2、通过公开采购，劳务费、安保费等本项目其他费用包含在内：</w:t>
      </w:r>
    </w:p>
    <w:p w14:paraId="7740265A">
      <w:pPr>
        <w:spacing w:before="183" w:line="219" w:lineRule="auto"/>
        <w:ind w:left="775"/>
        <w:rPr>
          <w:rFonts w:ascii="宋体" w:hAnsi="宋体" w:eastAsia="宋体" w:cs="宋体"/>
          <w:sz w:val="24"/>
          <w:szCs w:val="24"/>
          <w:highlight w:val="none"/>
        </w:rPr>
      </w:pPr>
      <w:r>
        <w:rPr>
          <w:rFonts w:ascii="宋体" w:hAnsi="宋体" w:eastAsia="宋体" w:cs="宋体"/>
          <w:spacing w:val="-1"/>
          <w:sz w:val="24"/>
          <w:szCs w:val="24"/>
          <w:highlight w:val="none"/>
        </w:rPr>
        <w:t>共计合同总价：</w:t>
      </w:r>
      <w:r>
        <w:rPr>
          <w:rFonts w:ascii="宋体" w:hAnsi="宋体" w:eastAsia="宋体" w:cs="宋体"/>
          <w:spacing w:val="-1"/>
          <w:sz w:val="24"/>
          <w:szCs w:val="24"/>
          <w:highlight w:val="none"/>
          <w:u w:val="single" w:color="auto"/>
        </w:rPr>
        <w:t xml:space="preserve">          </w:t>
      </w:r>
      <w:r>
        <w:rPr>
          <w:rFonts w:ascii="宋体" w:hAnsi="宋体" w:eastAsia="宋体" w:cs="宋体"/>
          <w:spacing w:val="-97"/>
          <w:sz w:val="24"/>
          <w:szCs w:val="24"/>
          <w:highlight w:val="none"/>
        </w:rPr>
        <w:t xml:space="preserve"> </w:t>
      </w:r>
      <w:r>
        <w:rPr>
          <w:rFonts w:ascii="宋体" w:hAnsi="宋体" w:eastAsia="宋体" w:cs="宋体"/>
          <w:spacing w:val="-1"/>
          <w:sz w:val="24"/>
          <w:szCs w:val="24"/>
          <w:highlight w:val="none"/>
        </w:rPr>
        <w:t>元，大写：</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 xml:space="preserve"> 。</w:t>
      </w:r>
    </w:p>
    <w:p w14:paraId="5DF932CC">
      <w:pPr>
        <w:spacing w:before="181" w:line="220" w:lineRule="auto"/>
        <w:ind w:left="485"/>
        <w:rPr>
          <w:rFonts w:ascii="宋体" w:hAnsi="宋体" w:eastAsia="宋体" w:cs="宋体"/>
          <w:sz w:val="24"/>
          <w:szCs w:val="24"/>
          <w:highlight w:val="none"/>
        </w:rPr>
      </w:pPr>
      <w:r>
        <w:rPr>
          <w:rFonts w:ascii="宋体" w:hAnsi="宋体" w:eastAsia="宋体" w:cs="宋体"/>
          <w:spacing w:val="-1"/>
          <w:sz w:val="24"/>
          <w:szCs w:val="24"/>
          <w:highlight w:val="none"/>
        </w:rPr>
        <w:t>3、付款方式：按照双方约定进行付款。</w:t>
      </w:r>
    </w:p>
    <w:p w14:paraId="7E106C0C">
      <w:pPr>
        <w:spacing w:before="182" w:line="291" w:lineRule="auto"/>
        <w:ind w:left="1" w:right="170" w:firstLine="478"/>
        <w:rPr>
          <w:rFonts w:ascii="宋体" w:hAnsi="宋体" w:eastAsia="宋体" w:cs="宋体"/>
          <w:sz w:val="24"/>
          <w:szCs w:val="24"/>
          <w:highlight w:val="none"/>
        </w:rPr>
      </w:pPr>
      <w:r>
        <w:rPr>
          <w:rFonts w:ascii="宋体" w:hAnsi="宋体" w:eastAsia="宋体" w:cs="宋体"/>
          <w:sz w:val="24"/>
          <w:szCs w:val="24"/>
          <w:highlight w:val="none"/>
        </w:rPr>
        <w:t>4、甲方每次付款前，乙方应给甲方出具增值税专用发票</w:t>
      </w:r>
      <w:r>
        <w:rPr>
          <w:rFonts w:ascii="宋体" w:hAnsi="宋体" w:eastAsia="宋体" w:cs="宋体"/>
          <w:spacing w:val="-1"/>
          <w:sz w:val="24"/>
          <w:szCs w:val="24"/>
          <w:highlight w:val="none"/>
        </w:rPr>
        <w:t>，否则甲方有权拒绝付</w:t>
      </w:r>
      <w:r>
        <w:rPr>
          <w:rFonts w:ascii="宋体" w:hAnsi="宋体" w:eastAsia="宋体" w:cs="宋体"/>
          <w:spacing w:val="-6"/>
          <w:sz w:val="24"/>
          <w:szCs w:val="24"/>
          <w:highlight w:val="none"/>
        </w:rPr>
        <w:t>款。</w:t>
      </w:r>
    </w:p>
    <w:p w14:paraId="00CDB0A8">
      <w:pPr>
        <w:spacing w:before="177" w:line="220" w:lineRule="auto"/>
        <w:ind w:left="485"/>
        <w:rPr>
          <w:rFonts w:ascii="宋体" w:hAnsi="宋体" w:eastAsia="宋体" w:cs="宋体"/>
          <w:sz w:val="24"/>
          <w:szCs w:val="24"/>
          <w:highlight w:val="none"/>
        </w:rPr>
      </w:pPr>
      <w:r>
        <w:rPr>
          <w:rFonts w:ascii="宋体" w:hAnsi="宋体" w:eastAsia="宋体" w:cs="宋体"/>
          <w:spacing w:val="-1"/>
          <w:sz w:val="24"/>
          <w:szCs w:val="24"/>
          <w:highlight w:val="none"/>
        </w:rPr>
        <w:t>5、乙方开户行及账号信息如下：</w:t>
      </w:r>
    </w:p>
    <w:p w14:paraId="79EBE3BA">
      <w:pPr>
        <w:spacing w:before="179" w:line="221" w:lineRule="auto"/>
        <w:ind w:left="500"/>
        <w:rPr>
          <w:rFonts w:ascii="宋体" w:hAnsi="宋体" w:eastAsia="宋体" w:cs="宋体"/>
          <w:sz w:val="24"/>
          <w:szCs w:val="24"/>
          <w:highlight w:val="none"/>
        </w:rPr>
      </w:pPr>
      <w:r>
        <w:rPr>
          <w:rFonts w:ascii="宋体" w:hAnsi="宋体" w:eastAsia="宋体" w:cs="宋体"/>
          <w:spacing w:val="-6"/>
          <w:sz w:val="24"/>
          <w:szCs w:val="24"/>
          <w:highlight w:val="none"/>
        </w:rPr>
        <w:t>乙方账户：</w:t>
      </w:r>
    </w:p>
    <w:p w14:paraId="55A82B84">
      <w:pPr>
        <w:spacing w:before="181" w:line="222" w:lineRule="auto"/>
        <w:ind w:left="484"/>
        <w:rPr>
          <w:rFonts w:ascii="宋体" w:hAnsi="宋体" w:eastAsia="宋体" w:cs="宋体"/>
          <w:sz w:val="24"/>
          <w:szCs w:val="24"/>
          <w:highlight w:val="none"/>
        </w:rPr>
      </w:pPr>
      <w:r>
        <w:rPr>
          <w:rFonts w:ascii="宋体" w:hAnsi="宋体" w:eastAsia="宋体" w:cs="宋体"/>
          <w:spacing w:val="-10"/>
          <w:sz w:val="24"/>
          <w:szCs w:val="24"/>
          <w:highlight w:val="none"/>
        </w:rPr>
        <w:t>账</w:t>
      </w:r>
      <w:r>
        <w:rPr>
          <w:rFonts w:ascii="宋体" w:hAnsi="宋体" w:eastAsia="宋体" w:cs="宋体"/>
          <w:spacing w:val="3"/>
          <w:sz w:val="24"/>
          <w:szCs w:val="24"/>
          <w:highlight w:val="none"/>
        </w:rPr>
        <w:t xml:space="preserve">    </w:t>
      </w:r>
      <w:r>
        <w:rPr>
          <w:rFonts w:ascii="宋体" w:hAnsi="宋体" w:eastAsia="宋体" w:cs="宋体"/>
          <w:spacing w:val="-10"/>
          <w:sz w:val="24"/>
          <w:szCs w:val="24"/>
          <w:highlight w:val="none"/>
        </w:rPr>
        <w:t>号：</w:t>
      </w:r>
    </w:p>
    <w:p w14:paraId="3484232A">
      <w:pPr>
        <w:spacing w:before="177" w:line="221" w:lineRule="auto"/>
        <w:ind w:left="481"/>
        <w:rPr>
          <w:rFonts w:ascii="宋体" w:hAnsi="宋体" w:eastAsia="宋体" w:cs="宋体"/>
          <w:sz w:val="24"/>
          <w:szCs w:val="24"/>
          <w:highlight w:val="none"/>
        </w:rPr>
      </w:pPr>
      <w:r>
        <w:rPr>
          <w:rFonts w:ascii="宋体" w:hAnsi="宋体" w:eastAsia="宋体" w:cs="宋体"/>
          <w:spacing w:val="-3"/>
          <w:sz w:val="24"/>
          <w:szCs w:val="24"/>
          <w:highlight w:val="none"/>
        </w:rPr>
        <w:t>开户银行：</w:t>
      </w:r>
    </w:p>
    <w:p w14:paraId="08CB0C28">
      <w:pPr>
        <w:spacing w:before="181" w:line="220" w:lineRule="auto"/>
        <w:ind w:left="23"/>
        <w:outlineLvl w:val="1"/>
        <w:rPr>
          <w:rFonts w:ascii="宋体" w:hAnsi="宋体" w:eastAsia="宋体" w:cs="宋体"/>
          <w:sz w:val="24"/>
          <w:szCs w:val="24"/>
          <w:highlight w:val="none"/>
        </w:rPr>
      </w:pPr>
      <w:r>
        <w:rPr>
          <w:rFonts w:ascii="宋体" w:hAnsi="宋体" w:eastAsia="宋体" w:cs="宋体"/>
          <w:spacing w:val="-3"/>
          <w:sz w:val="24"/>
          <w:szCs w:val="24"/>
          <w:highlight w:val="none"/>
        </w:rPr>
        <w:t>四、其他不可预见情况：</w:t>
      </w:r>
    </w:p>
    <w:p w14:paraId="0E0583E2">
      <w:pPr>
        <w:spacing w:line="220" w:lineRule="auto"/>
        <w:rPr>
          <w:rFonts w:ascii="宋体" w:hAnsi="宋体" w:eastAsia="宋体" w:cs="宋体"/>
          <w:sz w:val="24"/>
          <w:szCs w:val="24"/>
          <w:highlight w:val="none"/>
        </w:rPr>
        <w:sectPr>
          <w:footerReference r:id="rId15" w:type="default"/>
          <w:pgSz w:w="11907" w:h="16840"/>
          <w:pgMar w:top="1426" w:right="1503" w:bottom="1199" w:left="1481" w:header="0" w:footer="984" w:gutter="0"/>
          <w:pgNumType w:fmt="decimal"/>
          <w:cols w:space="720" w:num="1"/>
        </w:sectPr>
      </w:pPr>
    </w:p>
    <w:p w14:paraId="29F37174">
      <w:pPr>
        <w:spacing w:before="48" w:line="220" w:lineRule="auto"/>
        <w:ind w:left="498"/>
        <w:rPr>
          <w:rFonts w:ascii="宋体" w:hAnsi="宋体" w:eastAsia="宋体" w:cs="宋体"/>
          <w:sz w:val="24"/>
          <w:szCs w:val="24"/>
          <w:highlight w:val="none"/>
        </w:rPr>
      </w:pPr>
      <w:r>
        <w:rPr>
          <w:rFonts w:ascii="宋体" w:hAnsi="宋体" w:eastAsia="宋体" w:cs="宋体"/>
          <w:spacing w:val="-1"/>
          <w:sz w:val="24"/>
          <w:szCs w:val="24"/>
          <w:highlight w:val="none"/>
        </w:rPr>
        <w:t>1、在发掘过程中如遇重大发现（如发现壁画墓需保护揭取或发现遗物特别丰</w:t>
      </w:r>
    </w:p>
    <w:p w14:paraId="398F8368">
      <w:pPr>
        <w:spacing w:before="179" w:line="313" w:lineRule="auto"/>
        <w:ind w:left="3" w:firstLine="6"/>
        <w:rPr>
          <w:rFonts w:ascii="宋体" w:hAnsi="宋体" w:eastAsia="宋体" w:cs="宋体"/>
          <w:sz w:val="24"/>
          <w:szCs w:val="24"/>
          <w:highlight w:val="none"/>
        </w:rPr>
      </w:pPr>
      <w:r>
        <w:rPr>
          <w:rFonts w:ascii="宋体" w:hAnsi="宋体" w:eastAsia="宋体" w:cs="宋体"/>
          <w:spacing w:val="-1"/>
          <w:sz w:val="24"/>
          <w:szCs w:val="24"/>
          <w:highlight w:val="none"/>
        </w:rPr>
        <w:t>富、遗迹现象复杂价值较高的遗存等</w:t>
      </w:r>
      <w:r>
        <w:rPr>
          <w:rFonts w:ascii="宋体" w:hAnsi="宋体" w:eastAsia="宋体" w:cs="宋体"/>
          <w:spacing w:val="7"/>
          <w:sz w:val="24"/>
          <w:szCs w:val="24"/>
          <w:highlight w:val="none"/>
        </w:rPr>
        <w:t>），</w:t>
      </w:r>
      <w:r>
        <w:rPr>
          <w:rFonts w:ascii="宋体" w:hAnsi="宋体" w:eastAsia="宋体" w:cs="宋体"/>
          <w:spacing w:val="-1"/>
          <w:sz w:val="24"/>
          <w:szCs w:val="24"/>
          <w:highlight w:val="none"/>
        </w:rPr>
        <w:t>经双方协商达成一致意见后，可酌情延长工</w:t>
      </w:r>
      <w:r>
        <w:rPr>
          <w:rFonts w:ascii="宋体" w:hAnsi="宋体" w:eastAsia="宋体" w:cs="宋体"/>
          <w:sz w:val="24"/>
          <w:szCs w:val="24"/>
          <w:highlight w:val="none"/>
        </w:rPr>
        <w:t>期,并增加费用，具体以甲乙双方另行达成补充协议</w:t>
      </w:r>
      <w:r>
        <w:rPr>
          <w:rFonts w:ascii="宋体" w:hAnsi="宋体" w:eastAsia="宋体" w:cs="宋体"/>
          <w:spacing w:val="-1"/>
          <w:sz w:val="24"/>
          <w:szCs w:val="24"/>
          <w:highlight w:val="none"/>
        </w:rPr>
        <w:t>或备忘为准。若无法达成一致意见，双方可协商终止本合同。</w:t>
      </w:r>
    </w:p>
    <w:p w14:paraId="01D919D9">
      <w:pPr>
        <w:spacing w:before="181" w:line="313" w:lineRule="auto"/>
        <w:ind w:left="2" w:firstLine="480"/>
        <w:rPr>
          <w:rFonts w:ascii="宋体" w:hAnsi="宋体" w:eastAsia="宋体" w:cs="宋体"/>
          <w:sz w:val="24"/>
          <w:szCs w:val="24"/>
          <w:highlight w:val="none"/>
        </w:rPr>
      </w:pPr>
      <w:r>
        <w:rPr>
          <w:rFonts w:ascii="宋体" w:hAnsi="宋体" w:eastAsia="宋体" w:cs="宋体"/>
          <w:sz w:val="24"/>
          <w:szCs w:val="24"/>
          <w:highlight w:val="none"/>
        </w:rPr>
        <w:t>2、在施工中如发现误探、漏探的古代遗存（指</w:t>
      </w:r>
      <w:r>
        <w:rPr>
          <w:rFonts w:ascii="宋体" w:hAnsi="宋体" w:eastAsia="宋体" w:cs="宋体"/>
          <w:spacing w:val="-1"/>
          <w:sz w:val="24"/>
          <w:szCs w:val="24"/>
          <w:highlight w:val="none"/>
        </w:rPr>
        <w:t>与勘探报告书不符的部分）需要</w:t>
      </w:r>
      <w:r>
        <w:rPr>
          <w:rFonts w:ascii="宋体" w:hAnsi="宋体" w:eastAsia="宋体" w:cs="宋体"/>
          <w:sz w:val="24"/>
          <w:szCs w:val="24"/>
          <w:highlight w:val="none"/>
        </w:rPr>
        <w:t>发掘的，可根据实际情况，由甲、乙双方另行协商解决</w:t>
      </w:r>
      <w:r>
        <w:rPr>
          <w:rFonts w:ascii="宋体" w:hAnsi="宋体" w:eastAsia="宋体" w:cs="宋体"/>
          <w:spacing w:val="-1"/>
          <w:sz w:val="24"/>
          <w:szCs w:val="24"/>
          <w:highlight w:val="none"/>
        </w:rPr>
        <w:t>，可适当延长工期，并追加费</w:t>
      </w:r>
      <w:r>
        <w:rPr>
          <w:rFonts w:ascii="宋体" w:hAnsi="宋体" w:eastAsia="宋体" w:cs="宋体"/>
          <w:spacing w:val="-6"/>
          <w:sz w:val="24"/>
          <w:szCs w:val="24"/>
          <w:highlight w:val="none"/>
        </w:rPr>
        <w:t>用。</w:t>
      </w:r>
    </w:p>
    <w:p w14:paraId="4B9A3807">
      <w:pPr>
        <w:spacing w:before="180" w:line="290" w:lineRule="auto"/>
        <w:ind w:left="12" w:right="88" w:firstLine="473"/>
        <w:rPr>
          <w:rFonts w:ascii="宋体" w:hAnsi="宋体" w:eastAsia="宋体" w:cs="宋体"/>
          <w:sz w:val="24"/>
          <w:szCs w:val="24"/>
          <w:highlight w:val="none"/>
        </w:rPr>
      </w:pPr>
      <w:r>
        <w:rPr>
          <w:rFonts w:ascii="宋体" w:hAnsi="宋体" w:eastAsia="宋体" w:cs="宋体"/>
          <w:b/>
          <w:bCs/>
          <w:spacing w:val="-2"/>
          <w:sz w:val="24"/>
          <w:szCs w:val="24"/>
          <w:highlight w:val="none"/>
        </w:rPr>
        <w:t>3、如因客观原因无法提供工作面，导致发掘工作无法继续，现场发掘工</w:t>
      </w:r>
      <w:r>
        <w:rPr>
          <w:rFonts w:ascii="宋体" w:hAnsi="宋体" w:eastAsia="宋体" w:cs="宋体"/>
          <w:b/>
          <w:bCs/>
          <w:spacing w:val="-3"/>
          <w:sz w:val="24"/>
          <w:szCs w:val="24"/>
          <w:highlight w:val="none"/>
        </w:rPr>
        <w:t>作停置时间超过一个月以上时，由甲乙双方协商解决或签订补充协议。</w:t>
      </w:r>
    </w:p>
    <w:p w14:paraId="3BE0677D">
      <w:pPr>
        <w:spacing w:before="178" w:line="313" w:lineRule="auto"/>
        <w:ind w:left="2" w:firstLine="481"/>
        <w:rPr>
          <w:rFonts w:ascii="宋体" w:hAnsi="宋体" w:eastAsia="宋体" w:cs="宋体"/>
          <w:sz w:val="24"/>
          <w:szCs w:val="24"/>
          <w:highlight w:val="none"/>
        </w:rPr>
      </w:pPr>
      <w:r>
        <w:rPr>
          <w:rFonts w:ascii="宋体" w:hAnsi="宋体" w:eastAsia="宋体" w:cs="宋体"/>
          <w:sz w:val="24"/>
          <w:szCs w:val="24"/>
          <w:highlight w:val="none"/>
        </w:rPr>
        <w:t>五、本协议明确乙方未在合同工期内完成发掘</w:t>
      </w:r>
      <w:r>
        <w:rPr>
          <w:rFonts w:ascii="宋体" w:hAnsi="宋体" w:eastAsia="宋体" w:cs="宋体"/>
          <w:spacing w:val="-1"/>
          <w:sz w:val="24"/>
          <w:szCs w:val="24"/>
          <w:highlight w:val="none"/>
        </w:rPr>
        <w:t>劳务，遇雨、雪、地震等自然灾害</w:t>
      </w:r>
      <w:r>
        <w:rPr>
          <w:rFonts w:ascii="宋体" w:hAnsi="宋体" w:eastAsia="宋体" w:cs="宋体"/>
          <w:sz w:val="24"/>
          <w:szCs w:val="24"/>
          <w:highlight w:val="none"/>
        </w:rPr>
        <w:t>以及疫情、禁土令等影响，工期顺延。无特殊情况，每</w:t>
      </w:r>
      <w:r>
        <w:rPr>
          <w:rFonts w:ascii="宋体" w:hAnsi="宋体" w:eastAsia="宋体" w:cs="宋体"/>
          <w:spacing w:val="-1"/>
          <w:sz w:val="24"/>
          <w:szCs w:val="24"/>
          <w:highlight w:val="none"/>
        </w:rPr>
        <w:t>延迟一天，按照总费用的百分</w:t>
      </w:r>
      <w:r>
        <w:rPr>
          <w:rFonts w:ascii="宋体" w:hAnsi="宋体" w:eastAsia="宋体" w:cs="宋体"/>
          <w:sz w:val="24"/>
          <w:szCs w:val="24"/>
          <w:highlight w:val="none"/>
        </w:rPr>
        <w:t>之一承担违约金，该违约金直接可从甲方应</w:t>
      </w:r>
      <w:r>
        <w:rPr>
          <w:rFonts w:ascii="宋体" w:hAnsi="宋体" w:eastAsia="宋体" w:cs="宋体"/>
          <w:spacing w:val="-1"/>
          <w:sz w:val="24"/>
          <w:szCs w:val="24"/>
          <w:highlight w:val="none"/>
        </w:rPr>
        <w:t>支付乙方的费用中进行扣减。</w:t>
      </w:r>
    </w:p>
    <w:p w14:paraId="2262C31B">
      <w:pPr>
        <w:spacing w:before="182"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六、本协议明确未尽事宜，由甲、乙双方协商解决。</w:t>
      </w:r>
    </w:p>
    <w:p w14:paraId="71858A86">
      <w:pPr>
        <w:spacing w:before="181" w:line="290" w:lineRule="auto"/>
        <w:ind w:firstLine="480"/>
        <w:rPr>
          <w:rFonts w:ascii="宋体" w:hAnsi="宋体" w:eastAsia="宋体" w:cs="宋体"/>
          <w:sz w:val="24"/>
          <w:szCs w:val="24"/>
          <w:highlight w:val="none"/>
        </w:rPr>
      </w:pPr>
      <w:r>
        <w:rPr>
          <w:rFonts w:ascii="宋体" w:hAnsi="宋体" w:eastAsia="宋体" w:cs="宋体"/>
          <w:sz w:val="24"/>
          <w:szCs w:val="24"/>
          <w:highlight w:val="none"/>
        </w:rPr>
        <w:t>七、本协议产生的争议的，任何一方均可向由项目所在地</w:t>
      </w:r>
      <w:r>
        <w:rPr>
          <w:rFonts w:ascii="宋体" w:hAnsi="宋体" w:eastAsia="宋体" w:cs="宋体"/>
          <w:spacing w:val="-1"/>
          <w:sz w:val="24"/>
          <w:szCs w:val="24"/>
          <w:highlight w:val="none"/>
        </w:rPr>
        <w:t>有管辖权的人民法院起</w:t>
      </w:r>
      <w:r>
        <w:rPr>
          <w:rFonts w:ascii="宋体" w:hAnsi="宋体" w:eastAsia="宋体" w:cs="宋体"/>
          <w:spacing w:val="-5"/>
          <w:sz w:val="24"/>
          <w:szCs w:val="24"/>
          <w:highlight w:val="none"/>
        </w:rPr>
        <w:t>诉。</w:t>
      </w:r>
    </w:p>
    <w:p w14:paraId="11268D1F">
      <w:pPr>
        <w:spacing w:before="179"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八、本协议一式</w:t>
      </w:r>
      <w:r>
        <w:rPr>
          <w:rFonts w:ascii="宋体" w:hAnsi="宋体" w:eastAsia="宋体" w:cs="宋体"/>
          <w:spacing w:val="-1"/>
          <w:sz w:val="24"/>
          <w:szCs w:val="24"/>
          <w:highlight w:val="none"/>
          <w:u w:val="single" w:color="auto"/>
        </w:rPr>
        <w:t xml:space="preserve"> 捌 </w:t>
      </w:r>
      <w:r>
        <w:rPr>
          <w:rFonts w:ascii="宋体" w:hAnsi="宋体" w:eastAsia="宋体" w:cs="宋体"/>
          <w:spacing w:val="-1"/>
          <w:sz w:val="24"/>
          <w:szCs w:val="24"/>
          <w:highlight w:val="none"/>
        </w:rPr>
        <w:t>份，甲、乙双方各执</w:t>
      </w:r>
      <w:r>
        <w:rPr>
          <w:rFonts w:ascii="宋体" w:hAnsi="宋体" w:eastAsia="宋体" w:cs="宋体"/>
          <w:spacing w:val="-1"/>
          <w:sz w:val="24"/>
          <w:szCs w:val="24"/>
          <w:highlight w:val="none"/>
          <w:u w:val="single" w:color="auto"/>
        </w:rPr>
        <w:t xml:space="preserve"> 肆 </w:t>
      </w:r>
      <w:r>
        <w:rPr>
          <w:rFonts w:ascii="宋体" w:hAnsi="宋体" w:eastAsia="宋体" w:cs="宋体"/>
          <w:spacing w:val="-1"/>
          <w:sz w:val="24"/>
          <w:szCs w:val="24"/>
          <w:highlight w:val="none"/>
        </w:rPr>
        <w:t>份。自签字盖章起生效。</w:t>
      </w:r>
    </w:p>
    <w:p w14:paraId="53FB7999">
      <w:pPr>
        <w:pStyle w:val="5"/>
        <w:spacing w:line="413" w:lineRule="auto"/>
        <w:rPr>
          <w:highlight w:val="none"/>
        </w:rPr>
      </w:pPr>
    </w:p>
    <w:p w14:paraId="00CECF70">
      <w:pPr>
        <w:spacing w:before="79" w:line="222" w:lineRule="auto"/>
        <w:ind w:left="31"/>
        <w:rPr>
          <w:rFonts w:ascii="宋体" w:hAnsi="宋体" w:eastAsia="宋体" w:cs="宋体"/>
          <w:sz w:val="24"/>
          <w:szCs w:val="24"/>
          <w:highlight w:val="none"/>
        </w:rPr>
      </w:pPr>
      <w:r>
        <w:rPr>
          <w:rFonts w:ascii="宋体" w:hAnsi="宋体" w:eastAsia="宋体" w:cs="宋体"/>
          <w:spacing w:val="-12"/>
          <w:sz w:val="24"/>
          <w:szCs w:val="24"/>
          <w:highlight w:val="none"/>
        </w:rPr>
        <w:t>甲方：</w:t>
      </w:r>
      <w:r>
        <w:rPr>
          <w:rFonts w:ascii="宋体" w:hAnsi="宋体" w:eastAsia="宋体" w:cs="宋体"/>
          <w:spacing w:val="1"/>
          <w:sz w:val="24"/>
          <w:szCs w:val="24"/>
          <w:highlight w:val="none"/>
        </w:rPr>
        <w:t xml:space="preserve">                          </w:t>
      </w:r>
      <w:r>
        <w:rPr>
          <w:rFonts w:ascii="宋体" w:hAnsi="宋体" w:eastAsia="宋体" w:cs="宋体"/>
          <w:spacing w:val="-12"/>
          <w:sz w:val="24"/>
          <w:szCs w:val="24"/>
          <w:highlight w:val="none"/>
        </w:rPr>
        <w:t>乙方：</w:t>
      </w:r>
    </w:p>
    <w:p w14:paraId="32E74425">
      <w:pPr>
        <w:spacing w:before="178" w:line="219" w:lineRule="auto"/>
        <w:ind w:left="12"/>
        <w:rPr>
          <w:rFonts w:ascii="宋体" w:hAnsi="宋体" w:eastAsia="宋体" w:cs="宋体"/>
          <w:sz w:val="24"/>
          <w:szCs w:val="24"/>
          <w:highlight w:val="none"/>
        </w:rPr>
      </w:pPr>
      <w:r>
        <w:rPr>
          <w:rFonts w:ascii="宋体" w:hAnsi="宋体" w:eastAsia="宋体" w:cs="宋体"/>
          <w:spacing w:val="2"/>
          <w:sz w:val="24"/>
          <w:szCs w:val="24"/>
          <w:highlight w:val="none"/>
        </w:rPr>
        <w:t>（盖章</w:t>
      </w:r>
      <w:r>
        <w:rPr>
          <w:rFonts w:ascii="宋体" w:hAnsi="宋体" w:eastAsia="宋体" w:cs="宋体"/>
          <w:spacing w:val="-17"/>
          <w:sz w:val="24"/>
          <w:szCs w:val="24"/>
          <w:highlight w:val="none"/>
        </w:rPr>
        <w:t>）</w:t>
      </w:r>
      <w:r>
        <w:rPr>
          <w:rFonts w:ascii="宋体" w:hAnsi="宋体" w:eastAsia="宋体" w:cs="宋体"/>
          <w:spacing w:val="5"/>
          <w:sz w:val="24"/>
          <w:szCs w:val="24"/>
          <w:highlight w:val="none"/>
        </w:rPr>
        <w:t xml:space="preserve">                       </w:t>
      </w:r>
      <w:r>
        <w:rPr>
          <w:rFonts w:ascii="宋体" w:hAnsi="宋体" w:eastAsia="宋体" w:cs="宋体"/>
          <w:spacing w:val="-17"/>
          <w:sz w:val="24"/>
          <w:szCs w:val="24"/>
          <w:highlight w:val="none"/>
        </w:rPr>
        <w:t>（</w:t>
      </w:r>
      <w:r>
        <w:rPr>
          <w:rFonts w:ascii="宋体" w:hAnsi="宋体" w:eastAsia="宋体" w:cs="宋体"/>
          <w:spacing w:val="2"/>
          <w:sz w:val="24"/>
          <w:szCs w:val="24"/>
          <w:highlight w:val="none"/>
        </w:rPr>
        <w:t>盖章）</w:t>
      </w:r>
    </w:p>
    <w:p w14:paraId="29CD80DF">
      <w:pPr>
        <w:pStyle w:val="5"/>
        <w:spacing w:line="283" w:lineRule="auto"/>
        <w:rPr>
          <w:highlight w:val="none"/>
        </w:rPr>
      </w:pPr>
    </w:p>
    <w:p w14:paraId="21D52749">
      <w:pPr>
        <w:pStyle w:val="5"/>
        <w:spacing w:line="284" w:lineRule="auto"/>
        <w:rPr>
          <w:highlight w:val="none"/>
        </w:rPr>
      </w:pPr>
    </w:p>
    <w:p w14:paraId="1622C0F7">
      <w:pPr>
        <w:spacing w:before="78" w:line="220" w:lineRule="auto"/>
        <w:ind w:left="1"/>
        <w:rPr>
          <w:rFonts w:ascii="宋体" w:hAnsi="宋体" w:eastAsia="宋体" w:cs="宋体"/>
          <w:sz w:val="24"/>
          <w:szCs w:val="24"/>
          <w:highlight w:val="none"/>
        </w:rPr>
      </w:pPr>
      <w:r>
        <w:rPr>
          <w:rFonts w:ascii="宋体" w:hAnsi="宋体" w:eastAsia="宋体" w:cs="宋体"/>
          <w:sz w:val="24"/>
          <w:szCs w:val="24"/>
          <w:highlight w:val="none"/>
        </w:rPr>
        <w:t xml:space="preserve">法定代表人或              </w:t>
      </w:r>
      <w:r>
        <w:rPr>
          <w:rFonts w:ascii="宋体" w:hAnsi="宋体" w:eastAsia="宋体" w:cs="宋体"/>
          <w:spacing w:val="-1"/>
          <w:sz w:val="24"/>
          <w:szCs w:val="24"/>
          <w:highlight w:val="none"/>
        </w:rPr>
        <w:t xml:space="preserve">      法定代表人或</w:t>
      </w:r>
    </w:p>
    <w:p w14:paraId="15028F96">
      <w:pPr>
        <w:spacing w:before="182" w:line="220" w:lineRule="auto"/>
        <w:rPr>
          <w:rFonts w:ascii="宋体" w:hAnsi="宋体" w:eastAsia="宋体" w:cs="宋体"/>
          <w:sz w:val="24"/>
          <w:szCs w:val="24"/>
          <w:highlight w:val="none"/>
        </w:rPr>
      </w:pPr>
      <w:r>
        <w:rPr>
          <w:rFonts w:ascii="宋体" w:hAnsi="宋体" w:eastAsia="宋体" w:cs="宋体"/>
          <w:sz w:val="24"/>
          <w:szCs w:val="24"/>
          <w:highlight w:val="none"/>
        </w:rPr>
        <w:t xml:space="preserve">授权代表人：                </w:t>
      </w:r>
      <w:r>
        <w:rPr>
          <w:rFonts w:ascii="宋体" w:hAnsi="宋体" w:eastAsia="宋体" w:cs="宋体"/>
          <w:spacing w:val="-1"/>
          <w:sz w:val="24"/>
          <w:szCs w:val="24"/>
          <w:highlight w:val="none"/>
        </w:rPr>
        <w:t xml:space="preserve">    授权代表人：</w:t>
      </w:r>
    </w:p>
    <w:p w14:paraId="60258452">
      <w:pPr>
        <w:pStyle w:val="5"/>
        <w:spacing w:line="283" w:lineRule="auto"/>
        <w:rPr>
          <w:highlight w:val="none"/>
        </w:rPr>
      </w:pPr>
    </w:p>
    <w:p w14:paraId="16B9F757">
      <w:pPr>
        <w:pStyle w:val="5"/>
        <w:spacing w:line="283" w:lineRule="auto"/>
        <w:rPr>
          <w:highlight w:val="none"/>
        </w:rPr>
      </w:pPr>
    </w:p>
    <w:p w14:paraId="0A229AF7">
      <w:pPr>
        <w:spacing w:before="78" w:line="220" w:lineRule="auto"/>
        <w:ind w:left="2"/>
        <w:rPr>
          <w:rFonts w:ascii="宋体" w:hAnsi="宋体" w:eastAsia="宋体" w:cs="宋体"/>
          <w:sz w:val="24"/>
          <w:szCs w:val="24"/>
          <w:highlight w:val="none"/>
        </w:rPr>
      </w:pPr>
      <w:r>
        <w:rPr>
          <w:rFonts w:ascii="宋体" w:hAnsi="宋体" w:eastAsia="宋体" w:cs="宋体"/>
          <w:spacing w:val="-3"/>
          <w:sz w:val="24"/>
          <w:szCs w:val="24"/>
          <w:highlight w:val="none"/>
        </w:rPr>
        <w:t>经办人：</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经办人：</w:t>
      </w:r>
    </w:p>
    <w:p w14:paraId="5DFC9251">
      <w:pPr>
        <w:pStyle w:val="5"/>
        <w:spacing w:line="283" w:lineRule="auto"/>
        <w:rPr>
          <w:highlight w:val="none"/>
        </w:rPr>
      </w:pPr>
    </w:p>
    <w:p w14:paraId="1DB67BB8">
      <w:pPr>
        <w:pStyle w:val="5"/>
        <w:spacing w:line="283" w:lineRule="auto"/>
        <w:rPr>
          <w:highlight w:val="none"/>
        </w:rPr>
      </w:pPr>
    </w:p>
    <w:p w14:paraId="18334294">
      <w:pPr>
        <w:spacing w:before="79" w:line="220" w:lineRule="auto"/>
        <w:ind w:left="42"/>
        <w:outlineLvl w:val="0"/>
        <w:rPr>
          <w:rFonts w:ascii="宋体" w:hAnsi="宋体" w:eastAsia="宋体" w:cs="宋体"/>
          <w:sz w:val="24"/>
          <w:szCs w:val="24"/>
          <w:highlight w:val="none"/>
        </w:rPr>
      </w:pPr>
      <w:bookmarkStart w:id="19" w:name="_Toc11126"/>
      <w:bookmarkStart w:id="20" w:name="_Toc23296"/>
      <w:r>
        <w:rPr>
          <w:rFonts w:ascii="宋体" w:hAnsi="宋体" w:eastAsia="宋体" w:cs="宋体"/>
          <w:spacing w:val="-13"/>
          <w:sz w:val="24"/>
          <w:szCs w:val="24"/>
          <w:highlight w:val="none"/>
        </w:rPr>
        <w:t>日期：</w:t>
      </w:r>
      <w:r>
        <w:rPr>
          <w:rFonts w:ascii="宋体" w:hAnsi="宋体" w:eastAsia="宋体" w:cs="宋体"/>
          <w:spacing w:val="2"/>
          <w:sz w:val="24"/>
          <w:szCs w:val="24"/>
          <w:highlight w:val="none"/>
        </w:rPr>
        <w:t xml:space="preserve">    </w:t>
      </w:r>
      <w:r>
        <w:rPr>
          <w:rFonts w:ascii="宋体" w:hAnsi="宋体" w:eastAsia="宋体" w:cs="宋体"/>
          <w:spacing w:val="-13"/>
          <w:sz w:val="24"/>
          <w:szCs w:val="24"/>
          <w:highlight w:val="none"/>
        </w:rPr>
        <w:t>年</w:t>
      </w:r>
      <w:r>
        <w:rPr>
          <w:rFonts w:ascii="宋体" w:hAnsi="宋体" w:eastAsia="宋体" w:cs="宋体"/>
          <w:spacing w:val="4"/>
          <w:sz w:val="24"/>
          <w:szCs w:val="24"/>
          <w:highlight w:val="none"/>
        </w:rPr>
        <w:t xml:space="preserve">    </w:t>
      </w:r>
      <w:r>
        <w:rPr>
          <w:rFonts w:ascii="宋体" w:hAnsi="宋体" w:eastAsia="宋体" w:cs="宋体"/>
          <w:spacing w:val="-13"/>
          <w:sz w:val="24"/>
          <w:szCs w:val="24"/>
          <w:highlight w:val="none"/>
        </w:rPr>
        <w:t>月</w:t>
      </w:r>
      <w:r>
        <w:rPr>
          <w:rFonts w:ascii="宋体" w:hAnsi="宋体" w:eastAsia="宋体" w:cs="宋体"/>
          <w:spacing w:val="12"/>
          <w:sz w:val="24"/>
          <w:szCs w:val="24"/>
          <w:highlight w:val="none"/>
        </w:rPr>
        <w:t xml:space="preserve">    </w:t>
      </w:r>
      <w:r>
        <w:rPr>
          <w:rFonts w:ascii="宋体" w:hAnsi="宋体" w:eastAsia="宋体" w:cs="宋体"/>
          <w:spacing w:val="-13"/>
          <w:sz w:val="24"/>
          <w:szCs w:val="24"/>
          <w:highlight w:val="none"/>
        </w:rPr>
        <w:t>日         日期：</w:t>
      </w:r>
      <w:r>
        <w:rPr>
          <w:rFonts w:ascii="宋体" w:hAnsi="宋体" w:eastAsia="宋体" w:cs="宋体"/>
          <w:spacing w:val="3"/>
          <w:sz w:val="24"/>
          <w:szCs w:val="24"/>
          <w:highlight w:val="none"/>
        </w:rPr>
        <w:t xml:space="preserve">    </w:t>
      </w:r>
      <w:r>
        <w:rPr>
          <w:rFonts w:ascii="宋体" w:hAnsi="宋体" w:eastAsia="宋体" w:cs="宋体"/>
          <w:spacing w:val="-13"/>
          <w:sz w:val="24"/>
          <w:szCs w:val="24"/>
          <w:highlight w:val="none"/>
        </w:rPr>
        <w:t>年</w:t>
      </w:r>
      <w:r>
        <w:rPr>
          <w:rFonts w:ascii="宋体" w:hAnsi="宋体" w:eastAsia="宋体" w:cs="宋体"/>
          <w:spacing w:val="4"/>
          <w:sz w:val="24"/>
          <w:szCs w:val="24"/>
          <w:highlight w:val="none"/>
        </w:rPr>
        <w:t xml:space="preserve">    </w:t>
      </w:r>
      <w:r>
        <w:rPr>
          <w:rFonts w:ascii="宋体" w:hAnsi="宋体" w:eastAsia="宋体" w:cs="宋体"/>
          <w:spacing w:val="-13"/>
          <w:sz w:val="24"/>
          <w:szCs w:val="24"/>
          <w:highlight w:val="none"/>
        </w:rPr>
        <w:t>月</w:t>
      </w:r>
      <w:r>
        <w:rPr>
          <w:rFonts w:ascii="宋体" w:hAnsi="宋体" w:eastAsia="宋体" w:cs="宋体"/>
          <w:spacing w:val="13"/>
          <w:sz w:val="24"/>
          <w:szCs w:val="24"/>
          <w:highlight w:val="none"/>
        </w:rPr>
        <w:t xml:space="preserve">    </w:t>
      </w:r>
      <w:r>
        <w:rPr>
          <w:rFonts w:ascii="宋体" w:hAnsi="宋体" w:eastAsia="宋体" w:cs="宋体"/>
          <w:spacing w:val="-13"/>
          <w:sz w:val="24"/>
          <w:szCs w:val="24"/>
          <w:highlight w:val="none"/>
        </w:rPr>
        <w:t>日</w:t>
      </w:r>
      <w:bookmarkEnd w:id="19"/>
      <w:bookmarkEnd w:id="20"/>
    </w:p>
    <w:p w14:paraId="7289D41B">
      <w:pPr>
        <w:spacing w:line="220" w:lineRule="auto"/>
        <w:rPr>
          <w:rFonts w:ascii="宋体" w:hAnsi="宋体" w:eastAsia="宋体" w:cs="宋体"/>
          <w:sz w:val="24"/>
          <w:szCs w:val="24"/>
          <w:highlight w:val="none"/>
        </w:rPr>
        <w:sectPr>
          <w:footerReference r:id="rId16" w:type="default"/>
          <w:pgSz w:w="11907" w:h="16840"/>
          <w:pgMar w:top="1426" w:right="1553" w:bottom="1199" w:left="1481" w:header="0" w:footer="984" w:gutter="0"/>
          <w:pgNumType w:fmt="decimal"/>
          <w:cols w:space="720" w:num="1"/>
        </w:sectPr>
      </w:pPr>
    </w:p>
    <w:p w14:paraId="03671B2C">
      <w:pPr>
        <w:spacing w:before="88" w:line="223" w:lineRule="auto"/>
        <w:ind w:left="1729"/>
        <w:outlineLvl w:val="0"/>
        <w:rPr>
          <w:rFonts w:ascii="宋体" w:hAnsi="宋体" w:eastAsia="宋体" w:cs="宋体"/>
          <w:sz w:val="43"/>
          <w:szCs w:val="43"/>
          <w:highlight w:val="none"/>
        </w:rPr>
      </w:pPr>
      <w:bookmarkStart w:id="21" w:name="bookmark4"/>
      <w:bookmarkEnd w:id="21"/>
      <w:bookmarkStart w:id="22" w:name="_Toc250"/>
      <w:r>
        <w:rPr>
          <w:rFonts w:ascii="宋体" w:hAnsi="宋体" w:eastAsia="宋体" w:cs="宋体"/>
          <w:spacing w:val="5"/>
          <w:sz w:val="43"/>
          <w:szCs w:val="43"/>
          <w:highlight w:val="none"/>
        </w:rPr>
        <w:t xml:space="preserve">第四章 </w:t>
      </w:r>
      <w:r>
        <w:rPr>
          <w:rFonts w:ascii="宋体" w:hAnsi="宋体" w:eastAsia="宋体" w:cs="宋体"/>
          <w:b/>
          <w:bCs/>
          <w:spacing w:val="5"/>
          <w:sz w:val="43"/>
          <w:szCs w:val="43"/>
          <w:highlight w:val="none"/>
        </w:rPr>
        <w:t>征集内容及采购需求</w:t>
      </w:r>
      <w:bookmarkEnd w:id="22"/>
    </w:p>
    <w:p w14:paraId="10246CAC">
      <w:pPr>
        <w:pStyle w:val="5"/>
        <w:spacing w:line="267" w:lineRule="auto"/>
        <w:rPr>
          <w:highlight w:val="none"/>
        </w:rPr>
      </w:pPr>
    </w:p>
    <w:p w14:paraId="530B2C06">
      <w:pPr>
        <w:pStyle w:val="5"/>
        <w:spacing w:line="267" w:lineRule="auto"/>
        <w:rPr>
          <w:highlight w:val="none"/>
        </w:rPr>
      </w:pPr>
    </w:p>
    <w:p w14:paraId="55F734FA">
      <w:pPr>
        <w:spacing w:before="78" w:line="221" w:lineRule="auto"/>
        <w:ind w:left="481"/>
        <w:rPr>
          <w:rFonts w:ascii="宋体" w:hAnsi="宋体" w:eastAsia="宋体" w:cs="宋体"/>
          <w:sz w:val="24"/>
          <w:szCs w:val="24"/>
          <w:highlight w:val="none"/>
        </w:rPr>
      </w:pPr>
      <w:r>
        <w:rPr>
          <w:rFonts w:ascii="宋体" w:hAnsi="宋体" w:eastAsia="宋体" w:cs="宋体"/>
          <w:spacing w:val="-3"/>
          <w:sz w:val="24"/>
          <w:szCs w:val="24"/>
          <w:highlight w:val="none"/>
        </w:rPr>
        <w:t>一、项目名称</w:t>
      </w:r>
    </w:p>
    <w:p w14:paraId="018937E7">
      <w:pPr>
        <w:pStyle w:val="5"/>
        <w:spacing w:line="255" w:lineRule="auto"/>
        <w:rPr>
          <w:highlight w:val="none"/>
        </w:rPr>
      </w:pPr>
    </w:p>
    <w:p w14:paraId="7229BE76">
      <w:pPr>
        <w:spacing w:before="78" w:line="220" w:lineRule="auto"/>
        <w:ind w:left="487"/>
        <w:rPr>
          <w:rFonts w:hint="default" w:ascii="宋体" w:hAnsi="宋体" w:eastAsia="宋体" w:cs="宋体"/>
          <w:sz w:val="24"/>
          <w:szCs w:val="24"/>
          <w:highlight w:val="none"/>
          <w:lang w:val="en-US" w:eastAsia="zh-CN"/>
        </w:rPr>
      </w:pPr>
      <w:r>
        <w:rPr>
          <w:rFonts w:hint="eastAsia" w:ascii="宋体" w:hAnsi="宋体" w:eastAsia="宋体" w:cs="宋体"/>
          <w:spacing w:val="-1"/>
          <w:sz w:val="24"/>
          <w:szCs w:val="24"/>
          <w:highlight w:val="none"/>
          <w:lang w:eastAsia="zh-CN"/>
        </w:rPr>
        <w:t>富阎产业合作园区重点项目考古发掘劳务服务项</w:t>
      </w:r>
      <w:r>
        <w:rPr>
          <w:rFonts w:hint="eastAsia" w:ascii="宋体" w:hAnsi="宋体" w:eastAsia="宋体" w:cs="宋体"/>
          <w:spacing w:val="-1"/>
          <w:sz w:val="24"/>
          <w:szCs w:val="24"/>
          <w:highlight w:val="none"/>
          <w:lang w:val="en-US" w:eastAsia="zh-CN"/>
        </w:rPr>
        <w:t>目</w:t>
      </w:r>
    </w:p>
    <w:p w14:paraId="7B1F2D9F">
      <w:pPr>
        <w:pStyle w:val="5"/>
        <w:spacing w:line="258" w:lineRule="auto"/>
        <w:rPr>
          <w:highlight w:val="none"/>
        </w:rPr>
      </w:pPr>
    </w:p>
    <w:p w14:paraId="34DA3EE8">
      <w:pPr>
        <w:spacing w:before="78" w:line="220" w:lineRule="auto"/>
        <w:ind w:left="481"/>
        <w:rPr>
          <w:rFonts w:ascii="宋体" w:hAnsi="宋体" w:eastAsia="宋体" w:cs="宋体"/>
          <w:sz w:val="24"/>
          <w:szCs w:val="24"/>
          <w:highlight w:val="none"/>
        </w:rPr>
      </w:pPr>
      <w:r>
        <w:rPr>
          <w:rFonts w:ascii="宋体" w:hAnsi="宋体" w:eastAsia="宋体" w:cs="宋体"/>
          <w:spacing w:val="-3"/>
          <w:sz w:val="24"/>
          <w:szCs w:val="24"/>
          <w:highlight w:val="none"/>
        </w:rPr>
        <w:t>二、服务内容</w:t>
      </w:r>
    </w:p>
    <w:p w14:paraId="4769C293">
      <w:pPr>
        <w:pStyle w:val="5"/>
        <w:spacing w:line="254" w:lineRule="auto"/>
        <w:rPr>
          <w:highlight w:val="none"/>
        </w:rPr>
      </w:pPr>
    </w:p>
    <w:p w14:paraId="33201635">
      <w:pPr>
        <w:pStyle w:val="5"/>
        <w:spacing w:line="360" w:lineRule="auto"/>
        <w:ind w:firstLine="476" w:firstLineChars="200"/>
        <w:rPr>
          <w:rFonts w:hint="eastAsia" w:ascii="宋体" w:hAnsi="宋体" w:eastAsia="宋体" w:cs="宋体"/>
          <w:snapToGrid w:val="0"/>
          <w:color w:val="000000"/>
          <w:spacing w:val="-1"/>
          <w:kern w:val="0"/>
          <w:sz w:val="24"/>
          <w:szCs w:val="24"/>
          <w:highlight w:val="none"/>
          <w:lang w:val="en-US" w:eastAsia="zh-CN" w:bidi="ar-SA"/>
        </w:rPr>
      </w:pPr>
      <w:r>
        <w:rPr>
          <w:rFonts w:hint="eastAsia" w:ascii="宋体" w:hAnsi="宋体" w:eastAsia="宋体" w:cs="宋体"/>
          <w:snapToGrid w:val="0"/>
          <w:color w:val="000000"/>
          <w:spacing w:val="-1"/>
          <w:kern w:val="0"/>
          <w:sz w:val="24"/>
          <w:szCs w:val="24"/>
          <w:highlight w:val="none"/>
          <w:lang w:val="en-US" w:eastAsia="zh-CN" w:bidi="ar-SA"/>
        </w:rPr>
        <w:t>富阎产业合作园区重点项目考古发掘劳务服务项目内容主要为：对园区范围内的地下文物（前期已实施地块除外），依据项目考古勘探工作报告和考古发掘技术单位要求，对勘探区域内明确标注的各类遗存进行发掘。</w:t>
      </w:r>
    </w:p>
    <w:p w14:paraId="7C9DF012">
      <w:pPr>
        <w:spacing w:before="78" w:line="220" w:lineRule="auto"/>
        <w:ind w:left="504"/>
        <w:rPr>
          <w:rFonts w:ascii="宋体" w:hAnsi="宋体" w:eastAsia="宋体" w:cs="宋体"/>
          <w:sz w:val="24"/>
          <w:szCs w:val="24"/>
          <w:highlight w:val="none"/>
        </w:rPr>
      </w:pPr>
      <w:r>
        <w:rPr>
          <w:rFonts w:ascii="宋体" w:hAnsi="宋体" w:eastAsia="宋体" w:cs="宋体"/>
          <w:spacing w:val="4"/>
          <w:sz w:val="24"/>
          <w:szCs w:val="24"/>
          <w:highlight w:val="none"/>
        </w:rPr>
        <w:t>2.</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计划工期：</w:t>
      </w:r>
      <w:r>
        <w:rPr>
          <w:rFonts w:hint="eastAsia" w:ascii="宋体" w:hAnsi="宋体" w:eastAsia="宋体" w:cs="宋体"/>
          <w:spacing w:val="4"/>
          <w:sz w:val="24"/>
          <w:szCs w:val="24"/>
          <w:highlight w:val="none"/>
          <w:lang w:val="en-US" w:eastAsia="zh-CN"/>
        </w:rPr>
        <w:t>3</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年</w:t>
      </w:r>
    </w:p>
    <w:p w14:paraId="10116693">
      <w:pPr>
        <w:pStyle w:val="5"/>
        <w:spacing w:line="258" w:lineRule="auto"/>
        <w:rPr>
          <w:highlight w:val="none"/>
        </w:rPr>
      </w:pPr>
    </w:p>
    <w:p w14:paraId="000CB3C3">
      <w:pPr>
        <w:spacing w:before="78" w:line="220" w:lineRule="auto"/>
        <w:ind w:left="478"/>
        <w:rPr>
          <w:rFonts w:ascii="宋体" w:hAnsi="宋体" w:eastAsia="宋体" w:cs="宋体"/>
          <w:sz w:val="24"/>
          <w:szCs w:val="24"/>
          <w:highlight w:val="none"/>
        </w:rPr>
      </w:pPr>
      <w:r>
        <w:rPr>
          <w:rFonts w:ascii="宋体" w:hAnsi="宋体" w:eastAsia="宋体" w:cs="宋体"/>
          <w:spacing w:val="-2"/>
          <w:sz w:val="24"/>
          <w:szCs w:val="24"/>
          <w:highlight w:val="none"/>
        </w:rPr>
        <w:t>三、服务标准</w:t>
      </w:r>
    </w:p>
    <w:p w14:paraId="5E6413AF">
      <w:pPr>
        <w:pStyle w:val="5"/>
        <w:spacing w:line="256" w:lineRule="auto"/>
        <w:rPr>
          <w:highlight w:val="none"/>
        </w:rPr>
      </w:pPr>
    </w:p>
    <w:p w14:paraId="10E21BAA">
      <w:pPr>
        <w:spacing w:before="78" w:line="220" w:lineRule="auto"/>
        <w:ind w:left="506"/>
        <w:rPr>
          <w:rFonts w:ascii="宋体" w:hAnsi="宋体" w:eastAsia="宋体" w:cs="宋体"/>
          <w:sz w:val="24"/>
          <w:szCs w:val="24"/>
          <w:highlight w:val="none"/>
        </w:rPr>
      </w:pPr>
      <w:r>
        <w:rPr>
          <w:rFonts w:ascii="宋体" w:hAnsi="宋体" w:eastAsia="宋体" w:cs="宋体"/>
          <w:spacing w:val="8"/>
          <w:sz w:val="24"/>
          <w:szCs w:val="24"/>
          <w:highlight w:val="none"/>
        </w:rPr>
        <w:t>具有相关经验及营业执照。</w:t>
      </w:r>
    </w:p>
    <w:p w14:paraId="63F97190">
      <w:pPr>
        <w:pStyle w:val="5"/>
        <w:spacing w:line="255" w:lineRule="auto"/>
        <w:rPr>
          <w:highlight w:val="none"/>
        </w:rPr>
      </w:pPr>
    </w:p>
    <w:p w14:paraId="1C325D79">
      <w:pPr>
        <w:spacing w:before="79" w:line="219" w:lineRule="auto"/>
        <w:ind w:left="500"/>
        <w:rPr>
          <w:rFonts w:hint="eastAsia" w:ascii="宋体" w:hAnsi="宋体" w:eastAsia="宋体" w:cs="宋体"/>
          <w:sz w:val="24"/>
          <w:szCs w:val="24"/>
          <w:highlight w:val="none"/>
          <w:lang w:eastAsia="zh-CN"/>
        </w:rPr>
      </w:pPr>
      <w:r>
        <w:rPr>
          <w:rFonts w:ascii="宋体" w:hAnsi="宋体" w:eastAsia="宋体" w:cs="宋体"/>
          <w:spacing w:val="-4"/>
          <w:sz w:val="24"/>
          <w:szCs w:val="24"/>
          <w:highlight w:val="none"/>
        </w:rPr>
        <w:t>四、</w:t>
      </w:r>
      <w:r>
        <w:rPr>
          <w:rFonts w:hint="eastAsia" w:ascii="宋体" w:hAnsi="宋体" w:eastAsia="宋体" w:cs="宋体"/>
          <w:spacing w:val="-4"/>
          <w:sz w:val="24"/>
          <w:szCs w:val="24"/>
          <w:highlight w:val="none"/>
          <w:lang w:val="en-US" w:eastAsia="zh-CN"/>
        </w:rPr>
        <w:t>报价</w:t>
      </w:r>
    </w:p>
    <w:p w14:paraId="04FB7F6B">
      <w:pPr>
        <w:pStyle w:val="5"/>
        <w:spacing w:line="260" w:lineRule="auto"/>
        <w:rPr>
          <w:highlight w:val="none"/>
        </w:rPr>
      </w:pPr>
    </w:p>
    <w:p w14:paraId="453EA41E">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default"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pPr>
      <w:bookmarkStart w:id="23" w:name="_Toc3300"/>
      <w:bookmarkStart w:id="24" w:name="_Toc1105"/>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按照陕西省考古研究院基本建设考古调查、勘探、发掘经费预算定额管理办法（试行）。（其中包括民工费、机械费、临时建筑设施费、管理费、安全保卫费、不可预见费等文物发掘工作除技术外的所有费用）</w:t>
      </w:r>
      <w:r>
        <w:rPr>
          <w:rFonts w:hint="eastAsia" w:ascii="微软雅黑" w:hAnsi="微软雅黑" w:eastAsia="微软雅黑" w:cs="微软雅黑"/>
          <w:i w:val="0"/>
          <w:iCs w:val="0"/>
          <w:caps w:val="0"/>
          <w:color w:val="000000"/>
          <w:spacing w:val="0"/>
          <w:sz w:val="24"/>
          <w:szCs w:val="24"/>
          <w:highlight w:val="none"/>
          <w:u w:val="single"/>
          <w:shd w:val="clear" w:fill="FFFFFF"/>
          <w:vertAlign w:val="baseline"/>
          <w:lang w:val="en-US" w:eastAsia="zh-CN"/>
        </w:rPr>
        <w:t>×</w:t>
      </w: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100%，超过最高限价（100%），按无效文件处理。</w:t>
      </w:r>
    </w:p>
    <w:p w14:paraId="2E860966">
      <w:pPr>
        <w:bidi w:val="0"/>
        <w:rPr>
          <w:rFonts w:hint="eastAsia"/>
          <w:highlight w:val="none"/>
        </w:rPr>
      </w:pPr>
    </w:p>
    <w:bookmarkEnd w:id="23"/>
    <w:bookmarkEnd w:id="24"/>
    <w:p w14:paraId="0D60FE6C">
      <w:pPr>
        <w:spacing w:line="218" w:lineRule="auto"/>
        <w:rPr>
          <w:rFonts w:ascii="宋体" w:hAnsi="宋体" w:eastAsia="宋体" w:cs="宋体"/>
          <w:sz w:val="24"/>
          <w:szCs w:val="24"/>
          <w:highlight w:val="none"/>
        </w:rPr>
        <w:sectPr>
          <w:footerReference r:id="rId17" w:type="default"/>
          <w:pgSz w:w="11907" w:h="16840"/>
          <w:pgMar w:top="1374" w:right="1474" w:bottom="1199" w:left="1484" w:header="0" w:footer="984" w:gutter="0"/>
          <w:pgNumType w:fmt="decimal"/>
          <w:cols w:space="720" w:num="1"/>
        </w:sectPr>
      </w:pPr>
    </w:p>
    <w:p w14:paraId="55FF6466">
      <w:pPr>
        <w:rPr>
          <w:rFonts w:hint="eastAsia" w:eastAsiaTheme="minorEastAsia"/>
          <w:highlight w:val="none"/>
          <w:lang w:eastAsia="zh-CN"/>
        </w:rPr>
      </w:pPr>
      <w:bookmarkStart w:id="25" w:name="bookmark5"/>
      <w:bookmarkEnd w:id="25"/>
      <w:bookmarkStart w:id="26" w:name="_Toc20371"/>
      <w:r>
        <w:rPr>
          <w:rFonts w:hint="eastAsia" w:eastAsiaTheme="minorEastAsia"/>
          <w:highlight w:val="none"/>
          <w:lang w:eastAsia="zh-CN"/>
        </w:rPr>
        <w:drawing>
          <wp:inline distT="0" distB="0" distL="114300" distR="114300">
            <wp:extent cx="5269230" cy="7452360"/>
            <wp:effectExtent l="0" t="0" r="7620" b="15240"/>
            <wp:docPr id="59" name="图片 59" descr="2026年1月1日执行陕西省考古研究院基本建设考古调查、勘探、发掘经费预算定额管理办法（试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26年1月1日执行陕西省考古研究院基本建设考古调查、勘探、发掘经费预算定额管理办法（试行）_01"/>
                    <pic:cNvPicPr>
                      <a:picLocks noChangeAspect="1"/>
                    </pic:cNvPicPr>
                  </pic:nvPicPr>
                  <pic:blipFill>
                    <a:blip r:embed="rId36"/>
                    <a:stretch>
                      <a:fillRect/>
                    </a:stretch>
                  </pic:blipFill>
                  <pic:spPr>
                    <a:xfrm>
                      <a:off x="0" y="0"/>
                      <a:ext cx="5269230" cy="7452360"/>
                    </a:xfrm>
                    <a:prstGeom prst="rect">
                      <a:avLst/>
                    </a:prstGeom>
                  </pic:spPr>
                </pic:pic>
              </a:graphicData>
            </a:graphic>
          </wp:inline>
        </w:drawing>
      </w:r>
    </w:p>
    <w:p w14:paraId="65179627">
      <w:pPr>
        <w:rPr>
          <w:rFonts w:hint="eastAsia" w:eastAsiaTheme="minorEastAsia"/>
          <w:highlight w:val="none"/>
          <w:lang w:eastAsia="zh-CN"/>
        </w:rPr>
      </w:pPr>
      <w:r>
        <w:rPr>
          <w:rFonts w:hint="eastAsia" w:eastAsiaTheme="minorEastAsia"/>
          <w:highlight w:val="none"/>
          <w:lang w:eastAsia="zh-CN"/>
        </w:rPr>
        <w:br w:type="page"/>
      </w:r>
    </w:p>
    <w:p w14:paraId="4CB0DED7">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5269230" cy="7452360"/>
            <wp:effectExtent l="0" t="0" r="7620" b="15240"/>
            <wp:docPr id="60" name="图片 60" descr="2026年1月1日执行陕西省考古研究院基本建设考古调查、勘探、发掘经费预算定额管理办法（试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26年1月1日执行陕西省考古研究院基本建设考古调查、勘探、发掘经费预算定额管理办法（试行）_02"/>
                    <pic:cNvPicPr>
                      <a:picLocks noChangeAspect="1"/>
                    </pic:cNvPicPr>
                  </pic:nvPicPr>
                  <pic:blipFill>
                    <a:blip r:embed="rId37"/>
                    <a:stretch>
                      <a:fillRect/>
                    </a:stretch>
                  </pic:blipFill>
                  <pic:spPr>
                    <a:xfrm>
                      <a:off x="0" y="0"/>
                      <a:ext cx="5269230" cy="7452360"/>
                    </a:xfrm>
                    <a:prstGeom prst="rect">
                      <a:avLst/>
                    </a:prstGeom>
                  </pic:spPr>
                </pic:pic>
              </a:graphicData>
            </a:graphic>
          </wp:inline>
        </w:drawing>
      </w:r>
    </w:p>
    <w:p w14:paraId="05394433">
      <w:pPr>
        <w:rPr>
          <w:rFonts w:hint="eastAsia" w:eastAsiaTheme="minorEastAsia"/>
          <w:highlight w:val="none"/>
          <w:lang w:eastAsia="zh-CN"/>
        </w:rPr>
      </w:pPr>
      <w:r>
        <w:rPr>
          <w:rFonts w:hint="eastAsia" w:eastAsiaTheme="minorEastAsia"/>
          <w:highlight w:val="none"/>
          <w:lang w:eastAsia="zh-CN"/>
        </w:rPr>
        <w:br w:type="page"/>
      </w:r>
    </w:p>
    <w:p w14:paraId="3B7DF05C">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5269230" cy="7452360"/>
            <wp:effectExtent l="0" t="0" r="7620" b="15240"/>
            <wp:docPr id="61" name="图片 61" descr="2026年1月1日执行陕西省考古研究院基本建设考古调查、勘探、发掘经费预算定额管理办法（试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26年1月1日执行陕西省考古研究院基本建设考古调查、勘探、发掘经费预算定额管理办法（试行）_03"/>
                    <pic:cNvPicPr>
                      <a:picLocks noChangeAspect="1"/>
                    </pic:cNvPicPr>
                  </pic:nvPicPr>
                  <pic:blipFill>
                    <a:blip r:embed="rId38"/>
                    <a:stretch>
                      <a:fillRect/>
                    </a:stretch>
                  </pic:blipFill>
                  <pic:spPr>
                    <a:xfrm>
                      <a:off x="0" y="0"/>
                      <a:ext cx="5269230" cy="7452360"/>
                    </a:xfrm>
                    <a:prstGeom prst="rect">
                      <a:avLst/>
                    </a:prstGeom>
                  </pic:spPr>
                </pic:pic>
              </a:graphicData>
            </a:graphic>
          </wp:inline>
        </w:drawing>
      </w:r>
    </w:p>
    <w:p w14:paraId="05DB1CA4">
      <w:pPr>
        <w:rPr>
          <w:rFonts w:hint="eastAsia" w:eastAsiaTheme="minorEastAsia"/>
          <w:highlight w:val="none"/>
          <w:lang w:eastAsia="zh-CN"/>
        </w:rPr>
      </w:pPr>
      <w:r>
        <w:rPr>
          <w:rFonts w:hint="eastAsia" w:eastAsiaTheme="minorEastAsia"/>
          <w:highlight w:val="none"/>
          <w:lang w:eastAsia="zh-CN"/>
        </w:rPr>
        <w:br w:type="page"/>
      </w:r>
    </w:p>
    <w:p w14:paraId="6567282A">
      <w:pPr>
        <w:rPr>
          <w:rFonts w:ascii="宋体" w:hAnsi="宋体" w:eastAsia="宋体" w:cs="宋体"/>
          <w:b/>
          <w:bCs/>
          <w:spacing w:val="5"/>
          <w:sz w:val="43"/>
          <w:szCs w:val="43"/>
          <w:highlight w:val="none"/>
        </w:rPr>
      </w:pPr>
      <w:r>
        <w:rPr>
          <w:rFonts w:hint="eastAsia" w:eastAsiaTheme="minorEastAsia"/>
          <w:highlight w:val="none"/>
          <w:lang w:eastAsia="zh-CN"/>
        </w:rPr>
        <w:drawing>
          <wp:inline distT="0" distB="0" distL="114300" distR="114300">
            <wp:extent cx="5269230" cy="7452360"/>
            <wp:effectExtent l="0" t="0" r="7620" b="15240"/>
            <wp:docPr id="62" name="图片 62" descr="2026年1月1日执行陕西省考古研究院基本建设考古调查、勘探、发掘经费预算定额管理办法（试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26年1月1日执行陕西省考古研究院基本建设考古调查、勘探、发掘经费预算定额管理办法（试行）_04"/>
                    <pic:cNvPicPr>
                      <a:picLocks noChangeAspect="1"/>
                    </pic:cNvPicPr>
                  </pic:nvPicPr>
                  <pic:blipFill>
                    <a:blip r:embed="rId39"/>
                    <a:stretch>
                      <a:fillRect/>
                    </a:stretch>
                  </pic:blipFill>
                  <pic:spPr>
                    <a:xfrm>
                      <a:off x="0" y="0"/>
                      <a:ext cx="5269230" cy="7452360"/>
                    </a:xfrm>
                    <a:prstGeom prst="rect">
                      <a:avLst/>
                    </a:prstGeom>
                  </pic:spPr>
                </pic:pic>
              </a:graphicData>
            </a:graphic>
          </wp:inline>
        </w:drawing>
      </w:r>
      <w:r>
        <w:rPr>
          <w:rFonts w:hint="eastAsia" w:eastAsiaTheme="minorEastAsia"/>
          <w:highlight w:val="none"/>
          <w:lang w:eastAsia="zh-CN"/>
        </w:rPr>
        <w:drawing>
          <wp:inline distT="0" distB="0" distL="114300" distR="114300">
            <wp:extent cx="5269230" cy="7452360"/>
            <wp:effectExtent l="0" t="0" r="7620" b="15240"/>
            <wp:docPr id="63" name="图片 63" descr="2026年1月1日执行陕西省考古研究院基本建设考古调查、勘探、发掘经费预算定额管理办法（试行）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6年1月1日执行陕西省考古研究院基本建设考古调查、勘探、发掘经费预算定额管理办法（试行）_05"/>
                    <pic:cNvPicPr>
                      <a:picLocks noChangeAspect="1"/>
                    </pic:cNvPicPr>
                  </pic:nvPicPr>
                  <pic:blipFill>
                    <a:blip r:embed="rId40"/>
                    <a:stretch>
                      <a:fillRect/>
                    </a:stretch>
                  </pic:blipFill>
                  <pic:spPr>
                    <a:xfrm>
                      <a:off x="0" y="0"/>
                      <a:ext cx="5269230" cy="7452360"/>
                    </a:xfrm>
                    <a:prstGeom prst="rect">
                      <a:avLst/>
                    </a:prstGeom>
                  </pic:spPr>
                </pic:pic>
              </a:graphicData>
            </a:graphic>
          </wp:inline>
        </w:drawing>
      </w:r>
      <w:r>
        <w:rPr>
          <w:rFonts w:hint="eastAsia" w:eastAsiaTheme="minorEastAsia"/>
          <w:highlight w:val="none"/>
          <w:lang w:eastAsia="zh-CN"/>
        </w:rPr>
        <w:drawing>
          <wp:inline distT="0" distB="0" distL="114300" distR="114300">
            <wp:extent cx="5269230" cy="7452360"/>
            <wp:effectExtent l="0" t="0" r="7620" b="15240"/>
            <wp:docPr id="64" name="图片 64" descr="2026年1月1日执行陕西省考古研究院基本建设考古调查、勘探、发掘经费预算定额管理办法（试行）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26年1月1日执行陕西省考古研究院基本建设考古调查、勘探、发掘经费预算定额管理办法（试行）_06"/>
                    <pic:cNvPicPr>
                      <a:picLocks noChangeAspect="1"/>
                    </pic:cNvPicPr>
                  </pic:nvPicPr>
                  <pic:blipFill>
                    <a:blip r:embed="rId41"/>
                    <a:stretch>
                      <a:fillRect/>
                    </a:stretch>
                  </pic:blipFill>
                  <pic:spPr>
                    <a:xfrm>
                      <a:off x="0" y="0"/>
                      <a:ext cx="5269230" cy="7452360"/>
                    </a:xfrm>
                    <a:prstGeom prst="rect">
                      <a:avLst/>
                    </a:prstGeom>
                  </pic:spPr>
                </pic:pic>
              </a:graphicData>
            </a:graphic>
          </wp:inline>
        </w:drawing>
      </w:r>
      <w:r>
        <w:rPr>
          <w:rFonts w:hint="eastAsia" w:eastAsiaTheme="minorEastAsia"/>
          <w:highlight w:val="none"/>
          <w:lang w:eastAsia="zh-CN"/>
        </w:rPr>
        <w:drawing>
          <wp:inline distT="0" distB="0" distL="114300" distR="114300">
            <wp:extent cx="5271135" cy="3727450"/>
            <wp:effectExtent l="0" t="0" r="5715" b="6350"/>
            <wp:docPr id="65" name="图片 65" descr="2026年1月1日执行陕西省考古研究院基本建设考古调查、勘探、发掘经费预算定额管理办法（试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026年1月1日执行陕西省考古研究院基本建设考古调查、勘探、发掘经费预算定额管理办法（试行）_07"/>
                    <pic:cNvPicPr>
                      <a:picLocks noChangeAspect="1"/>
                    </pic:cNvPicPr>
                  </pic:nvPicPr>
                  <pic:blipFill>
                    <a:blip r:embed="rId42"/>
                    <a:stretch>
                      <a:fillRect/>
                    </a:stretch>
                  </pic:blipFill>
                  <pic:spPr>
                    <a:xfrm>
                      <a:off x="0" y="0"/>
                      <a:ext cx="5271135" cy="3727450"/>
                    </a:xfrm>
                    <a:prstGeom prst="rect">
                      <a:avLst/>
                    </a:prstGeom>
                  </pic:spPr>
                </pic:pic>
              </a:graphicData>
            </a:graphic>
          </wp:inline>
        </w:drawing>
      </w:r>
      <w:r>
        <w:rPr>
          <w:rFonts w:hint="eastAsia" w:eastAsiaTheme="minorEastAsia"/>
          <w:highlight w:val="none"/>
          <w:lang w:eastAsia="zh-CN"/>
        </w:rPr>
        <w:drawing>
          <wp:inline distT="0" distB="0" distL="114300" distR="114300">
            <wp:extent cx="5271135" cy="3727450"/>
            <wp:effectExtent l="0" t="0" r="5715" b="6350"/>
            <wp:docPr id="1" name="图片 1" descr="2026年1月1日执行陕西省考古研究院基本建设考古调查、勘探、发掘经费预算定额管理办法（试行）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6年1月1日执行陕西省考古研究院基本建设考古调查、勘探、发掘经费预算定额管理办法（试行）_08"/>
                    <pic:cNvPicPr>
                      <a:picLocks noChangeAspect="1"/>
                    </pic:cNvPicPr>
                  </pic:nvPicPr>
                  <pic:blipFill>
                    <a:blip r:embed="rId43"/>
                    <a:stretch>
                      <a:fillRect/>
                    </a:stretch>
                  </pic:blipFill>
                  <pic:spPr>
                    <a:xfrm>
                      <a:off x="0" y="0"/>
                      <a:ext cx="5271135" cy="3727450"/>
                    </a:xfrm>
                    <a:prstGeom prst="rect">
                      <a:avLst/>
                    </a:prstGeom>
                  </pic:spPr>
                </pic:pic>
              </a:graphicData>
            </a:graphic>
          </wp:inline>
        </w:drawing>
      </w:r>
      <w:r>
        <w:rPr>
          <w:rFonts w:ascii="宋体" w:hAnsi="宋体" w:eastAsia="宋体" w:cs="宋体"/>
          <w:b/>
          <w:bCs/>
          <w:spacing w:val="5"/>
          <w:sz w:val="43"/>
          <w:szCs w:val="43"/>
          <w:highlight w:val="none"/>
        </w:rPr>
        <w:br w:type="page"/>
      </w:r>
    </w:p>
    <w:p w14:paraId="3829D89A">
      <w:pPr>
        <w:spacing w:before="88" w:line="223" w:lineRule="auto"/>
        <w:ind w:left="2282"/>
        <w:outlineLvl w:val="0"/>
        <w:rPr>
          <w:rFonts w:ascii="宋体" w:hAnsi="宋体" w:eastAsia="宋体" w:cs="宋体"/>
          <w:sz w:val="43"/>
          <w:szCs w:val="43"/>
          <w:highlight w:val="none"/>
        </w:rPr>
      </w:pPr>
      <w:r>
        <w:rPr>
          <w:rFonts w:ascii="宋体" w:hAnsi="宋体" w:eastAsia="宋体" w:cs="宋体"/>
          <w:b/>
          <w:bCs/>
          <w:spacing w:val="5"/>
          <w:sz w:val="43"/>
          <w:szCs w:val="43"/>
          <w:highlight w:val="none"/>
        </w:rPr>
        <w:t>第五章</w:t>
      </w:r>
      <w:r>
        <w:rPr>
          <w:rFonts w:ascii="宋体" w:hAnsi="宋体" w:eastAsia="宋体" w:cs="宋体"/>
          <w:spacing w:val="5"/>
          <w:sz w:val="43"/>
          <w:szCs w:val="43"/>
          <w:highlight w:val="none"/>
        </w:rPr>
        <w:t xml:space="preserve">  </w:t>
      </w:r>
      <w:r>
        <w:rPr>
          <w:rFonts w:ascii="宋体" w:hAnsi="宋体" w:eastAsia="宋体" w:cs="宋体"/>
          <w:b/>
          <w:bCs/>
          <w:spacing w:val="5"/>
          <w:sz w:val="43"/>
          <w:szCs w:val="43"/>
          <w:highlight w:val="none"/>
        </w:rPr>
        <w:t>评审方法及标准</w:t>
      </w:r>
      <w:bookmarkEnd w:id="26"/>
    </w:p>
    <w:p w14:paraId="10CB938D">
      <w:pPr>
        <w:pStyle w:val="5"/>
        <w:spacing w:line="346" w:lineRule="auto"/>
        <w:rPr>
          <w:highlight w:val="none"/>
        </w:rPr>
      </w:pPr>
    </w:p>
    <w:p w14:paraId="4F3F4C9E">
      <w:pPr>
        <w:spacing w:before="78" w:line="219" w:lineRule="auto"/>
        <w:ind w:left="708"/>
        <w:rPr>
          <w:rFonts w:ascii="宋体" w:hAnsi="宋体" w:eastAsia="宋体" w:cs="宋体"/>
          <w:sz w:val="24"/>
          <w:szCs w:val="24"/>
          <w:highlight w:val="none"/>
        </w:rPr>
      </w:pPr>
      <w:r>
        <w:rPr>
          <w:rFonts w:ascii="宋体" w:hAnsi="宋体" w:eastAsia="宋体" w:cs="宋体"/>
          <w:spacing w:val="-1"/>
          <w:sz w:val="24"/>
          <w:szCs w:val="24"/>
          <w:highlight w:val="none"/>
        </w:rPr>
        <w:t>一、确定第一阶段入围供应商的评审方法</w:t>
      </w:r>
    </w:p>
    <w:p w14:paraId="33027052">
      <w:pPr>
        <w:spacing w:before="182" w:line="359" w:lineRule="auto"/>
        <w:ind w:left="224" w:right="133" w:firstLine="481"/>
        <w:jc w:val="both"/>
        <w:rPr>
          <w:rFonts w:ascii="宋体" w:hAnsi="宋体" w:eastAsia="宋体" w:cs="宋体"/>
          <w:sz w:val="24"/>
          <w:szCs w:val="24"/>
          <w:highlight w:val="none"/>
        </w:rPr>
      </w:pPr>
      <w:r>
        <w:rPr>
          <w:rFonts w:ascii="宋体" w:hAnsi="宋体" w:eastAsia="宋体" w:cs="宋体"/>
          <w:spacing w:val="2"/>
          <w:sz w:val="24"/>
          <w:szCs w:val="24"/>
          <w:highlight w:val="none"/>
        </w:rPr>
        <w:t>按照《中华人民共和国政府采购法》及实施条例和《政府采购框架协议</w:t>
      </w:r>
      <w:r>
        <w:rPr>
          <w:rFonts w:ascii="宋体" w:hAnsi="宋体" w:eastAsia="宋体" w:cs="宋体"/>
          <w:spacing w:val="1"/>
          <w:sz w:val="24"/>
          <w:szCs w:val="24"/>
          <w:highlight w:val="none"/>
        </w:rPr>
        <w:t>采购方式</w:t>
      </w:r>
      <w:r>
        <w:rPr>
          <w:rFonts w:ascii="宋体" w:hAnsi="宋体" w:eastAsia="宋体" w:cs="宋体"/>
          <w:spacing w:val="4"/>
          <w:sz w:val="24"/>
          <w:szCs w:val="24"/>
          <w:highlight w:val="none"/>
        </w:rPr>
        <w:t>管理暂行办法》（财政部第</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110 号令）有关规定，本次评审采用质量</w:t>
      </w:r>
      <w:r>
        <w:rPr>
          <w:rFonts w:ascii="宋体" w:hAnsi="宋体" w:eastAsia="宋体" w:cs="宋体"/>
          <w:spacing w:val="3"/>
          <w:sz w:val="24"/>
          <w:szCs w:val="24"/>
          <w:highlight w:val="none"/>
        </w:rPr>
        <w:t>优先法--对响</w:t>
      </w:r>
      <w:r>
        <w:rPr>
          <w:rFonts w:ascii="宋体" w:hAnsi="宋体" w:eastAsia="宋体" w:cs="宋体"/>
          <w:spacing w:val="9"/>
          <w:sz w:val="24"/>
          <w:szCs w:val="24"/>
          <w:highlight w:val="none"/>
        </w:rPr>
        <w:t>应文件满足采购需求且响应报价不超过最高限</w:t>
      </w:r>
      <w:r>
        <w:rPr>
          <w:rFonts w:ascii="宋体" w:hAnsi="宋体" w:eastAsia="宋体" w:cs="宋体"/>
          <w:spacing w:val="8"/>
          <w:sz w:val="24"/>
          <w:szCs w:val="24"/>
          <w:highlight w:val="none"/>
        </w:rPr>
        <w:t>制单价的货物、服务进行质量综合评</w:t>
      </w:r>
      <w:r>
        <w:rPr>
          <w:rFonts w:ascii="宋体" w:hAnsi="宋体" w:eastAsia="宋体" w:cs="宋体"/>
          <w:spacing w:val="2"/>
          <w:sz w:val="24"/>
          <w:szCs w:val="24"/>
          <w:highlight w:val="none"/>
        </w:rPr>
        <w:t>分，按照质量评分从高到低排序，根据征集文件规定的淘汰率或者入围</w:t>
      </w:r>
      <w:r>
        <w:rPr>
          <w:rFonts w:ascii="宋体" w:hAnsi="宋体" w:eastAsia="宋体" w:cs="宋体"/>
          <w:spacing w:val="1"/>
          <w:sz w:val="24"/>
          <w:szCs w:val="24"/>
          <w:highlight w:val="none"/>
        </w:rPr>
        <w:t>供应商上限，</w:t>
      </w:r>
      <w:r>
        <w:rPr>
          <w:rFonts w:ascii="宋体" w:hAnsi="宋体" w:eastAsia="宋体" w:cs="宋体"/>
          <w:spacing w:val="-1"/>
          <w:sz w:val="24"/>
          <w:szCs w:val="24"/>
          <w:highlight w:val="none"/>
        </w:rPr>
        <w:t>确定入围供应商的评审方法。</w:t>
      </w:r>
    </w:p>
    <w:p w14:paraId="053B0357">
      <w:pPr>
        <w:spacing w:line="219" w:lineRule="auto"/>
        <w:ind w:left="706"/>
        <w:rPr>
          <w:rFonts w:ascii="宋体" w:hAnsi="宋体" w:eastAsia="宋体" w:cs="宋体"/>
          <w:sz w:val="24"/>
          <w:szCs w:val="24"/>
          <w:highlight w:val="none"/>
        </w:rPr>
      </w:pPr>
      <w:r>
        <w:rPr>
          <w:rFonts w:ascii="宋体" w:hAnsi="宋体" w:eastAsia="宋体" w:cs="宋体"/>
          <w:b/>
          <w:bCs/>
          <w:spacing w:val="-3"/>
          <w:sz w:val="24"/>
          <w:szCs w:val="24"/>
          <w:highlight w:val="none"/>
        </w:rPr>
        <w:t>文物发掘服务入围供应商的数量：上限</w:t>
      </w:r>
      <w:r>
        <w:rPr>
          <w:rFonts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lang w:val="en-US" w:eastAsia="zh-CN"/>
        </w:rPr>
        <w:t>8</w:t>
      </w:r>
      <w:r>
        <w:rPr>
          <w:rFonts w:ascii="宋体" w:hAnsi="宋体" w:eastAsia="宋体" w:cs="宋体"/>
          <w:b/>
          <w:bCs/>
          <w:spacing w:val="-3"/>
          <w:sz w:val="24"/>
          <w:szCs w:val="24"/>
          <w:highlight w:val="none"/>
        </w:rPr>
        <w:t>家；</w:t>
      </w:r>
    </w:p>
    <w:p w14:paraId="7EA487BD">
      <w:pPr>
        <w:spacing w:before="180" w:line="360" w:lineRule="auto"/>
        <w:ind w:left="224" w:right="133" w:firstLine="495"/>
        <w:jc w:val="both"/>
        <w:rPr>
          <w:rFonts w:ascii="宋体" w:hAnsi="宋体" w:eastAsia="宋体" w:cs="宋体"/>
          <w:sz w:val="24"/>
          <w:szCs w:val="24"/>
          <w:highlight w:val="none"/>
        </w:rPr>
      </w:pPr>
      <w:r>
        <w:rPr>
          <w:rFonts w:ascii="宋体" w:hAnsi="宋体" w:eastAsia="宋体" w:cs="宋体"/>
          <w:spacing w:val="1"/>
          <w:sz w:val="24"/>
          <w:szCs w:val="24"/>
          <w:highlight w:val="none"/>
        </w:rPr>
        <w:t>当有效供应商大于入围供应商数量的上限时，根据最终得分排名从高到低，选取</w:t>
      </w:r>
      <w:r>
        <w:rPr>
          <w:rFonts w:ascii="宋体" w:hAnsi="宋体" w:eastAsia="宋体" w:cs="宋体"/>
          <w:spacing w:val="2"/>
          <w:sz w:val="24"/>
          <w:szCs w:val="24"/>
          <w:highlight w:val="none"/>
        </w:rPr>
        <w:t>排名在前的上限数量的供应商为本项目的入围供应商；当有效供应商数</w:t>
      </w:r>
      <w:r>
        <w:rPr>
          <w:rFonts w:ascii="宋体" w:hAnsi="宋体" w:eastAsia="宋体" w:cs="宋体"/>
          <w:spacing w:val="1"/>
          <w:sz w:val="24"/>
          <w:szCs w:val="24"/>
          <w:highlight w:val="none"/>
        </w:rPr>
        <w:t>量少于入围供</w:t>
      </w:r>
      <w:r>
        <w:rPr>
          <w:rFonts w:ascii="宋体" w:hAnsi="宋体" w:eastAsia="宋体" w:cs="宋体"/>
          <w:spacing w:val="2"/>
          <w:sz w:val="24"/>
          <w:szCs w:val="24"/>
          <w:highlight w:val="none"/>
        </w:rPr>
        <w:t>应商规定的上限数量时，根据最终得分排名从高到低，按淘汰比例</w:t>
      </w:r>
      <w:r>
        <w:rPr>
          <w:rFonts w:hint="eastAsia" w:ascii="宋体" w:hAnsi="宋体" w:eastAsia="宋体" w:cs="宋体"/>
          <w:spacing w:val="1"/>
          <w:sz w:val="24"/>
          <w:szCs w:val="24"/>
          <w:highlight w:val="none"/>
          <w:lang w:val="en-US" w:eastAsia="zh-CN"/>
        </w:rPr>
        <w:t>为不低于</w:t>
      </w:r>
      <w:r>
        <w:rPr>
          <w:rFonts w:ascii="宋体" w:hAnsi="宋体" w:eastAsia="宋体" w:cs="宋体"/>
          <w:spacing w:val="1"/>
          <w:sz w:val="24"/>
          <w:szCs w:val="24"/>
          <w:highlight w:val="none"/>
        </w:rPr>
        <w:t xml:space="preserve"> 20%（出现</w:t>
      </w:r>
      <w:r>
        <w:rPr>
          <w:rFonts w:ascii="宋体" w:hAnsi="宋体" w:eastAsia="宋体" w:cs="宋体"/>
          <w:sz w:val="24"/>
          <w:szCs w:val="24"/>
          <w:highlight w:val="none"/>
        </w:rPr>
        <w:t>小数时向下取整数）且至少淘汰一家供应商</w:t>
      </w:r>
      <w:r>
        <w:rPr>
          <w:rFonts w:ascii="宋体" w:hAnsi="宋体" w:eastAsia="宋体" w:cs="宋体"/>
          <w:spacing w:val="-1"/>
          <w:sz w:val="24"/>
          <w:szCs w:val="24"/>
          <w:highlight w:val="none"/>
        </w:rPr>
        <w:t>选取本项目入围供应商。</w:t>
      </w:r>
    </w:p>
    <w:p w14:paraId="22B5DE7C">
      <w:pPr>
        <w:spacing w:before="117" w:line="221" w:lineRule="auto"/>
        <w:ind w:left="228"/>
        <w:rPr>
          <w:rFonts w:ascii="宋体" w:hAnsi="宋体" w:eastAsia="宋体" w:cs="宋体"/>
          <w:sz w:val="24"/>
          <w:szCs w:val="24"/>
          <w:highlight w:val="none"/>
        </w:rPr>
      </w:pPr>
      <w:r>
        <w:rPr>
          <w:rFonts w:ascii="宋体" w:hAnsi="宋体" w:eastAsia="宋体" w:cs="宋体"/>
          <w:spacing w:val="-3"/>
          <w:sz w:val="24"/>
          <w:szCs w:val="24"/>
          <w:highlight w:val="none"/>
        </w:rPr>
        <w:t>二、评审标准</w:t>
      </w:r>
    </w:p>
    <w:p w14:paraId="369275EC">
      <w:pPr>
        <w:spacing w:before="299" w:line="220" w:lineRule="auto"/>
        <w:ind w:left="722"/>
        <w:rPr>
          <w:rFonts w:ascii="宋体" w:hAnsi="宋体" w:eastAsia="宋体" w:cs="宋体"/>
          <w:sz w:val="24"/>
          <w:szCs w:val="24"/>
          <w:highlight w:val="none"/>
        </w:rPr>
      </w:pPr>
      <w:r>
        <w:rPr>
          <w:rFonts w:ascii="宋体" w:hAnsi="宋体" w:eastAsia="宋体" w:cs="宋体"/>
          <w:spacing w:val="-5"/>
          <w:sz w:val="24"/>
          <w:szCs w:val="24"/>
          <w:highlight w:val="none"/>
        </w:rPr>
        <w:t>1</w:t>
      </w:r>
      <w:r>
        <w:rPr>
          <w:rFonts w:ascii="宋体" w:hAnsi="宋体" w:eastAsia="宋体" w:cs="宋体"/>
          <w:spacing w:val="-49"/>
          <w:sz w:val="24"/>
          <w:szCs w:val="24"/>
          <w:highlight w:val="none"/>
        </w:rPr>
        <w:t xml:space="preserve"> </w:t>
      </w:r>
      <w:r>
        <w:rPr>
          <w:rFonts w:ascii="宋体" w:hAnsi="宋体" w:eastAsia="宋体" w:cs="宋体"/>
          <w:spacing w:val="-5"/>
          <w:sz w:val="24"/>
          <w:szCs w:val="24"/>
          <w:highlight w:val="none"/>
        </w:rPr>
        <w:t>初步评审标准：</w:t>
      </w:r>
    </w:p>
    <w:p w14:paraId="7FBB18F5">
      <w:pPr>
        <w:spacing w:before="182" w:line="220" w:lineRule="auto"/>
        <w:ind w:left="722"/>
        <w:rPr>
          <w:rFonts w:ascii="宋体" w:hAnsi="宋体" w:eastAsia="宋体" w:cs="宋体"/>
          <w:sz w:val="24"/>
          <w:szCs w:val="24"/>
          <w:highlight w:val="none"/>
        </w:rPr>
      </w:pPr>
      <w:r>
        <w:rPr>
          <w:rFonts w:ascii="宋体" w:hAnsi="宋体" w:eastAsia="宋体" w:cs="宋体"/>
          <w:spacing w:val="-5"/>
          <w:sz w:val="24"/>
          <w:szCs w:val="24"/>
          <w:highlight w:val="none"/>
        </w:rPr>
        <w:t>1.1</w:t>
      </w:r>
      <w:r>
        <w:rPr>
          <w:rFonts w:ascii="宋体" w:hAnsi="宋体" w:eastAsia="宋体" w:cs="宋体"/>
          <w:spacing w:val="-39"/>
          <w:sz w:val="24"/>
          <w:szCs w:val="24"/>
          <w:highlight w:val="none"/>
        </w:rPr>
        <w:t xml:space="preserve"> </w:t>
      </w:r>
      <w:r>
        <w:rPr>
          <w:rFonts w:ascii="宋体" w:hAnsi="宋体" w:eastAsia="宋体" w:cs="宋体"/>
          <w:spacing w:val="-5"/>
          <w:sz w:val="24"/>
          <w:szCs w:val="24"/>
          <w:highlight w:val="none"/>
        </w:rPr>
        <w:t>资格评审标准：</w:t>
      </w:r>
    </w:p>
    <w:p w14:paraId="4173E8DD">
      <w:pPr>
        <w:spacing w:before="179" w:line="221" w:lineRule="auto"/>
        <w:ind w:left="712"/>
        <w:rPr>
          <w:rFonts w:ascii="宋体" w:hAnsi="宋体" w:eastAsia="宋体" w:cs="宋体"/>
          <w:sz w:val="24"/>
          <w:szCs w:val="24"/>
          <w:highlight w:val="none"/>
        </w:rPr>
      </w:pPr>
      <w:r>
        <w:rPr>
          <w:rFonts w:ascii="宋体" w:hAnsi="宋体" w:eastAsia="宋体" w:cs="宋体"/>
          <w:spacing w:val="-4"/>
          <w:sz w:val="24"/>
          <w:szCs w:val="24"/>
          <w:highlight w:val="none"/>
        </w:rPr>
        <w:t>审查标准：</w:t>
      </w:r>
    </w:p>
    <w:p w14:paraId="4E3C2AC3">
      <w:pPr>
        <w:spacing w:before="181" w:line="350" w:lineRule="auto"/>
        <w:ind w:left="224" w:right="135" w:firstLine="958"/>
        <w:jc w:val="both"/>
        <w:rPr>
          <w:rFonts w:ascii="宋体" w:hAnsi="宋体" w:eastAsia="宋体" w:cs="宋体"/>
          <w:sz w:val="24"/>
          <w:szCs w:val="24"/>
          <w:highlight w:val="none"/>
        </w:rPr>
      </w:pPr>
      <w:r>
        <w:rPr>
          <w:rFonts w:ascii="宋体" w:hAnsi="宋体" w:eastAsia="宋体" w:cs="宋体"/>
          <w:spacing w:val="2"/>
          <w:sz w:val="24"/>
          <w:szCs w:val="24"/>
          <w:highlight w:val="none"/>
        </w:rPr>
        <w:t>资格审查小组将按下表所列举的审查标准对供应商基本资格条件进行审查，供应商若有一项不合格，即判定其基本资格条件审查结果为不合格</w:t>
      </w:r>
      <w:r>
        <w:rPr>
          <w:rFonts w:ascii="宋体" w:hAnsi="宋体" w:eastAsia="宋体" w:cs="宋体"/>
          <w:spacing w:val="1"/>
          <w:sz w:val="24"/>
          <w:szCs w:val="24"/>
          <w:highlight w:val="none"/>
        </w:rPr>
        <w:t>，将不具备投标资</w:t>
      </w:r>
      <w:r>
        <w:rPr>
          <w:rFonts w:ascii="宋体" w:hAnsi="宋体" w:eastAsia="宋体" w:cs="宋体"/>
          <w:spacing w:val="-1"/>
          <w:sz w:val="24"/>
          <w:szCs w:val="24"/>
          <w:highlight w:val="none"/>
        </w:rPr>
        <w:t>格，按无效投标处理。</w:t>
      </w:r>
    </w:p>
    <w:tbl>
      <w:tblPr>
        <w:tblStyle w:val="15"/>
        <w:tblW w:w="952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7"/>
        <w:gridCol w:w="7513"/>
        <w:gridCol w:w="646"/>
        <w:gridCol w:w="683"/>
      </w:tblGrid>
      <w:tr w14:paraId="4A7C5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trPr>
        <w:tc>
          <w:tcPr>
            <w:tcW w:w="687" w:type="dxa"/>
            <w:vAlign w:val="center"/>
          </w:tcPr>
          <w:p w14:paraId="054D262A">
            <w:pPr>
              <w:pStyle w:val="16"/>
              <w:snapToGrid w:val="0"/>
              <w:spacing w:before="201" w:line="240" w:lineRule="auto"/>
              <w:ind w:left="0" w:leftChars="0" w:right="0" w:rightChars="0" w:firstLine="0" w:firstLineChars="0"/>
              <w:jc w:val="center"/>
              <w:rPr>
                <w:rFonts w:hint="eastAsia" w:ascii="宋体" w:hAnsi="宋体" w:eastAsia="宋体" w:cs="宋体"/>
                <w:b/>
                <w:highlight w:val="none"/>
              </w:rPr>
            </w:pPr>
            <w:r>
              <w:rPr>
                <w:rFonts w:hint="eastAsia" w:ascii="宋体" w:hAnsi="宋体" w:eastAsia="宋体" w:cs="宋体"/>
                <w:b/>
                <w:bCs/>
                <w:spacing w:val="-7"/>
                <w:highlight w:val="none"/>
              </w:rPr>
              <w:t>序号</w:t>
            </w:r>
          </w:p>
        </w:tc>
        <w:tc>
          <w:tcPr>
            <w:tcW w:w="7513" w:type="dxa"/>
            <w:vAlign w:val="center"/>
          </w:tcPr>
          <w:p w14:paraId="4B98A7AB">
            <w:pPr>
              <w:pStyle w:val="16"/>
              <w:snapToGrid w:val="0"/>
              <w:spacing w:before="201" w:line="240" w:lineRule="auto"/>
              <w:ind w:left="0" w:leftChars="0" w:right="0" w:rightChars="0" w:firstLine="0" w:firstLineChars="0"/>
              <w:jc w:val="center"/>
              <w:rPr>
                <w:rFonts w:hint="eastAsia" w:ascii="宋体" w:hAnsi="宋体" w:eastAsia="宋体" w:cs="宋体"/>
                <w:b/>
                <w:highlight w:val="none"/>
              </w:rPr>
            </w:pPr>
            <w:r>
              <w:rPr>
                <w:rFonts w:hint="eastAsia" w:ascii="宋体" w:hAnsi="宋体" w:eastAsia="宋体" w:cs="宋体"/>
                <w:b/>
                <w:bCs/>
                <w:spacing w:val="-7"/>
                <w:highlight w:val="none"/>
              </w:rPr>
              <w:t>审查因素</w:t>
            </w:r>
          </w:p>
        </w:tc>
        <w:tc>
          <w:tcPr>
            <w:tcW w:w="0" w:type="auto"/>
            <w:vAlign w:val="center"/>
          </w:tcPr>
          <w:p w14:paraId="36E6F6FE">
            <w:pPr>
              <w:pStyle w:val="16"/>
              <w:snapToGrid w:val="0"/>
              <w:spacing w:before="201" w:line="240" w:lineRule="auto"/>
              <w:ind w:left="0" w:leftChars="0" w:right="0" w:rightChars="0" w:firstLine="0" w:firstLineChars="0"/>
              <w:jc w:val="center"/>
              <w:rPr>
                <w:rFonts w:hint="eastAsia" w:ascii="宋体" w:hAnsi="宋体" w:eastAsia="宋体" w:cs="宋体"/>
                <w:b/>
                <w:highlight w:val="none"/>
              </w:rPr>
            </w:pPr>
            <w:r>
              <w:rPr>
                <w:rFonts w:hint="eastAsia" w:ascii="宋体" w:hAnsi="宋体" w:eastAsia="宋体" w:cs="宋体"/>
                <w:b/>
                <w:bCs/>
                <w:spacing w:val="-7"/>
                <w:highlight w:val="none"/>
              </w:rPr>
              <w:t>审查标准</w:t>
            </w:r>
          </w:p>
        </w:tc>
        <w:tc>
          <w:tcPr>
            <w:tcW w:w="683" w:type="dxa"/>
            <w:vAlign w:val="center"/>
          </w:tcPr>
          <w:p w14:paraId="766674D3">
            <w:pPr>
              <w:pStyle w:val="16"/>
              <w:snapToGrid w:val="0"/>
              <w:spacing w:before="201" w:line="240" w:lineRule="auto"/>
              <w:ind w:left="0" w:leftChars="0" w:right="0" w:rightChars="0" w:firstLine="0" w:firstLineChars="0"/>
              <w:jc w:val="center"/>
              <w:rPr>
                <w:rFonts w:hint="eastAsia" w:ascii="宋体" w:hAnsi="宋体" w:eastAsia="宋体" w:cs="宋体"/>
                <w:b/>
                <w:highlight w:val="none"/>
              </w:rPr>
            </w:pPr>
            <w:r>
              <w:rPr>
                <w:rFonts w:hint="eastAsia" w:ascii="宋体" w:hAnsi="宋体" w:eastAsia="宋体" w:cs="宋体"/>
                <w:b/>
                <w:bCs/>
                <w:spacing w:val="-9"/>
                <w:highlight w:val="none"/>
              </w:rPr>
              <w:t>备注</w:t>
            </w:r>
          </w:p>
        </w:tc>
      </w:tr>
      <w:tr w14:paraId="21A92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4A716DC2">
            <w:pPr>
              <w:pStyle w:val="16"/>
              <w:snapToGrid w:val="0"/>
              <w:spacing w:before="238"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513" w:type="dxa"/>
            <w:vAlign w:val="center"/>
          </w:tcPr>
          <w:p w14:paraId="74AF715B">
            <w:pPr>
              <w:pStyle w:val="16"/>
              <w:snapToGrid w:val="0"/>
              <w:spacing w:before="239" w:line="24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提供合格有效的法人或者其他组织的营业执照等证明文件，自然人的身份证明；</w:t>
            </w:r>
          </w:p>
        </w:tc>
        <w:tc>
          <w:tcPr>
            <w:tcW w:w="0" w:type="auto"/>
            <w:vAlign w:val="center"/>
          </w:tcPr>
          <w:p w14:paraId="3BE616FF">
            <w:pPr>
              <w:pStyle w:val="16"/>
              <w:snapToGrid w:val="0"/>
              <w:spacing w:before="238" w:line="240" w:lineRule="auto"/>
              <w:ind w:left="0" w:leftChars="0" w:right="0" w:rightChars="0" w:firstLine="0" w:firstLineChars="0"/>
              <w:jc w:val="left"/>
              <w:rPr>
                <w:rFonts w:hint="eastAsia" w:ascii="宋体" w:hAnsi="宋体" w:eastAsia="宋体" w:cs="宋体"/>
                <w:sz w:val="21"/>
                <w:highlight w:val="none"/>
              </w:rPr>
            </w:pPr>
          </w:p>
        </w:tc>
        <w:tc>
          <w:tcPr>
            <w:tcW w:w="683" w:type="dxa"/>
            <w:vAlign w:val="center"/>
          </w:tcPr>
          <w:p w14:paraId="14732754">
            <w:pPr>
              <w:snapToGrid w:val="0"/>
              <w:ind w:left="0" w:leftChars="0" w:right="0" w:rightChars="0" w:firstLine="0" w:firstLineChars="0"/>
              <w:jc w:val="center"/>
              <w:rPr>
                <w:rFonts w:hint="eastAsia" w:ascii="宋体" w:hAnsi="宋体" w:eastAsia="宋体" w:cs="宋体"/>
                <w:sz w:val="21"/>
                <w:highlight w:val="none"/>
              </w:rPr>
            </w:pPr>
          </w:p>
        </w:tc>
      </w:tr>
      <w:tr w14:paraId="20371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7B2E3D66">
            <w:pPr>
              <w:pStyle w:val="16"/>
              <w:snapToGrid w:val="0"/>
              <w:spacing w:before="78"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513" w:type="dxa"/>
            <w:vAlign w:val="center"/>
          </w:tcPr>
          <w:p w14:paraId="66BEA3AC">
            <w:pPr>
              <w:pStyle w:val="16"/>
              <w:snapToGrid w:val="0"/>
              <w:spacing w:before="196" w:line="24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提供法定代表人授权书（附法定代表人、被授权人身份证复印件），法定代表人直接参加投标，须提供法定代表人身份证明及身份证复印件）；</w:t>
            </w:r>
          </w:p>
        </w:tc>
        <w:tc>
          <w:tcPr>
            <w:tcW w:w="0" w:type="auto"/>
            <w:vAlign w:val="center"/>
          </w:tcPr>
          <w:p w14:paraId="6F4A2D36">
            <w:pPr>
              <w:pStyle w:val="16"/>
              <w:snapToGrid w:val="0"/>
              <w:spacing w:before="78" w:line="240" w:lineRule="auto"/>
              <w:ind w:left="0" w:leftChars="0" w:right="0" w:rightChars="0" w:firstLine="0" w:firstLineChars="0"/>
              <w:jc w:val="left"/>
              <w:rPr>
                <w:rFonts w:hint="eastAsia" w:ascii="宋体" w:hAnsi="宋体" w:eastAsia="宋体" w:cs="宋体"/>
                <w:sz w:val="21"/>
                <w:highlight w:val="none"/>
              </w:rPr>
            </w:pPr>
          </w:p>
        </w:tc>
        <w:tc>
          <w:tcPr>
            <w:tcW w:w="683" w:type="dxa"/>
            <w:vAlign w:val="center"/>
          </w:tcPr>
          <w:p w14:paraId="51EC29FC">
            <w:pPr>
              <w:snapToGrid w:val="0"/>
              <w:ind w:left="0" w:leftChars="0" w:right="0" w:rightChars="0" w:firstLine="0" w:firstLineChars="0"/>
              <w:jc w:val="center"/>
              <w:rPr>
                <w:rFonts w:hint="eastAsia" w:ascii="宋体" w:hAnsi="宋体" w:eastAsia="宋体" w:cs="宋体"/>
                <w:sz w:val="21"/>
                <w:highlight w:val="none"/>
              </w:rPr>
            </w:pPr>
          </w:p>
        </w:tc>
      </w:tr>
      <w:tr w14:paraId="47D70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476CF8E8">
            <w:pPr>
              <w:pStyle w:val="16"/>
              <w:snapToGrid w:val="0"/>
              <w:spacing w:before="78"/>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7513" w:type="dxa"/>
            <w:vAlign w:val="center"/>
          </w:tcPr>
          <w:p w14:paraId="3B1DEA12">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提供投标截止日前近一年内任意一个月的纳税证明或完税证明（任意税种），依法免税的单位应提供相关证明材料；</w:t>
            </w:r>
          </w:p>
        </w:tc>
        <w:tc>
          <w:tcPr>
            <w:tcW w:w="0" w:type="auto"/>
            <w:vAlign w:val="center"/>
          </w:tcPr>
          <w:p w14:paraId="18752529">
            <w:pPr>
              <w:pStyle w:val="16"/>
              <w:snapToGrid w:val="0"/>
              <w:spacing w:before="78" w:line="240" w:lineRule="auto"/>
              <w:ind w:left="0" w:leftChars="0" w:right="0" w:rightChars="0" w:firstLine="0" w:firstLineChars="0"/>
              <w:jc w:val="left"/>
              <w:rPr>
                <w:rFonts w:hint="eastAsia" w:ascii="宋体" w:hAnsi="宋体" w:eastAsia="宋体" w:cs="宋体"/>
                <w:sz w:val="21"/>
                <w:highlight w:val="none"/>
              </w:rPr>
            </w:pPr>
          </w:p>
        </w:tc>
        <w:tc>
          <w:tcPr>
            <w:tcW w:w="683" w:type="dxa"/>
            <w:vAlign w:val="center"/>
          </w:tcPr>
          <w:p w14:paraId="72EC8E36">
            <w:pPr>
              <w:snapToGrid w:val="0"/>
              <w:ind w:left="0" w:leftChars="0" w:right="0" w:rightChars="0" w:firstLine="0" w:firstLineChars="0"/>
              <w:jc w:val="center"/>
              <w:rPr>
                <w:rFonts w:hint="eastAsia" w:ascii="宋体" w:hAnsi="宋体" w:eastAsia="宋体" w:cs="宋体"/>
                <w:sz w:val="21"/>
                <w:highlight w:val="none"/>
              </w:rPr>
            </w:pPr>
          </w:p>
        </w:tc>
      </w:tr>
      <w:tr w14:paraId="44255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79E20495">
            <w:pPr>
              <w:pStyle w:val="16"/>
              <w:snapToGrid w:val="0"/>
              <w:spacing w:before="78"/>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7513" w:type="dxa"/>
            <w:vAlign w:val="center"/>
          </w:tcPr>
          <w:p w14:paraId="218517E4">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rPr>
              <w:t>提供投标截止日前一年内已缴存的至少一个月的社会保障资金缴存单据或社保机构开具的社会保险参保缴费情况证明，依法不需要缴纳社会保障资金的单位应提供相关证明材料；</w:t>
            </w:r>
          </w:p>
        </w:tc>
        <w:tc>
          <w:tcPr>
            <w:tcW w:w="0" w:type="auto"/>
            <w:vAlign w:val="center"/>
          </w:tcPr>
          <w:p w14:paraId="65DBEBE1">
            <w:pPr>
              <w:pStyle w:val="16"/>
              <w:snapToGrid w:val="0"/>
              <w:spacing w:before="78" w:line="240" w:lineRule="auto"/>
              <w:ind w:left="0" w:leftChars="0" w:right="0" w:rightChars="0" w:firstLine="0" w:firstLineChars="0"/>
              <w:jc w:val="left"/>
              <w:rPr>
                <w:rFonts w:hint="eastAsia" w:ascii="宋体" w:hAnsi="宋体" w:eastAsia="宋体" w:cs="宋体"/>
                <w:spacing w:val="-3"/>
                <w:sz w:val="21"/>
                <w:highlight w:val="none"/>
              </w:rPr>
            </w:pPr>
          </w:p>
        </w:tc>
        <w:tc>
          <w:tcPr>
            <w:tcW w:w="683" w:type="dxa"/>
            <w:vAlign w:val="center"/>
          </w:tcPr>
          <w:p w14:paraId="54203720">
            <w:pPr>
              <w:snapToGrid w:val="0"/>
              <w:ind w:left="0" w:leftChars="0" w:right="0" w:rightChars="0" w:firstLine="0" w:firstLineChars="0"/>
              <w:jc w:val="center"/>
              <w:rPr>
                <w:rFonts w:hint="eastAsia" w:ascii="宋体" w:hAnsi="宋体" w:eastAsia="宋体" w:cs="宋体"/>
                <w:sz w:val="21"/>
                <w:highlight w:val="none"/>
              </w:rPr>
            </w:pPr>
          </w:p>
        </w:tc>
      </w:tr>
      <w:tr w14:paraId="7D642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293FD58B">
            <w:pPr>
              <w:pStyle w:val="16"/>
              <w:snapToGrid w:val="0"/>
              <w:spacing w:before="78"/>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7513" w:type="dxa"/>
            <w:vAlign w:val="center"/>
          </w:tcPr>
          <w:p w14:paraId="40A66722">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rPr>
              <w:t>财务状况：提供递交投标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tc>
        <w:tc>
          <w:tcPr>
            <w:tcW w:w="0" w:type="auto"/>
            <w:vAlign w:val="center"/>
          </w:tcPr>
          <w:p w14:paraId="729C498C">
            <w:pPr>
              <w:pStyle w:val="16"/>
              <w:snapToGrid w:val="0"/>
              <w:spacing w:before="78" w:line="240" w:lineRule="auto"/>
              <w:ind w:left="0" w:leftChars="0" w:right="0" w:rightChars="0" w:firstLine="0" w:firstLineChars="0"/>
              <w:jc w:val="left"/>
              <w:rPr>
                <w:rFonts w:hint="eastAsia" w:ascii="宋体" w:hAnsi="宋体" w:eastAsia="宋体" w:cs="宋体"/>
                <w:spacing w:val="-3"/>
                <w:sz w:val="21"/>
                <w:highlight w:val="none"/>
              </w:rPr>
            </w:pPr>
          </w:p>
        </w:tc>
        <w:tc>
          <w:tcPr>
            <w:tcW w:w="683" w:type="dxa"/>
            <w:vAlign w:val="center"/>
          </w:tcPr>
          <w:p w14:paraId="35F685D9">
            <w:pPr>
              <w:snapToGrid w:val="0"/>
              <w:ind w:left="0" w:leftChars="0" w:right="0" w:rightChars="0" w:firstLine="0" w:firstLineChars="0"/>
              <w:jc w:val="center"/>
              <w:rPr>
                <w:rFonts w:hint="eastAsia" w:ascii="宋体" w:hAnsi="宋体" w:eastAsia="宋体" w:cs="宋体"/>
                <w:sz w:val="21"/>
                <w:highlight w:val="none"/>
              </w:rPr>
            </w:pPr>
          </w:p>
        </w:tc>
      </w:tr>
      <w:tr w14:paraId="18C14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0340C231">
            <w:pPr>
              <w:pStyle w:val="16"/>
              <w:snapToGrid w:val="0"/>
              <w:spacing w:before="78"/>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7513" w:type="dxa"/>
            <w:vAlign w:val="center"/>
          </w:tcPr>
          <w:p w14:paraId="1809ED2B">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rPr>
              <w:t>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tc>
        <w:tc>
          <w:tcPr>
            <w:tcW w:w="0" w:type="auto"/>
            <w:vAlign w:val="center"/>
          </w:tcPr>
          <w:p w14:paraId="6BFAA89D">
            <w:pPr>
              <w:pStyle w:val="16"/>
              <w:snapToGrid w:val="0"/>
              <w:spacing w:before="78" w:line="240" w:lineRule="auto"/>
              <w:ind w:left="0" w:leftChars="0" w:right="0" w:rightChars="0" w:firstLine="0" w:firstLineChars="0"/>
              <w:jc w:val="left"/>
              <w:rPr>
                <w:rFonts w:hint="eastAsia" w:ascii="宋体" w:hAnsi="宋体" w:eastAsia="宋体" w:cs="宋体"/>
                <w:spacing w:val="-3"/>
                <w:sz w:val="21"/>
                <w:highlight w:val="none"/>
              </w:rPr>
            </w:pPr>
          </w:p>
        </w:tc>
        <w:tc>
          <w:tcPr>
            <w:tcW w:w="683" w:type="dxa"/>
            <w:vAlign w:val="center"/>
          </w:tcPr>
          <w:p w14:paraId="2573C759">
            <w:pPr>
              <w:snapToGrid w:val="0"/>
              <w:ind w:left="0" w:leftChars="0" w:right="0" w:rightChars="0" w:firstLine="0" w:firstLineChars="0"/>
              <w:jc w:val="center"/>
              <w:rPr>
                <w:rFonts w:hint="eastAsia" w:ascii="宋体" w:hAnsi="宋体" w:eastAsia="宋体" w:cs="宋体"/>
                <w:sz w:val="21"/>
                <w:highlight w:val="none"/>
              </w:rPr>
            </w:pPr>
          </w:p>
        </w:tc>
      </w:tr>
      <w:tr w14:paraId="71A25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4B67A00D">
            <w:pPr>
              <w:pStyle w:val="16"/>
              <w:snapToGrid w:val="0"/>
              <w:spacing w:before="78"/>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7513" w:type="dxa"/>
            <w:vAlign w:val="center"/>
          </w:tcPr>
          <w:p w14:paraId="18A52E20">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rPr>
              <w:t>参加政府采购活动前3年内，在经营活动中没有重大违法记录的书面声明;</w:t>
            </w:r>
          </w:p>
        </w:tc>
        <w:tc>
          <w:tcPr>
            <w:tcW w:w="0" w:type="auto"/>
            <w:vAlign w:val="center"/>
          </w:tcPr>
          <w:p w14:paraId="7329CC7E">
            <w:pPr>
              <w:pStyle w:val="16"/>
              <w:snapToGrid w:val="0"/>
              <w:spacing w:before="78" w:line="240" w:lineRule="auto"/>
              <w:ind w:left="0" w:leftChars="0" w:right="0" w:rightChars="0" w:firstLine="0" w:firstLineChars="0"/>
              <w:jc w:val="left"/>
              <w:rPr>
                <w:rFonts w:hint="eastAsia" w:ascii="宋体" w:hAnsi="宋体" w:eastAsia="宋体" w:cs="宋体"/>
                <w:spacing w:val="-3"/>
                <w:sz w:val="21"/>
                <w:highlight w:val="none"/>
              </w:rPr>
            </w:pPr>
          </w:p>
        </w:tc>
        <w:tc>
          <w:tcPr>
            <w:tcW w:w="683" w:type="dxa"/>
            <w:vAlign w:val="center"/>
          </w:tcPr>
          <w:p w14:paraId="52719464">
            <w:pPr>
              <w:snapToGrid w:val="0"/>
              <w:ind w:left="0" w:leftChars="0" w:right="0" w:rightChars="0" w:firstLine="0" w:firstLineChars="0"/>
              <w:jc w:val="center"/>
              <w:rPr>
                <w:rFonts w:hint="eastAsia" w:ascii="宋体" w:hAnsi="宋体" w:eastAsia="宋体" w:cs="宋体"/>
                <w:sz w:val="21"/>
                <w:highlight w:val="none"/>
              </w:rPr>
            </w:pPr>
          </w:p>
        </w:tc>
      </w:tr>
      <w:tr w14:paraId="42FDD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3D4CF8B1">
            <w:pPr>
              <w:pStyle w:val="16"/>
              <w:snapToGrid w:val="0"/>
              <w:spacing w:before="78"/>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7513" w:type="dxa"/>
            <w:vAlign w:val="center"/>
          </w:tcPr>
          <w:p w14:paraId="25B7EB64">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rPr>
              <w:t>提供具有履行合同所必需的设备和专业技术能力的书面承诺；</w:t>
            </w:r>
          </w:p>
        </w:tc>
        <w:tc>
          <w:tcPr>
            <w:tcW w:w="0" w:type="auto"/>
            <w:vAlign w:val="center"/>
          </w:tcPr>
          <w:p w14:paraId="0DA9FE91">
            <w:pPr>
              <w:pStyle w:val="16"/>
              <w:snapToGrid w:val="0"/>
              <w:spacing w:before="78" w:line="240" w:lineRule="auto"/>
              <w:ind w:left="0" w:leftChars="0" w:right="0" w:rightChars="0" w:firstLine="0" w:firstLineChars="0"/>
              <w:jc w:val="left"/>
              <w:rPr>
                <w:rFonts w:hint="eastAsia" w:ascii="宋体" w:hAnsi="宋体" w:eastAsia="宋体" w:cs="宋体"/>
                <w:spacing w:val="-3"/>
                <w:sz w:val="21"/>
                <w:highlight w:val="none"/>
              </w:rPr>
            </w:pPr>
          </w:p>
        </w:tc>
        <w:tc>
          <w:tcPr>
            <w:tcW w:w="683" w:type="dxa"/>
            <w:vAlign w:val="center"/>
          </w:tcPr>
          <w:p w14:paraId="1CB2AB94">
            <w:pPr>
              <w:snapToGrid w:val="0"/>
              <w:ind w:left="0" w:leftChars="0" w:right="0" w:rightChars="0" w:firstLine="0" w:firstLineChars="0"/>
              <w:jc w:val="center"/>
              <w:rPr>
                <w:rFonts w:hint="eastAsia" w:ascii="宋体" w:hAnsi="宋体" w:eastAsia="宋体" w:cs="宋体"/>
                <w:sz w:val="21"/>
                <w:highlight w:val="none"/>
              </w:rPr>
            </w:pPr>
          </w:p>
        </w:tc>
      </w:tr>
      <w:tr w14:paraId="1F518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535C8CD9">
            <w:pPr>
              <w:pStyle w:val="16"/>
              <w:snapToGrid w:val="0"/>
              <w:spacing w:before="78"/>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7513" w:type="dxa"/>
            <w:vAlign w:val="center"/>
          </w:tcPr>
          <w:p w14:paraId="007F33BE">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rPr>
              <w:t>本项目专门面向中小企业采购，提供中小企业声明函；</w:t>
            </w:r>
          </w:p>
        </w:tc>
        <w:tc>
          <w:tcPr>
            <w:tcW w:w="0" w:type="auto"/>
            <w:vAlign w:val="center"/>
          </w:tcPr>
          <w:p w14:paraId="341A6EBA">
            <w:pPr>
              <w:pStyle w:val="16"/>
              <w:snapToGrid w:val="0"/>
              <w:spacing w:before="78" w:line="240" w:lineRule="auto"/>
              <w:ind w:left="0" w:leftChars="0" w:right="0" w:rightChars="0" w:firstLine="0" w:firstLineChars="0"/>
              <w:jc w:val="left"/>
              <w:rPr>
                <w:rFonts w:hint="eastAsia" w:ascii="宋体" w:hAnsi="宋体" w:eastAsia="宋体" w:cs="宋体"/>
                <w:spacing w:val="-3"/>
                <w:sz w:val="21"/>
                <w:highlight w:val="none"/>
              </w:rPr>
            </w:pPr>
          </w:p>
        </w:tc>
        <w:tc>
          <w:tcPr>
            <w:tcW w:w="683" w:type="dxa"/>
            <w:vAlign w:val="center"/>
          </w:tcPr>
          <w:p w14:paraId="3C8F8779">
            <w:pPr>
              <w:snapToGrid w:val="0"/>
              <w:ind w:left="0" w:leftChars="0" w:right="0" w:rightChars="0" w:firstLine="0" w:firstLineChars="0"/>
              <w:jc w:val="center"/>
              <w:rPr>
                <w:rFonts w:hint="eastAsia" w:ascii="宋体" w:hAnsi="宋体" w:eastAsia="宋体" w:cs="宋体"/>
                <w:sz w:val="21"/>
                <w:highlight w:val="none"/>
              </w:rPr>
            </w:pPr>
          </w:p>
        </w:tc>
      </w:tr>
      <w:tr w14:paraId="33EE0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51CAFC4E">
            <w:pPr>
              <w:pStyle w:val="16"/>
              <w:snapToGrid w:val="0"/>
              <w:spacing w:before="78"/>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7513" w:type="dxa"/>
            <w:vAlign w:val="center"/>
          </w:tcPr>
          <w:p w14:paraId="08E8B0DA">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rPr>
              <w:t>控股管理关系：提供直接控股和管理关系清单。若与其他供应商存在单位负责人为同一人或者存在直接控股、管理关系的，则投标无效；</w:t>
            </w:r>
          </w:p>
        </w:tc>
        <w:tc>
          <w:tcPr>
            <w:tcW w:w="0" w:type="auto"/>
            <w:vAlign w:val="center"/>
          </w:tcPr>
          <w:p w14:paraId="11C3D5CE">
            <w:pPr>
              <w:pStyle w:val="16"/>
              <w:snapToGrid w:val="0"/>
              <w:spacing w:before="78" w:line="240" w:lineRule="auto"/>
              <w:ind w:left="0" w:leftChars="0" w:right="0" w:rightChars="0" w:firstLine="0" w:firstLineChars="0"/>
              <w:jc w:val="left"/>
              <w:rPr>
                <w:rFonts w:hint="eastAsia" w:ascii="宋体" w:hAnsi="宋体" w:eastAsia="宋体" w:cs="宋体"/>
                <w:spacing w:val="-3"/>
                <w:sz w:val="21"/>
                <w:highlight w:val="none"/>
              </w:rPr>
            </w:pPr>
          </w:p>
        </w:tc>
        <w:tc>
          <w:tcPr>
            <w:tcW w:w="683" w:type="dxa"/>
            <w:vAlign w:val="center"/>
          </w:tcPr>
          <w:p w14:paraId="5C9497DE">
            <w:pPr>
              <w:snapToGrid w:val="0"/>
              <w:ind w:left="0" w:leftChars="0" w:right="0" w:rightChars="0" w:firstLine="0" w:firstLineChars="0"/>
              <w:jc w:val="center"/>
              <w:rPr>
                <w:rFonts w:hint="eastAsia" w:ascii="宋体" w:hAnsi="宋体" w:eastAsia="宋体" w:cs="宋体"/>
                <w:sz w:val="21"/>
                <w:highlight w:val="none"/>
              </w:rPr>
            </w:pPr>
          </w:p>
        </w:tc>
      </w:tr>
      <w:tr w14:paraId="4BA94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7" w:type="dxa"/>
            <w:vAlign w:val="center"/>
          </w:tcPr>
          <w:p w14:paraId="1DA92CA5">
            <w:pPr>
              <w:pStyle w:val="16"/>
              <w:snapToGrid w:val="0"/>
              <w:spacing w:before="78"/>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7513" w:type="dxa"/>
            <w:vAlign w:val="center"/>
          </w:tcPr>
          <w:p w14:paraId="03DC6AAD">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rPr>
              <w:t>本项目不接受联合体投标（提供承诺书）。</w:t>
            </w:r>
          </w:p>
        </w:tc>
        <w:tc>
          <w:tcPr>
            <w:tcW w:w="646" w:type="dxa"/>
            <w:vAlign w:val="center"/>
          </w:tcPr>
          <w:p w14:paraId="1151CA8E">
            <w:pPr>
              <w:pStyle w:val="16"/>
              <w:snapToGrid w:val="0"/>
              <w:spacing w:before="78" w:line="240" w:lineRule="auto"/>
              <w:ind w:left="0" w:leftChars="0" w:right="0" w:rightChars="0" w:firstLine="0" w:firstLineChars="0"/>
              <w:jc w:val="left"/>
              <w:rPr>
                <w:rFonts w:hint="eastAsia" w:ascii="宋体" w:hAnsi="宋体" w:eastAsia="宋体" w:cs="宋体"/>
                <w:spacing w:val="-3"/>
                <w:sz w:val="21"/>
                <w:highlight w:val="none"/>
              </w:rPr>
            </w:pPr>
          </w:p>
        </w:tc>
        <w:tc>
          <w:tcPr>
            <w:tcW w:w="683" w:type="dxa"/>
            <w:vAlign w:val="center"/>
          </w:tcPr>
          <w:p w14:paraId="4A1CFD65">
            <w:pPr>
              <w:snapToGrid w:val="0"/>
              <w:ind w:left="0" w:leftChars="0" w:right="0" w:rightChars="0" w:firstLine="0" w:firstLineChars="0"/>
              <w:jc w:val="center"/>
              <w:rPr>
                <w:rFonts w:hint="eastAsia" w:ascii="宋体" w:hAnsi="宋体" w:eastAsia="宋体" w:cs="宋体"/>
                <w:sz w:val="21"/>
                <w:highlight w:val="none"/>
              </w:rPr>
            </w:pPr>
          </w:p>
        </w:tc>
      </w:tr>
    </w:tbl>
    <w:p w14:paraId="789E0ED4">
      <w:pPr>
        <w:pStyle w:val="5"/>
        <w:rPr>
          <w:highlight w:val="none"/>
        </w:rPr>
      </w:pPr>
    </w:p>
    <w:p w14:paraId="17995BE4">
      <w:pPr>
        <w:spacing w:line="89" w:lineRule="auto"/>
        <w:rPr>
          <w:rFonts w:ascii="Arial"/>
          <w:sz w:val="2"/>
          <w:highlight w:val="none"/>
        </w:rPr>
      </w:pPr>
    </w:p>
    <w:p w14:paraId="50069782">
      <w:pPr>
        <w:spacing w:before="36" w:line="350" w:lineRule="auto"/>
        <w:ind w:left="229" w:right="133" w:firstLine="472"/>
        <w:jc w:val="both"/>
        <w:rPr>
          <w:rFonts w:ascii="宋体" w:hAnsi="宋体" w:eastAsia="宋体" w:cs="宋体"/>
          <w:spacing w:val="-1"/>
          <w:sz w:val="24"/>
          <w:szCs w:val="24"/>
          <w:highlight w:val="none"/>
        </w:rPr>
      </w:pPr>
      <w:r>
        <w:rPr>
          <w:rFonts w:ascii="宋体" w:hAnsi="宋体" w:eastAsia="宋体" w:cs="宋体"/>
          <w:spacing w:val="2"/>
          <w:sz w:val="24"/>
          <w:szCs w:val="24"/>
          <w:highlight w:val="none"/>
        </w:rPr>
        <w:t>符合性评审标准：评标委员会将按下列评审标准对供应商的响应文件进行符合性审查，供应商若有一项不合格，即判定其符合性审查结果为不合格，将</w:t>
      </w:r>
      <w:r>
        <w:rPr>
          <w:rFonts w:ascii="宋体" w:hAnsi="宋体" w:eastAsia="宋体" w:cs="宋体"/>
          <w:spacing w:val="1"/>
          <w:sz w:val="24"/>
          <w:szCs w:val="24"/>
          <w:highlight w:val="none"/>
        </w:rPr>
        <w:t>不具备投标资</w:t>
      </w:r>
      <w:r>
        <w:rPr>
          <w:rFonts w:ascii="宋体" w:hAnsi="宋体" w:eastAsia="宋体" w:cs="宋体"/>
          <w:spacing w:val="-1"/>
          <w:sz w:val="24"/>
          <w:szCs w:val="24"/>
          <w:highlight w:val="none"/>
        </w:rPr>
        <w:t>格，其响应文件无效。</w:t>
      </w:r>
    </w:p>
    <w:tbl>
      <w:tblPr>
        <w:tblStyle w:val="11"/>
        <w:tblW w:w="9529" w:type="dxa"/>
        <w:tblInd w:w="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9"/>
        <w:gridCol w:w="3276"/>
        <w:gridCol w:w="5654"/>
      </w:tblGrid>
      <w:tr w14:paraId="11EA9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90A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序号</w:t>
            </w:r>
          </w:p>
        </w:tc>
        <w:tc>
          <w:tcPr>
            <w:tcW w:w="3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C9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评审因素</w:t>
            </w:r>
          </w:p>
        </w:tc>
        <w:tc>
          <w:tcPr>
            <w:tcW w:w="5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3B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评审标准</w:t>
            </w:r>
          </w:p>
        </w:tc>
      </w:tr>
      <w:tr w14:paraId="297AB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C0C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3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20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响应文件签署盖章</w:t>
            </w:r>
          </w:p>
        </w:tc>
        <w:tc>
          <w:tcPr>
            <w:tcW w:w="5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79C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符合征集文件要求</w:t>
            </w:r>
          </w:p>
        </w:tc>
      </w:tr>
      <w:tr w14:paraId="52FE8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2C4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3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F1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响应文件签署盖章</w:t>
            </w:r>
          </w:p>
        </w:tc>
        <w:tc>
          <w:tcPr>
            <w:tcW w:w="5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C7D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符合征集文件要求</w:t>
            </w:r>
          </w:p>
        </w:tc>
      </w:tr>
      <w:tr w14:paraId="25A4A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635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2</w:t>
            </w:r>
          </w:p>
        </w:tc>
        <w:tc>
          <w:tcPr>
            <w:tcW w:w="32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B2FF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申请报价</w:t>
            </w:r>
          </w:p>
        </w:tc>
        <w:tc>
          <w:tcPr>
            <w:tcW w:w="5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DEB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（1）申请报价符合唯一性要求：</w:t>
            </w:r>
          </w:p>
        </w:tc>
      </w:tr>
      <w:tr w14:paraId="3B1D0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59252">
            <w:pPr>
              <w:snapToGrid w:val="0"/>
              <w:ind w:left="0" w:leftChars="0" w:right="0" w:rightChars="0" w:firstLine="0" w:firstLineChars="0"/>
              <w:jc w:val="center"/>
              <w:rPr>
                <w:rFonts w:hint="eastAsia" w:ascii="宋体" w:hAnsi="宋体" w:eastAsia="宋体" w:cs="宋体"/>
                <w:i w:val="0"/>
                <w:iCs w:val="0"/>
                <w:color w:val="000000"/>
                <w:sz w:val="24"/>
                <w:szCs w:val="24"/>
                <w:highlight w:val="none"/>
                <w:u w:val="none"/>
              </w:rPr>
            </w:pPr>
          </w:p>
        </w:tc>
        <w:tc>
          <w:tcPr>
            <w:tcW w:w="3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3B605">
            <w:pPr>
              <w:snapToGrid w:val="0"/>
              <w:ind w:left="0" w:leftChars="0" w:right="0" w:rightChars="0" w:firstLine="0" w:firstLineChars="0"/>
              <w:jc w:val="center"/>
              <w:rPr>
                <w:rFonts w:hint="eastAsia" w:ascii="宋体" w:hAnsi="宋体" w:eastAsia="宋体" w:cs="宋体"/>
                <w:i w:val="0"/>
                <w:iCs w:val="0"/>
                <w:color w:val="000000"/>
                <w:sz w:val="24"/>
                <w:szCs w:val="24"/>
                <w:highlight w:val="none"/>
                <w:u w:val="none"/>
              </w:rPr>
            </w:pPr>
          </w:p>
        </w:tc>
        <w:tc>
          <w:tcPr>
            <w:tcW w:w="5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6BF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（2）开标一览表填写符合要求；</w:t>
            </w:r>
          </w:p>
        </w:tc>
      </w:tr>
      <w:tr w14:paraId="5758B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796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w:t>
            </w:r>
          </w:p>
        </w:tc>
        <w:tc>
          <w:tcPr>
            <w:tcW w:w="3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DF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服务期限</w:t>
            </w:r>
          </w:p>
        </w:tc>
        <w:tc>
          <w:tcPr>
            <w:tcW w:w="5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0C5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符合征集文件要求</w:t>
            </w:r>
          </w:p>
        </w:tc>
      </w:tr>
      <w:tr w14:paraId="44F89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5B7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w:t>
            </w:r>
          </w:p>
        </w:tc>
        <w:tc>
          <w:tcPr>
            <w:tcW w:w="3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88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响应文件有效期</w:t>
            </w:r>
          </w:p>
        </w:tc>
        <w:tc>
          <w:tcPr>
            <w:tcW w:w="5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37F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符合征集文件要求</w:t>
            </w:r>
          </w:p>
        </w:tc>
      </w:tr>
      <w:tr w14:paraId="15850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A10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5</w:t>
            </w:r>
          </w:p>
        </w:tc>
        <w:tc>
          <w:tcPr>
            <w:tcW w:w="3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CE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无其他征集文件或法规明确规定响应无效的事项</w:t>
            </w:r>
          </w:p>
        </w:tc>
        <w:tc>
          <w:tcPr>
            <w:tcW w:w="5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34D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没有不符合征集文件规定的被视为无效响应的其他条款，不能有征集人不能接受的附加条件。</w:t>
            </w:r>
          </w:p>
        </w:tc>
      </w:tr>
      <w:tr w14:paraId="5627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5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547D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备注：以上要求，有一项不符合评审标准的，评审小组应当否决其申请。</w:t>
            </w:r>
          </w:p>
        </w:tc>
      </w:tr>
    </w:tbl>
    <w:p w14:paraId="635EDFB7">
      <w:pPr>
        <w:spacing w:before="48" w:line="219" w:lineRule="auto"/>
        <w:ind w:left="496"/>
        <w:rPr>
          <w:rFonts w:ascii="宋体" w:hAnsi="宋体" w:eastAsia="宋体" w:cs="宋体"/>
          <w:b/>
          <w:bCs/>
          <w:spacing w:val="-3"/>
          <w:sz w:val="24"/>
          <w:szCs w:val="24"/>
          <w:highlight w:val="none"/>
        </w:rPr>
      </w:pPr>
    </w:p>
    <w:p w14:paraId="17CE2090">
      <w:pPr>
        <w:spacing w:before="48" w:line="219" w:lineRule="auto"/>
        <w:ind w:left="496"/>
        <w:rPr>
          <w:rFonts w:ascii="宋体" w:hAnsi="宋体" w:eastAsia="宋体" w:cs="宋体"/>
          <w:sz w:val="24"/>
          <w:szCs w:val="24"/>
          <w:highlight w:val="none"/>
        </w:rPr>
      </w:pPr>
      <w:r>
        <w:rPr>
          <w:rFonts w:ascii="宋体" w:hAnsi="宋体" w:eastAsia="宋体" w:cs="宋体"/>
          <w:b/>
          <w:bCs/>
          <w:spacing w:val="-3"/>
          <w:sz w:val="24"/>
          <w:szCs w:val="24"/>
          <w:highlight w:val="none"/>
        </w:rPr>
        <w:t>1.2.3</w:t>
      </w:r>
      <w:r>
        <w:rPr>
          <w:rFonts w:ascii="宋体" w:hAnsi="宋体" w:eastAsia="宋体" w:cs="宋体"/>
          <w:spacing w:val="-44"/>
          <w:sz w:val="24"/>
          <w:szCs w:val="24"/>
          <w:highlight w:val="none"/>
        </w:rPr>
        <w:t xml:space="preserve"> </w:t>
      </w:r>
      <w:r>
        <w:rPr>
          <w:rFonts w:ascii="宋体" w:hAnsi="宋体" w:eastAsia="宋体" w:cs="宋体"/>
          <w:b/>
          <w:bCs/>
          <w:spacing w:val="-3"/>
          <w:sz w:val="24"/>
          <w:szCs w:val="24"/>
          <w:highlight w:val="none"/>
        </w:rPr>
        <w:t>有下列情形之一的，视为供应商相互恶意串通投标，投标无效：</w:t>
      </w:r>
    </w:p>
    <w:p w14:paraId="448D06FB">
      <w:pPr>
        <w:spacing w:before="183" w:line="219"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（1）不同供应商的响应文件由同一单位或者个人编制；</w:t>
      </w:r>
    </w:p>
    <w:p w14:paraId="46778967">
      <w:pPr>
        <w:spacing w:before="180" w:line="219"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（2）不同供应商委托同一单位或者个人办理投标事宜；</w:t>
      </w:r>
    </w:p>
    <w:p w14:paraId="631041AA">
      <w:pPr>
        <w:spacing w:before="183" w:line="219"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（3）不同供应商的响应文件载明的项目管理成员为同一人；</w:t>
      </w:r>
    </w:p>
    <w:p w14:paraId="694CD8E4">
      <w:pPr>
        <w:spacing w:before="180" w:line="219"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（4）不同供应商的响应文件异常一致或者申请报价呈规律性差异；</w:t>
      </w:r>
    </w:p>
    <w:p w14:paraId="60930AE3">
      <w:pPr>
        <w:spacing w:before="184" w:line="219" w:lineRule="auto"/>
        <w:ind w:left="490"/>
        <w:rPr>
          <w:rFonts w:ascii="宋体" w:hAnsi="宋体" w:eastAsia="宋体" w:cs="宋体"/>
          <w:sz w:val="24"/>
          <w:szCs w:val="24"/>
          <w:highlight w:val="none"/>
        </w:rPr>
      </w:pPr>
      <w:r>
        <w:rPr>
          <w:rFonts w:ascii="宋体" w:hAnsi="宋体" w:eastAsia="宋体" w:cs="宋体"/>
          <w:spacing w:val="-2"/>
          <w:sz w:val="24"/>
          <w:szCs w:val="24"/>
          <w:highlight w:val="none"/>
        </w:rPr>
        <w:t>（5）不同供应商的响应文件相互混装；</w:t>
      </w:r>
    </w:p>
    <w:p w14:paraId="0EAA01A4">
      <w:pPr>
        <w:spacing w:before="179" w:line="290" w:lineRule="auto"/>
        <w:ind w:left="3" w:firstLine="486"/>
        <w:rPr>
          <w:rFonts w:ascii="宋体" w:hAnsi="宋体" w:eastAsia="宋体" w:cs="宋体"/>
          <w:sz w:val="24"/>
          <w:szCs w:val="24"/>
          <w:highlight w:val="none"/>
        </w:rPr>
      </w:pPr>
      <w:r>
        <w:rPr>
          <w:rFonts w:ascii="宋体" w:hAnsi="宋体" w:eastAsia="宋体" w:cs="宋体"/>
          <w:spacing w:val="5"/>
          <w:sz w:val="24"/>
          <w:szCs w:val="24"/>
          <w:highlight w:val="none"/>
        </w:rPr>
        <w:t>（6）不同供应商的申请保证金从同一单位或者个人的账户转出（仅限供应商须</w:t>
      </w:r>
      <w:r>
        <w:rPr>
          <w:rFonts w:ascii="宋体" w:hAnsi="宋体" w:eastAsia="宋体" w:cs="宋体"/>
          <w:spacing w:val="-1"/>
          <w:sz w:val="24"/>
          <w:szCs w:val="24"/>
          <w:highlight w:val="none"/>
        </w:rPr>
        <w:t>知前附表要求供应商提交申请保证金的）。</w:t>
      </w:r>
    </w:p>
    <w:p w14:paraId="12862B8C">
      <w:pPr>
        <w:spacing w:before="183" w:line="220" w:lineRule="auto"/>
        <w:ind w:left="496"/>
        <w:rPr>
          <w:rFonts w:ascii="宋体" w:hAnsi="宋体" w:eastAsia="宋体" w:cs="宋体"/>
          <w:sz w:val="24"/>
          <w:szCs w:val="24"/>
          <w:highlight w:val="none"/>
        </w:rPr>
      </w:pPr>
      <w:r>
        <w:rPr>
          <w:rFonts w:ascii="宋体" w:hAnsi="宋体" w:eastAsia="宋体" w:cs="宋体"/>
          <w:b/>
          <w:bCs/>
          <w:spacing w:val="-4"/>
          <w:sz w:val="24"/>
          <w:szCs w:val="24"/>
          <w:highlight w:val="none"/>
        </w:rPr>
        <w:t>1.2.4</w:t>
      </w:r>
      <w:r>
        <w:rPr>
          <w:rFonts w:ascii="宋体" w:hAnsi="宋体" w:eastAsia="宋体" w:cs="宋体"/>
          <w:spacing w:val="-34"/>
          <w:sz w:val="24"/>
          <w:szCs w:val="24"/>
          <w:highlight w:val="none"/>
        </w:rPr>
        <w:t xml:space="preserve"> </w:t>
      </w:r>
      <w:r>
        <w:rPr>
          <w:rFonts w:ascii="宋体" w:hAnsi="宋体" w:eastAsia="宋体" w:cs="宋体"/>
          <w:b/>
          <w:bCs/>
          <w:spacing w:val="-4"/>
          <w:sz w:val="24"/>
          <w:szCs w:val="24"/>
          <w:highlight w:val="none"/>
        </w:rPr>
        <w:t>响应文件存在下列情况之一的，投标无效：</w:t>
      </w:r>
    </w:p>
    <w:p w14:paraId="05F45E1E">
      <w:pPr>
        <w:spacing w:before="180" w:line="220" w:lineRule="auto"/>
        <w:ind w:left="490"/>
        <w:rPr>
          <w:rFonts w:ascii="宋体" w:hAnsi="宋体" w:eastAsia="宋体" w:cs="宋体"/>
          <w:sz w:val="24"/>
          <w:szCs w:val="24"/>
          <w:highlight w:val="none"/>
        </w:rPr>
      </w:pPr>
      <w:r>
        <w:rPr>
          <w:rFonts w:ascii="宋体" w:hAnsi="宋体" w:eastAsia="宋体" w:cs="宋体"/>
          <w:spacing w:val="-2"/>
          <w:sz w:val="24"/>
          <w:szCs w:val="24"/>
          <w:highlight w:val="none"/>
        </w:rPr>
        <w:t>（1）不符合征集文件中规定的资格要求的；</w:t>
      </w:r>
    </w:p>
    <w:p w14:paraId="62CD8E7A">
      <w:pPr>
        <w:spacing w:before="180" w:line="220"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（2）不符合征集文件中规定的实质性要求的；</w:t>
      </w:r>
    </w:p>
    <w:p w14:paraId="5ECB0C18">
      <w:pPr>
        <w:spacing w:before="182" w:line="219"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（3）响应文件未按照征集文件要求签署、盖章的；</w:t>
      </w:r>
    </w:p>
    <w:p w14:paraId="50145AF6">
      <w:pPr>
        <w:spacing w:before="182" w:line="219"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（4）申请报价超过了征集文件中规定的最高限制单价的；</w:t>
      </w:r>
    </w:p>
    <w:p w14:paraId="5F1C2C9D">
      <w:pPr>
        <w:spacing w:before="182" w:line="219"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（8）响应文件中含有征集人不能接受的附加条件的；</w:t>
      </w:r>
    </w:p>
    <w:p w14:paraId="0E6616A3">
      <w:pPr>
        <w:spacing w:before="183" w:line="220"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（6）投标产品不符合强制执行的国家标准、行业标准的（如有</w:t>
      </w:r>
      <w:r>
        <w:rPr>
          <w:rFonts w:ascii="宋体" w:hAnsi="宋体" w:eastAsia="宋体" w:cs="宋体"/>
          <w:spacing w:val="3"/>
          <w:sz w:val="24"/>
          <w:szCs w:val="24"/>
          <w:highlight w:val="none"/>
        </w:rPr>
        <w:t>）；</w:t>
      </w:r>
    </w:p>
    <w:p w14:paraId="00F631E2">
      <w:pPr>
        <w:spacing w:before="180" w:line="220"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（7）投标产品不是国家强制节能产品品目清单中的产品（如有</w:t>
      </w:r>
      <w:r>
        <w:rPr>
          <w:rFonts w:ascii="宋体" w:hAnsi="宋体" w:eastAsia="宋体" w:cs="宋体"/>
          <w:spacing w:val="3"/>
          <w:sz w:val="24"/>
          <w:szCs w:val="24"/>
          <w:highlight w:val="none"/>
        </w:rPr>
        <w:t>）；</w:t>
      </w:r>
    </w:p>
    <w:p w14:paraId="2936C550">
      <w:pPr>
        <w:spacing w:before="183" w:line="289" w:lineRule="auto"/>
        <w:ind w:firstLine="490"/>
        <w:rPr>
          <w:rFonts w:ascii="宋体" w:hAnsi="宋体" w:eastAsia="宋体" w:cs="宋体"/>
          <w:sz w:val="24"/>
          <w:szCs w:val="24"/>
          <w:highlight w:val="none"/>
        </w:rPr>
      </w:pPr>
      <w:r>
        <w:rPr>
          <w:rFonts w:ascii="宋体" w:hAnsi="宋体" w:eastAsia="宋体" w:cs="宋体"/>
          <w:spacing w:val="5"/>
          <w:sz w:val="24"/>
          <w:szCs w:val="24"/>
          <w:highlight w:val="none"/>
        </w:rPr>
        <w:t>（8）投标产品属于强制性认证产品的未提供强制性产品认证证书复印件的（如</w:t>
      </w:r>
      <w:r>
        <w:rPr>
          <w:rFonts w:ascii="宋体" w:hAnsi="宋体" w:eastAsia="宋体" w:cs="宋体"/>
          <w:spacing w:val="-11"/>
          <w:sz w:val="24"/>
          <w:szCs w:val="24"/>
          <w:highlight w:val="none"/>
        </w:rPr>
        <w:t>有</w:t>
      </w:r>
      <w:r>
        <w:rPr>
          <w:rFonts w:ascii="宋体" w:hAnsi="宋体" w:eastAsia="宋体" w:cs="宋体"/>
          <w:sz w:val="24"/>
          <w:szCs w:val="24"/>
          <w:highlight w:val="none"/>
        </w:rPr>
        <w:t>）；</w:t>
      </w:r>
    </w:p>
    <w:p w14:paraId="5609F2A2">
      <w:pPr>
        <w:spacing w:before="181" w:line="220"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（9）法律、行政法规和征集文件规定的其他无效情形。</w:t>
      </w:r>
    </w:p>
    <w:p w14:paraId="1DD3E3A0">
      <w:pPr>
        <w:spacing w:before="179" w:line="220" w:lineRule="auto"/>
        <w:ind w:left="496"/>
        <w:rPr>
          <w:rFonts w:ascii="宋体" w:hAnsi="宋体" w:eastAsia="宋体" w:cs="宋体"/>
          <w:sz w:val="24"/>
          <w:szCs w:val="24"/>
          <w:highlight w:val="none"/>
        </w:rPr>
      </w:pPr>
      <w:r>
        <w:rPr>
          <w:rFonts w:ascii="宋体" w:hAnsi="宋体" w:eastAsia="宋体" w:cs="宋体"/>
          <w:b/>
          <w:bCs/>
          <w:spacing w:val="-4"/>
          <w:sz w:val="24"/>
          <w:szCs w:val="24"/>
          <w:highlight w:val="none"/>
        </w:rPr>
        <w:t>1.2.5</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非实质性偏离</w:t>
      </w:r>
    </w:p>
    <w:p w14:paraId="0046E899">
      <w:pPr>
        <w:spacing w:before="184" w:line="359" w:lineRule="auto"/>
        <w:ind w:firstLine="481"/>
        <w:jc w:val="both"/>
        <w:rPr>
          <w:rFonts w:ascii="宋体" w:hAnsi="宋体" w:eastAsia="宋体" w:cs="宋体"/>
          <w:sz w:val="24"/>
          <w:szCs w:val="24"/>
          <w:highlight w:val="none"/>
        </w:rPr>
      </w:pPr>
      <w:r>
        <w:rPr>
          <w:rFonts w:ascii="宋体" w:hAnsi="宋体" w:eastAsia="宋体" w:cs="宋体"/>
          <w:spacing w:val="2"/>
          <w:sz w:val="24"/>
          <w:szCs w:val="24"/>
          <w:highlight w:val="none"/>
        </w:rPr>
        <w:t>非实质性偏离是指响应文件在实质上响应征集文件的要求，但在个</w:t>
      </w:r>
      <w:r>
        <w:rPr>
          <w:rFonts w:ascii="宋体" w:hAnsi="宋体" w:eastAsia="宋体" w:cs="宋体"/>
          <w:spacing w:val="1"/>
          <w:sz w:val="24"/>
          <w:szCs w:val="24"/>
          <w:highlight w:val="none"/>
        </w:rPr>
        <w:t>别地方存在一</w:t>
      </w:r>
      <w:r>
        <w:rPr>
          <w:rFonts w:ascii="宋体" w:hAnsi="宋体" w:eastAsia="宋体" w:cs="宋体"/>
          <w:spacing w:val="2"/>
          <w:sz w:val="24"/>
          <w:szCs w:val="24"/>
          <w:highlight w:val="none"/>
        </w:rPr>
        <w:t>些不规则、不一致、不完整的内容，并且澄清、说明或者补正这些</w:t>
      </w:r>
      <w:r>
        <w:rPr>
          <w:rFonts w:ascii="宋体" w:hAnsi="宋体" w:eastAsia="宋体" w:cs="宋体"/>
          <w:spacing w:val="1"/>
          <w:sz w:val="24"/>
          <w:szCs w:val="24"/>
          <w:highlight w:val="none"/>
        </w:rPr>
        <w:t>内容不会改变响应</w:t>
      </w:r>
      <w:r>
        <w:rPr>
          <w:rFonts w:ascii="宋体" w:hAnsi="宋体" w:eastAsia="宋体" w:cs="宋体"/>
          <w:spacing w:val="-1"/>
          <w:sz w:val="24"/>
          <w:szCs w:val="24"/>
          <w:highlight w:val="none"/>
        </w:rPr>
        <w:t>文件的实质性内容。以下情况属于非实质性偏离：</w:t>
      </w:r>
    </w:p>
    <w:p w14:paraId="4C50DA01">
      <w:pPr>
        <w:spacing w:line="220" w:lineRule="auto"/>
        <w:ind w:left="490"/>
        <w:rPr>
          <w:rFonts w:ascii="宋体" w:hAnsi="宋体" w:eastAsia="宋体" w:cs="宋体"/>
          <w:sz w:val="24"/>
          <w:szCs w:val="24"/>
          <w:highlight w:val="none"/>
        </w:rPr>
      </w:pPr>
      <w:r>
        <w:rPr>
          <w:rFonts w:ascii="宋体" w:hAnsi="宋体" w:eastAsia="宋体" w:cs="宋体"/>
          <w:spacing w:val="-2"/>
          <w:sz w:val="24"/>
          <w:szCs w:val="24"/>
          <w:highlight w:val="none"/>
        </w:rPr>
        <w:t>（1）文字表述的内容含义不明确；</w:t>
      </w:r>
    </w:p>
    <w:p w14:paraId="7D885535">
      <w:pPr>
        <w:spacing w:before="180" w:line="220" w:lineRule="auto"/>
        <w:ind w:left="490"/>
        <w:rPr>
          <w:rFonts w:ascii="宋体" w:hAnsi="宋体" w:eastAsia="宋体" w:cs="宋体"/>
          <w:sz w:val="24"/>
          <w:szCs w:val="24"/>
          <w:highlight w:val="none"/>
        </w:rPr>
      </w:pPr>
      <w:r>
        <w:rPr>
          <w:rFonts w:ascii="宋体" w:hAnsi="宋体" w:eastAsia="宋体" w:cs="宋体"/>
          <w:spacing w:val="-2"/>
          <w:sz w:val="24"/>
          <w:szCs w:val="24"/>
          <w:highlight w:val="none"/>
        </w:rPr>
        <w:t>（2）同类问题表述不一致；</w:t>
      </w:r>
    </w:p>
    <w:p w14:paraId="2AB7EE97">
      <w:pPr>
        <w:spacing w:before="179" w:line="220" w:lineRule="auto"/>
        <w:ind w:left="490"/>
        <w:rPr>
          <w:rFonts w:ascii="宋体" w:hAnsi="宋体" w:eastAsia="宋体" w:cs="宋体"/>
          <w:sz w:val="24"/>
          <w:szCs w:val="24"/>
          <w:highlight w:val="none"/>
        </w:rPr>
      </w:pPr>
      <w:r>
        <w:rPr>
          <w:rFonts w:ascii="宋体" w:hAnsi="宋体" w:eastAsia="宋体" w:cs="宋体"/>
          <w:spacing w:val="-2"/>
          <w:sz w:val="24"/>
          <w:szCs w:val="24"/>
          <w:highlight w:val="none"/>
        </w:rPr>
        <w:t>（3）有明显文字和计算错误；</w:t>
      </w:r>
    </w:p>
    <w:p w14:paraId="64565374">
      <w:pPr>
        <w:spacing w:before="182" w:line="219" w:lineRule="auto"/>
        <w:ind w:left="490"/>
        <w:rPr>
          <w:rFonts w:ascii="宋体" w:hAnsi="宋体" w:eastAsia="宋体" w:cs="宋体"/>
          <w:sz w:val="24"/>
          <w:szCs w:val="24"/>
          <w:highlight w:val="none"/>
        </w:rPr>
      </w:pPr>
      <w:r>
        <w:rPr>
          <w:rFonts w:ascii="宋体" w:hAnsi="宋体" w:eastAsia="宋体" w:cs="宋体"/>
          <w:spacing w:val="-2"/>
          <w:sz w:val="24"/>
          <w:szCs w:val="24"/>
          <w:highlight w:val="none"/>
        </w:rPr>
        <w:t>（4）提供的技术信息和数据资料不完整；</w:t>
      </w:r>
    </w:p>
    <w:p w14:paraId="58C86B39">
      <w:pPr>
        <w:spacing w:before="181" w:line="291" w:lineRule="auto"/>
        <w:ind w:left="18" w:firstLine="471"/>
        <w:rPr>
          <w:rFonts w:ascii="宋体" w:hAnsi="宋体" w:eastAsia="宋体" w:cs="宋体"/>
          <w:sz w:val="24"/>
          <w:szCs w:val="24"/>
          <w:highlight w:val="none"/>
        </w:rPr>
      </w:pPr>
      <w:r>
        <w:rPr>
          <w:rFonts w:ascii="宋体" w:hAnsi="宋体" w:eastAsia="宋体" w:cs="宋体"/>
          <w:spacing w:val="5"/>
          <w:sz w:val="24"/>
          <w:szCs w:val="24"/>
          <w:highlight w:val="none"/>
        </w:rPr>
        <w:t>（5）正副本数量齐全、密封完好，只是未按照征集文件要求进行分装或者统装</w:t>
      </w:r>
      <w:r>
        <w:rPr>
          <w:rFonts w:ascii="宋体" w:hAnsi="宋体" w:eastAsia="宋体" w:cs="宋体"/>
          <w:spacing w:val="-15"/>
          <w:sz w:val="24"/>
          <w:szCs w:val="24"/>
          <w:highlight w:val="none"/>
        </w:rPr>
        <w:t>的；</w:t>
      </w:r>
    </w:p>
    <w:p w14:paraId="24A7884E">
      <w:pPr>
        <w:spacing w:before="179" w:line="220"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（6）响应文件未按征集文件要求进行装订或未编制目录、页码；</w:t>
      </w:r>
    </w:p>
    <w:p w14:paraId="5E4FF1E1">
      <w:pPr>
        <w:spacing w:before="48"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（7）评标委员会认定的其他非实质性偏离。</w:t>
      </w:r>
    </w:p>
    <w:p w14:paraId="5230F53A">
      <w:pPr>
        <w:spacing w:before="183" w:line="359" w:lineRule="auto"/>
        <w:ind w:left="6" w:firstLine="486"/>
        <w:rPr>
          <w:rFonts w:ascii="宋体" w:hAnsi="宋体" w:eastAsia="宋体" w:cs="宋体"/>
          <w:sz w:val="24"/>
          <w:szCs w:val="24"/>
          <w:highlight w:val="none"/>
        </w:rPr>
      </w:pPr>
      <w:r>
        <w:rPr>
          <w:rFonts w:ascii="宋体" w:hAnsi="宋体" w:eastAsia="宋体" w:cs="宋体"/>
          <w:spacing w:val="2"/>
          <w:sz w:val="24"/>
          <w:szCs w:val="24"/>
          <w:highlight w:val="none"/>
        </w:rPr>
        <w:t>响应文件有上述（1）至（4）情形之一的，</w:t>
      </w:r>
      <w:r>
        <w:rPr>
          <w:rFonts w:ascii="宋体" w:hAnsi="宋体" w:eastAsia="宋体" w:cs="宋体"/>
          <w:spacing w:val="1"/>
          <w:sz w:val="24"/>
          <w:szCs w:val="24"/>
          <w:highlight w:val="none"/>
        </w:rPr>
        <w:t>评标委员会应当书面要求供应商在规</w:t>
      </w:r>
      <w:r>
        <w:rPr>
          <w:rFonts w:ascii="宋体" w:hAnsi="宋体" w:eastAsia="宋体" w:cs="宋体"/>
          <w:spacing w:val="-1"/>
          <w:sz w:val="24"/>
          <w:szCs w:val="24"/>
          <w:highlight w:val="none"/>
        </w:rPr>
        <w:t>定的时间内予以澄清、说明或补正。</w:t>
      </w:r>
    </w:p>
    <w:p w14:paraId="7BEBB2FA">
      <w:pPr>
        <w:spacing w:line="220" w:lineRule="auto"/>
        <w:ind w:left="498"/>
        <w:rPr>
          <w:rFonts w:ascii="宋体" w:hAnsi="宋体" w:eastAsia="宋体" w:cs="宋体"/>
          <w:sz w:val="24"/>
          <w:szCs w:val="24"/>
          <w:highlight w:val="none"/>
        </w:rPr>
      </w:pPr>
      <w:r>
        <w:rPr>
          <w:rFonts w:ascii="宋体" w:hAnsi="宋体" w:eastAsia="宋体" w:cs="宋体"/>
          <w:b/>
          <w:bCs/>
          <w:spacing w:val="-3"/>
          <w:sz w:val="24"/>
          <w:szCs w:val="24"/>
          <w:highlight w:val="none"/>
        </w:rPr>
        <w:t>1.2.6</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未通过符合性检查的响应文件，不得进入后续评标环节。</w:t>
      </w:r>
    </w:p>
    <w:p w14:paraId="7401DA9D">
      <w:pPr>
        <w:spacing w:before="299" w:line="220" w:lineRule="auto"/>
        <w:ind w:left="18"/>
        <w:rPr>
          <w:rFonts w:ascii="宋体" w:hAnsi="宋体" w:eastAsia="宋体" w:cs="宋体"/>
          <w:sz w:val="24"/>
          <w:szCs w:val="24"/>
          <w:highlight w:val="none"/>
        </w:rPr>
      </w:pPr>
      <w:r>
        <w:rPr>
          <w:rFonts w:ascii="宋体" w:hAnsi="宋体" w:eastAsia="宋体" w:cs="宋体"/>
          <w:b/>
          <w:bCs/>
          <w:spacing w:val="-7"/>
          <w:sz w:val="24"/>
          <w:szCs w:val="24"/>
          <w:highlight w:val="none"/>
        </w:rPr>
        <w:t>1.3</w:t>
      </w:r>
      <w:r>
        <w:rPr>
          <w:rFonts w:ascii="宋体" w:hAnsi="宋体" w:eastAsia="宋体" w:cs="宋体"/>
          <w:spacing w:val="26"/>
          <w:sz w:val="24"/>
          <w:szCs w:val="24"/>
          <w:highlight w:val="none"/>
        </w:rPr>
        <w:t xml:space="preserve"> </w:t>
      </w:r>
      <w:r>
        <w:rPr>
          <w:rFonts w:ascii="宋体" w:hAnsi="宋体" w:eastAsia="宋体" w:cs="宋体"/>
          <w:b/>
          <w:bCs/>
          <w:spacing w:val="-7"/>
          <w:sz w:val="24"/>
          <w:szCs w:val="24"/>
          <w:highlight w:val="none"/>
        </w:rPr>
        <w:t>响应文件的澄清</w:t>
      </w:r>
    </w:p>
    <w:p w14:paraId="765B302A">
      <w:pPr>
        <w:spacing w:before="303" w:line="324" w:lineRule="auto"/>
        <w:ind w:firstLine="498"/>
        <w:rPr>
          <w:rFonts w:ascii="宋体" w:hAnsi="宋体" w:eastAsia="宋体" w:cs="宋体"/>
          <w:sz w:val="24"/>
          <w:szCs w:val="24"/>
          <w:highlight w:val="none"/>
        </w:rPr>
      </w:pPr>
      <w:r>
        <w:rPr>
          <w:rFonts w:ascii="宋体" w:hAnsi="宋体" w:eastAsia="宋体" w:cs="宋体"/>
          <w:spacing w:val="3"/>
          <w:sz w:val="24"/>
          <w:szCs w:val="24"/>
          <w:highlight w:val="none"/>
        </w:rPr>
        <w:t>1.3.1</w:t>
      </w:r>
      <w:r>
        <w:rPr>
          <w:rFonts w:ascii="宋体" w:hAnsi="宋体" w:eastAsia="宋体" w:cs="宋体"/>
          <w:spacing w:val="-47"/>
          <w:sz w:val="24"/>
          <w:szCs w:val="24"/>
          <w:highlight w:val="none"/>
        </w:rPr>
        <w:t xml:space="preserve"> </w:t>
      </w:r>
      <w:r>
        <w:rPr>
          <w:rFonts w:ascii="宋体" w:hAnsi="宋体" w:eastAsia="宋体" w:cs="宋体"/>
          <w:spacing w:val="3"/>
          <w:sz w:val="24"/>
          <w:szCs w:val="24"/>
          <w:highlight w:val="none"/>
        </w:rPr>
        <w:t>对于响应文件中含义不明确、同类问题表</w:t>
      </w:r>
      <w:r>
        <w:rPr>
          <w:rFonts w:ascii="宋体" w:hAnsi="宋体" w:eastAsia="宋体" w:cs="宋体"/>
          <w:spacing w:val="2"/>
          <w:sz w:val="24"/>
          <w:szCs w:val="24"/>
          <w:highlight w:val="none"/>
        </w:rPr>
        <w:t>述不一致或者有明显文字和计算错误的内容，可以以书面形式要求供应商作出必要的澄清、说明或者补正</w:t>
      </w:r>
      <w:r>
        <w:rPr>
          <w:rFonts w:ascii="宋体" w:hAnsi="宋体" w:eastAsia="宋体" w:cs="宋体"/>
          <w:spacing w:val="1"/>
          <w:sz w:val="24"/>
          <w:szCs w:val="24"/>
          <w:highlight w:val="none"/>
        </w:rPr>
        <w:t>。涉及响应</w:t>
      </w:r>
      <w:r>
        <w:rPr>
          <w:rFonts w:ascii="宋体" w:hAnsi="宋体" w:eastAsia="宋体" w:cs="宋体"/>
          <w:spacing w:val="2"/>
          <w:sz w:val="24"/>
          <w:szCs w:val="24"/>
          <w:highlight w:val="none"/>
        </w:rPr>
        <w:t>文件资格部分的，由资格审查小组负责组织，涉及响应文件其他部分的，</w:t>
      </w:r>
      <w:r>
        <w:rPr>
          <w:rFonts w:ascii="宋体" w:hAnsi="宋体" w:eastAsia="宋体" w:cs="宋体"/>
          <w:spacing w:val="1"/>
          <w:sz w:val="24"/>
          <w:szCs w:val="24"/>
          <w:highlight w:val="none"/>
        </w:rPr>
        <w:t>由评标委员</w:t>
      </w:r>
      <w:r>
        <w:rPr>
          <w:rFonts w:ascii="宋体" w:hAnsi="宋体" w:eastAsia="宋体" w:cs="宋体"/>
          <w:spacing w:val="-2"/>
          <w:sz w:val="24"/>
          <w:szCs w:val="24"/>
          <w:highlight w:val="none"/>
        </w:rPr>
        <w:t>会负责组织。</w:t>
      </w:r>
    </w:p>
    <w:p w14:paraId="7EA22384">
      <w:pPr>
        <w:spacing w:before="179" w:line="313" w:lineRule="auto"/>
        <w:ind w:firstLine="498"/>
        <w:rPr>
          <w:rFonts w:ascii="宋体" w:hAnsi="宋体" w:eastAsia="宋体" w:cs="宋体"/>
          <w:sz w:val="24"/>
          <w:szCs w:val="24"/>
          <w:highlight w:val="none"/>
        </w:rPr>
      </w:pPr>
      <w:r>
        <w:rPr>
          <w:rFonts w:ascii="宋体" w:hAnsi="宋体" w:eastAsia="宋体" w:cs="宋体"/>
          <w:spacing w:val="3"/>
          <w:sz w:val="24"/>
          <w:szCs w:val="24"/>
          <w:highlight w:val="none"/>
        </w:rPr>
        <w:t>1.3.2</w:t>
      </w:r>
      <w:r>
        <w:rPr>
          <w:rFonts w:ascii="宋体" w:hAnsi="宋体" w:eastAsia="宋体" w:cs="宋体"/>
          <w:spacing w:val="-46"/>
          <w:sz w:val="24"/>
          <w:szCs w:val="24"/>
          <w:highlight w:val="none"/>
        </w:rPr>
        <w:t xml:space="preserve"> </w:t>
      </w:r>
      <w:r>
        <w:rPr>
          <w:rFonts w:ascii="宋体" w:hAnsi="宋体" w:eastAsia="宋体" w:cs="宋体"/>
          <w:spacing w:val="3"/>
          <w:sz w:val="24"/>
          <w:szCs w:val="24"/>
          <w:highlight w:val="none"/>
        </w:rPr>
        <w:t>供应商的澄清、说明或者补正应当采用</w:t>
      </w:r>
      <w:r>
        <w:rPr>
          <w:rFonts w:ascii="宋体" w:hAnsi="宋体" w:eastAsia="宋体" w:cs="宋体"/>
          <w:spacing w:val="2"/>
          <w:sz w:val="24"/>
          <w:szCs w:val="24"/>
          <w:highlight w:val="none"/>
        </w:rPr>
        <w:t>书面形式，并加盖单位章，或者由</w:t>
      </w:r>
      <w:r>
        <w:rPr>
          <w:rFonts w:ascii="宋体" w:hAnsi="宋体" w:eastAsia="宋体" w:cs="宋体"/>
          <w:spacing w:val="5"/>
          <w:sz w:val="24"/>
          <w:szCs w:val="24"/>
          <w:highlight w:val="none"/>
        </w:rPr>
        <w:t>其法定代表人或其委托代理人签名。 供应商的澄清、说明或者补正不得超出响应文</w:t>
      </w:r>
      <w:r>
        <w:rPr>
          <w:rFonts w:ascii="宋体" w:hAnsi="宋体" w:eastAsia="宋体" w:cs="宋体"/>
          <w:sz w:val="24"/>
          <w:szCs w:val="24"/>
          <w:highlight w:val="none"/>
        </w:rPr>
        <w:t>件的范围或者改变响应文件的实质性内容，并构成为</w:t>
      </w:r>
      <w:r>
        <w:rPr>
          <w:rFonts w:ascii="宋体" w:hAnsi="宋体" w:eastAsia="宋体" w:cs="宋体"/>
          <w:spacing w:val="-1"/>
          <w:sz w:val="24"/>
          <w:szCs w:val="24"/>
          <w:highlight w:val="none"/>
        </w:rPr>
        <w:t>响应文件的组成部分。</w:t>
      </w:r>
    </w:p>
    <w:p w14:paraId="0118C5BD">
      <w:pPr>
        <w:spacing w:before="181" w:line="289" w:lineRule="auto"/>
        <w:ind w:right="2" w:firstLine="497"/>
        <w:rPr>
          <w:rFonts w:ascii="宋体" w:hAnsi="宋体" w:eastAsia="宋体" w:cs="宋体"/>
          <w:sz w:val="24"/>
          <w:szCs w:val="24"/>
          <w:highlight w:val="none"/>
        </w:rPr>
      </w:pPr>
      <w:r>
        <w:rPr>
          <w:rFonts w:ascii="宋体" w:hAnsi="宋体" w:eastAsia="宋体" w:cs="宋体"/>
          <w:spacing w:val="3"/>
          <w:sz w:val="24"/>
          <w:szCs w:val="24"/>
          <w:highlight w:val="none"/>
        </w:rPr>
        <w:t>1.3.3</w:t>
      </w:r>
      <w:r>
        <w:rPr>
          <w:rFonts w:ascii="宋体" w:hAnsi="宋体" w:eastAsia="宋体" w:cs="宋体"/>
          <w:spacing w:val="-47"/>
          <w:sz w:val="24"/>
          <w:szCs w:val="24"/>
          <w:highlight w:val="none"/>
        </w:rPr>
        <w:t xml:space="preserve"> </w:t>
      </w:r>
      <w:r>
        <w:rPr>
          <w:rFonts w:ascii="宋体" w:hAnsi="宋体" w:eastAsia="宋体" w:cs="宋体"/>
          <w:spacing w:val="3"/>
          <w:sz w:val="24"/>
          <w:szCs w:val="24"/>
          <w:highlight w:val="none"/>
        </w:rPr>
        <w:t>对供应商提交的澄清、说明或者补正</w:t>
      </w:r>
      <w:r>
        <w:rPr>
          <w:rFonts w:ascii="宋体" w:hAnsi="宋体" w:eastAsia="宋体" w:cs="宋体"/>
          <w:spacing w:val="2"/>
          <w:sz w:val="24"/>
          <w:szCs w:val="24"/>
          <w:highlight w:val="none"/>
        </w:rPr>
        <w:t>有疑问的，可以要求供应商进一步澄</w:t>
      </w:r>
      <w:r>
        <w:rPr>
          <w:rFonts w:ascii="宋体" w:hAnsi="宋体" w:eastAsia="宋体" w:cs="宋体"/>
          <w:spacing w:val="-1"/>
          <w:sz w:val="24"/>
          <w:szCs w:val="24"/>
          <w:highlight w:val="none"/>
        </w:rPr>
        <w:t>清、说明或者补正，直至满足资格审查小组或评标委员会的要求。</w:t>
      </w:r>
    </w:p>
    <w:p w14:paraId="006542E4">
      <w:pPr>
        <w:spacing w:before="184" w:line="289" w:lineRule="auto"/>
        <w:ind w:firstLine="497"/>
        <w:rPr>
          <w:rFonts w:ascii="宋体" w:hAnsi="宋体" w:eastAsia="宋体" w:cs="宋体"/>
          <w:sz w:val="24"/>
          <w:szCs w:val="24"/>
          <w:highlight w:val="none"/>
        </w:rPr>
      </w:pPr>
      <w:r>
        <w:rPr>
          <w:rFonts w:ascii="宋体" w:hAnsi="宋体" w:eastAsia="宋体" w:cs="宋体"/>
          <w:spacing w:val="1"/>
          <w:sz w:val="24"/>
          <w:szCs w:val="24"/>
          <w:highlight w:val="none"/>
        </w:rPr>
        <w:t>1.3.4 评标委员会不得暗示或诱导供应商作出澄清、说明或者更正，不得接受供</w:t>
      </w:r>
      <w:r>
        <w:rPr>
          <w:rFonts w:ascii="宋体" w:hAnsi="宋体" w:eastAsia="宋体" w:cs="宋体"/>
          <w:spacing w:val="-1"/>
          <w:sz w:val="24"/>
          <w:szCs w:val="24"/>
          <w:highlight w:val="none"/>
        </w:rPr>
        <w:t>应商主动提出的澄清、说明或者补正。</w:t>
      </w:r>
    </w:p>
    <w:p w14:paraId="60761679">
      <w:pPr>
        <w:spacing w:before="301" w:line="219" w:lineRule="auto"/>
        <w:ind w:left="18"/>
        <w:rPr>
          <w:rFonts w:ascii="宋体" w:hAnsi="宋体" w:eastAsia="宋体" w:cs="宋体"/>
          <w:sz w:val="24"/>
          <w:szCs w:val="24"/>
          <w:highlight w:val="none"/>
        </w:rPr>
      </w:pPr>
      <w:r>
        <w:rPr>
          <w:rFonts w:ascii="宋体" w:hAnsi="宋体" w:eastAsia="宋体" w:cs="宋体"/>
          <w:b/>
          <w:bCs/>
          <w:spacing w:val="-4"/>
          <w:sz w:val="24"/>
          <w:szCs w:val="24"/>
          <w:highlight w:val="none"/>
        </w:rPr>
        <w:t>1.4</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响应文件比较与评价</w:t>
      </w:r>
    </w:p>
    <w:p w14:paraId="6201CBC9">
      <w:pPr>
        <w:spacing w:before="302" w:line="289" w:lineRule="auto"/>
        <w:ind w:left="20" w:firstLine="478"/>
        <w:rPr>
          <w:rFonts w:ascii="宋体" w:hAnsi="宋体" w:eastAsia="宋体" w:cs="宋体"/>
          <w:sz w:val="24"/>
          <w:szCs w:val="24"/>
          <w:highlight w:val="none"/>
        </w:rPr>
      </w:pPr>
      <w:r>
        <w:rPr>
          <w:rFonts w:ascii="宋体" w:hAnsi="宋体" w:eastAsia="宋体" w:cs="宋体"/>
          <w:spacing w:val="1"/>
          <w:sz w:val="24"/>
          <w:szCs w:val="24"/>
          <w:highlight w:val="none"/>
        </w:rPr>
        <w:t>1.4.1 评标委员会应按照征集文件中规定的评标方法和标准，对符合性检查通过</w:t>
      </w:r>
      <w:r>
        <w:rPr>
          <w:rFonts w:ascii="宋体" w:hAnsi="宋体" w:eastAsia="宋体" w:cs="宋体"/>
          <w:spacing w:val="-2"/>
          <w:sz w:val="24"/>
          <w:szCs w:val="24"/>
          <w:highlight w:val="none"/>
        </w:rPr>
        <w:t>的响应文件进行商务和技术评估，综合比较与评价。</w:t>
      </w:r>
    </w:p>
    <w:p w14:paraId="485130DD">
      <w:pPr>
        <w:spacing w:before="181" w:line="313" w:lineRule="auto"/>
        <w:ind w:left="1" w:firstLine="496"/>
        <w:rPr>
          <w:rFonts w:ascii="宋体" w:hAnsi="宋体" w:eastAsia="宋体" w:cs="宋体"/>
          <w:sz w:val="24"/>
          <w:szCs w:val="24"/>
          <w:highlight w:val="none"/>
        </w:rPr>
      </w:pPr>
      <w:r>
        <w:rPr>
          <w:rFonts w:ascii="宋体" w:hAnsi="宋体" w:eastAsia="宋体" w:cs="宋体"/>
          <w:spacing w:val="1"/>
          <w:sz w:val="24"/>
          <w:szCs w:val="24"/>
          <w:highlight w:val="none"/>
        </w:rPr>
        <w:t>1.4.2 评标委员会将综合分析供应商的各项评审因素，而不以单项评审因素的优</w:t>
      </w:r>
      <w:r>
        <w:rPr>
          <w:rFonts w:ascii="宋体" w:hAnsi="宋体" w:eastAsia="宋体" w:cs="宋体"/>
          <w:spacing w:val="2"/>
          <w:sz w:val="24"/>
          <w:szCs w:val="24"/>
          <w:highlight w:val="none"/>
        </w:rPr>
        <w:t>劣评选出成交供应商。对所有供应商的投标评价，都采用相同的程序</w:t>
      </w:r>
      <w:r>
        <w:rPr>
          <w:rFonts w:ascii="宋体" w:hAnsi="宋体" w:eastAsia="宋体" w:cs="宋体"/>
          <w:spacing w:val="1"/>
          <w:sz w:val="24"/>
          <w:szCs w:val="24"/>
          <w:highlight w:val="none"/>
        </w:rPr>
        <w:t>和标准，严格按</w:t>
      </w:r>
      <w:r>
        <w:rPr>
          <w:rFonts w:ascii="宋体" w:hAnsi="宋体" w:eastAsia="宋体" w:cs="宋体"/>
          <w:spacing w:val="-1"/>
          <w:sz w:val="24"/>
          <w:szCs w:val="24"/>
          <w:highlight w:val="none"/>
        </w:rPr>
        <w:t>照征集文件的要求和条件进行。</w:t>
      </w:r>
    </w:p>
    <w:p w14:paraId="5DA5699A">
      <w:pPr>
        <w:spacing w:before="181" w:line="313" w:lineRule="auto"/>
        <w:ind w:firstLine="488"/>
        <w:rPr>
          <w:rFonts w:ascii="宋体" w:hAnsi="宋体" w:eastAsia="宋体" w:cs="宋体"/>
          <w:sz w:val="24"/>
          <w:szCs w:val="24"/>
          <w:highlight w:val="none"/>
        </w:rPr>
      </w:pPr>
      <w:r>
        <w:rPr>
          <w:rFonts w:ascii="宋体" w:hAnsi="宋体" w:eastAsia="宋体" w:cs="宋体"/>
          <w:spacing w:val="2"/>
          <w:sz w:val="24"/>
          <w:szCs w:val="24"/>
          <w:highlight w:val="none"/>
        </w:rPr>
        <w:t>1.4.3 如果响应文件没有实质性响应征集文</w:t>
      </w:r>
      <w:r>
        <w:rPr>
          <w:rFonts w:ascii="宋体" w:hAnsi="宋体" w:eastAsia="宋体" w:cs="宋体"/>
          <w:spacing w:val="1"/>
          <w:sz w:val="24"/>
          <w:szCs w:val="24"/>
          <w:highlight w:val="none"/>
        </w:rPr>
        <w:t>件的要求，评标委员会将予以拒绝。</w:t>
      </w:r>
      <w:r>
        <w:rPr>
          <w:rFonts w:ascii="宋体" w:hAnsi="宋体" w:eastAsia="宋体" w:cs="宋体"/>
          <w:spacing w:val="2"/>
          <w:sz w:val="24"/>
          <w:szCs w:val="24"/>
          <w:highlight w:val="none"/>
        </w:rPr>
        <w:t>供应商不得通过修正或撤销不合要求的偏离或保留，从而使其投标成为</w:t>
      </w:r>
      <w:r>
        <w:rPr>
          <w:rFonts w:ascii="宋体" w:hAnsi="宋体" w:eastAsia="宋体" w:cs="宋体"/>
          <w:spacing w:val="1"/>
          <w:sz w:val="24"/>
          <w:szCs w:val="24"/>
          <w:highlight w:val="none"/>
        </w:rPr>
        <w:t>实质性响应的</w:t>
      </w:r>
      <w:r>
        <w:rPr>
          <w:rFonts w:ascii="宋体" w:hAnsi="宋体" w:eastAsia="宋体" w:cs="宋体"/>
          <w:spacing w:val="-4"/>
          <w:sz w:val="24"/>
          <w:szCs w:val="24"/>
          <w:highlight w:val="none"/>
        </w:rPr>
        <w:t>投标。</w:t>
      </w:r>
    </w:p>
    <w:p w14:paraId="3C93D81A">
      <w:pPr>
        <w:spacing w:before="299" w:line="221" w:lineRule="auto"/>
        <w:ind w:left="18"/>
        <w:rPr>
          <w:rFonts w:ascii="宋体" w:hAnsi="宋体" w:eastAsia="宋体" w:cs="宋体"/>
          <w:sz w:val="24"/>
          <w:szCs w:val="24"/>
          <w:highlight w:val="none"/>
        </w:rPr>
      </w:pPr>
      <w:r>
        <w:rPr>
          <w:rFonts w:ascii="宋体" w:hAnsi="宋体" w:eastAsia="宋体" w:cs="宋体"/>
          <w:b/>
          <w:bCs/>
          <w:spacing w:val="-4"/>
          <w:sz w:val="24"/>
          <w:szCs w:val="24"/>
          <w:highlight w:val="none"/>
        </w:rPr>
        <w:t>1.5</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复核与核对评标结果</w:t>
      </w:r>
    </w:p>
    <w:p w14:paraId="4C90C0A0">
      <w:pPr>
        <w:spacing w:before="48" w:line="359" w:lineRule="auto"/>
        <w:ind w:left="6" w:firstLine="492"/>
        <w:rPr>
          <w:rFonts w:ascii="宋体" w:hAnsi="宋体" w:eastAsia="宋体" w:cs="宋体"/>
          <w:spacing w:val="-2"/>
          <w:sz w:val="24"/>
          <w:szCs w:val="24"/>
          <w:highlight w:val="none"/>
        </w:rPr>
      </w:pPr>
      <w:r>
        <w:rPr>
          <w:rFonts w:ascii="宋体" w:hAnsi="宋体" w:eastAsia="宋体" w:cs="宋体"/>
          <w:spacing w:val="1"/>
          <w:sz w:val="24"/>
          <w:szCs w:val="24"/>
          <w:highlight w:val="none"/>
        </w:rPr>
        <w:t>1.5.1 评分汇总结束后，评标委员会应当进行复核，特别要对拟推荐中标候选人</w:t>
      </w:r>
      <w:r>
        <w:rPr>
          <w:rFonts w:ascii="宋体" w:hAnsi="宋体" w:eastAsia="宋体" w:cs="宋体"/>
          <w:spacing w:val="-1"/>
          <w:sz w:val="24"/>
          <w:szCs w:val="24"/>
          <w:highlight w:val="none"/>
        </w:rPr>
        <w:t>的、报价最低的、响应文件被认定无效的进</w:t>
      </w:r>
      <w:r>
        <w:rPr>
          <w:rFonts w:ascii="宋体" w:hAnsi="宋体" w:eastAsia="宋体" w:cs="宋体"/>
          <w:spacing w:val="-2"/>
          <w:sz w:val="24"/>
          <w:szCs w:val="24"/>
          <w:highlight w:val="none"/>
        </w:rPr>
        <w:t>行重点复核。</w:t>
      </w:r>
    </w:p>
    <w:p w14:paraId="3059B6D5">
      <w:pPr>
        <w:spacing w:before="48" w:line="359" w:lineRule="auto"/>
        <w:ind w:left="6" w:firstLine="492"/>
        <w:rPr>
          <w:rFonts w:ascii="宋体" w:hAnsi="宋体" w:eastAsia="宋体" w:cs="宋体"/>
          <w:sz w:val="24"/>
          <w:szCs w:val="24"/>
          <w:highlight w:val="none"/>
        </w:rPr>
      </w:pPr>
      <w:r>
        <w:rPr>
          <w:rFonts w:ascii="宋体" w:hAnsi="宋体" w:eastAsia="宋体" w:cs="宋体"/>
          <w:spacing w:val="1"/>
          <w:sz w:val="24"/>
          <w:szCs w:val="24"/>
          <w:highlight w:val="none"/>
        </w:rPr>
        <w:t>1.5.2 评标结果汇总完成后，征集评审报告签署前，采购代理机构应当核对评标</w:t>
      </w:r>
      <w:r>
        <w:rPr>
          <w:rFonts w:ascii="宋体" w:hAnsi="宋体" w:eastAsia="宋体" w:cs="宋体"/>
          <w:spacing w:val="-1"/>
          <w:sz w:val="24"/>
          <w:szCs w:val="24"/>
          <w:highlight w:val="none"/>
        </w:rPr>
        <w:t>结果，除下列情形外，任何人不得修改评标结果：</w:t>
      </w:r>
    </w:p>
    <w:p w14:paraId="103490E5">
      <w:pPr>
        <w:spacing w:line="220"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（1）分值汇总计算错误的；</w:t>
      </w:r>
    </w:p>
    <w:p w14:paraId="1D4FE1DA">
      <w:pPr>
        <w:spacing w:before="181" w:line="221"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（2）分项评分超出评分标准范围的；</w:t>
      </w:r>
    </w:p>
    <w:p w14:paraId="1F74901B">
      <w:pPr>
        <w:spacing w:before="179"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（3）评标委员会对客观评审因素评分不一致的；</w:t>
      </w:r>
    </w:p>
    <w:p w14:paraId="73088BD5">
      <w:pPr>
        <w:spacing w:before="183"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（4）经评标委员会认定评分畸高、畸低的。</w:t>
      </w:r>
    </w:p>
    <w:p w14:paraId="1D1027F2">
      <w:pPr>
        <w:spacing w:before="181" w:line="361" w:lineRule="auto"/>
        <w:ind w:firstLine="482"/>
        <w:rPr>
          <w:rFonts w:ascii="宋体" w:hAnsi="宋体" w:eastAsia="宋体" w:cs="宋体"/>
          <w:sz w:val="24"/>
          <w:szCs w:val="24"/>
          <w:highlight w:val="none"/>
        </w:rPr>
      </w:pPr>
      <w:r>
        <w:rPr>
          <w:rFonts w:ascii="宋体" w:hAnsi="宋体" w:eastAsia="宋体" w:cs="宋体"/>
          <w:spacing w:val="2"/>
          <w:sz w:val="24"/>
          <w:szCs w:val="24"/>
          <w:highlight w:val="none"/>
        </w:rPr>
        <w:t>经复核发现存在以上情形之一的，评标委员会应当当场修改评标结果，</w:t>
      </w:r>
      <w:r>
        <w:rPr>
          <w:rFonts w:ascii="宋体" w:hAnsi="宋体" w:eastAsia="宋体" w:cs="宋体"/>
          <w:spacing w:val="1"/>
          <w:sz w:val="24"/>
          <w:szCs w:val="24"/>
          <w:highlight w:val="none"/>
        </w:rPr>
        <w:t>并在征集</w:t>
      </w:r>
      <w:r>
        <w:rPr>
          <w:rFonts w:ascii="宋体" w:hAnsi="宋体" w:eastAsia="宋体" w:cs="宋体"/>
          <w:spacing w:val="-2"/>
          <w:sz w:val="24"/>
          <w:szCs w:val="24"/>
          <w:highlight w:val="none"/>
        </w:rPr>
        <w:t>评审报告中记载。</w:t>
      </w:r>
    </w:p>
    <w:p w14:paraId="6083C8A3">
      <w:pPr>
        <w:spacing w:before="117" w:line="219" w:lineRule="auto"/>
        <w:ind w:left="18"/>
        <w:rPr>
          <w:rFonts w:ascii="宋体" w:hAnsi="宋体" w:eastAsia="宋体" w:cs="宋体"/>
          <w:sz w:val="24"/>
          <w:szCs w:val="24"/>
          <w:highlight w:val="none"/>
        </w:rPr>
      </w:pPr>
      <w:r>
        <w:rPr>
          <w:rFonts w:ascii="宋体" w:hAnsi="宋体" w:eastAsia="宋体" w:cs="宋体"/>
          <w:b/>
          <w:bCs/>
          <w:spacing w:val="-4"/>
          <w:sz w:val="24"/>
          <w:szCs w:val="24"/>
          <w:highlight w:val="none"/>
        </w:rPr>
        <w:t>1.6</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确定第二阶段成交供应商的方式</w:t>
      </w:r>
    </w:p>
    <w:p w14:paraId="204ABB63">
      <w:pPr>
        <w:spacing w:before="301" w:line="324" w:lineRule="auto"/>
        <w:ind w:firstLine="497"/>
        <w:rPr>
          <w:rFonts w:ascii="宋体" w:hAnsi="宋体" w:eastAsia="宋体" w:cs="宋体"/>
          <w:sz w:val="24"/>
          <w:szCs w:val="24"/>
          <w:highlight w:val="none"/>
        </w:rPr>
      </w:pPr>
      <w:r>
        <w:rPr>
          <w:rFonts w:ascii="宋体" w:hAnsi="宋体" w:eastAsia="宋体" w:cs="宋体"/>
          <w:spacing w:val="1"/>
          <w:sz w:val="24"/>
          <w:szCs w:val="24"/>
          <w:highlight w:val="none"/>
        </w:rPr>
        <w:t>1.确定第二阶段成交供应商的方式为直接选定。由征集人或者服务对象依据入围</w:t>
      </w:r>
      <w:r>
        <w:rPr>
          <w:rFonts w:ascii="宋体" w:hAnsi="宋体" w:eastAsia="宋体" w:cs="宋体"/>
          <w:spacing w:val="2"/>
          <w:sz w:val="24"/>
          <w:szCs w:val="24"/>
          <w:highlight w:val="none"/>
        </w:rPr>
        <w:t>产品价格、质量以及服务便利性、用户评价等因素，从第一阶段入围供</w:t>
      </w:r>
      <w:r>
        <w:rPr>
          <w:rFonts w:ascii="宋体" w:hAnsi="宋体" w:eastAsia="宋体" w:cs="宋体"/>
          <w:spacing w:val="1"/>
          <w:sz w:val="24"/>
          <w:szCs w:val="24"/>
          <w:highlight w:val="none"/>
        </w:rPr>
        <w:t>应商中直接选</w:t>
      </w:r>
      <w:r>
        <w:rPr>
          <w:rFonts w:ascii="宋体" w:hAnsi="宋体" w:eastAsia="宋体" w:cs="宋体"/>
          <w:spacing w:val="2"/>
          <w:sz w:val="24"/>
          <w:szCs w:val="24"/>
          <w:highlight w:val="none"/>
        </w:rPr>
        <w:t>定。第一阶段入围供应商的协议价格（有量价关系折扣的，包括量价关</w:t>
      </w:r>
      <w:r>
        <w:rPr>
          <w:rFonts w:ascii="宋体" w:hAnsi="宋体" w:eastAsia="宋体" w:cs="宋体"/>
          <w:spacing w:val="1"/>
          <w:sz w:val="24"/>
          <w:szCs w:val="24"/>
          <w:highlight w:val="none"/>
        </w:rPr>
        <w:t>系折扣，以下</w:t>
      </w:r>
      <w:r>
        <w:rPr>
          <w:rFonts w:ascii="宋体" w:hAnsi="宋体" w:eastAsia="宋体" w:cs="宋体"/>
          <w:spacing w:val="-1"/>
          <w:sz w:val="24"/>
          <w:szCs w:val="24"/>
          <w:highlight w:val="none"/>
        </w:rPr>
        <w:t>统称协议价格）是征集人确定第二阶段成交供应商的最高限价。</w:t>
      </w:r>
    </w:p>
    <w:p w14:paraId="1BB324C5">
      <w:pPr>
        <w:spacing w:before="300" w:line="290" w:lineRule="auto"/>
        <w:ind w:left="1" w:firstLine="481"/>
        <w:rPr>
          <w:rFonts w:ascii="宋体" w:hAnsi="宋体" w:eastAsia="宋体" w:cs="宋体"/>
          <w:sz w:val="24"/>
          <w:szCs w:val="24"/>
          <w:highlight w:val="none"/>
        </w:rPr>
      </w:pPr>
      <w:r>
        <w:rPr>
          <w:rFonts w:ascii="宋体" w:hAnsi="宋体" w:eastAsia="宋体" w:cs="宋体"/>
          <w:spacing w:val="9"/>
          <w:sz w:val="24"/>
          <w:szCs w:val="24"/>
          <w:highlight w:val="none"/>
        </w:rPr>
        <w:t>2.征集人在确定成交供应商后，双方应当按照框架协议</w:t>
      </w:r>
      <w:r>
        <w:rPr>
          <w:rFonts w:ascii="宋体" w:hAnsi="宋体" w:eastAsia="宋体" w:cs="宋体"/>
          <w:spacing w:val="8"/>
          <w:sz w:val="24"/>
          <w:szCs w:val="24"/>
          <w:highlight w:val="none"/>
        </w:rPr>
        <w:t>中规定的“采购合同文</w:t>
      </w:r>
      <w:r>
        <w:rPr>
          <w:rFonts w:ascii="宋体" w:hAnsi="宋体" w:eastAsia="宋体" w:cs="宋体"/>
          <w:spacing w:val="-1"/>
          <w:sz w:val="24"/>
          <w:szCs w:val="24"/>
          <w:highlight w:val="none"/>
        </w:rPr>
        <w:t>本</w:t>
      </w:r>
      <w:r>
        <w:rPr>
          <w:rFonts w:ascii="宋体" w:hAnsi="宋体" w:eastAsia="宋体" w:cs="宋体"/>
          <w:spacing w:val="-88"/>
          <w:sz w:val="24"/>
          <w:szCs w:val="24"/>
          <w:highlight w:val="none"/>
        </w:rPr>
        <w:t xml:space="preserve"> </w:t>
      </w:r>
      <w:r>
        <w:rPr>
          <w:rFonts w:ascii="宋体" w:hAnsi="宋体" w:eastAsia="宋体" w:cs="宋体"/>
          <w:spacing w:val="-1"/>
          <w:sz w:val="24"/>
          <w:szCs w:val="24"/>
          <w:highlight w:val="none"/>
        </w:rPr>
        <w:t>”格式签订采购合同，不得擅自改变框架协</w:t>
      </w:r>
      <w:r>
        <w:rPr>
          <w:rFonts w:ascii="宋体" w:hAnsi="宋体" w:eastAsia="宋体" w:cs="宋体"/>
          <w:spacing w:val="-2"/>
          <w:sz w:val="24"/>
          <w:szCs w:val="24"/>
          <w:highlight w:val="none"/>
        </w:rPr>
        <w:t>议约定的合同实质性条款。</w:t>
      </w:r>
    </w:p>
    <w:p w14:paraId="481AA9FF">
      <w:pPr>
        <w:spacing w:before="300" w:line="219" w:lineRule="auto"/>
        <w:ind w:left="18"/>
        <w:rPr>
          <w:rFonts w:ascii="宋体" w:hAnsi="宋体" w:eastAsia="宋体" w:cs="宋体"/>
          <w:sz w:val="24"/>
          <w:szCs w:val="24"/>
          <w:highlight w:val="none"/>
        </w:rPr>
      </w:pPr>
      <w:r>
        <w:rPr>
          <w:rFonts w:ascii="宋体" w:hAnsi="宋体" w:eastAsia="宋体" w:cs="宋体"/>
          <w:b/>
          <w:bCs/>
          <w:spacing w:val="-4"/>
          <w:sz w:val="24"/>
          <w:szCs w:val="24"/>
          <w:highlight w:val="none"/>
        </w:rPr>
        <w:t>1.7</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编写征集评审报告</w:t>
      </w:r>
    </w:p>
    <w:p w14:paraId="57D646F0">
      <w:pPr>
        <w:spacing w:before="304" w:line="359" w:lineRule="auto"/>
        <w:ind w:left="21" w:firstLine="479"/>
        <w:rPr>
          <w:rFonts w:ascii="宋体" w:hAnsi="宋体" w:eastAsia="宋体" w:cs="宋体"/>
          <w:sz w:val="24"/>
          <w:szCs w:val="24"/>
          <w:highlight w:val="none"/>
        </w:rPr>
      </w:pPr>
      <w:r>
        <w:rPr>
          <w:rFonts w:ascii="宋体" w:hAnsi="宋体" w:eastAsia="宋体" w:cs="宋体"/>
          <w:spacing w:val="1"/>
          <w:sz w:val="24"/>
          <w:szCs w:val="24"/>
          <w:highlight w:val="none"/>
        </w:rPr>
        <w:t>1.7.1 评标委员会在确定中标候选人名单后，应当编写征集评审报告并向征集人</w:t>
      </w:r>
      <w:r>
        <w:rPr>
          <w:rFonts w:ascii="宋体" w:hAnsi="宋体" w:eastAsia="宋体" w:cs="宋体"/>
          <w:spacing w:val="-2"/>
          <w:sz w:val="24"/>
          <w:szCs w:val="24"/>
          <w:highlight w:val="none"/>
        </w:rPr>
        <w:t>出具。征集评审报告应当包括以下内容：</w:t>
      </w:r>
    </w:p>
    <w:p w14:paraId="398A4508">
      <w:pPr>
        <w:spacing w:before="1" w:line="218"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（1）征集公告刊登的媒体名称、开标日期和地点；</w:t>
      </w:r>
    </w:p>
    <w:p w14:paraId="524654C8">
      <w:pPr>
        <w:spacing w:before="182" w:line="219"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（2）供应商名单和评标委员会成员名单；</w:t>
      </w:r>
    </w:p>
    <w:p w14:paraId="570ED29C">
      <w:pPr>
        <w:spacing w:before="182" w:line="221"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（3）评标方法和标准；</w:t>
      </w:r>
    </w:p>
    <w:p w14:paraId="49BC7B5F">
      <w:pPr>
        <w:spacing w:before="179"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（4）开标记录和评标情况及说明，包括无效供应商名单及原因；</w:t>
      </w:r>
    </w:p>
    <w:p w14:paraId="198D0B07">
      <w:pPr>
        <w:spacing w:before="183" w:line="220" w:lineRule="auto"/>
        <w:ind w:left="492"/>
        <w:rPr>
          <w:rFonts w:ascii="宋体" w:hAnsi="宋体" w:eastAsia="宋体" w:cs="宋体"/>
          <w:sz w:val="24"/>
          <w:szCs w:val="24"/>
          <w:highlight w:val="none"/>
        </w:rPr>
      </w:pPr>
      <w:r>
        <w:rPr>
          <w:rFonts w:ascii="宋体" w:hAnsi="宋体" w:eastAsia="宋体" w:cs="宋体"/>
          <w:spacing w:val="-2"/>
          <w:sz w:val="24"/>
          <w:szCs w:val="24"/>
          <w:highlight w:val="none"/>
        </w:rPr>
        <w:t>（5）评标结果，确定的中标候选人名单；</w:t>
      </w:r>
    </w:p>
    <w:p w14:paraId="0F628DD1">
      <w:pPr>
        <w:spacing w:before="181" w:line="312" w:lineRule="auto"/>
        <w:ind w:right="79" w:firstLine="491"/>
        <w:rPr>
          <w:rFonts w:ascii="宋体" w:hAnsi="宋体" w:eastAsia="宋体" w:cs="宋体"/>
          <w:sz w:val="24"/>
          <w:szCs w:val="24"/>
          <w:highlight w:val="none"/>
        </w:rPr>
      </w:pPr>
      <w:r>
        <w:rPr>
          <w:rFonts w:ascii="宋体" w:hAnsi="宋体" w:eastAsia="宋体" w:cs="宋体"/>
          <w:spacing w:val="-1"/>
          <w:sz w:val="24"/>
          <w:szCs w:val="24"/>
          <w:highlight w:val="none"/>
        </w:rPr>
        <w:t>（6）其他需要说明的情况，包括评标过程中供应商根据评标委员会要求进行的</w:t>
      </w:r>
      <w:r>
        <w:rPr>
          <w:rFonts w:ascii="宋体" w:hAnsi="宋体" w:eastAsia="宋体" w:cs="宋体"/>
          <w:sz w:val="24"/>
          <w:szCs w:val="24"/>
          <w:highlight w:val="none"/>
        </w:rPr>
        <w:t>澄清、说明或者补正，评标委员会成员的更换等，报价最高</w:t>
      </w:r>
      <w:r>
        <w:rPr>
          <w:rFonts w:ascii="宋体" w:hAnsi="宋体" w:eastAsia="宋体" w:cs="宋体"/>
          <w:spacing w:val="-1"/>
          <w:sz w:val="24"/>
          <w:szCs w:val="24"/>
          <w:highlight w:val="none"/>
        </w:rPr>
        <w:t>的供应商为第一中标候选人的，对其报价合理性予以特别书面。</w:t>
      </w:r>
    </w:p>
    <w:p w14:paraId="216F3FDB">
      <w:pPr>
        <w:spacing w:before="48" w:line="361" w:lineRule="auto"/>
        <w:ind w:right="79" w:firstLine="30"/>
        <w:rPr>
          <w:rFonts w:ascii="宋体" w:hAnsi="宋体" w:eastAsia="宋体" w:cs="宋体"/>
          <w:sz w:val="24"/>
          <w:szCs w:val="24"/>
          <w:highlight w:val="none"/>
        </w:rPr>
      </w:pPr>
      <w:r>
        <w:rPr>
          <w:rFonts w:ascii="宋体" w:hAnsi="宋体" w:eastAsia="宋体" w:cs="宋体"/>
          <w:spacing w:val="-1"/>
          <w:sz w:val="24"/>
          <w:szCs w:val="24"/>
          <w:highlight w:val="none"/>
        </w:rPr>
        <w:t>1.7.2 评标委员会成员应当对征集评审报告予以签名确认，对评标过程有不同意</w:t>
      </w:r>
      <w:r>
        <w:rPr>
          <w:rFonts w:ascii="宋体" w:hAnsi="宋体" w:eastAsia="宋体" w:cs="宋体"/>
          <w:sz w:val="24"/>
          <w:szCs w:val="24"/>
          <w:highlight w:val="none"/>
        </w:rPr>
        <w:t>见的，应当在征集评审报告中写明并说明理由。签</w:t>
      </w:r>
      <w:r>
        <w:rPr>
          <w:rFonts w:ascii="宋体" w:hAnsi="宋体" w:eastAsia="宋体" w:cs="宋体"/>
          <w:spacing w:val="-1"/>
          <w:sz w:val="24"/>
          <w:szCs w:val="24"/>
          <w:highlight w:val="none"/>
        </w:rPr>
        <w:t>名但未写明不同意见或者未说明理由的，视同无意见。拒不签名又未另行书面说明其不同意见和理由的，视同同</w:t>
      </w:r>
      <w:r>
        <w:rPr>
          <w:rFonts w:ascii="宋体" w:hAnsi="宋体" w:eastAsia="宋体" w:cs="宋体"/>
          <w:spacing w:val="-2"/>
          <w:sz w:val="24"/>
          <w:szCs w:val="24"/>
          <w:highlight w:val="none"/>
        </w:rPr>
        <w:t>意征集评审报告。</w:t>
      </w:r>
    </w:p>
    <w:p w14:paraId="3BF545A4">
      <w:pPr>
        <w:spacing w:before="113" w:line="221" w:lineRule="auto"/>
        <w:ind w:left="3"/>
        <w:rPr>
          <w:rFonts w:ascii="宋体" w:hAnsi="宋体" w:eastAsia="宋体" w:cs="宋体"/>
          <w:sz w:val="24"/>
          <w:szCs w:val="24"/>
          <w:highlight w:val="none"/>
        </w:rPr>
      </w:pPr>
      <w:r>
        <w:rPr>
          <w:rFonts w:ascii="宋体" w:hAnsi="宋体" w:eastAsia="宋体" w:cs="宋体"/>
          <w:b/>
          <w:bCs/>
          <w:spacing w:val="-4"/>
          <w:sz w:val="24"/>
          <w:szCs w:val="24"/>
          <w:highlight w:val="none"/>
        </w:rPr>
        <w:t>2.</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评标方法</w:t>
      </w:r>
    </w:p>
    <w:p w14:paraId="17FCB1EB">
      <w:pPr>
        <w:spacing w:before="301" w:line="220" w:lineRule="auto"/>
        <w:ind w:left="3"/>
        <w:rPr>
          <w:rFonts w:ascii="宋体" w:hAnsi="宋体" w:eastAsia="宋体" w:cs="宋体"/>
          <w:sz w:val="24"/>
          <w:szCs w:val="24"/>
          <w:highlight w:val="none"/>
        </w:rPr>
      </w:pPr>
      <w:r>
        <w:rPr>
          <w:rFonts w:ascii="宋体" w:hAnsi="宋体" w:eastAsia="宋体" w:cs="宋体"/>
          <w:b/>
          <w:bCs/>
          <w:spacing w:val="-5"/>
          <w:sz w:val="24"/>
          <w:szCs w:val="24"/>
          <w:highlight w:val="none"/>
        </w:rPr>
        <w:t>2.1</w:t>
      </w:r>
      <w:r>
        <w:rPr>
          <w:rFonts w:ascii="宋体" w:hAnsi="宋体" w:eastAsia="宋体" w:cs="宋体"/>
          <w:spacing w:val="-47"/>
          <w:sz w:val="24"/>
          <w:szCs w:val="24"/>
          <w:highlight w:val="none"/>
        </w:rPr>
        <w:t xml:space="preserve"> </w:t>
      </w:r>
      <w:r>
        <w:rPr>
          <w:rFonts w:ascii="宋体" w:hAnsi="宋体" w:eastAsia="宋体" w:cs="宋体"/>
          <w:b/>
          <w:bCs/>
          <w:spacing w:val="-5"/>
          <w:sz w:val="24"/>
          <w:szCs w:val="24"/>
          <w:highlight w:val="none"/>
        </w:rPr>
        <w:t>质量优先法</w:t>
      </w:r>
    </w:p>
    <w:p w14:paraId="6E6851DA">
      <w:pPr>
        <w:spacing w:before="299" w:line="219" w:lineRule="auto"/>
        <w:ind w:left="483"/>
        <w:rPr>
          <w:rFonts w:ascii="宋体" w:hAnsi="宋体" w:eastAsia="宋体" w:cs="宋体"/>
          <w:sz w:val="24"/>
          <w:szCs w:val="24"/>
          <w:highlight w:val="none"/>
        </w:rPr>
      </w:pPr>
      <w:r>
        <w:rPr>
          <w:rFonts w:ascii="宋体" w:hAnsi="宋体" w:eastAsia="宋体" w:cs="宋体"/>
          <w:spacing w:val="-1"/>
          <w:sz w:val="24"/>
          <w:szCs w:val="24"/>
          <w:highlight w:val="none"/>
        </w:rPr>
        <w:t>2.1.1 供应商须知前附表规定质量优先法的，适用本条款。</w:t>
      </w:r>
    </w:p>
    <w:p w14:paraId="51F45CE7">
      <w:pPr>
        <w:spacing w:before="183" w:line="289" w:lineRule="auto"/>
        <w:ind w:left="20" w:right="2" w:firstLine="463"/>
        <w:rPr>
          <w:rFonts w:ascii="宋体" w:hAnsi="宋体" w:eastAsia="宋体" w:cs="宋体"/>
          <w:sz w:val="24"/>
          <w:szCs w:val="24"/>
          <w:highlight w:val="none"/>
        </w:rPr>
      </w:pPr>
      <w:r>
        <w:rPr>
          <w:rFonts w:ascii="宋体" w:hAnsi="宋体" w:eastAsia="宋体" w:cs="宋体"/>
          <w:spacing w:val="2"/>
          <w:sz w:val="24"/>
          <w:szCs w:val="24"/>
          <w:highlight w:val="none"/>
        </w:rPr>
        <w:t>2.1.2 质量优先法，即响应文件满足征集文件全部</w:t>
      </w:r>
      <w:r>
        <w:rPr>
          <w:rFonts w:ascii="宋体" w:hAnsi="宋体" w:eastAsia="宋体" w:cs="宋体"/>
          <w:spacing w:val="1"/>
          <w:sz w:val="24"/>
          <w:szCs w:val="24"/>
          <w:highlight w:val="none"/>
        </w:rPr>
        <w:t>实质性要求，且按照评审因素</w:t>
      </w:r>
      <w:r>
        <w:rPr>
          <w:rFonts w:ascii="宋体" w:hAnsi="宋体" w:eastAsia="宋体" w:cs="宋体"/>
          <w:spacing w:val="-1"/>
          <w:sz w:val="24"/>
          <w:szCs w:val="24"/>
          <w:highlight w:val="none"/>
        </w:rPr>
        <w:t>的量化指标评审得分最高的供应商为中标候选人的评</w:t>
      </w:r>
      <w:r>
        <w:rPr>
          <w:rFonts w:ascii="宋体" w:hAnsi="宋体" w:eastAsia="宋体" w:cs="宋体"/>
          <w:spacing w:val="-2"/>
          <w:sz w:val="24"/>
          <w:szCs w:val="24"/>
          <w:highlight w:val="none"/>
        </w:rPr>
        <w:t>标方法。</w:t>
      </w:r>
    </w:p>
    <w:p w14:paraId="356FC6A9">
      <w:pPr>
        <w:spacing w:before="303" w:line="220" w:lineRule="auto"/>
        <w:ind w:left="483"/>
        <w:rPr>
          <w:rFonts w:ascii="宋体" w:hAnsi="宋体" w:eastAsia="宋体" w:cs="宋体"/>
          <w:sz w:val="24"/>
          <w:szCs w:val="24"/>
          <w:highlight w:val="none"/>
        </w:rPr>
      </w:pPr>
      <w:r>
        <w:rPr>
          <w:rFonts w:ascii="宋体" w:hAnsi="宋体" w:eastAsia="宋体" w:cs="宋体"/>
          <w:b/>
          <w:bCs/>
          <w:spacing w:val="-3"/>
          <w:sz w:val="24"/>
          <w:szCs w:val="24"/>
          <w:highlight w:val="none"/>
        </w:rPr>
        <w:t>2.1.3</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评审因素</w:t>
      </w:r>
    </w:p>
    <w:p w14:paraId="28A832CB">
      <w:pPr>
        <w:spacing w:before="301" w:line="359" w:lineRule="auto"/>
        <w:ind w:firstLine="480"/>
        <w:jc w:val="both"/>
        <w:rPr>
          <w:rFonts w:ascii="宋体" w:hAnsi="宋体" w:eastAsia="宋体" w:cs="宋体"/>
          <w:sz w:val="24"/>
          <w:szCs w:val="24"/>
          <w:highlight w:val="none"/>
        </w:rPr>
      </w:pPr>
      <w:r>
        <w:rPr>
          <w:rFonts w:ascii="宋体" w:hAnsi="宋体" w:eastAsia="宋体" w:cs="宋体"/>
          <w:spacing w:val="1"/>
          <w:sz w:val="24"/>
          <w:szCs w:val="24"/>
          <w:highlight w:val="none"/>
        </w:rPr>
        <w:t>本采购项目评审因素包括：</w:t>
      </w:r>
      <w:r>
        <w:rPr>
          <w:rFonts w:ascii="宋体" w:hAnsi="宋体" w:eastAsia="宋体" w:cs="宋体"/>
          <w:b/>
          <w:bCs/>
          <w:spacing w:val="1"/>
          <w:sz w:val="24"/>
          <w:szCs w:val="24"/>
          <w:highlight w:val="none"/>
        </w:rPr>
        <w:t>申请报价、技术要求</w:t>
      </w:r>
      <w:r>
        <w:rPr>
          <w:rFonts w:ascii="宋体" w:hAnsi="宋体" w:eastAsia="宋体" w:cs="宋体"/>
          <w:spacing w:val="1"/>
          <w:sz w:val="24"/>
          <w:szCs w:val="24"/>
          <w:highlight w:val="none"/>
        </w:rPr>
        <w:t>等对征集文件的响应程度，以及</w:t>
      </w:r>
      <w:r>
        <w:rPr>
          <w:rFonts w:ascii="宋体" w:hAnsi="宋体" w:eastAsia="宋体" w:cs="宋体"/>
          <w:spacing w:val="2"/>
          <w:sz w:val="24"/>
          <w:szCs w:val="24"/>
          <w:highlight w:val="none"/>
        </w:rPr>
        <w:t>相应的比重或者权值等，但不包括征集文件规定的供应商资格条件</w:t>
      </w:r>
      <w:r>
        <w:rPr>
          <w:rFonts w:ascii="宋体" w:hAnsi="宋体" w:eastAsia="宋体" w:cs="宋体"/>
          <w:spacing w:val="1"/>
          <w:sz w:val="24"/>
          <w:szCs w:val="24"/>
          <w:highlight w:val="none"/>
        </w:rPr>
        <w:t>。项目的评标因素</w:t>
      </w:r>
      <w:r>
        <w:rPr>
          <w:rFonts w:ascii="宋体" w:hAnsi="宋体" w:eastAsia="宋体" w:cs="宋体"/>
          <w:spacing w:val="-1"/>
          <w:sz w:val="24"/>
          <w:szCs w:val="24"/>
          <w:highlight w:val="none"/>
        </w:rPr>
        <w:t>和标准见 “分值构成与评分标准</w:t>
      </w:r>
      <w:r>
        <w:rPr>
          <w:rFonts w:ascii="宋体" w:hAnsi="宋体" w:eastAsia="宋体" w:cs="宋体"/>
          <w:spacing w:val="-81"/>
          <w:sz w:val="24"/>
          <w:szCs w:val="24"/>
          <w:highlight w:val="none"/>
        </w:rPr>
        <w:t xml:space="preserve"> </w:t>
      </w:r>
      <w:r>
        <w:rPr>
          <w:rFonts w:ascii="宋体" w:hAnsi="宋体" w:eastAsia="宋体" w:cs="宋体"/>
          <w:spacing w:val="-1"/>
          <w:sz w:val="24"/>
          <w:szCs w:val="24"/>
          <w:highlight w:val="none"/>
        </w:rPr>
        <w:t>”。</w:t>
      </w:r>
    </w:p>
    <w:p w14:paraId="0B7909CA">
      <w:pPr>
        <w:spacing w:line="360" w:lineRule="auto"/>
        <w:ind w:left="483"/>
        <w:rPr>
          <w:rFonts w:ascii="宋体" w:hAnsi="宋体" w:eastAsia="宋体" w:cs="宋体"/>
          <w:sz w:val="24"/>
          <w:szCs w:val="24"/>
          <w:highlight w:val="none"/>
        </w:rPr>
      </w:pPr>
      <w:r>
        <w:rPr>
          <w:rFonts w:ascii="宋体" w:hAnsi="宋体" w:eastAsia="宋体" w:cs="宋体"/>
          <w:b/>
          <w:bCs/>
          <w:spacing w:val="-7"/>
          <w:sz w:val="24"/>
          <w:szCs w:val="24"/>
          <w:highlight w:val="none"/>
        </w:rPr>
        <w:t>2.1.4</w:t>
      </w:r>
      <w:r>
        <w:rPr>
          <w:rFonts w:ascii="宋体" w:hAnsi="宋体" w:eastAsia="宋体" w:cs="宋体"/>
          <w:spacing w:val="43"/>
          <w:sz w:val="24"/>
          <w:szCs w:val="24"/>
          <w:highlight w:val="none"/>
        </w:rPr>
        <w:t xml:space="preserve"> </w:t>
      </w:r>
      <w:r>
        <w:rPr>
          <w:rFonts w:ascii="宋体" w:hAnsi="宋体" w:eastAsia="宋体" w:cs="宋体"/>
          <w:b/>
          <w:bCs/>
          <w:spacing w:val="-7"/>
          <w:sz w:val="24"/>
          <w:szCs w:val="24"/>
          <w:highlight w:val="none"/>
        </w:rPr>
        <w:t>申请报价评价</w:t>
      </w:r>
    </w:p>
    <w:p w14:paraId="0614E034">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717" w:firstLineChars="300"/>
        <w:jc w:val="left"/>
        <w:textAlignment w:val="baseline"/>
        <w:rPr>
          <w:rFonts w:hint="default"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pPr>
      <w:r>
        <w:rPr>
          <w:rFonts w:ascii="宋体" w:hAnsi="宋体" w:eastAsia="宋体" w:cs="宋体"/>
          <w:b/>
          <w:bCs/>
          <w:spacing w:val="-1"/>
          <w:sz w:val="24"/>
          <w:szCs w:val="24"/>
          <w:highlight w:val="none"/>
        </w:rPr>
        <w:t>2.1.4.1</w:t>
      </w: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按照陕西省考古研究院基本建设考古调查、勘探、发掘经费预算定额管理办法（试行）。（其中包括民工费、机械费、临时建筑设施费、管理费、安全保卫费、不可预见费等文物发掘工作除技术外的所有费用）</w:t>
      </w:r>
      <w:r>
        <w:rPr>
          <w:rFonts w:hint="eastAsia" w:ascii="微软雅黑" w:hAnsi="微软雅黑" w:eastAsia="微软雅黑" w:cs="微软雅黑"/>
          <w:i w:val="0"/>
          <w:iCs w:val="0"/>
          <w:caps w:val="0"/>
          <w:color w:val="000000"/>
          <w:spacing w:val="0"/>
          <w:sz w:val="24"/>
          <w:szCs w:val="24"/>
          <w:highlight w:val="none"/>
          <w:u w:val="single"/>
          <w:shd w:val="clear" w:fill="FFFFFF"/>
          <w:vertAlign w:val="baseline"/>
          <w:lang w:val="en-US" w:eastAsia="zh-CN"/>
        </w:rPr>
        <w:t>×</w:t>
      </w: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100%，超过最高限价（100%），按无效文件处理。</w:t>
      </w:r>
    </w:p>
    <w:p w14:paraId="0E472FF0">
      <w:pPr>
        <w:spacing w:before="1" w:line="360" w:lineRule="auto"/>
        <w:ind w:left="829"/>
        <w:rPr>
          <w:rFonts w:hint="default" w:ascii="宋体" w:hAnsi="宋体" w:eastAsia="宋体" w:cs="宋体"/>
          <w:sz w:val="24"/>
          <w:szCs w:val="24"/>
          <w:highlight w:val="none"/>
          <w:lang w:val="en-US" w:eastAsia="zh-CN"/>
        </w:rPr>
      </w:pPr>
    </w:p>
    <w:p w14:paraId="7CC4C0CF">
      <w:pPr>
        <w:spacing w:line="360" w:lineRule="auto"/>
        <w:ind w:left="474"/>
        <w:rPr>
          <w:rFonts w:ascii="宋体" w:hAnsi="宋体" w:eastAsia="宋体" w:cs="宋体"/>
          <w:sz w:val="24"/>
          <w:szCs w:val="24"/>
          <w:highlight w:val="none"/>
        </w:rPr>
      </w:pPr>
      <w:r>
        <w:rPr>
          <w:rFonts w:ascii="宋体" w:hAnsi="宋体" w:eastAsia="宋体" w:cs="宋体"/>
          <w:b/>
          <w:bCs/>
          <w:spacing w:val="-2"/>
          <w:sz w:val="24"/>
          <w:szCs w:val="24"/>
          <w:highlight w:val="none"/>
        </w:rPr>
        <w:t>2.1.5</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技术、商务评价及政府采购政策</w:t>
      </w:r>
      <w:r>
        <w:rPr>
          <w:rFonts w:ascii="宋体" w:hAnsi="宋体" w:eastAsia="宋体" w:cs="宋体"/>
          <w:b/>
          <w:bCs/>
          <w:spacing w:val="-3"/>
          <w:sz w:val="24"/>
          <w:szCs w:val="24"/>
          <w:highlight w:val="none"/>
        </w:rPr>
        <w:t>赋分</w:t>
      </w:r>
    </w:p>
    <w:p w14:paraId="1E37CFD6">
      <w:pPr>
        <w:spacing w:before="184" w:line="288" w:lineRule="auto"/>
        <w:ind w:left="2" w:right="2" w:firstLine="840"/>
        <w:rPr>
          <w:rFonts w:ascii="宋体" w:hAnsi="宋体" w:eastAsia="宋体" w:cs="宋体"/>
          <w:sz w:val="24"/>
          <w:szCs w:val="24"/>
          <w:highlight w:val="none"/>
        </w:rPr>
      </w:pPr>
      <w:r>
        <w:rPr>
          <w:rFonts w:ascii="宋体" w:hAnsi="宋体" w:eastAsia="宋体" w:cs="宋体"/>
          <w:spacing w:val="1"/>
          <w:sz w:val="24"/>
          <w:szCs w:val="24"/>
          <w:highlight w:val="none"/>
        </w:rPr>
        <w:t>2.1.5.1 按照 “分值构成与评分标准</w:t>
      </w:r>
      <w:r>
        <w:rPr>
          <w:rFonts w:ascii="宋体" w:hAnsi="宋体" w:eastAsia="宋体" w:cs="宋体"/>
          <w:spacing w:val="-88"/>
          <w:sz w:val="24"/>
          <w:szCs w:val="24"/>
          <w:highlight w:val="none"/>
        </w:rPr>
        <w:t xml:space="preserve"> </w:t>
      </w:r>
      <w:r>
        <w:rPr>
          <w:rFonts w:ascii="宋体" w:hAnsi="宋体" w:eastAsia="宋体" w:cs="宋体"/>
          <w:spacing w:val="1"/>
          <w:sz w:val="24"/>
          <w:szCs w:val="24"/>
          <w:highlight w:val="none"/>
        </w:rPr>
        <w:t>”规定的评审因素和标</w:t>
      </w:r>
      <w:r>
        <w:rPr>
          <w:rFonts w:ascii="宋体" w:hAnsi="宋体" w:eastAsia="宋体" w:cs="宋体"/>
          <w:sz w:val="24"/>
          <w:szCs w:val="24"/>
          <w:highlight w:val="none"/>
        </w:rPr>
        <w:t>准，对技术、商</w:t>
      </w:r>
      <w:r>
        <w:rPr>
          <w:rFonts w:ascii="宋体" w:hAnsi="宋体" w:eastAsia="宋体" w:cs="宋体"/>
          <w:spacing w:val="-1"/>
          <w:sz w:val="24"/>
          <w:szCs w:val="24"/>
          <w:highlight w:val="none"/>
        </w:rPr>
        <w:t>务进行逐项评价并进行赋分。</w:t>
      </w:r>
    </w:p>
    <w:p w14:paraId="60D280A3">
      <w:pPr>
        <w:spacing w:before="183" w:line="313" w:lineRule="auto"/>
        <w:ind w:firstLine="842"/>
        <w:rPr>
          <w:rFonts w:ascii="宋体" w:hAnsi="宋体" w:eastAsia="宋体" w:cs="宋体"/>
          <w:sz w:val="24"/>
          <w:szCs w:val="24"/>
          <w:highlight w:val="none"/>
        </w:rPr>
      </w:pPr>
      <w:r>
        <w:rPr>
          <w:rFonts w:ascii="宋体" w:hAnsi="宋体" w:eastAsia="宋体" w:cs="宋体"/>
          <w:sz w:val="24"/>
          <w:szCs w:val="24"/>
          <w:highlight w:val="none"/>
        </w:rPr>
        <w:t>2.1.5.2</w:t>
      </w:r>
      <w:r>
        <w:rPr>
          <w:rFonts w:ascii="宋体" w:hAnsi="宋体" w:eastAsia="宋体" w:cs="宋体"/>
          <w:spacing w:val="-47"/>
          <w:sz w:val="24"/>
          <w:szCs w:val="24"/>
          <w:highlight w:val="none"/>
        </w:rPr>
        <w:t xml:space="preserve"> </w:t>
      </w:r>
      <w:r>
        <w:rPr>
          <w:rFonts w:ascii="宋体" w:hAnsi="宋体" w:eastAsia="宋体" w:cs="宋体"/>
          <w:sz w:val="24"/>
          <w:szCs w:val="24"/>
          <w:highlight w:val="none"/>
        </w:rPr>
        <w:t>如本采购项目（包）含有货物采购的，且投标产品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如有）</w:t>
      </w:r>
      <w:r>
        <w:rPr>
          <w:rFonts w:ascii="宋体" w:hAnsi="宋体" w:eastAsia="宋体" w:cs="宋体"/>
          <w:spacing w:val="-1"/>
          <w:sz w:val="24"/>
          <w:szCs w:val="24"/>
          <w:highlight w:val="none"/>
        </w:rPr>
        <w:t>需落实政府采购政</w:t>
      </w:r>
      <w:r>
        <w:rPr>
          <w:rFonts w:ascii="宋体" w:hAnsi="宋体" w:eastAsia="宋体" w:cs="宋体"/>
          <w:spacing w:val="4"/>
          <w:sz w:val="24"/>
          <w:szCs w:val="24"/>
          <w:highlight w:val="none"/>
        </w:rPr>
        <w:t>策（绿色发展政策）的，对符合第二章第</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3.4.1</w:t>
      </w:r>
      <w:r>
        <w:rPr>
          <w:rFonts w:ascii="宋体" w:hAnsi="宋体" w:eastAsia="宋体" w:cs="宋体"/>
          <w:spacing w:val="-44"/>
          <w:sz w:val="24"/>
          <w:szCs w:val="24"/>
          <w:highlight w:val="none"/>
        </w:rPr>
        <w:t xml:space="preserve"> </w:t>
      </w:r>
      <w:r>
        <w:rPr>
          <w:rFonts w:ascii="宋体" w:hAnsi="宋体" w:eastAsia="宋体" w:cs="宋体"/>
          <w:spacing w:val="4"/>
          <w:sz w:val="24"/>
          <w:szCs w:val="24"/>
          <w:highlight w:val="none"/>
        </w:rPr>
        <w:t>条款规定条件的供应商，</w:t>
      </w:r>
      <w:r>
        <w:rPr>
          <w:rFonts w:ascii="宋体" w:hAnsi="宋体" w:eastAsia="宋体" w:cs="宋体"/>
          <w:spacing w:val="3"/>
          <w:sz w:val="24"/>
          <w:szCs w:val="24"/>
          <w:highlight w:val="none"/>
        </w:rPr>
        <w:t>按照 “分</w:t>
      </w:r>
      <w:r>
        <w:rPr>
          <w:rFonts w:ascii="宋体" w:hAnsi="宋体" w:eastAsia="宋体" w:cs="宋体"/>
          <w:spacing w:val="-3"/>
          <w:sz w:val="24"/>
          <w:szCs w:val="24"/>
          <w:highlight w:val="none"/>
        </w:rPr>
        <w:t>值构成与评分标准</w:t>
      </w:r>
      <w:r>
        <w:rPr>
          <w:rFonts w:ascii="宋体" w:hAnsi="宋体" w:eastAsia="宋体" w:cs="宋体"/>
          <w:spacing w:val="-74"/>
          <w:sz w:val="24"/>
          <w:szCs w:val="24"/>
          <w:highlight w:val="none"/>
        </w:rPr>
        <w:t xml:space="preserve"> </w:t>
      </w:r>
      <w:r>
        <w:rPr>
          <w:rFonts w:ascii="宋体" w:hAnsi="宋体" w:eastAsia="宋体" w:cs="宋体"/>
          <w:spacing w:val="-3"/>
          <w:sz w:val="24"/>
          <w:szCs w:val="24"/>
          <w:highlight w:val="none"/>
        </w:rPr>
        <w:t>”的相关标准进行赋分。</w:t>
      </w:r>
    </w:p>
    <w:p w14:paraId="7A3EC601">
      <w:pPr>
        <w:spacing w:before="180" w:line="220" w:lineRule="auto"/>
        <w:ind w:left="474"/>
        <w:rPr>
          <w:rFonts w:ascii="宋体" w:hAnsi="宋体" w:eastAsia="宋体" w:cs="宋体"/>
          <w:sz w:val="24"/>
          <w:szCs w:val="24"/>
          <w:highlight w:val="none"/>
        </w:rPr>
      </w:pPr>
      <w:r>
        <w:rPr>
          <w:rFonts w:ascii="宋体" w:hAnsi="宋体" w:eastAsia="宋体" w:cs="宋体"/>
          <w:b/>
          <w:bCs/>
          <w:spacing w:val="-3"/>
          <w:sz w:val="24"/>
          <w:szCs w:val="24"/>
          <w:highlight w:val="none"/>
        </w:rPr>
        <w:t>2.1.6</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评审总得分</w:t>
      </w:r>
    </w:p>
    <w:p w14:paraId="335B9C9D">
      <w:pPr>
        <w:spacing w:before="181" w:line="359" w:lineRule="auto"/>
        <w:ind w:firstLine="842"/>
        <w:jc w:val="both"/>
        <w:rPr>
          <w:rFonts w:ascii="宋体" w:hAnsi="宋体" w:eastAsia="宋体" w:cs="宋体"/>
          <w:sz w:val="24"/>
          <w:szCs w:val="24"/>
          <w:highlight w:val="none"/>
        </w:rPr>
      </w:pPr>
      <w:r>
        <w:rPr>
          <w:rFonts w:ascii="宋体" w:hAnsi="宋体" w:eastAsia="宋体" w:cs="宋体"/>
          <w:sz w:val="24"/>
          <w:szCs w:val="24"/>
          <w:highlight w:val="none"/>
        </w:rPr>
        <w:t>2.1.6.1</w:t>
      </w:r>
      <w:r>
        <w:rPr>
          <w:rFonts w:ascii="宋体" w:hAnsi="宋体" w:eastAsia="宋体" w:cs="宋体"/>
          <w:spacing w:val="-52"/>
          <w:sz w:val="24"/>
          <w:szCs w:val="24"/>
          <w:highlight w:val="none"/>
        </w:rPr>
        <w:t xml:space="preserve"> </w:t>
      </w:r>
      <w:r>
        <w:rPr>
          <w:rFonts w:ascii="宋体" w:hAnsi="宋体" w:eastAsia="宋体" w:cs="宋体"/>
          <w:sz w:val="24"/>
          <w:szCs w:val="24"/>
          <w:highlight w:val="none"/>
        </w:rPr>
        <w:t>评标委员会成员应当独立对每个供应商的响应文件进行评价，</w:t>
      </w:r>
      <w:r>
        <w:rPr>
          <w:rFonts w:ascii="宋体" w:hAnsi="宋体" w:eastAsia="宋体" w:cs="宋体"/>
          <w:spacing w:val="-1"/>
          <w:sz w:val="24"/>
          <w:szCs w:val="24"/>
          <w:highlight w:val="none"/>
        </w:rPr>
        <w:t>并汇总</w:t>
      </w:r>
      <w:r>
        <w:rPr>
          <w:rFonts w:ascii="宋体" w:hAnsi="宋体" w:eastAsia="宋体" w:cs="宋体"/>
          <w:spacing w:val="9"/>
          <w:sz w:val="24"/>
          <w:szCs w:val="24"/>
          <w:highlight w:val="none"/>
        </w:rPr>
        <w:t>每个供应商的得分，每个供应商的最终得分为</w:t>
      </w:r>
      <w:r>
        <w:rPr>
          <w:rFonts w:ascii="宋体" w:hAnsi="宋体" w:eastAsia="宋体" w:cs="宋体"/>
          <w:spacing w:val="8"/>
          <w:sz w:val="24"/>
          <w:szCs w:val="24"/>
          <w:highlight w:val="none"/>
        </w:rPr>
        <w:t>所有评标委员会成员评分的算术平均</w:t>
      </w:r>
      <w:r>
        <w:rPr>
          <w:rFonts w:ascii="宋体" w:hAnsi="宋体" w:eastAsia="宋体" w:cs="宋体"/>
          <w:spacing w:val="-5"/>
          <w:sz w:val="24"/>
          <w:szCs w:val="24"/>
          <w:highlight w:val="none"/>
        </w:rPr>
        <w:t>值。</w:t>
      </w:r>
    </w:p>
    <w:p w14:paraId="29AB1524">
      <w:pPr>
        <w:spacing w:line="220" w:lineRule="auto"/>
        <w:ind w:left="1197"/>
        <w:rPr>
          <w:rFonts w:ascii="宋体" w:hAnsi="宋体" w:eastAsia="宋体" w:cs="宋体"/>
          <w:sz w:val="24"/>
          <w:szCs w:val="24"/>
          <w:highlight w:val="none"/>
        </w:rPr>
      </w:pPr>
      <w:r>
        <w:rPr>
          <w:rFonts w:ascii="宋体" w:hAnsi="宋体" w:eastAsia="宋体" w:cs="宋体"/>
          <w:b/>
          <w:bCs/>
          <w:spacing w:val="13"/>
          <w:sz w:val="24"/>
          <w:szCs w:val="24"/>
          <w:highlight w:val="none"/>
        </w:rPr>
        <w:t>评审总得分＝F1＋F2+……+</w:t>
      </w:r>
      <w:r>
        <w:rPr>
          <w:rFonts w:ascii="宋体" w:hAnsi="宋体" w:eastAsia="宋体" w:cs="宋体"/>
          <w:b/>
          <w:bCs/>
          <w:sz w:val="24"/>
          <w:szCs w:val="24"/>
          <w:highlight w:val="none"/>
        </w:rPr>
        <w:t>Fn</w:t>
      </w:r>
    </w:p>
    <w:p w14:paraId="4AA780B2">
      <w:pPr>
        <w:spacing w:before="182" w:line="220" w:lineRule="auto"/>
        <w:ind w:left="1194"/>
        <w:rPr>
          <w:rFonts w:ascii="宋体" w:hAnsi="宋体" w:eastAsia="宋体" w:cs="宋体"/>
          <w:sz w:val="24"/>
          <w:szCs w:val="24"/>
          <w:highlight w:val="none"/>
        </w:rPr>
      </w:pPr>
      <w:r>
        <w:rPr>
          <w:rFonts w:ascii="宋体" w:hAnsi="宋体" w:eastAsia="宋体" w:cs="宋体"/>
          <w:b/>
          <w:bCs/>
          <w:spacing w:val="-3"/>
          <w:sz w:val="24"/>
          <w:szCs w:val="24"/>
          <w:highlight w:val="none"/>
        </w:rPr>
        <w:t>F1、F2……Fn</w:t>
      </w:r>
      <w:r>
        <w:rPr>
          <w:rFonts w:ascii="宋体" w:hAnsi="宋体" w:eastAsia="宋体" w:cs="宋体"/>
          <w:spacing w:val="-34"/>
          <w:sz w:val="24"/>
          <w:szCs w:val="24"/>
          <w:highlight w:val="none"/>
        </w:rPr>
        <w:t xml:space="preserve"> </w:t>
      </w:r>
      <w:r>
        <w:rPr>
          <w:rFonts w:ascii="宋体" w:hAnsi="宋体" w:eastAsia="宋体" w:cs="宋体"/>
          <w:b/>
          <w:bCs/>
          <w:spacing w:val="-3"/>
          <w:sz w:val="24"/>
          <w:szCs w:val="24"/>
          <w:highlight w:val="none"/>
        </w:rPr>
        <w:t>分别为各项评审因素的汇总得分</w:t>
      </w:r>
    </w:p>
    <w:p w14:paraId="2AC6EB14">
      <w:pPr>
        <w:spacing w:before="179" w:line="219" w:lineRule="auto"/>
        <w:ind w:left="843"/>
        <w:rPr>
          <w:rFonts w:ascii="宋体" w:hAnsi="宋体" w:eastAsia="宋体" w:cs="宋体"/>
          <w:sz w:val="24"/>
          <w:szCs w:val="24"/>
          <w:highlight w:val="none"/>
        </w:rPr>
      </w:pPr>
      <w:r>
        <w:rPr>
          <w:rFonts w:ascii="宋体" w:hAnsi="宋体" w:eastAsia="宋体" w:cs="宋体"/>
          <w:spacing w:val="-1"/>
          <w:sz w:val="24"/>
          <w:szCs w:val="24"/>
          <w:highlight w:val="none"/>
        </w:rPr>
        <w:t>2.1.6.2</w:t>
      </w:r>
      <w:r>
        <w:rPr>
          <w:rFonts w:ascii="宋体" w:hAnsi="宋体" w:eastAsia="宋体" w:cs="宋体"/>
          <w:spacing w:val="-41"/>
          <w:sz w:val="24"/>
          <w:szCs w:val="24"/>
          <w:highlight w:val="none"/>
        </w:rPr>
        <w:t xml:space="preserve"> </w:t>
      </w:r>
      <w:r>
        <w:rPr>
          <w:rFonts w:ascii="宋体" w:hAnsi="宋体" w:eastAsia="宋体" w:cs="宋体"/>
          <w:spacing w:val="-1"/>
          <w:sz w:val="24"/>
          <w:szCs w:val="24"/>
          <w:highlight w:val="none"/>
        </w:rPr>
        <w:t>评标过程中，不得去掉有效投标中的最高报价和最低报价。</w:t>
      </w:r>
    </w:p>
    <w:p w14:paraId="626508A1">
      <w:pPr>
        <w:spacing w:before="184" w:line="220" w:lineRule="auto"/>
        <w:ind w:left="483"/>
        <w:rPr>
          <w:rFonts w:ascii="宋体" w:hAnsi="宋体" w:eastAsia="宋体" w:cs="宋体"/>
          <w:sz w:val="24"/>
          <w:szCs w:val="24"/>
          <w:highlight w:val="none"/>
        </w:rPr>
      </w:pPr>
      <w:r>
        <w:rPr>
          <w:rFonts w:ascii="宋体" w:hAnsi="宋体" w:eastAsia="宋体" w:cs="宋体"/>
          <w:b/>
          <w:bCs/>
          <w:spacing w:val="-4"/>
          <w:sz w:val="24"/>
          <w:szCs w:val="24"/>
          <w:highlight w:val="none"/>
        </w:rPr>
        <w:t>2.1.7</w:t>
      </w:r>
      <w:r>
        <w:rPr>
          <w:rFonts w:ascii="宋体" w:hAnsi="宋体" w:eastAsia="宋体" w:cs="宋体"/>
          <w:spacing w:val="-41"/>
          <w:sz w:val="24"/>
          <w:szCs w:val="24"/>
          <w:highlight w:val="none"/>
        </w:rPr>
        <w:t xml:space="preserve"> </w:t>
      </w:r>
      <w:r>
        <w:rPr>
          <w:rFonts w:ascii="宋体" w:hAnsi="宋体" w:eastAsia="宋体" w:cs="宋体"/>
          <w:b/>
          <w:bCs/>
          <w:spacing w:val="-4"/>
          <w:sz w:val="24"/>
          <w:szCs w:val="24"/>
          <w:highlight w:val="none"/>
        </w:rPr>
        <w:t>分值构成与评分标准</w:t>
      </w:r>
    </w:p>
    <w:p w14:paraId="25386070">
      <w:pPr>
        <w:spacing w:before="180" w:line="290" w:lineRule="auto"/>
        <w:ind w:right="2" w:firstLine="842"/>
        <w:rPr>
          <w:rFonts w:ascii="宋体" w:hAnsi="宋体" w:eastAsia="宋体" w:cs="宋体"/>
          <w:sz w:val="24"/>
          <w:szCs w:val="24"/>
          <w:highlight w:val="none"/>
        </w:rPr>
      </w:pPr>
      <w:r>
        <w:rPr>
          <w:rFonts w:ascii="宋体" w:hAnsi="宋体" w:eastAsia="宋体" w:cs="宋体"/>
          <w:spacing w:val="5"/>
          <w:sz w:val="24"/>
          <w:szCs w:val="24"/>
          <w:highlight w:val="none"/>
        </w:rPr>
        <w:t>2.1.7.1 分值构成与评分标准的制定以科学合理、评审因素与量化指标</w:t>
      </w:r>
      <w:r>
        <w:rPr>
          <w:rFonts w:ascii="宋体" w:hAnsi="宋体" w:eastAsia="宋体" w:cs="宋体"/>
          <w:spacing w:val="4"/>
          <w:sz w:val="24"/>
          <w:szCs w:val="24"/>
          <w:highlight w:val="none"/>
        </w:rPr>
        <w:t>相对</w:t>
      </w:r>
      <w:r>
        <w:rPr>
          <w:rFonts w:ascii="宋体" w:hAnsi="宋体" w:eastAsia="宋体" w:cs="宋体"/>
          <w:spacing w:val="-2"/>
          <w:sz w:val="24"/>
          <w:szCs w:val="24"/>
          <w:highlight w:val="none"/>
        </w:rPr>
        <w:t>应为原则。</w:t>
      </w:r>
    </w:p>
    <w:p w14:paraId="32A59E54">
      <w:pPr>
        <w:spacing w:before="181" w:line="220" w:lineRule="auto"/>
        <w:ind w:left="843"/>
        <w:rPr>
          <w:rFonts w:ascii="宋体" w:hAnsi="宋体" w:eastAsia="宋体" w:cs="宋体"/>
          <w:sz w:val="24"/>
          <w:szCs w:val="24"/>
          <w:highlight w:val="none"/>
        </w:rPr>
      </w:pPr>
      <w:r>
        <w:rPr>
          <w:rFonts w:ascii="宋体" w:hAnsi="宋体" w:eastAsia="宋体" w:cs="宋体"/>
          <w:spacing w:val="-1"/>
          <w:sz w:val="24"/>
          <w:szCs w:val="24"/>
          <w:highlight w:val="none"/>
        </w:rPr>
        <w:t>2.1.7.2 分值构成与评分标准如下：</w:t>
      </w:r>
    </w:p>
    <w:p w14:paraId="0E62BD0F">
      <w:pPr>
        <w:rPr>
          <w:rFonts w:ascii="宋体" w:hAnsi="宋体" w:eastAsia="宋体" w:cs="宋体"/>
          <w:b/>
          <w:bCs/>
          <w:spacing w:val="5"/>
          <w:sz w:val="35"/>
          <w:szCs w:val="35"/>
          <w:highlight w:val="none"/>
        </w:rPr>
      </w:pPr>
      <w:r>
        <w:rPr>
          <w:rFonts w:ascii="宋体" w:hAnsi="宋体" w:eastAsia="宋体" w:cs="宋体"/>
          <w:b/>
          <w:bCs/>
          <w:spacing w:val="5"/>
          <w:sz w:val="35"/>
          <w:szCs w:val="35"/>
          <w:highlight w:val="none"/>
        </w:rPr>
        <w:br w:type="page"/>
      </w:r>
    </w:p>
    <w:p w14:paraId="775A8856">
      <w:pPr>
        <w:spacing w:before="72" w:line="225" w:lineRule="auto"/>
        <w:ind w:left="3616"/>
        <w:rPr>
          <w:rFonts w:ascii="宋体" w:hAnsi="宋体" w:eastAsia="宋体" w:cs="宋体"/>
          <w:sz w:val="35"/>
          <w:szCs w:val="35"/>
          <w:highlight w:val="none"/>
        </w:rPr>
      </w:pPr>
      <w:r>
        <w:rPr>
          <w:rFonts w:ascii="宋体" w:hAnsi="宋体" w:eastAsia="宋体" w:cs="宋体"/>
          <w:b/>
          <w:bCs/>
          <w:spacing w:val="5"/>
          <w:sz w:val="35"/>
          <w:szCs w:val="35"/>
          <w:highlight w:val="none"/>
        </w:rPr>
        <w:t>分值构成与评分标准</w:t>
      </w:r>
    </w:p>
    <w:p w14:paraId="66561334">
      <w:pPr>
        <w:spacing w:line="220" w:lineRule="exact"/>
        <w:rPr>
          <w:highlight w:val="none"/>
        </w:rPr>
      </w:pPr>
    </w:p>
    <w:p w14:paraId="31B42082">
      <w:pPr>
        <w:pStyle w:val="5"/>
        <w:rPr>
          <w:highlight w:val="none"/>
        </w:rPr>
      </w:pPr>
    </w:p>
    <w:tbl>
      <w:tblPr>
        <w:tblStyle w:val="11"/>
        <w:tblW w:w="9158" w:type="dxa"/>
        <w:tblInd w:w="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8"/>
        <w:gridCol w:w="2616"/>
        <w:gridCol w:w="1289"/>
        <w:gridCol w:w="4555"/>
      </w:tblGrid>
      <w:tr w14:paraId="3938E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C1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4"/>
                <w:szCs w:val="24"/>
                <w:highlight w:val="none"/>
                <w:u w:val="none"/>
              </w:rPr>
            </w:pPr>
            <w:r>
              <w:rPr>
                <w:rFonts w:hint="eastAsia" w:ascii="宋体" w:hAnsi="宋体" w:eastAsia="宋体" w:cs="宋体"/>
                <w:b/>
                <w:i w:val="0"/>
                <w:iCs w:val="0"/>
                <w:snapToGrid w:val="0"/>
                <w:color w:val="000000"/>
                <w:kern w:val="0"/>
                <w:sz w:val="24"/>
                <w:szCs w:val="24"/>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657E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评标</w:t>
            </w:r>
            <w:r>
              <w:rPr>
                <w:rStyle w:val="18"/>
                <w:rFonts w:ascii="宋体" w:eastAsia="宋体"/>
                <w:b/>
                <w:snapToGrid w:val="0"/>
                <w:color w:val="000000"/>
                <w:sz w:val="24"/>
                <w:szCs w:val="24"/>
                <w:highlight w:val="none"/>
                <w:lang w:val="en-US" w:eastAsia="zh-CN" w:bidi="ar"/>
              </w:rPr>
              <w:t>因素</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DE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snapToGrid w:val="0"/>
                <w:color w:val="000000"/>
                <w:kern w:val="0"/>
                <w:sz w:val="24"/>
                <w:szCs w:val="24"/>
                <w:highlight w:val="none"/>
                <w:u w:val="none"/>
                <w:lang w:val="en-US" w:eastAsia="zh-CN" w:bidi="ar"/>
              </w:rPr>
            </w:pPr>
            <w:r>
              <w:rPr>
                <w:rFonts w:hint="eastAsia" w:ascii="宋体" w:hAnsi="宋体" w:eastAsia="宋体" w:cs="宋体"/>
                <w:b/>
                <w:bCs/>
                <w:i w:val="0"/>
                <w:iCs w:val="0"/>
                <w:snapToGrid w:val="0"/>
                <w:color w:val="000000"/>
                <w:kern w:val="0"/>
                <w:sz w:val="24"/>
                <w:szCs w:val="24"/>
                <w:highlight w:val="none"/>
                <w:u w:val="none"/>
                <w:lang w:val="en-US" w:eastAsia="zh-CN" w:bidi="ar"/>
              </w:rPr>
              <w:t>分值</w:t>
            </w:r>
          </w:p>
          <w:p w14:paraId="658CED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（100）</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3E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评价要素</w:t>
            </w:r>
          </w:p>
        </w:tc>
      </w:tr>
      <w:tr w14:paraId="52F36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82E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AF39">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价格评审</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AB4A8">
            <w:pPr>
              <w:keepNext w:val="0"/>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10</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958D">
            <w:pPr>
              <w:keepNext w:val="0"/>
              <w:keepLines w:val="0"/>
              <w:widowControl/>
              <w:numPr>
                <w:ilvl w:val="0"/>
                <w:numId w:val="0"/>
              </w:numPr>
              <w:suppressLineNumbers w:val="0"/>
              <w:snapToGrid w:val="0"/>
              <w:ind w:left="0" w:leftChars="0" w:right="0" w:rightChars="0" w:firstLine="0" w:firstLineChars="0"/>
              <w:jc w:val="left"/>
              <w:textAlignment w:val="center"/>
              <w:rPr>
                <w:rFonts w:hint="default" w:ascii="宋体" w:hAnsi="仿宋_GB2312" w:eastAsia="宋体" w:cs="仿宋_GB2312"/>
                <w:sz w:val="24"/>
                <w:highlight w:val="none"/>
                <w:lang w:val="en-US"/>
              </w:rPr>
            </w:pPr>
            <w:r>
              <w:rPr>
                <w:rFonts w:hint="eastAsia" w:ascii="宋体" w:hAnsi="宋体" w:eastAsia="宋体" w:cs="宋体"/>
                <w:i w:val="0"/>
                <w:iCs w:val="0"/>
                <w:color w:val="000000"/>
                <w:kern w:val="0"/>
                <w:sz w:val="24"/>
                <w:szCs w:val="24"/>
                <w:highlight w:val="none"/>
                <w:u w:val="none"/>
                <w:lang w:val="en-US" w:eastAsia="zh-CN" w:bidi="ar"/>
              </w:rPr>
              <w:t>采用低价优先法计算，即满足招标文件要求</w:t>
            </w:r>
            <w:r>
              <w:rPr>
                <w:rFonts w:hint="eastAsia" w:ascii="宋体" w:hAnsi="宋体" w:eastAsia="宋体" w:cs="宋体"/>
                <w:b/>
                <w:bCs/>
                <w:i w:val="0"/>
                <w:iCs w:val="0"/>
                <w:color w:val="000000"/>
                <w:kern w:val="0"/>
                <w:sz w:val="24"/>
                <w:szCs w:val="24"/>
                <w:highlight w:val="none"/>
                <w:u w:val="none"/>
                <w:lang w:val="en-US" w:eastAsia="zh-CN" w:bidi="ar"/>
              </w:rPr>
              <w:t>折扣</w:t>
            </w:r>
            <w:r>
              <w:rPr>
                <w:rFonts w:hint="eastAsia" w:ascii="宋体" w:hAnsi="宋体" w:cs="宋体"/>
                <w:b/>
                <w:bCs/>
                <w:i w:val="0"/>
                <w:iCs w:val="0"/>
                <w:color w:val="000000"/>
                <w:kern w:val="0"/>
                <w:sz w:val="24"/>
                <w:szCs w:val="24"/>
                <w:highlight w:val="none"/>
                <w:u w:val="none"/>
                <w:lang w:val="en-US" w:eastAsia="zh-CN" w:bidi="ar"/>
              </w:rPr>
              <w:t>最低</w:t>
            </w:r>
            <w:r>
              <w:rPr>
                <w:rFonts w:hint="eastAsia" w:ascii="宋体" w:hAnsi="宋体" w:eastAsia="宋体" w:cs="宋体"/>
                <w:i w:val="0"/>
                <w:iCs w:val="0"/>
                <w:color w:val="000000"/>
                <w:kern w:val="0"/>
                <w:sz w:val="24"/>
                <w:szCs w:val="24"/>
                <w:highlight w:val="none"/>
                <w:u w:val="none"/>
                <w:lang w:val="en-US" w:eastAsia="zh-CN" w:bidi="ar"/>
              </w:rPr>
              <w:t>的为评标基准价，其得分为满分。其他投标人的报价得分统一按照下列公式计算：报价得分=（评标基准价/报价）×10</w:t>
            </w:r>
          </w:p>
        </w:tc>
      </w:tr>
      <w:tr w14:paraId="38014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BD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SA"/>
              </w:rPr>
            </w:pPr>
            <w:r>
              <w:rPr>
                <w:rFonts w:hint="eastAsia" w:ascii="宋体" w:hAnsi="宋体" w:eastAsia="宋体" w:cs="宋体"/>
                <w:i w:val="0"/>
                <w:iCs w:val="0"/>
                <w:color w:val="000000"/>
                <w:sz w:val="24"/>
                <w:szCs w:val="24"/>
                <w:highlight w:val="none"/>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448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SA"/>
              </w:rPr>
            </w:pPr>
            <w:r>
              <w:rPr>
                <w:rFonts w:hint="eastAsia" w:ascii="宋体" w:hAnsi="宋体" w:eastAsia="宋体" w:cs="宋体"/>
                <w:i w:val="0"/>
                <w:iCs w:val="0"/>
                <w:snapToGrid w:val="0"/>
                <w:color w:val="000000"/>
                <w:kern w:val="0"/>
                <w:sz w:val="24"/>
                <w:szCs w:val="24"/>
                <w:highlight w:val="none"/>
                <w:u w:val="none"/>
                <w:lang w:val="en-US" w:eastAsia="zh-CN" w:bidi="ar"/>
              </w:rPr>
              <w:t>实施方案</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6A12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SA"/>
              </w:rPr>
            </w:pPr>
            <w:r>
              <w:rPr>
                <w:rFonts w:hint="eastAsia" w:ascii="宋体" w:hAnsi="宋体" w:eastAsia="宋体" w:cs="宋体"/>
                <w:i w:val="0"/>
                <w:iCs w:val="0"/>
                <w:snapToGrid w:val="0"/>
                <w:color w:val="000000"/>
                <w:kern w:val="0"/>
                <w:sz w:val="24"/>
                <w:szCs w:val="24"/>
                <w:highlight w:val="none"/>
                <w:u w:val="none"/>
                <w:lang w:val="en-US" w:eastAsia="zh-CN" w:bidi="ar"/>
              </w:rPr>
              <w:t>9</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B984">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一、根据供应商对本项目的实施方案进行评审，包括但不限于以下内容：</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①项目实施的详细进度计划；</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②根据项目需求编制的施工方案；</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③现场项目管理措施。</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 xml:space="preserve">二、评审标准 </w:t>
            </w:r>
          </w:p>
          <w:p w14:paraId="386AA2C6">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1.完整性：方案必须全面，对评审内容中的各项要求有详细描述；</w:t>
            </w:r>
          </w:p>
          <w:p w14:paraId="753A9C61">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2.可实施性：切合本项目实际情况，提出步骤清晰、合理的方案； </w:t>
            </w:r>
          </w:p>
          <w:p w14:paraId="7886E1A9">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3.针对性：方案能够紧扣项目实际情况，内容科学合理。</w:t>
            </w:r>
          </w:p>
          <w:p w14:paraId="277A5431">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三、赋分标准（9分） </w:t>
            </w:r>
          </w:p>
          <w:p w14:paraId="584684E8">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①项目实施的详细进度计划：每完全满足一个评审标准得1分，满分3分；</w:t>
            </w:r>
          </w:p>
          <w:p w14:paraId="452F22EE">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②根据项目需求编制的施工方案：每完全满足一个评审标准得1分，满分3分； </w:t>
            </w:r>
          </w:p>
          <w:p w14:paraId="5E2B3F80">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仿宋_GB2312" w:eastAsia="宋体" w:cs="仿宋_GB2312"/>
                <w:snapToGrid w:val="0"/>
                <w:color w:val="000000"/>
                <w:kern w:val="0"/>
                <w:sz w:val="24"/>
                <w:szCs w:val="21"/>
                <w:highlight w:val="none"/>
                <w:lang w:val="en-US" w:eastAsia="zh-CN" w:bidi="ar-SA"/>
              </w:rPr>
            </w:pPr>
            <w:r>
              <w:rPr>
                <w:rFonts w:hint="eastAsia" w:ascii="宋体" w:hAnsi="宋体" w:eastAsia="宋体" w:cs="宋体"/>
                <w:i w:val="0"/>
                <w:iCs w:val="0"/>
                <w:snapToGrid w:val="0"/>
                <w:color w:val="000000"/>
                <w:kern w:val="0"/>
                <w:sz w:val="24"/>
                <w:szCs w:val="24"/>
                <w:highlight w:val="none"/>
                <w:u w:val="none"/>
                <w:lang w:val="en-US" w:eastAsia="zh-CN" w:bidi="ar"/>
              </w:rPr>
              <w:t>③现场项目管理措施：每完全满足一个评审标准得1分，满分3分。</w:t>
            </w:r>
          </w:p>
        </w:tc>
      </w:tr>
      <w:tr w14:paraId="12F2B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F0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E7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管理制度</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64F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9</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AD6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一、针对本项目具有良好的管理制度，内容包括：</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①岗位制度：具有岗位职责、服务质量标准；</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②内控制度：具有管理组织机构、内部管理制度、监督机制；</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③人员管理制度：具有员工日常管理办法、奖惩措施、仪容仪表制度。</w:t>
            </w:r>
          </w:p>
          <w:p w14:paraId="2AD70AB9">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二、评审标准 </w:t>
            </w:r>
          </w:p>
          <w:p w14:paraId="3A1737B5">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1.完整性：方案必须全面，对评审内容中的各项要求有详细描述；</w:t>
            </w:r>
          </w:p>
          <w:p w14:paraId="2C284A37">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2.可实施性：切合本项目实际情况，提出步骤清晰、合理的方案； </w:t>
            </w:r>
          </w:p>
          <w:p w14:paraId="6F16EB69">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3.针对性：方案能够紧扣项目实际情况，内容科学合理。</w:t>
            </w:r>
          </w:p>
          <w:p w14:paraId="4E413D09">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三、赋分标准（9分） </w:t>
            </w:r>
          </w:p>
          <w:p w14:paraId="77BF428A">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①岗位制度：每完全满足一个评审标准得1分，满分3分；</w:t>
            </w:r>
          </w:p>
          <w:p w14:paraId="3F293F8D">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②内控制度：每完全满足一个评审标准得1分，满分3分； </w:t>
            </w:r>
          </w:p>
          <w:p w14:paraId="391AF6E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③人员管理制度：每完全满足一个评审标准得1分，满分3分。</w:t>
            </w:r>
          </w:p>
        </w:tc>
      </w:tr>
      <w:tr w14:paraId="497D7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03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22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安全服务保障措施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26CF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9</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8806">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一、根据供应商对本项目提供的安全保障措施进行评审，包括但不限于以下内容：</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①建立安全服务保障管理措施；</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②建立工作实效性保证措施；</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③关于使用机具管理制度。</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 xml:space="preserve">二、评审标准 </w:t>
            </w:r>
          </w:p>
          <w:p w14:paraId="7764563A">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1.完整性：方案必须全面，对评审内容中的各项要求有详细描述；</w:t>
            </w:r>
          </w:p>
          <w:p w14:paraId="129753C1">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2.可实施性：切合本项目实际情况，提出步骤清晰、合理的方案； </w:t>
            </w:r>
          </w:p>
          <w:p w14:paraId="5FFE1536">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3.针对性：方案能够紧扣项目实际情况，内容科学合理。</w:t>
            </w:r>
          </w:p>
          <w:p w14:paraId="775A35F2">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三、赋分标准（9分） </w:t>
            </w:r>
          </w:p>
          <w:p w14:paraId="3D3D5BB5">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①建立安全服务保障管理措施：每完全满足一个评审标准得1分，满分3分；</w:t>
            </w:r>
          </w:p>
          <w:p w14:paraId="7A272E10">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②建立工作实效性保证措施：每完全满足一个评审标准得1分，满分3分； </w:t>
            </w:r>
          </w:p>
          <w:p w14:paraId="5B1C41D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③关于使用机具管理制度：每完全满足一个评审标准得1分，满分3分。</w:t>
            </w:r>
          </w:p>
        </w:tc>
      </w:tr>
      <w:tr w14:paraId="6DC01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3D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97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质量保证措施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2A4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9</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DD2D">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一、针对本项目制定详细的质量保证措施，措施内容包含</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①质量控制制度；</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②质量控制标准；</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③质量控制程序。</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 xml:space="preserve">二、评审标准 </w:t>
            </w:r>
          </w:p>
          <w:p w14:paraId="7B3011B3">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1.完整性：方案必须全面，对评审内容中的各项要求有详细描述；</w:t>
            </w:r>
          </w:p>
          <w:p w14:paraId="686DAD70">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2.可实施性：切合本项目实际情况，提出步骤清晰、合理的方案； </w:t>
            </w:r>
          </w:p>
          <w:p w14:paraId="17418E1A">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3.针对性：方案能够紧扣项目实际情况，内容科学合理。</w:t>
            </w:r>
          </w:p>
          <w:p w14:paraId="46BACA15">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三、赋分标准（9分） </w:t>
            </w:r>
          </w:p>
          <w:p w14:paraId="27CDE493">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①质量控制制度：每完全满足一个评审标准得1分，满分3分；</w:t>
            </w:r>
          </w:p>
          <w:p w14:paraId="5DC3504E">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②质量控制标准：每完全满足一个评审标准得1分，满分3分； </w:t>
            </w:r>
          </w:p>
          <w:p w14:paraId="2D48F3C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③质量控制程序：每完全满足一个评审标准得1分，满分3分。</w:t>
            </w:r>
          </w:p>
        </w:tc>
      </w:tr>
      <w:tr w14:paraId="0E97A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9C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8A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项目团队</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BC5C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9</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A7C4">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一、根据供应商对本项目提供的拟派项目团队进行评审，包括但不限于以下内容：</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①拟投入本项目团队人员清单，清单至少包括姓名、职责等；</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②人员配备合理性；</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③人员配备责任。</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 xml:space="preserve">二、评审标准 </w:t>
            </w:r>
          </w:p>
          <w:p w14:paraId="7AE16CA6">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1.完整性：方案必须全面，对评审内容中的各项要求有详细描述；</w:t>
            </w:r>
          </w:p>
          <w:p w14:paraId="734F7F36">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2.可实施性：切合本项目实际情况，提出步骤清晰、合理的方案； </w:t>
            </w:r>
          </w:p>
          <w:p w14:paraId="7C34049E">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3.针对性：方案能够紧扣项目实际情况，内容科学合理。</w:t>
            </w:r>
          </w:p>
          <w:p w14:paraId="1DD952E1">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三、赋分标准（9分） </w:t>
            </w:r>
          </w:p>
          <w:p w14:paraId="01247B5F">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①拟投入本项目团队人员清单，清单至少包括姓名、职责等：每完全满足一个评审标准得1分，满分3分；</w:t>
            </w:r>
          </w:p>
          <w:p w14:paraId="53FCA1E9">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②人员配备合理性：每完全满足一个评审标准得1分，满分3分； </w:t>
            </w:r>
          </w:p>
          <w:p w14:paraId="6D7EF69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③人员配备责任：每完全满足一个评审标准得1分，满分3分。</w:t>
            </w:r>
          </w:p>
        </w:tc>
      </w:tr>
      <w:tr w14:paraId="086F9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AA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7D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拟投入本项目劳务工具</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9A2F">
            <w:pPr>
              <w:keepNext w:val="0"/>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snapToGrid w:val="0"/>
                <w:color w:val="000000"/>
                <w:kern w:val="0"/>
                <w:sz w:val="24"/>
                <w:szCs w:val="24"/>
                <w:highlight w:val="none"/>
                <w:u w:val="none"/>
                <w:lang w:val="en-US" w:eastAsia="zh-CN" w:bidi="ar"/>
              </w:rPr>
              <w:t>12</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AE33">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根据供应商对本项目提供的拟投入本项目的工具设备情况进行评审，包括但不限于以下内容：</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①设备种类、数量；</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②工具配置情况。</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 xml:space="preserve">二、评审标准 </w:t>
            </w:r>
          </w:p>
          <w:p w14:paraId="144C9C57">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1.完整性：方案必须全面，对评审内容中的各项要求有详细描述；</w:t>
            </w:r>
          </w:p>
          <w:p w14:paraId="0646E953">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2.可实施性：切合本项目实际情况，提出步骤清晰、合理的方案； </w:t>
            </w:r>
          </w:p>
          <w:p w14:paraId="7D36817A">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3.针对性：方案能够紧扣项目实际情况，内容科学合理。</w:t>
            </w:r>
          </w:p>
          <w:p w14:paraId="6970CFC8">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三、赋分标准（12分） </w:t>
            </w:r>
          </w:p>
          <w:p w14:paraId="1BE59C08">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①设备种类、数量：每完全满足一个评审标准得2分，满分6分；</w:t>
            </w:r>
          </w:p>
          <w:p w14:paraId="7A29BBD0">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②工具配置情况：每完全满足一个评审标准得2分，满分6分； </w:t>
            </w:r>
          </w:p>
        </w:tc>
      </w:tr>
      <w:tr w14:paraId="05CD5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96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58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工作保密措施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F8E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9</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957F">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一、根据供应商对本项目提供的工作保密措施进行评审，包括但不限于以下内容：</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①保密内容；</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②保密措施及处置预案；</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③保密制度。</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 xml:space="preserve">二、评审标准 </w:t>
            </w:r>
          </w:p>
          <w:p w14:paraId="3CF57753">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1.完整性：方案必须全面，对评审内容中的各项要求有详细描述；</w:t>
            </w:r>
          </w:p>
          <w:p w14:paraId="64B4C504">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2.可实施性：切合本项目实际情况，提出步骤清晰、合理的方案； </w:t>
            </w:r>
          </w:p>
          <w:p w14:paraId="5B1B3499">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3.针对性：方案能够紧扣项目实际情况，内容科学合理。</w:t>
            </w:r>
          </w:p>
          <w:p w14:paraId="7317D91E">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三、赋分标准（9分） </w:t>
            </w:r>
          </w:p>
          <w:p w14:paraId="6BA5A582">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①保密内容：每完全满足一个评审标准得1分，满分3分；</w:t>
            </w:r>
          </w:p>
          <w:p w14:paraId="3CD057AB">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②保密措施及处置预案：每完全满足一个评审标准得1分，满分3分； </w:t>
            </w:r>
          </w:p>
          <w:p w14:paraId="47F56A2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③保密制度：每完全满足一个评审标准得1分，满分3分。</w:t>
            </w:r>
          </w:p>
        </w:tc>
      </w:tr>
      <w:tr w14:paraId="0404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A0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B7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应急保障措施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6DA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9</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92B4">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针对本项目提供应急措施保障，措施保障内容包含：</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①应急预案；</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②应急处理响应时间；</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③应急人数及人员安排。</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 xml:space="preserve">二、评审标准 </w:t>
            </w:r>
          </w:p>
          <w:p w14:paraId="02C10328">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1.完整性：方案必须全面，对评审内容中的各项要求有详细描述；</w:t>
            </w:r>
          </w:p>
          <w:p w14:paraId="0F8F4B33">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2.可实施性：切合本项目实际情况，提出步骤清晰、合理的方案； </w:t>
            </w:r>
          </w:p>
          <w:p w14:paraId="0AA603C6">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3.针对性：方案能够紧扣项目实际情况，内容科学合理。</w:t>
            </w:r>
          </w:p>
          <w:p w14:paraId="0B10FF75">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三、赋分标准（9分） </w:t>
            </w:r>
          </w:p>
          <w:p w14:paraId="67768605">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①应急预案：每完全满足一个评审标准得1分，满分3分；</w:t>
            </w:r>
          </w:p>
          <w:p w14:paraId="4A432B59">
            <w:pPr>
              <w:keepNext w:val="0"/>
              <w:keepLines w:val="0"/>
              <w:widowControl/>
              <w:numPr>
                <w:ilvl w:val="0"/>
                <w:numId w:val="0"/>
              </w:numPr>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②应急处理响应时间案：每完全满足一个评审标准得1分，满分3分； </w:t>
            </w:r>
          </w:p>
          <w:p w14:paraId="23F30E3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③应急人数及人员安排：每完全满足一个评审标准得1分，满分3分。</w:t>
            </w:r>
          </w:p>
        </w:tc>
      </w:tr>
      <w:tr w14:paraId="1B28F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BEF4">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snapToGrid w:val="0"/>
                <w:color w:val="000000"/>
                <w:kern w:val="0"/>
                <w:sz w:val="24"/>
                <w:szCs w:val="24"/>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C87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服务承诺</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0F33">
            <w:pPr>
              <w:keepNext w:val="0"/>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snapToGrid w:val="0"/>
                <w:color w:val="000000"/>
                <w:kern w:val="0"/>
                <w:sz w:val="24"/>
                <w:szCs w:val="24"/>
                <w:highlight w:val="none"/>
                <w:u w:val="none"/>
                <w:lang w:val="en-US" w:eastAsia="zh-CN" w:bidi="ar"/>
              </w:rPr>
              <w:t>4</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6E6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供应商对本项目承诺包括：</w:t>
            </w:r>
          </w:p>
          <w:p w14:paraId="7B48C29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微软雅黑" w:eastAsia="宋体" w:cs="微软雅黑"/>
                <w:i w:val="0"/>
                <w:iCs w:val="0"/>
                <w:snapToGrid w:val="0"/>
                <w:color w:val="000000"/>
                <w:kern w:val="0"/>
                <w:sz w:val="24"/>
                <w:szCs w:val="24"/>
                <w:highlight w:val="none"/>
                <w:u w:val="none"/>
                <w:lang w:val="en-US" w:eastAsia="zh-CN" w:bidi="ar"/>
              </w:rPr>
              <w:t>①</w:t>
            </w:r>
            <w:r>
              <w:rPr>
                <w:rFonts w:hint="eastAsia" w:ascii="宋体" w:hAnsi="宋体" w:eastAsia="宋体" w:cs="宋体"/>
                <w:i w:val="0"/>
                <w:iCs w:val="0"/>
                <w:snapToGrid w:val="0"/>
                <w:color w:val="000000"/>
                <w:kern w:val="0"/>
                <w:sz w:val="24"/>
                <w:szCs w:val="24"/>
                <w:highlight w:val="none"/>
                <w:u w:val="none"/>
                <w:lang w:val="en-US" w:eastAsia="zh-CN" w:bidi="ar"/>
              </w:rPr>
              <w:t>响应国家政策</w:t>
            </w:r>
          </w:p>
          <w:p w14:paraId="7FC4F30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微软雅黑" w:eastAsia="宋体" w:cs="微软雅黑"/>
                <w:i w:val="0"/>
                <w:iCs w:val="0"/>
                <w:snapToGrid w:val="0"/>
                <w:color w:val="000000"/>
                <w:kern w:val="0"/>
                <w:sz w:val="24"/>
                <w:szCs w:val="24"/>
                <w:highlight w:val="none"/>
                <w:u w:val="none"/>
                <w:lang w:val="en-US" w:eastAsia="zh-CN" w:bidi="ar"/>
              </w:rPr>
              <w:t>②</w:t>
            </w:r>
            <w:r>
              <w:rPr>
                <w:rFonts w:hint="eastAsia" w:ascii="宋体" w:hAnsi="宋体" w:eastAsia="宋体" w:cs="宋体"/>
                <w:i w:val="0"/>
                <w:iCs w:val="0"/>
                <w:snapToGrid w:val="0"/>
                <w:color w:val="000000"/>
                <w:kern w:val="0"/>
                <w:sz w:val="24"/>
                <w:szCs w:val="24"/>
                <w:highlight w:val="none"/>
                <w:u w:val="none"/>
                <w:lang w:val="en-US" w:eastAsia="zh-CN" w:bidi="ar"/>
              </w:rPr>
              <w:t>对项目款支付</w:t>
            </w:r>
          </w:p>
          <w:p w14:paraId="771E341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微软雅黑" w:hAnsi="微软雅黑" w:eastAsia="微软雅黑" w:cs="微软雅黑"/>
                <w:i w:val="0"/>
                <w:iCs w:val="0"/>
                <w:snapToGrid w:val="0"/>
                <w:color w:val="000000"/>
                <w:kern w:val="0"/>
                <w:sz w:val="24"/>
                <w:szCs w:val="24"/>
                <w:highlight w:val="none"/>
                <w:u w:val="none"/>
                <w:lang w:val="en-US" w:eastAsia="zh-CN" w:bidi="ar"/>
              </w:rPr>
              <w:t>③</w:t>
            </w:r>
            <w:r>
              <w:rPr>
                <w:rFonts w:hint="eastAsia" w:ascii="宋体" w:hAnsi="宋体" w:eastAsia="宋体" w:cs="宋体"/>
                <w:i w:val="0"/>
                <w:iCs w:val="0"/>
                <w:snapToGrid w:val="0"/>
                <w:color w:val="000000"/>
                <w:kern w:val="0"/>
                <w:sz w:val="24"/>
                <w:szCs w:val="24"/>
                <w:highlight w:val="none"/>
                <w:u w:val="none"/>
                <w:lang w:val="en-US" w:eastAsia="zh-CN" w:bidi="ar"/>
              </w:rPr>
              <w:t>农民工工资支付</w:t>
            </w:r>
          </w:p>
          <w:p w14:paraId="3B08919F">
            <w:pPr>
              <w:keepNext w:val="0"/>
              <w:keepLines w:val="0"/>
              <w:widowControl/>
              <w:suppressLineNumbers w:val="0"/>
              <w:snapToGrid w:val="0"/>
              <w:ind w:left="0" w:leftChars="0" w:right="0" w:rightChars="0" w:firstLine="0" w:firstLineChars="0"/>
              <w:jc w:val="left"/>
              <w:textAlignment w:val="center"/>
              <w:rPr>
                <w:rFonts w:hint="default"/>
                <w:highlight w:val="none"/>
                <w:lang w:val="en-US"/>
              </w:rPr>
            </w:pPr>
            <w:r>
              <w:rPr>
                <w:rFonts w:hint="eastAsia" w:ascii="微软雅黑" w:hAnsi="微软雅黑" w:eastAsia="微软雅黑" w:cs="微软雅黑"/>
                <w:i w:val="0"/>
                <w:iCs w:val="0"/>
                <w:snapToGrid w:val="0"/>
                <w:color w:val="000000"/>
                <w:kern w:val="0"/>
                <w:sz w:val="24"/>
                <w:szCs w:val="24"/>
                <w:highlight w:val="none"/>
                <w:u w:val="none"/>
                <w:lang w:val="en-US" w:eastAsia="zh-CN" w:bidi="ar"/>
              </w:rPr>
              <w:t>④</w:t>
            </w:r>
            <w:r>
              <w:rPr>
                <w:rFonts w:hint="eastAsia" w:ascii="宋体" w:hAnsi="宋体" w:eastAsia="宋体" w:cs="宋体"/>
                <w:i w:val="0"/>
                <w:iCs w:val="0"/>
                <w:snapToGrid w:val="0"/>
                <w:color w:val="000000"/>
                <w:kern w:val="0"/>
                <w:sz w:val="24"/>
                <w:szCs w:val="24"/>
                <w:highlight w:val="none"/>
                <w:u w:val="none"/>
                <w:lang w:val="en-US" w:eastAsia="zh-CN" w:bidi="ar"/>
              </w:rPr>
              <w:t>周围环境（市政、市容）的协调及所发生费用等方面）。</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每提供一项得1分，满分4分，未提供相关内容不得分。</w:t>
            </w:r>
          </w:p>
        </w:tc>
      </w:tr>
      <w:tr w14:paraId="7346A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8D0FA">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snapToGrid w:val="0"/>
                <w:color w:val="000000"/>
                <w:kern w:val="0"/>
                <w:sz w:val="24"/>
                <w:szCs w:val="24"/>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C4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合理化建议</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D343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5</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F18E">
            <w:pPr>
              <w:keepNext w:val="0"/>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snapToGrid w:val="0"/>
                <w:color w:val="000000"/>
                <w:kern w:val="0"/>
                <w:sz w:val="24"/>
                <w:szCs w:val="24"/>
                <w:highlight w:val="none"/>
                <w:u w:val="none"/>
                <w:lang w:val="en-US" w:eastAsia="zh-CN" w:bidi="ar"/>
              </w:rPr>
              <w:t>针对本项目实际需求，提供实质性的合理化建议。</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每提供1项，得1分，满分5分。</w:t>
            </w:r>
          </w:p>
        </w:tc>
      </w:tr>
      <w:tr w14:paraId="52C4A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1"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F5E0">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snapToGrid w:val="0"/>
                <w:color w:val="000000"/>
                <w:kern w:val="0"/>
                <w:sz w:val="24"/>
                <w:szCs w:val="24"/>
                <w:highlight w:val="none"/>
                <w:u w:val="none"/>
                <w:lang w:val="en-US" w:eastAsia="zh-CN" w:bidi="ar"/>
              </w:rPr>
              <w:t>12</w:t>
            </w: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C8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业绩</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5EBC">
            <w:pPr>
              <w:keepNext w:val="0"/>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snapToGrid w:val="0"/>
                <w:color w:val="000000"/>
                <w:kern w:val="0"/>
                <w:sz w:val="24"/>
                <w:szCs w:val="24"/>
                <w:highlight w:val="none"/>
                <w:u w:val="none"/>
                <w:lang w:val="en-US" w:eastAsia="zh-CN" w:bidi="ar"/>
              </w:rPr>
              <w:t>6</w:t>
            </w:r>
          </w:p>
        </w:tc>
        <w:tc>
          <w:tcPr>
            <w:tcW w:w="4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A0B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提供供应商2022年1月至截标时间前类似项目业绩（以合同签订日期为准），每提供1份计1分，满分6分。</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备注：业绩证明（以合同或中标通知书为准，须在磋商响应文件中附合同或中标通知书的扫描件加盖单位公章）弄虚作假者，取消其中标资格。</w:t>
            </w:r>
          </w:p>
        </w:tc>
      </w:tr>
    </w:tbl>
    <w:p w14:paraId="7FD07CAA">
      <w:pPr>
        <w:spacing w:line="89" w:lineRule="auto"/>
        <w:rPr>
          <w:rFonts w:ascii="Arial"/>
          <w:sz w:val="2"/>
          <w:highlight w:val="none"/>
        </w:rPr>
      </w:pPr>
    </w:p>
    <w:p w14:paraId="494F95D5">
      <w:pPr>
        <w:pStyle w:val="5"/>
        <w:spacing w:line="315" w:lineRule="auto"/>
        <w:rPr>
          <w:highlight w:val="none"/>
        </w:rPr>
      </w:pPr>
    </w:p>
    <w:p w14:paraId="3551E941">
      <w:pPr>
        <w:spacing w:before="78" w:line="220" w:lineRule="auto"/>
        <w:ind w:left="456"/>
        <w:rPr>
          <w:rFonts w:ascii="宋体" w:hAnsi="宋体" w:eastAsia="宋体" w:cs="宋体"/>
          <w:sz w:val="24"/>
          <w:szCs w:val="24"/>
          <w:highlight w:val="none"/>
        </w:rPr>
      </w:pPr>
      <w:r>
        <w:rPr>
          <w:rFonts w:ascii="宋体" w:hAnsi="宋体" w:eastAsia="宋体" w:cs="宋体"/>
          <w:b/>
          <w:bCs/>
          <w:spacing w:val="-3"/>
          <w:sz w:val="24"/>
          <w:szCs w:val="24"/>
          <w:highlight w:val="none"/>
        </w:rPr>
        <w:t>2.2</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质量优先法</w:t>
      </w:r>
    </w:p>
    <w:p w14:paraId="3190CF0F">
      <w:pPr>
        <w:spacing w:before="299" w:line="219" w:lineRule="auto"/>
        <w:ind w:left="936"/>
        <w:rPr>
          <w:rFonts w:ascii="宋体" w:hAnsi="宋体" w:eastAsia="宋体" w:cs="宋体"/>
          <w:sz w:val="24"/>
          <w:szCs w:val="24"/>
          <w:highlight w:val="none"/>
        </w:rPr>
      </w:pPr>
      <w:r>
        <w:rPr>
          <w:rFonts w:ascii="宋体" w:hAnsi="宋体" w:eastAsia="宋体" w:cs="宋体"/>
          <w:spacing w:val="-1"/>
          <w:sz w:val="24"/>
          <w:szCs w:val="24"/>
          <w:highlight w:val="none"/>
        </w:rPr>
        <w:t>2.2.1 供应商须知前附表规定质量优先法的，适用本条款。</w:t>
      </w:r>
    </w:p>
    <w:p w14:paraId="395D5C77">
      <w:pPr>
        <w:spacing w:before="180" w:line="313" w:lineRule="auto"/>
        <w:ind w:left="453" w:right="443" w:firstLine="482"/>
        <w:rPr>
          <w:rFonts w:ascii="宋体" w:hAnsi="宋体" w:eastAsia="宋体" w:cs="宋体"/>
          <w:sz w:val="24"/>
          <w:szCs w:val="24"/>
          <w:highlight w:val="none"/>
        </w:rPr>
      </w:pPr>
      <w:r>
        <w:rPr>
          <w:rFonts w:ascii="宋体" w:hAnsi="宋体" w:eastAsia="宋体" w:cs="宋体"/>
          <w:spacing w:val="9"/>
          <w:sz w:val="24"/>
          <w:szCs w:val="24"/>
          <w:highlight w:val="none"/>
        </w:rPr>
        <w:t>2.2.2.1</w:t>
      </w:r>
      <w:r>
        <w:rPr>
          <w:rFonts w:ascii="宋体" w:hAnsi="宋体" w:eastAsia="宋体" w:cs="宋体"/>
          <w:spacing w:val="-28"/>
          <w:sz w:val="24"/>
          <w:szCs w:val="24"/>
          <w:highlight w:val="none"/>
        </w:rPr>
        <w:t xml:space="preserve"> </w:t>
      </w:r>
      <w:r>
        <w:rPr>
          <w:rFonts w:ascii="宋体" w:hAnsi="宋体" w:eastAsia="宋体" w:cs="宋体"/>
          <w:spacing w:val="9"/>
          <w:sz w:val="24"/>
          <w:szCs w:val="24"/>
          <w:highlight w:val="none"/>
        </w:rPr>
        <w:t>价格优先法是指对满足采购需求且响应报价不超过最高限制单价的货</w:t>
      </w:r>
      <w:r>
        <w:rPr>
          <w:rFonts w:ascii="宋体" w:hAnsi="宋体" w:eastAsia="宋体" w:cs="宋体"/>
          <w:spacing w:val="2"/>
          <w:sz w:val="24"/>
          <w:szCs w:val="24"/>
          <w:highlight w:val="none"/>
        </w:rPr>
        <w:t>物、服务，按照响应报价从低到高排序，根据征集文件规定的淘汰率或</w:t>
      </w:r>
      <w:r>
        <w:rPr>
          <w:rFonts w:ascii="宋体" w:hAnsi="宋体" w:eastAsia="宋体" w:cs="宋体"/>
          <w:spacing w:val="1"/>
          <w:sz w:val="24"/>
          <w:szCs w:val="24"/>
          <w:highlight w:val="none"/>
        </w:rPr>
        <w:t>者入围供应商</w:t>
      </w:r>
      <w:r>
        <w:rPr>
          <w:rFonts w:ascii="宋体" w:hAnsi="宋体" w:eastAsia="宋体" w:cs="宋体"/>
          <w:spacing w:val="-1"/>
          <w:sz w:val="24"/>
          <w:szCs w:val="24"/>
          <w:highlight w:val="none"/>
        </w:rPr>
        <w:t>数量上限，确定入围供应商的评审方法。</w:t>
      </w:r>
    </w:p>
    <w:p w14:paraId="525C04F3">
      <w:pPr>
        <w:spacing w:before="185" w:line="312" w:lineRule="auto"/>
        <w:ind w:left="453" w:right="443" w:firstLine="482"/>
        <w:rPr>
          <w:rFonts w:ascii="宋体" w:hAnsi="宋体" w:eastAsia="宋体" w:cs="宋体"/>
          <w:sz w:val="24"/>
          <w:szCs w:val="24"/>
          <w:highlight w:val="none"/>
        </w:rPr>
      </w:pPr>
      <w:r>
        <w:rPr>
          <w:rFonts w:ascii="宋体" w:hAnsi="宋体" w:eastAsia="宋体" w:cs="宋体"/>
          <w:spacing w:val="9"/>
          <w:sz w:val="24"/>
          <w:szCs w:val="24"/>
          <w:highlight w:val="none"/>
        </w:rPr>
        <w:t>2.2.2.2</w:t>
      </w:r>
      <w:r>
        <w:rPr>
          <w:rFonts w:ascii="宋体" w:hAnsi="宋体" w:eastAsia="宋体" w:cs="宋体"/>
          <w:spacing w:val="-28"/>
          <w:sz w:val="24"/>
          <w:szCs w:val="24"/>
          <w:highlight w:val="none"/>
        </w:rPr>
        <w:t xml:space="preserve"> </w:t>
      </w:r>
      <w:r>
        <w:rPr>
          <w:rFonts w:ascii="宋体" w:hAnsi="宋体" w:eastAsia="宋体" w:cs="宋体"/>
          <w:spacing w:val="9"/>
          <w:sz w:val="24"/>
          <w:szCs w:val="24"/>
          <w:highlight w:val="none"/>
        </w:rPr>
        <w:t>质量优先法是指对满足采购需求且响应报价不超过最高限制单价的货</w:t>
      </w:r>
      <w:r>
        <w:rPr>
          <w:rFonts w:ascii="宋体" w:hAnsi="宋体" w:eastAsia="宋体" w:cs="宋体"/>
          <w:spacing w:val="2"/>
          <w:sz w:val="24"/>
          <w:szCs w:val="24"/>
          <w:highlight w:val="none"/>
        </w:rPr>
        <w:t>物、服务进行质量综合评分，按照质量评分从高到低排序，根据征集文</w:t>
      </w:r>
      <w:r>
        <w:rPr>
          <w:rFonts w:ascii="宋体" w:hAnsi="宋体" w:eastAsia="宋体" w:cs="宋体"/>
          <w:spacing w:val="1"/>
          <w:sz w:val="24"/>
          <w:szCs w:val="24"/>
          <w:highlight w:val="none"/>
        </w:rPr>
        <w:t>件规定的淘汰</w:t>
      </w:r>
      <w:r>
        <w:rPr>
          <w:rFonts w:ascii="宋体" w:hAnsi="宋体" w:eastAsia="宋体" w:cs="宋体"/>
          <w:spacing w:val="-1"/>
          <w:sz w:val="24"/>
          <w:szCs w:val="24"/>
          <w:highlight w:val="none"/>
        </w:rPr>
        <w:t>率或者入围供应商上限，确定入围供应商的评审方法。</w:t>
      </w:r>
    </w:p>
    <w:p w14:paraId="38D66C4A">
      <w:pPr>
        <w:spacing w:before="79" w:line="220" w:lineRule="auto"/>
        <w:ind w:left="456"/>
        <w:rPr>
          <w:rFonts w:hint="default" w:ascii="宋体" w:hAnsi="宋体" w:eastAsia="宋体" w:cs="宋体"/>
          <w:sz w:val="24"/>
          <w:szCs w:val="24"/>
          <w:highlight w:val="none"/>
          <w:lang w:val="en-US" w:eastAsia="zh-CN"/>
        </w:rPr>
      </w:pPr>
      <w:r>
        <w:rPr>
          <w:rFonts w:ascii="宋体" w:hAnsi="宋体" w:eastAsia="宋体" w:cs="宋体"/>
          <w:b/>
          <w:bCs/>
          <w:spacing w:val="-3"/>
          <w:sz w:val="24"/>
          <w:szCs w:val="24"/>
          <w:highlight w:val="none"/>
        </w:rPr>
        <w:t>2.3</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特殊情况的处理</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val="en-US" w:eastAsia="zh-CN"/>
        </w:rPr>
        <w:t>如有）</w:t>
      </w:r>
    </w:p>
    <w:p w14:paraId="1101940B">
      <w:pPr>
        <w:spacing w:before="302" w:line="220" w:lineRule="auto"/>
        <w:ind w:left="936"/>
        <w:rPr>
          <w:rFonts w:ascii="宋体" w:hAnsi="宋体" w:eastAsia="宋体" w:cs="宋体"/>
          <w:sz w:val="24"/>
          <w:szCs w:val="24"/>
          <w:highlight w:val="none"/>
        </w:rPr>
      </w:pPr>
      <w:r>
        <w:rPr>
          <w:rFonts w:ascii="宋体" w:hAnsi="宋体" w:eastAsia="宋体" w:cs="宋体"/>
          <w:spacing w:val="-1"/>
          <w:sz w:val="24"/>
          <w:szCs w:val="24"/>
          <w:highlight w:val="none"/>
        </w:rPr>
        <w:t>2.3.1 响应文件中如果出现计算错误，可按以下原则进行修正：</w:t>
      </w:r>
    </w:p>
    <w:p w14:paraId="5E1A5CCC">
      <w:pPr>
        <w:spacing w:before="179" w:line="220" w:lineRule="auto"/>
        <w:ind w:left="945"/>
        <w:rPr>
          <w:rFonts w:ascii="宋体" w:hAnsi="宋体" w:eastAsia="宋体" w:cs="宋体"/>
          <w:sz w:val="24"/>
          <w:szCs w:val="24"/>
          <w:highlight w:val="none"/>
        </w:rPr>
      </w:pPr>
      <w:r>
        <w:rPr>
          <w:rFonts w:ascii="宋体" w:hAnsi="宋体" w:eastAsia="宋体" w:cs="宋体"/>
          <w:spacing w:val="-1"/>
          <w:sz w:val="24"/>
          <w:szCs w:val="24"/>
          <w:highlight w:val="none"/>
        </w:rPr>
        <w:t>（1）响应文件中的大写金额与小写金额不一致的，以大写金额为准；</w:t>
      </w:r>
    </w:p>
    <w:p w14:paraId="7A2647FA">
      <w:pPr>
        <w:spacing w:before="182" w:line="289" w:lineRule="auto"/>
        <w:ind w:left="455" w:right="444" w:firstLine="489"/>
        <w:rPr>
          <w:rFonts w:ascii="宋体" w:hAnsi="宋体" w:eastAsia="宋体" w:cs="宋体"/>
          <w:sz w:val="24"/>
          <w:szCs w:val="24"/>
          <w:highlight w:val="none"/>
        </w:rPr>
      </w:pPr>
      <w:r>
        <w:rPr>
          <w:rFonts w:ascii="宋体" w:hAnsi="宋体" w:eastAsia="宋体" w:cs="宋体"/>
          <w:spacing w:val="5"/>
          <w:sz w:val="24"/>
          <w:szCs w:val="24"/>
          <w:highlight w:val="none"/>
        </w:rPr>
        <w:t>（2）响应文件中的总价金额与按单价计算的汇总金额不一致的，以单价的汇总</w:t>
      </w:r>
      <w:r>
        <w:rPr>
          <w:rFonts w:ascii="宋体" w:hAnsi="宋体" w:eastAsia="宋体" w:cs="宋体"/>
          <w:spacing w:val="-3"/>
          <w:sz w:val="24"/>
          <w:szCs w:val="24"/>
          <w:highlight w:val="none"/>
        </w:rPr>
        <w:t>金额为准；</w:t>
      </w:r>
    </w:p>
    <w:p w14:paraId="4CAF351A">
      <w:pPr>
        <w:spacing w:before="182" w:line="219" w:lineRule="auto"/>
        <w:ind w:left="945"/>
        <w:rPr>
          <w:rFonts w:ascii="宋体" w:hAnsi="宋体" w:eastAsia="宋体" w:cs="宋体"/>
          <w:sz w:val="24"/>
          <w:szCs w:val="24"/>
          <w:highlight w:val="none"/>
        </w:rPr>
      </w:pPr>
      <w:r>
        <w:rPr>
          <w:rFonts w:ascii="宋体" w:hAnsi="宋体" w:eastAsia="宋体" w:cs="宋体"/>
          <w:spacing w:val="-1"/>
          <w:sz w:val="24"/>
          <w:szCs w:val="24"/>
          <w:highlight w:val="none"/>
        </w:rPr>
        <w:t>（3）响应文件中的单价有明显小数点错误的，以总价为准，并修改单价；</w:t>
      </w:r>
    </w:p>
    <w:p w14:paraId="0E465023">
      <w:pPr>
        <w:spacing w:before="181" w:line="291" w:lineRule="auto"/>
        <w:ind w:left="452" w:right="444" w:firstLine="492"/>
        <w:rPr>
          <w:rFonts w:ascii="宋体" w:hAnsi="宋体" w:eastAsia="宋体" w:cs="宋体"/>
          <w:sz w:val="24"/>
          <w:szCs w:val="24"/>
          <w:highlight w:val="none"/>
        </w:rPr>
      </w:pPr>
      <w:r>
        <w:rPr>
          <w:rFonts w:ascii="宋体" w:hAnsi="宋体" w:eastAsia="宋体" w:cs="宋体"/>
          <w:spacing w:val="9"/>
          <w:sz w:val="24"/>
          <w:szCs w:val="24"/>
          <w:highlight w:val="none"/>
        </w:rPr>
        <w:t>（4）响应文件中有关分项表内容与“开标一览表</w:t>
      </w:r>
      <w:r>
        <w:rPr>
          <w:rFonts w:ascii="宋体" w:hAnsi="宋体" w:eastAsia="宋体" w:cs="宋体"/>
          <w:spacing w:val="-58"/>
          <w:sz w:val="24"/>
          <w:szCs w:val="24"/>
          <w:highlight w:val="none"/>
        </w:rPr>
        <w:t xml:space="preserve"> </w:t>
      </w:r>
      <w:r>
        <w:rPr>
          <w:rFonts w:ascii="宋体" w:hAnsi="宋体" w:eastAsia="宋体" w:cs="宋体"/>
          <w:spacing w:val="9"/>
          <w:sz w:val="24"/>
          <w:szCs w:val="24"/>
          <w:highlight w:val="none"/>
        </w:rPr>
        <w:t>”不一致的，</w:t>
      </w:r>
      <w:r>
        <w:rPr>
          <w:rFonts w:ascii="宋体" w:hAnsi="宋体" w:eastAsia="宋体" w:cs="宋体"/>
          <w:spacing w:val="-71"/>
          <w:sz w:val="24"/>
          <w:szCs w:val="24"/>
          <w:highlight w:val="none"/>
        </w:rPr>
        <w:t xml:space="preserve"> </w:t>
      </w:r>
      <w:r>
        <w:rPr>
          <w:rFonts w:ascii="宋体" w:hAnsi="宋体" w:eastAsia="宋体" w:cs="宋体"/>
          <w:spacing w:val="9"/>
          <w:sz w:val="24"/>
          <w:szCs w:val="24"/>
          <w:highlight w:val="none"/>
        </w:rPr>
        <w:t>以“开标一览</w:t>
      </w:r>
      <w:r>
        <w:rPr>
          <w:rFonts w:ascii="宋体" w:hAnsi="宋体" w:eastAsia="宋体" w:cs="宋体"/>
          <w:spacing w:val="-9"/>
          <w:sz w:val="24"/>
          <w:szCs w:val="24"/>
          <w:highlight w:val="none"/>
        </w:rPr>
        <w:t>表</w:t>
      </w:r>
      <w:r>
        <w:rPr>
          <w:rFonts w:ascii="宋体" w:hAnsi="宋体" w:eastAsia="宋体" w:cs="宋体"/>
          <w:spacing w:val="-85"/>
          <w:sz w:val="24"/>
          <w:szCs w:val="24"/>
          <w:highlight w:val="none"/>
        </w:rPr>
        <w:t xml:space="preserve"> </w:t>
      </w:r>
      <w:r>
        <w:rPr>
          <w:rFonts w:ascii="宋体" w:hAnsi="宋体" w:eastAsia="宋体" w:cs="宋体"/>
          <w:spacing w:val="-9"/>
          <w:sz w:val="24"/>
          <w:szCs w:val="24"/>
          <w:highlight w:val="none"/>
        </w:rPr>
        <w:t>”为准；</w:t>
      </w:r>
    </w:p>
    <w:p w14:paraId="02E5F0C5">
      <w:pPr>
        <w:spacing w:before="180" w:line="220" w:lineRule="auto"/>
        <w:ind w:left="945"/>
        <w:rPr>
          <w:rFonts w:ascii="宋体" w:hAnsi="宋体" w:eastAsia="宋体" w:cs="宋体"/>
          <w:sz w:val="24"/>
          <w:szCs w:val="24"/>
          <w:highlight w:val="none"/>
        </w:rPr>
      </w:pPr>
      <w:r>
        <w:rPr>
          <w:rFonts w:ascii="宋体" w:hAnsi="宋体" w:eastAsia="宋体" w:cs="宋体"/>
          <w:spacing w:val="-1"/>
          <w:sz w:val="24"/>
          <w:szCs w:val="24"/>
          <w:highlight w:val="none"/>
        </w:rPr>
        <w:t>（5）响应文件中图表与文字表述不一致的，以文字表述为准；</w:t>
      </w:r>
    </w:p>
    <w:p w14:paraId="3845B0EA">
      <w:pPr>
        <w:spacing w:before="180" w:line="219" w:lineRule="auto"/>
        <w:ind w:left="945"/>
        <w:rPr>
          <w:rFonts w:ascii="宋体" w:hAnsi="宋体" w:eastAsia="宋体" w:cs="宋体"/>
          <w:sz w:val="24"/>
          <w:szCs w:val="24"/>
          <w:highlight w:val="none"/>
        </w:rPr>
      </w:pPr>
      <w:r>
        <w:rPr>
          <w:rFonts w:ascii="宋体" w:hAnsi="宋体" w:eastAsia="宋体" w:cs="宋体"/>
          <w:spacing w:val="-1"/>
          <w:sz w:val="24"/>
          <w:szCs w:val="24"/>
          <w:highlight w:val="none"/>
        </w:rPr>
        <w:t>（6）响应文件正本与副本不一致的，以正本为准；</w:t>
      </w:r>
    </w:p>
    <w:p w14:paraId="0A6DB312">
      <w:pPr>
        <w:spacing w:before="181" w:line="219" w:lineRule="auto"/>
        <w:ind w:left="945"/>
        <w:rPr>
          <w:rFonts w:ascii="宋体" w:hAnsi="宋体" w:eastAsia="宋体" w:cs="宋体"/>
          <w:sz w:val="24"/>
          <w:szCs w:val="24"/>
          <w:highlight w:val="none"/>
        </w:rPr>
      </w:pPr>
      <w:r>
        <w:rPr>
          <w:rFonts w:ascii="宋体" w:hAnsi="宋体" w:eastAsia="宋体" w:cs="宋体"/>
          <w:spacing w:val="-1"/>
          <w:sz w:val="24"/>
          <w:szCs w:val="24"/>
          <w:highlight w:val="none"/>
        </w:rPr>
        <w:t>（7）对不同文字文本响应文件的解释发生异议的，以中文文本为准。</w:t>
      </w:r>
    </w:p>
    <w:p w14:paraId="1C874DBF">
      <w:pPr>
        <w:rPr>
          <w:rFonts w:ascii="宋体" w:hAnsi="宋体" w:eastAsia="宋体" w:cs="宋体"/>
          <w:b/>
          <w:bCs/>
          <w:spacing w:val="5"/>
          <w:sz w:val="43"/>
          <w:szCs w:val="43"/>
          <w:highlight w:val="none"/>
        </w:rPr>
      </w:pPr>
      <w:bookmarkStart w:id="27" w:name="bookmark6"/>
      <w:bookmarkEnd w:id="27"/>
      <w:bookmarkStart w:id="28" w:name="_Toc2861"/>
      <w:r>
        <w:rPr>
          <w:rFonts w:ascii="宋体" w:hAnsi="宋体" w:eastAsia="宋体" w:cs="宋体"/>
          <w:b/>
          <w:bCs/>
          <w:spacing w:val="5"/>
          <w:sz w:val="43"/>
          <w:szCs w:val="43"/>
          <w:highlight w:val="none"/>
        </w:rPr>
        <w:br w:type="page"/>
      </w:r>
    </w:p>
    <w:p w14:paraId="5539BB31">
      <w:pPr>
        <w:spacing w:before="168" w:line="223" w:lineRule="auto"/>
        <w:ind w:left="1727"/>
        <w:outlineLvl w:val="0"/>
        <w:rPr>
          <w:rFonts w:ascii="宋体" w:hAnsi="宋体" w:eastAsia="宋体" w:cs="宋体"/>
          <w:sz w:val="43"/>
          <w:szCs w:val="43"/>
          <w:highlight w:val="none"/>
        </w:rPr>
      </w:pPr>
      <w:r>
        <w:rPr>
          <w:rFonts w:ascii="宋体" w:hAnsi="宋体" w:eastAsia="宋体" w:cs="宋体"/>
          <w:b/>
          <w:bCs/>
          <w:spacing w:val="5"/>
          <w:sz w:val="43"/>
          <w:szCs w:val="43"/>
          <w:highlight w:val="none"/>
        </w:rPr>
        <w:t>第六章</w:t>
      </w:r>
      <w:r>
        <w:rPr>
          <w:rFonts w:ascii="宋体" w:hAnsi="宋体" w:eastAsia="宋体" w:cs="宋体"/>
          <w:spacing w:val="5"/>
          <w:sz w:val="43"/>
          <w:szCs w:val="43"/>
          <w:highlight w:val="none"/>
        </w:rPr>
        <w:t xml:space="preserve"> </w:t>
      </w:r>
      <w:r>
        <w:rPr>
          <w:rFonts w:ascii="宋体" w:hAnsi="宋体" w:eastAsia="宋体" w:cs="宋体"/>
          <w:b/>
          <w:bCs/>
          <w:spacing w:val="5"/>
          <w:sz w:val="43"/>
          <w:szCs w:val="43"/>
          <w:highlight w:val="none"/>
        </w:rPr>
        <w:t>响应文件构成及格式</w:t>
      </w:r>
      <w:bookmarkEnd w:id="28"/>
    </w:p>
    <w:p w14:paraId="1F29334B">
      <w:pPr>
        <w:pStyle w:val="5"/>
        <w:spacing w:line="278" w:lineRule="auto"/>
        <w:rPr>
          <w:highlight w:val="none"/>
        </w:rPr>
      </w:pPr>
    </w:p>
    <w:p w14:paraId="2B815671">
      <w:pPr>
        <w:pStyle w:val="5"/>
        <w:spacing w:line="278" w:lineRule="auto"/>
        <w:rPr>
          <w:highlight w:val="none"/>
        </w:rPr>
      </w:pPr>
    </w:p>
    <w:p w14:paraId="076BE96D">
      <w:pPr>
        <w:pStyle w:val="5"/>
        <w:spacing w:line="278" w:lineRule="auto"/>
        <w:rPr>
          <w:highlight w:val="none"/>
        </w:rPr>
      </w:pPr>
    </w:p>
    <w:p w14:paraId="7F826679">
      <w:pPr>
        <w:spacing w:before="78" w:line="360" w:lineRule="auto"/>
        <w:ind w:firstLine="483"/>
        <w:jc w:val="both"/>
        <w:rPr>
          <w:rFonts w:ascii="宋体" w:hAnsi="宋体" w:eastAsia="宋体" w:cs="宋体"/>
          <w:sz w:val="24"/>
          <w:szCs w:val="24"/>
          <w:highlight w:val="none"/>
        </w:rPr>
      </w:pPr>
      <w:r>
        <w:rPr>
          <w:rFonts w:ascii="宋体" w:hAnsi="宋体" w:eastAsia="宋体" w:cs="宋体"/>
          <w:spacing w:val="2"/>
          <w:sz w:val="24"/>
          <w:szCs w:val="24"/>
          <w:highlight w:val="none"/>
        </w:rPr>
        <w:t>响应文件格式是供应商的部分响应文件格式，供应商应按照这些格式编</w:t>
      </w:r>
      <w:r>
        <w:rPr>
          <w:rFonts w:ascii="宋体" w:hAnsi="宋体" w:eastAsia="宋体" w:cs="宋体"/>
          <w:spacing w:val="1"/>
          <w:sz w:val="24"/>
          <w:szCs w:val="24"/>
          <w:highlight w:val="none"/>
        </w:rPr>
        <w:t>制响应文</w:t>
      </w:r>
      <w:r>
        <w:rPr>
          <w:rFonts w:ascii="宋体" w:hAnsi="宋体" w:eastAsia="宋体" w:cs="宋体"/>
          <w:spacing w:val="2"/>
          <w:sz w:val="24"/>
          <w:szCs w:val="24"/>
          <w:highlight w:val="none"/>
        </w:rPr>
        <w:t>件。编制响应文件前，请详细阅读征集文件，理解文件中的每一项要求，</w:t>
      </w:r>
      <w:r>
        <w:rPr>
          <w:rFonts w:ascii="宋体" w:hAnsi="宋体" w:eastAsia="宋体" w:cs="宋体"/>
          <w:spacing w:val="1"/>
          <w:sz w:val="24"/>
          <w:szCs w:val="24"/>
          <w:highlight w:val="none"/>
        </w:rPr>
        <w:t>做出逐一实</w:t>
      </w:r>
      <w:r>
        <w:rPr>
          <w:rFonts w:ascii="宋体" w:hAnsi="宋体" w:eastAsia="宋体" w:cs="宋体"/>
          <w:spacing w:val="-1"/>
          <w:sz w:val="24"/>
          <w:szCs w:val="24"/>
          <w:highlight w:val="none"/>
        </w:rPr>
        <w:t>质性响应，认为有必要，可做补充说明。</w:t>
      </w:r>
    </w:p>
    <w:p w14:paraId="47B33C6D">
      <w:pPr>
        <w:spacing w:line="360" w:lineRule="auto"/>
        <w:rPr>
          <w:rFonts w:ascii="宋体" w:hAnsi="宋体" w:eastAsia="宋体" w:cs="宋体"/>
          <w:sz w:val="24"/>
          <w:szCs w:val="24"/>
          <w:highlight w:val="none"/>
        </w:rPr>
        <w:sectPr>
          <w:footerReference r:id="rId18" w:type="default"/>
          <w:pgSz w:w="11907" w:h="16840"/>
          <w:pgMar w:top="1431" w:right="1474" w:bottom="1199" w:left="1481" w:header="0" w:footer="984" w:gutter="0"/>
          <w:pgNumType w:fmt="decimal"/>
          <w:cols w:space="720" w:num="1"/>
        </w:sectPr>
      </w:pPr>
    </w:p>
    <w:p w14:paraId="49FE0F0F">
      <w:pPr>
        <w:spacing w:before="71" w:line="225" w:lineRule="auto"/>
        <w:ind w:left="6500"/>
        <w:outlineLvl w:val="1"/>
        <w:rPr>
          <w:rFonts w:ascii="宋体" w:hAnsi="宋体" w:eastAsia="宋体" w:cs="宋体"/>
          <w:sz w:val="35"/>
          <w:szCs w:val="35"/>
          <w:highlight w:val="none"/>
        </w:rPr>
      </w:pPr>
      <w:r>
        <w:rPr>
          <w:rFonts w:ascii="宋体" w:hAnsi="宋体" w:eastAsia="宋体" w:cs="宋体"/>
          <w:b/>
          <w:bCs/>
          <w:spacing w:val="2"/>
          <w:sz w:val="35"/>
          <w:szCs w:val="35"/>
          <w:highlight w:val="none"/>
        </w:rPr>
        <w:t>正本/副本</w:t>
      </w:r>
    </w:p>
    <w:p w14:paraId="28B370D8">
      <w:pPr>
        <w:spacing w:before="1" w:line="224" w:lineRule="auto"/>
        <w:outlineLvl w:val="1"/>
        <w:rPr>
          <w:rFonts w:hint="eastAsia" w:ascii="宋体" w:hAnsi="宋体" w:eastAsia="宋体" w:cs="宋体"/>
          <w:sz w:val="35"/>
          <w:szCs w:val="35"/>
          <w:highlight w:val="none"/>
          <w:lang w:eastAsia="zh-CN"/>
        </w:rPr>
      </w:pPr>
      <w:r>
        <w:rPr>
          <w:rFonts w:ascii="宋体" w:hAnsi="宋体" w:eastAsia="宋体" w:cs="宋体"/>
          <w:b/>
          <w:bCs/>
          <w:spacing w:val="7"/>
          <w:sz w:val="35"/>
          <w:szCs w:val="35"/>
          <w:highlight w:val="none"/>
        </w:rPr>
        <w:t>采购项目编号：</w:t>
      </w:r>
      <w:r>
        <w:rPr>
          <w:rFonts w:hint="eastAsia" w:ascii="宋体" w:hAnsi="宋体" w:eastAsia="宋体" w:cs="宋体"/>
          <w:sz w:val="35"/>
          <w:szCs w:val="35"/>
          <w:highlight w:val="none"/>
          <w:lang w:eastAsia="zh-CN"/>
        </w:rPr>
        <w:t>SXZCZB2026-ZCGK-0327</w:t>
      </w:r>
    </w:p>
    <w:p w14:paraId="4AF61107">
      <w:pPr>
        <w:pStyle w:val="5"/>
        <w:spacing w:line="266" w:lineRule="auto"/>
        <w:rPr>
          <w:highlight w:val="none"/>
        </w:rPr>
      </w:pPr>
    </w:p>
    <w:p w14:paraId="7684619D">
      <w:pPr>
        <w:pStyle w:val="5"/>
        <w:spacing w:line="267" w:lineRule="auto"/>
        <w:rPr>
          <w:highlight w:val="none"/>
        </w:rPr>
      </w:pPr>
    </w:p>
    <w:p w14:paraId="56931776">
      <w:pPr>
        <w:pStyle w:val="5"/>
        <w:spacing w:line="267" w:lineRule="auto"/>
        <w:rPr>
          <w:highlight w:val="none"/>
        </w:rPr>
      </w:pPr>
    </w:p>
    <w:p w14:paraId="2CFF2D2B">
      <w:pPr>
        <w:pStyle w:val="5"/>
        <w:spacing w:line="267" w:lineRule="auto"/>
        <w:rPr>
          <w:highlight w:val="none"/>
        </w:rPr>
      </w:pPr>
    </w:p>
    <w:p w14:paraId="471EE8A7">
      <w:pPr>
        <w:pStyle w:val="5"/>
        <w:spacing w:line="267" w:lineRule="auto"/>
        <w:rPr>
          <w:highlight w:val="none"/>
        </w:rPr>
      </w:pPr>
    </w:p>
    <w:p w14:paraId="0736F98A">
      <w:pPr>
        <w:pStyle w:val="5"/>
        <w:spacing w:line="267" w:lineRule="auto"/>
        <w:rPr>
          <w:highlight w:val="none"/>
        </w:rPr>
      </w:pPr>
    </w:p>
    <w:p w14:paraId="0A668B95">
      <w:pPr>
        <w:pStyle w:val="5"/>
        <w:spacing w:line="262" w:lineRule="auto"/>
        <w:rPr>
          <w:highlight w:val="none"/>
        </w:rPr>
      </w:pPr>
      <w:r>
        <w:rPr>
          <w:rFonts w:hint="eastAsia" w:ascii="宋体" w:hAnsi="宋体" w:eastAsia="宋体" w:cs="宋体"/>
          <w:b/>
          <w:bCs/>
          <w:spacing w:val="-4"/>
          <w:sz w:val="40"/>
          <w:szCs w:val="40"/>
          <w:highlight w:val="none"/>
          <w:lang w:eastAsia="zh-CN"/>
        </w:rPr>
        <w:t>富阎产业合作园区重点项目考古发掘劳务服务项</w:t>
      </w:r>
      <w:r>
        <w:rPr>
          <w:rFonts w:hint="eastAsia" w:ascii="宋体" w:hAnsi="宋体" w:eastAsia="宋体" w:cs="宋体"/>
          <w:b/>
          <w:bCs/>
          <w:spacing w:val="-4"/>
          <w:sz w:val="40"/>
          <w:szCs w:val="40"/>
          <w:highlight w:val="none"/>
          <w:lang w:val="en-US" w:eastAsia="zh-CN"/>
        </w:rPr>
        <w:t>目</w:t>
      </w:r>
    </w:p>
    <w:p w14:paraId="52F8FD95">
      <w:pPr>
        <w:pStyle w:val="5"/>
        <w:spacing w:line="262" w:lineRule="auto"/>
        <w:rPr>
          <w:highlight w:val="none"/>
        </w:rPr>
      </w:pPr>
    </w:p>
    <w:p w14:paraId="46DC9186">
      <w:pPr>
        <w:pStyle w:val="5"/>
        <w:spacing w:line="263" w:lineRule="auto"/>
        <w:rPr>
          <w:highlight w:val="none"/>
        </w:rPr>
      </w:pPr>
    </w:p>
    <w:p w14:paraId="7C3B1DFF">
      <w:pPr>
        <w:spacing w:before="231" w:line="223" w:lineRule="auto"/>
        <w:ind w:left="3085"/>
        <w:outlineLvl w:val="1"/>
        <w:rPr>
          <w:rFonts w:ascii="宋体" w:hAnsi="宋体" w:eastAsia="宋体" w:cs="宋体"/>
          <w:sz w:val="71"/>
          <w:szCs w:val="71"/>
          <w:highlight w:val="none"/>
        </w:rPr>
      </w:pPr>
      <w:r>
        <w:rPr>
          <w:rFonts w:ascii="宋体" w:hAnsi="宋体" w:eastAsia="宋体" w:cs="宋体"/>
          <w:b/>
          <w:bCs/>
          <w:spacing w:val="-12"/>
          <w:sz w:val="71"/>
          <w:szCs w:val="71"/>
          <w:highlight w:val="none"/>
        </w:rPr>
        <w:t>响应文件</w:t>
      </w:r>
    </w:p>
    <w:p w14:paraId="20EF305A">
      <w:pPr>
        <w:pStyle w:val="5"/>
        <w:spacing w:line="248" w:lineRule="auto"/>
        <w:rPr>
          <w:highlight w:val="none"/>
        </w:rPr>
      </w:pPr>
    </w:p>
    <w:p w14:paraId="1CADACCF">
      <w:pPr>
        <w:pStyle w:val="5"/>
        <w:spacing w:line="248" w:lineRule="auto"/>
        <w:rPr>
          <w:highlight w:val="none"/>
        </w:rPr>
      </w:pPr>
    </w:p>
    <w:p w14:paraId="10CE1127">
      <w:pPr>
        <w:pStyle w:val="5"/>
        <w:spacing w:line="248" w:lineRule="auto"/>
        <w:rPr>
          <w:highlight w:val="none"/>
        </w:rPr>
      </w:pPr>
    </w:p>
    <w:p w14:paraId="541BCE36">
      <w:pPr>
        <w:pStyle w:val="5"/>
        <w:spacing w:line="248" w:lineRule="auto"/>
        <w:rPr>
          <w:highlight w:val="none"/>
        </w:rPr>
      </w:pPr>
    </w:p>
    <w:p w14:paraId="0C6BBF96">
      <w:pPr>
        <w:pStyle w:val="5"/>
        <w:spacing w:line="248" w:lineRule="auto"/>
        <w:rPr>
          <w:highlight w:val="none"/>
        </w:rPr>
      </w:pPr>
    </w:p>
    <w:p w14:paraId="232071F0">
      <w:pPr>
        <w:pStyle w:val="5"/>
        <w:spacing w:line="248" w:lineRule="auto"/>
        <w:rPr>
          <w:highlight w:val="none"/>
        </w:rPr>
      </w:pPr>
    </w:p>
    <w:p w14:paraId="03D47525">
      <w:pPr>
        <w:pStyle w:val="5"/>
        <w:spacing w:line="248" w:lineRule="auto"/>
        <w:rPr>
          <w:highlight w:val="none"/>
        </w:rPr>
      </w:pPr>
    </w:p>
    <w:p w14:paraId="0F579F1F">
      <w:pPr>
        <w:pStyle w:val="5"/>
        <w:spacing w:line="248" w:lineRule="auto"/>
        <w:rPr>
          <w:highlight w:val="none"/>
        </w:rPr>
      </w:pPr>
    </w:p>
    <w:p w14:paraId="5C2B66B0">
      <w:pPr>
        <w:pStyle w:val="5"/>
        <w:spacing w:line="248" w:lineRule="auto"/>
        <w:rPr>
          <w:highlight w:val="none"/>
        </w:rPr>
      </w:pPr>
    </w:p>
    <w:p w14:paraId="570A7CCD">
      <w:pPr>
        <w:pStyle w:val="5"/>
        <w:spacing w:line="249" w:lineRule="auto"/>
        <w:rPr>
          <w:highlight w:val="none"/>
        </w:rPr>
      </w:pPr>
    </w:p>
    <w:p w14:paraId="17A6A40C">
      <w:pPr>
        <w:spacing w:before="101" w:line="225" w:lineRule="auto"/>
        <w:ind w:left="1855"/>
        <w:rPr>
          <w:rFonts w:ascii="宋体" w:hAnsi="宋体" w:eastAsia="宋体" w:cs="宋体"/>
          <w:sz w:val="31"/>
          <w:szCs w:val="31"/>
          <w:highlight w:val="none"/>
        </w:rPr>
      </w:pPr>
      <w:r>
        <w:rPr>
          <w:rFonts w:ascii="宋体" w:hAnsi="宋体" w:eastAsia="宋体" w:cs="宋体"/>
          <w:b/>
          <w:bCs/>
          <w:spacing w:val="10"/>
          <w:sz w:val="31"/>
          <w:szCs w:val="31"/>
          <w:highlight w:val="none"/>
        </w:rPr>
        <w:t>供应商</w:t>
      </w:r>
      <w:r>
        <w:rPr>
          <w:rFonts w:ascii="宋体" w:hAnsi="宋体" w:eastAsia="宋体" w:cs="宋体"/>
          <w:b/>
          <w:bCs/>
          <w:spacing w:val="-23"/>
          <w:sz w:val="31"/>
          <w:szCs w:val="31"/>
          <w:highlight w:val="none"/>
        </w:rPr>
        <w:t>：</w:t>
      </w:r>
      <w:r>
        <w:rPr>
          <w:rFonts w:ascii="宋体" w:hAnsi="宋体" w:eastAsia="宋体" w:cs="宋体"/>
          <w:spacing w:val="6"/>
          <w:sz w:val="31"/>
          <w:szCs w:val="31"/>
          <w:highlight w:val="none"/>
        </w:rPr>
        <w:t xml:space="preserve">                       </w:t>
      </w:r>
      <w:r>
        <w:rPr>
          <w:rFonts w:ascii="宋体" w:hAnsi="宋体" w:eastAsia="宋体" w:cs="宋体"/>
          <w:b/>
          <w:bCs/>
          <w:spacing w:val="-23"/>
          <w:sz w:val="31"/>
          <w:szCs w:val="31"/>
          <w:highlight w:val="none"/>
        </w:rPr>
        <w:t>（</w:t>
      </w:r>
      <w:r>
        <w:rPr>
          <w:rFonts w:ascii="宋体" w:hAnsi="宋体" w:eastAsia="宋体" w:cs="宋体"/>
          <w:b/>
          <w:bCs/>
          <w:spacing w:val="10"/>
          <w:sz w:val="31"/>
          <w:szCs w:val="31"/>
          <w:highlight w:val="none"/>
        </w:rPr>
        <w:t>盖单位章）</w:t>
      </w:r>
    </w:p>
    <w:p w14:paraId="1A109E2B">
      <w:pPr>
        <w:spacing w:before="159" w:line="225" w:lineRule="auto"/>
        <w:ind w:left="1856"/>
        <w:rPr>
          <w:rFonts w:ascii="宋体" w:hAnsi="宋体" w:eastAsia="宋体" w:cs="宋体"/>
          <w:sz w:val="31"/>
          <w:szCs w:val="31"/>
          <w:highlight w:val="none"/>
        </w:rPr>
      </w:pPr>
      <w:r>
        <w:rPr>
          <w:rFonts w:ascii="宋体" w:hAnsi="宋体" w:eastAsia="宋体" w:cs="宋体"/>
          <w:b/>
          <w:bCs/>
          <w:spacing w:val="9"/>
          <w:sz w:val="31"/>
          <w:szCs w:val="31"/>
          <w:highlight w:val="none"/>
        </w:rPr>
        <w:t>法定代表人或其委托代理人</w:t>
      </w:r>
      <w:r>
        <w:rPr>
          <w:rFonts w:ascii="宋体" w:hAnsi="宋体" w:eastAsia="宋体" w:cs="宋体"/>
          <w:b/>
          <w:bCs/>
          <w:spacing w:val="-24"/>
          <w:sz w:val="31"/>
          <w:szCs w:val="31"/>
          <w:highlight w:val="none"/>
        </w:rPr>
        <w:t>：</w:t>
      </w:r>
      <w:r>
        <w:rPr>
          <w:rFonts w:ascii="宋体" w:hAnsi="宋体" w:eastAsia="宋体" w:cs="宋体"/>
          <w:spacing w:val="8"/>
          <w:sz w:val="31"/>
          <w:szCs w:val="31"/>
          <w:highlight w:val="none"/>
        </w:rPr>
        <w:t xml:space="preserve">         </w:t>
      </w:r>
      <w:r>
        <w:rPr>
          <w:rFonts w:ascii="宋体" w:hAnsi="宋体" w:eastAsia="宋体" w:cs="宋体"/>
          <w:b/>
          <w:bCs/>
          <w:spacing w:val="-24"/>
          <w:sz w:val="31"/>
          <w:szCs w:val="31"/>
          <w:highlight w:val="none"/>
        </w:rPr>
        <w:t>（</w:t>
      </w:r>
      <w:r>
        <w:rPr>
          <w:rFonts w:ascii="宋体" w:hAnsi="宋体" w:eastAsia="宋体" w:cs="宋体"/>
          <w:b/>
          <w:bCs/>
          <w:spacing w:val="9"/>
          <w:sz w:val="31"/>
          <w:szCs w:val="31"/>
          <w:highlight w:val="none"/>
        </w:rPr>
        <w:t>签名）</w:t>
      </w:r>
    </w:p>
    <w:p w14:paraId="0D04B00B">
      <w:pPr>
        <w:pStyle w:val="5"/>
        <w:spacing w:line="279" w:lineRule="auto"/>
        <w:rPr>
          <w:highlight w:val="none"/>
        </w:rPr>
      </w:pPr>
    </w:p>
    <w:p w14:paraId="403B3814">
      <w:pPr>
        <w:pStyle w:val="5"/>
        <w:spacing w:line="279" w:lineRule="auto"/>
        <w:rPr>
          <w:highlight w:val="none"/>
        </w:rPr>
      </w:pPr>
    </w:p>
    <w:p w14:paraId="1AF6FA72">
      <w:pPr>
        <w:pStyle w:val="5"/>
        <w:spacing w:line="279" w:lineRule="auto"/>
        <w:rPr>
          <w:highlight w:val="none"/>
        </w:rPr>
      </w:pPr>
    </w:p>
    <w:p w14:paraId="5D467977">
      <w:pPr>
        <w:pStyle w:val="5"/>
        <w:spacing w:line="280" w:lineRule="auto"/>
        <w:rPr>
          <w:highlight w:val="none"/>
        </w:rPr>
      </w:pPr>
    </w:p>
    <w:p w14:paraId="6890669C">
      <w:pPr>
        <w:spacing w:before="101" w:line="225" w:lineRule="auto"/>
        <w:ind w:left="1870"/>
        <w:rPr>
          <w:rFonts w:ascii="宋体" w:hAnsi="宋体" w:eastAsia="宋体" w:cs="宋体"/>
          <w:sz w:val="31"/>
          <w:szCs w:val="31"/>
          <w:highlight w:val="none"/>
        </w:rPr>
      </w:pPr>
      <w:r>
        <w:rPr>
          <w:rFonts w:ascii="宋体" w:hAnsi="宋体" w:eastAsia="宋体" w:cs="宋体"/>
          <w:b/>
          <w:bCs/>
          <w:spacing w:val="-20"/>
          <w:sz w:val="31"/>
          <w:szCs w:val="31"/>
          <w:highlight w:val="none"/>
        </w:rPr>
        <w:t>时</w:t>
      </w:r>
      <w:r>
        <w:rPr>
          <w:rFonts w:ascii="宋体" w:hAnsi="宋体" w:eastAsia="宋体" w:cs="宋体"/>
          <w:spacing w:val="25"/>
          <w:sz w:val="31"/>
          <w:szCs w:val="31"/>
          <w:highlight w:val="none"/>
        </w:rPr>
        <w:t xml:space="preserve">  </w:t>
      </w:r>
      <w:r>
        <w:rPr>
          <w:rFonts w:ascii="宋体" w:hAnsi="宋体" w:eastAsia="宋体" w:cs="宋体"/>
          <w:b/>
          <w:bCs/>
          <w:spacing w:val="-20"/>
          <w:sz w:val="31"/>
          <w:szCs w:val="31"/>
          <w:highlight w:val="none"/>
        </w:rPr>
        <w:t>间</w:t>
      </w:r>
      <w:r>
        <w:rPr>
          <w:rFonts w:ascii="宋体" w:hAnsi="宋体" w:eastAsia="宋体" w:cs="宋体"/>
          <w:spacing w:val="-112"/>
          <w:sz w:val="31"/>
          <w:szCs w:val="31"/>
          <w:highlight w:val="none"/>
        </w:rPr>
        <w:t xml:space="preserve"> </w:t>
      </w:r>
      <w:r>
        <w:rPr>
          <w:rFonts w:ascii="宋体" w:hAnsi="宋体" w:eastAsia="宋体" w:cs="宋体"/>
          <w:b/>
          <w:bCs/>
          <w:spacing w:val="-20"/>
          <w:sz w:val="31"/>
          <w:szCs w:val="31"/>
          <w:highlight w:val="none"/>
        </w:rPr>
        <w:t>：</w:t>
      </w:r>
      <w:r>
        <w:rPr>
          <w:rFonts w:ascii="宋体" w:hAnsi="宋体" w:eastAsia="宋体" w:cs="宋体"/>
          <w:spacing w:val="11"/>
          <w:sz w:val="31"/>
          <w:szCs w:val="31"/>
          <w:highlight w:val="none"/>
        </w:rPr>
        <w:t xml:space="preserve">    </w:t>
      </w:r>
      <w:r>
        <w:rPr>
          <w:rFonts w:ascii="宋体" w:hAnsi="宋体" w:eastAsia="宋体" w:cs="宋体"/>
          <w:b/>
          <w:bCs/>
          <w:spacing w:val="-20"/>
          <w:sz w:val="31"/>
          <w:szCs w:val="31"/>
          <w:highlight w:val="none"/>
        </w:rPr>
        <w:t>年</w:t>
      </w:r>
      <w:r>
        <w:rPr>
          <w:rFonts w:ascii="宋体" w:hAnsi="宋体" w:eastAsia="宋体" w:cs="宋体"/>
          <w:spacing w:val="17"/>
          <w:sz w:val="31"/>
          <w:szCs w:val="31"/>
          <w:highlight w:val="none"/>
        </w:rPr>
        <w:t xml:space="preserve">  </w:t>
      </w:r>
      <w:r>
        <w:rPr>
          <w:rFonts w:ascii="宋体" w:hAnsi="宋体" w:eastAsia="宋体" w:cs="宋体"/>
          <w:b/>
          <w:bCs/>
          <w:spacing w:val="-20"/>
          <w:sz w:val="31"/>
          <w:szCs w:val="31"/>
          <w:highlight w:val="none"/>
        </w:rPr>
        <w:t>月</w:t>
      </w:r>
      <w:r>
        <w:rPr>
          <w:rFonts w:ascii="宋体" w:hAnsi="宋体" w:eastAsia="宋体" w:cs="宋体"/>
          <w:spacing w:val="40"/>
          <w:sz w:val="31"/>
          <w:szCs w:val="31"/>
          <w:highlight w:val="none"/>
        </w:rPr>
        <w:t xml:space="preserve">  </w:t>
      </w:r>
      <w:r>
        <w:rPr>
          <w:rFonts w:ascii="宋体" w:hAnsi="宋体" w:eastAsia="宋体" w:cs="宋体"/>
          <w:b/>
          <w:bCs/>
          <w:spacing w:val="-20"/>
          <w:sz w:val="31"/>
          <w:szCs w:val="31"/>
          <w:highlight w:val="none"/>
        </w:rPr>
        <w:t>日</w:t>
      </w:r>
    </w:p>
    <w:p w14:paraId="01CB88D4">
      <w:pPr>
        <w:spacing w:line="225" w:lineRule="auto"/>
        <w:rPr>
          <w:rFonts w:ascii="宋体" w:hAnsi="宋体" w:eastAsia="宋体" w:cs="宋体"/>
          <w:sz w:val="31"/>
          <w:szCs w:val="31"/>
          <w:highlight w:val="none"/>
        </w:rPr>
        <w:sectPr>
          <w:footerReference r:id="rId19" w:type="default"/>
          <w:pgSz w:w="11907" w:h="16840"/>
          <w:pgMar w:top="1378" w:right="1536" w:bottom="1199" w:left="1486" w:header="0" w:footer="984" w:gutter="0"/>
          <w:pgNumType w:fmt="decimal"/>
          <w:cols w:space="720" w:num="1"/>
        </w:sectPr>
      </w:pPr>
    </w:p>
    <w:p w14:paraId="285437BE">
      <w:pPr>
        <w:spacing w:before="324" w:line="223" w:lineRule="auto"/>
        <w:ind w:left="3503"/>
        <w:rPr>
          <w:rFonts w:ascii="宋体" w:hAnsi="宋体" w:eastAsia="宋体" w:cs="宋体"/>
          <w:sz w:val="52"/>
          <w:szCs w:val="52"/>
          <w:highlight w:val="none"/>
        </w:rPr>
      </w:pPr>
      <w:r>
        <w:rPr>
          <w:rFonts w:ascii="宋体" w:hAnsi="宋体" w:eastAsia="宋体" w:cs="宋体"/>
          <w:b/>
          <w:bCs/>
          <w:spacing w:val="-65"/>
          <w:sz w:val="52"/>
          <w:szCs w:val="52"/>
          <w:highlight w:val="none"/>
        </w:rPr>
        <w:t>目</w:t>
      </w:r>
      <w:r>
        <w:rPr>
          <w:rFonts w:ascii="宋体" w:hAnsi="宋体" w:eastAsia="宋体" w:cs="宋体"/>
          <w:spacing w:val="12"/>
          <w:sz w:val="52"/>
          <w:szCs w:val="52"/>
          <w:highlight w:val="none"/>
        </w:rPr>
        <w:t xml:space="preserve">  </w:t>
      </w:r>
      <w:r>
        <w:rPr>
          <w:rFonts w:ascii="宋体" w:hAnsi="宋体" w:eastAsia="宋体" w:cs="宋体"/>
          <w:b/>
          <w:bCs/>
          <w:spacing w:val="-65"/>
          <w:sz w:val="52"/>
          <w:szCs w:val="52"/>
          <w:highlight w:val="none"/>
        </w:rPr>
        <w:t>录</w:t>
      </w:r>
    </w:p>
    <w:p w14:paraId="16D209E5">
      <w:pPr>
        <w:pStyle w:val="5"/>
        <w:spacing w:line="405" w:lineRule="auto"/>
        <w:rPr>
          <w:highlight w:val="none"/>
        </w:rPr>
      </w:pPr>
    </w:p>
    <w:p w14:paraId="39045E72">
      <w:pPr>
        <w:spacing w:before="78" w:line="219" w:lineRule="auto"/>
        <w:ind w:left="222"/>
        <w:rPr>
          <w:rFonts w:ascii="宋体" w:hAnsi="宋体" w:eastAsia="宋体" w:cs="宋体"/>
          <w:sz w:val="20"/>
          <w:szCs w:val="20"/>
          <w:highlight w:val="none"/>
        </w:rPr>
      </w:pPr>
      <w:r>
        <w:rPr>
          <w:rFonts w:ascii="宋体" w:hAnsi="宋体" w:eastAsia="宋体" w:cs="宋体"/>
          <w:b/>
          <w:bCs/>
          <w:spacing w:val="4"/>
          <w:sz w:val="24"/>
          <w:szCs w:val="24"/>
          <w:highlight w:val="none"/>
        </w:rPr>
        <w:t>第一部分</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供应商基本资格条件证明材料</w:t>
      </w:r>
      <w:r>
        <w:rPr>
          <w:rFonts w:ascii="宋体" w:hAnsi="宋体" w:eastAsia="宋体" w:cs="宋体"/>
          <w:spacing w:val="4"/>
          <w:sz w:val="20"/>
          <w:szCs w:val="20"/>
          <w:highlight w:val="none"/>
        </w:rPr>
        <w:t>………………………………………</w:t>
      </w:r>
      <w:r>
        <w:rPr>
          <w:rFonts w:ascii="宋体" w:hAnsi="宋体" w:eastAsia="宋体" w:cs="宋体"/>
          <w:spacing w:val="3"/>
          <w:sz w:val="20"/>
          <w:szCs w:val="20"/>
          <w:highlight w:val="none"/>
        </w:rPr>
        <w:t>…页码</w:t>
      </w:r>
    </w:p>
    <w:p w14:paraId="0BFA27AF">
      <w:pPr>
        <w:pStyle w:val="5"/>
        <w:spacing w:line="264" w:lineRule="auto"/>
        <w:rPr>
          <w:highlight w:val="none"/>
        </w:rPr>
      </w:pPr>
    </w:p>
    <w:p w14:paraId="2C75BA2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(1)提供合格有效的法人或者其他组织的营业执照等证明文件，自然人的身份证明；</w:t>
      </w:r>
    </w:p>
    <w:p w14:paraId="6426F28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(2)提供法定代表人授权书（附法定代表人、被授权人身份证复印件），法定代表人直接参加投标，须提供法定代表人身份证明及身份证复印件）；</w:t>
      </w:r>
    </w:p>
    <w:p w14:paraId="19A848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(3)提供投标截止日前近一年内任意一个月的纳税证明或完税证明（任意税种），依法免税的单位应提供相关证明材料；</w:t>
      </w:r>
    </w:p>
    <w:p w14:paraId="3700FF5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(4)提供投标截止日前一年内已缴存的至少一个月的社会保障资金缴存单据或社保机构开具的社会保险参保缴费情况证明，依法不需要缴纳社会保障资金的单位应提供相关证明材料；</w:t>
      </w:r>
    </w:p>
    <w:p w14:paraId="12F8A1F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(5)财务状况：提供递交投标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p w14:paraId="36AB863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6394187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(7)参加政府采购活动前3年内，在经营活动中没有重大违法记录的书面声明;</w:t>
      </w:r>
    </w:p>
    <w:p w14:paraId="0688B50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(8)提供具有履行合同所必需的设备和专业技术能力的书面承诺；</w:t>
      </w:r>
    </w:p>
    <w:p w14:paraId="25680D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(9)本项目专门面向中小企业采购，提供中小企业声明函；</w:t>
      </w:r>
    </w:p>
    <w:p w14:paraId="62D65D2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left"/>
        <w:textAlignment w:val="baseline"/>
        <w:rPr>
          <w:rFonts w:hint="default" w:asciiTheme="minorEastAsia"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（10）控股管理关系：提供直接控股和管理关系清单。若与其他供应商存在单位负责人为同一人或者存在直接控股、管理关系的，则投标无效；</w:t>
      </w:r>
    </w:p>
    <w:p w14:paraId="64F76B8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w:t>
      </w: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11</w:t>
      </w: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)本项目不接受联合体投标（提供承诺书）；</w:t>
      </w:r>
    </w:p>
    <w:p w14:paraId="67D02C45">
      <w:pPr>
        <w:spacing w:before="301" w:line="220" w:lineRule="auto"/>
        <w:ind w:left="176"/>
        <w:rPr>
          <w:rFonts w:ascii="宋体" w:hAnsi="宋体" w:eastAsia="宋体" w:cs="宋体"/>
          <w:sz w:val="24"/>
          <w:szCs w:val="24"/>
          <w:highlight w:val="none"/>
        </w:rPr>
      </w:pPr>
      <w:r>
        <w:rPr>
          <w:rFonts w:ascii="宋体" w:hAnsi="宋体" w:eastAsia="宋体" w:cs="宋体"/>
          <w:b/>
          <w:bCs/>
          <w:spacing w:val="-2"/>
          <w:sz w:val="24"/>
          <w:szCs w:val="24"/>
          <w:highlight w:val="none"/>
        </w:rPr>
        <w:t>第二部分</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符合性证明文件……………………………………………………页码</w:t>
      </w:r>
    </w:p>
    <w:p w14:paraId="113EAB25">
      <w:pPr>
        <w:pStyle w:val="5"/>
        <w:spacing w:line="264" w:lineRule="auto"/>
        <w:rPr>
          <w:highlight w:val="none"/>
        </w:rPr>
      </w:pPr>
    </w:p>
    <w:p w14:paraId="18F5C0F7">
      <w:pPr>
        <w:spacing w:before="66" w:line="228" w:lineRule="auto"/>
        <w:ind w:left="551"/>
        <w:rPr>
          <w:rFonts w:ascii="宋体" w:hAnsi="宋体" w:eastAsia="宋体" w:cs="宋体"/>
          <w:sz w:val="20"/>
          <w:szCs w:val="20"/>
          <w:highlight w:val="none"/>
        </w:rPr>
      </w:pPr>
      <w:r>
        <w:rPr>
          <w:rFonts w:ascii="宋体" w:hAnsi="宋体" w:eastAsia="宋体" w:cs="宋体"/>
          <w:spacing w:val="8"/>
          <w:sz w:val="20"/>
          <w:szCs w:val="20"/>
          <w:highlight w:val="none"/>
        </w:rPr>
        <w:t>1、</w:t>
      </w:r>
      <w:r>
        <w:rPr>
          <w:rFonts w:ascii="宋体" w:hAnsi="宋体" w:eastAsia="宋体" w:cs="宋体"/>
          <w:spacing w:val="-58"/>
          <w:sz w:val="20"/>
          <w:szCs w:val="20"/>
          <w:highlight w:val="none"/>
        </w:rPr>
        <w:t xml:space="preserve"> </w:t>
      </w:r>
      <w:r>
        <w:rPr>
          <w:rFonts w:ascii="宋体" w:hAnsi="宋体" w:eastAsia="宋体" w:cs="宋体"/>
          <w:spacing w:val="8"/>
          <w:sz w:val="20"/>
          <w:szCs w:val="20"/>
          <w:highlight w:val="none"/>
        </w:rPr>
        <w:t>申请函格式………………………………………………………………………………</w:t>
      </w:r>
    </w:p>
    <w:p w14:paraId="199615BF">
      <w:pPr>
        <w:spacing w:before="297" w:line="229" w:lineRule="auto"/>
        <w:ind w:left="538"/>
        <w:rPr>
          <w:rFonts w:ascii="宋体" w:hAnsi="宋体" w:eastAsia="宋体" w:cs="宋体"/>
          <w:sz w:val="20"/>
          <w:szCs w:val="20"/>
          <w:highlight w:val="none"/>
        </w:rPr>
      </w:pPr>
      <w:r>
        <w:rPr>
          <w:rFonts w:ascii="宋体" w:hAnsi="宋体" w:eastAsia="宋体" w:cs="宋体"/>
          <w:spacing w:val="9"/>
          <w:sz w:val="20"/>
          <w:szCs w:val="20"/>
          <w:highlight w:val="none"/>
        </w:rPr>
        <w:t>2、开标一览表………………………………………………………………………………</w:t>
      </w:r>
    </w:p>
    <w:p w14:paraId="379CAC2C">
      <w:pPr>
        <w:spacing w:before="297" w:line="228" w:lineRule="auto"/>
        <w:ind w:left="539"/>
        <w:rPr>
          <w:rFonts w:ascii="宋体" w:hAnsi="宋体" w:eastAsia="宋体" w:cs="宋体"/>
          <w:sz w:val="20"/>
          <w:szCs w:val="20"/>
          <w:highlight w:val="none"/>
        </w:rPr>
      </w:pPr>
      <w:r>
        <w:rPr>
          <w:rFonts w:ascii="宋体" w:hAnsi="宋体" w:eastAsia="宋体" w:cs="宋体"/>
          <w:spacing w:val="9"/>
          <w:sz w:val="20"/>
          <w:szCs w:val="20"/>
          <w:highlight w:val="none"/>
        </w:rPr>
        <w:t>3、商务条款偏离表……………………………………………………………………………</w:t>
      </w:r>
    </w:p>
    <w:p w14:paraId="62F9431D">
      <w:pPr>
        <w:spacing w:before="302" w:line="220" w:lineRule="auto"/>
        <w:jc w:val="right"/>
        <w:rPr>
          <w:rFonts w:ascii="宋体" w:hAnsi="宋体" w:eastAsia="宋体" w:cs="宋体"/>
          <w:sz w:val="24"/>
          <w:szCs w:val="24"/>
          <w:highlight w:val="none"/>
        </w:rPr>
      </w:pPr>
      <w:r>
        <w:rPr>
          <w:rFonts w:ascii="宋体" w:hAnsi="宋体" w:eastAsia="宋体" w:cs="宋体"/>
          <w:b/>
          <w:bCs/>
          <w:spacing w:val="-3"/>
          <w:sz w:val="24"/>
          <w:szCs w:val="24"/>
          <w:highlight w:val="none"/>
        </w:rPr>
        <w:t>第三部分</w:t>
      </w:r>
      <w:r>
        <w:rPr>
          <w:rFonts w:ascii="宋体" w:hAnsi="宋体" w:eastAsia="宋体" w:cs="宋体"/>
          <w:spacing w:val="43"/>
          <w:sz w:val="24"/>
          <w:szCs w:val="24"/>
          <w:highlight w:val="none"/>
        </w:rPr>
        <w:t xml:space="preserve"> </w:t>
      </w:r>
      <w:r>
        <w:rPr>
          <w:rFonts w:ascii="宋体" w:hAnsi="宋体" w:eastAsia="宋体" w:cs="宋体"/>
          <w:b/>
          <w:bCs/>
          <w:spacing w:val="-3"/>
          <w:sz w:val="24"/>
          <w:szCs w:val="24"/>
          <w:highlight w:val="none"/>
        </w:rPr>
        <w:t>申请方案……………………………………………………</w:t>
      </w:r>
      <w:r>
        <w:rPr>
          <w:rFonts w:ascii="宋体" w:hAnsi="宋体" w:eastAsia="宋体" w:cs="宋体"/>
          <w:b/>
          <w:bCs/>
          <w:spacing w:val="-4"/>
          <w:sz w:val="24"/>
          <w:szCs w:val="24"/>
          <w:highlight w:val="none"/>
        </w:rPr>
        <w:t>…………页码</w:t>
      </w:r>
    </w:p>
    <w:p w14:paraId="3DCBFE48">
      <w:pPr>
        <w:pStyle w:val="5"/>
        <w:spacing w:line="267" w:lineRule="auto"/>
        <w:rPr>
          <w:highlight w:val="none"/>
        </w:rPr>
      </w:pPr>
    </w:p>
    <w:p w14:paraId="19EEAECA">
      <w:pPr>
        <w:spacing w:before="65" w:line="228" w:lineRule="auto"/>
        <w:ind w:left="551"/>
        <w:rPr>
          <w:rFonts w:ascii="宋体" w:hAnsi="宋体" w:eastAsia="宋体" w:cs="宋体"/>
          <w:sz w:val="20"/>
          <w:szCs w:val="20"/>
          <w:highlight w:val="none"/>
        </w:rPr>
      </w:pPr>
      <w:r>
        <w:rPr>
          <w:rFonts w:ascii="宋体" w:hAnsi="宋体" w:eastAsia="宋体" w:cs="宋体"/>
          <w:spacing w:val="9"/>
          <w:sz w:val="20"/>
          <w:szCs w:val="20"/>
          <w:highlight w:val="none"/>
        </w:rPr>
        <w:t>1、技术方案……………………………………………………………………………………</w:t>
      </w:r>
    </w:p>
    <w:p w14:paraId="68EC36A2">
      <w:pPr>
        <w:spacing w:before="297" w:line="228" w:lineRule="auto"/>
        <w:ind w:left="538"/>
        <w:rPr>
          <w:rFonts w:ascii="宋体" w:hAnsi="宋体" w:eastAsia="宋体" w:cs="宋体"/>
          <w:sz w:val="20"/>
          <w:szCs w:val="20"/>
          <w:highlight w:val="none"/>
        </w:rPr>
      </w:pPr>
      <w:r>
        <w:rPr>
          <w:rFonts w:ascii="宋体" w:hAnsi="宋体" w:eastAsia="宋体" w:cs="宋体"/>
          <w:spacing w:val="9"/>
          <w:sz w:val="20"/>
          <w:szCs w:val="20"/>
          <w:highlight w:val="none"/>
        </w:rPr>
        <w:t>2、供应商认为有利于入围的其他情况说明…………………………………………………</w:t>
      </w:r>
    </w:p>
    <w:p w14:paraId="7995FC65">
      <w:pPr>
        <w:spacing w:before="296" w:line="228" w:lineRule="auto"/>
        <w:ind w:left="539"/>
        <w:rPr>
          <w:rFonts w:ascii="宋体" w:hAnsi="宋体" w:eastAsia="宋体" w:cs="宋体"/>
          <w:sz w:val="20"/>
          <w:szCs w:val="20"/>
          <w:highlight w:val="none"/>
        </w:rPr>
      </w:pPr>
      <w:r>
        <w:rPr>
          <w:rFonts w:ascii="宋体" w:hAnsi="宋体" w:eastAsia="宋体" w:cs="宋体"/>
          <w:spacing w:val="9"/>
          <w:sz w:val="20"/>
          <w:szCs w:val="20"/>
          <w:highlight w:val="none"/>
        </w:rPr>
        <w:t>3、享受政府采购优惠政策的证明材料………………………………………………………</w:t>
      </w:r>
    </w:p>
    <w:p w14:paraId="28D00225">
      <w:pPr>
        <w:spacing w:before="300" w:line="228" w:lineRule="auto"/>
        <w:ind w:left="534"/>
        <w:rPr>
          <w:rFonts w:ascii="宋体" w:hAnsi="宋体" w:eastAsia="宋体" w:cs="宋体"/>
          <w:sz w:val="20"/>
          <w:szCs w:val="20"/>
          <w:highlight w:val="none"/>
        </w:rPr>
      </w:pPr>
      <w:r>
        <w:rPr>
          <w:rFonts w:ascii="宋体" w:hAnsi="宋体" w:eastAsia="宋体" w:cs="宋体"/>
          <w:spacing w:val="10"/>
          <w:sz w:val="20"/>
          <w:szCs w:val="20"/>
          <w:highlight w:val="none"/>
        </w:rPr>
        <w:t>4、其他证明材料……………………………</w:t>
      </w:r>
      <w:r>
        <w:rPr>
          <w:rFonts w:ascii="宋体" w:hAnsi="宋体" w:eastAsia="宋体" w:cs="宋体"/>
          <w:spacing w:val="9"/>
          <w:sz w:val="20"/>
          <w:szCs w:val="20"/>
          <w:highlight w:val="none"/>
        </w:rPr>
        <w:t>………………………………………………</w:t>
      </w:r>
    </w:p>
    <w:p w14:paraId="7154B776">
      <w:pPr>
        <w:spacing w:line="228" w:lineRule="auto"/>
        <w:rPr>
          <w:rFonts w:ascii="宋体" w:hAnsi="宋体" w:eastAsia="宋体" w:cs="宋体"/>
          <w:sz w:val="20"/>
          <w:szCs w:val="20"/>
          <w:highlight w:val="none"/>
        </w:rPr>
        <w:sectPr>
          <w:footerReference r:id="rId20" w:type="default"/>
          <w:pgSz w:w="11907" w:h="16840"/>
          <w:pgMar w:top="1431" w:right="1642" w:bottom="1199" w:left="1786" w:header="0" w:footer="984" w:gutter="0"/>
          <w:pgNumType w:fmt="decimal"/>
          <w:cols w:space="720" w:num="1"/>
        </w:sectPr>
      </w:pPr>
    </w:p>
    <w:p w14:paraId="287289DC">
      <w:pPr>
        <w:pStyle w:val="5"/>
        <w:spacing w:line="272" w:lineRule="auto"/>
        <w:rPr>
          <w:highlight w:val="none"/>
        </w:rPr>
      </w:pPr>
    </w:p>
    <w:p w14:paraId="5A008395">
      <w:pPr>
        <w:pStyle w:val="5"/>
        <w:spacing w:line="273" w:lineRule="auto"/>
        <w:rPr>
          <w:highlight w:val="none"/>
        </w:rPr>
      </w:pPr>
    </w:p>
    <w:p w14:paraId="3270639C">
      <w:pPr>
        <w:spacing w:before="153" w:line="223" w:lineRule="auto"/>
        <w:ind w:left="287"/>
        <w:rPr>
          <w:rFonts w:ascii="宋体" w:hAnsi="宋体" w:eastAsia="宋体" w:cs="宋体"/>
          <w:sz w:val="47"/>
          <w:szCs w:val="47"/>
          <w:highlight w:val="none"/>
        </w:rPr>
      </w:pPr>
      <w:r>
        <w:rPr>
          <w:rFonts w:ascii="宋体" w:hAnsi="宋体" w:eastAsia="宋体" w:cs="宋体"/>
          <w:b/>
          <w:bCs/>
          <w:spacing w:val="5"/>
          <w:sz w:val="47"/>
          <w:szCs w:val="47"/>
          <w:highlight w:val="none"/>
        </w:rPr>
        <w:t>第一部分</w:t>
      </w:r>
      <w:r>
        <w:rPr>
          <w:rFonts w:ascii="宋体" w:hAnsi="宋体" w:eastAsia="宋体" w:cs="宋体"/>
          <w:spacing w:val="5"/>
          <w:sz w:val="47"/>
          <w:szCs w:val="47"/>
          <w:highlight w:val="none"/>
        </w:rPr>
        <w:t xml:space="preserve"> </w:t>
      </w:r>
      <w:r>
        <w:rPr>
          <w:rFonts w:ascii="宋体" w:hAnsi="宋体" w:eastAsia="宋体" w:cs="宋体"/>
          <w:b/>
          <w:bCs/>
          <w:spacing w:val="5"/>
          <w:sz w:val="47"/>
          <w:szCs w:val="47"/>
          <w:highlight w:val="none"/>
        </w:rPr>
        <w:t>供应商基本资格条件证明材料</w:t>
      </w:r>
    </w:p>
    <w:p w14:paraId="1E95B381">
      <w:pPr>
        <w:pStyle w:val="5"/>
        <w:spacing w:line="319" w:lineRule="auto"/>
        <w:rPr>
          <w:highlight w:val="none"/>
        </w:rPr>
      </w:pPr>
    </w:p>
    <w:p w14:paraId="00A87980">
      <w:pPr>
        <w:pStyle w:val="5"/>
        <w:spacing w:line="320" w:lineRule="auto"/>
        <w:rPr>
          <w:highlight w:val="none"/>
        </w:rPr>
      </w:pPr>
    </w:p>
    <w:p w14:paraId="56AD750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(1)提供合格有效的法人或者其他组织的营业执照等证明文件，自然人的身份证明；</w:t>
      </w:r>
    </w:p>
    <w:p w14:paraId="3A31F97A">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br w:type="page"/>
      </w:r>
    </w:p>
    <w:p w14:paraId="692E5C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(2)提供法定代表人授权书（附法定代表人、被授权人身份证复印件），法定代表人直接参加投标，须提供法定代表人身份证明及身份证复印件）；</w:t>
      </w:r>
    </w:p>
    <w:p w14:paraId="75C920F6">
      <w:pPr>
        <w:spacing w:beforeLines="100"/>
        <w:jc w:val="center"/>
        <w:rPr>
          <w:rFonts w:asciiTheme="minorEastAsia" w:hAnsiTheme="minorEastAsia" w:eastAsiaTheme="minorEastAsia" w:cstheme="minorEastAsia"/>
          <w:sz w:val="30"/>
          <w:szCs w:val="30"/>
          <w:highlight w:val="none"/>
        </w:rPr>
      </w:pPr>
      <w:r>
        <w:rPr>
          <w:rFonts w:hint="eastAsia" w:asciiTheme="minorEastAsia" w:hAnsiTheme="minorEastAsia" w:eastAsiaTheme="minorEastAsia" w:cstheme="minorEastAsia"/>
          <w:sz w:val="30"/>
          <w:szCs w:val="30"/>
          <w:highlight w:val="none"/>
        </w:rPr>
        <w:t>法定代表人身份证明/法定代表人授权书</w:t>
      </w:r>
    </w:p>
    <w:p w14:paraId="449F2DE9">
      <w:pPr>
        <w:pStyle w:val="5"/>
        <w:spacing w:beforeLines="50"/>
        <w:jc w:val="center"/>
        <w:rPr>
          <w:rFonts w:asciiTheme="minorEastAsia" w:hAnsiTheme="minorEastAsia" w:eastAsiaTheme="minorEastAsia" w:cstheme="minorEastAsia"/>
          <w:b/>
          <w:bCs/>
          <w:sz w:val="30"/>
          <w:szCs w:val="30"/>
          <w:highlight w:val="none"/>
        </w:rPr>
      </w:pPr>
      <w:r>
        <w:rPr>
          <w:rFonts w:hint="eastAsia" w:asciiTheme="minorEastAsia" w:hAnsiTheme="minorEastAsia" w:eastAsiaTheme="minorEastAsia" w:cstheme="minorEastAsia"/>
          <w:b/>
          <w:bCs/>
          <w:sz w:val="30"/>
          <w:szCs w:val="30"/>
          <w:highlight w:val="none"/>
        </w:rPr>
        <w:t>法定代表人身份证明</w:t>
      </w:r>
    </w:p>
    <w:p w14:paraId="173A343C">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 xml:space="preserve"> </w:t>
      </w:r>
    </w:p>
    <w:p w14:paraId="12915053">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统一社会信用代码：</w:t>
      </w:r>
      <w:r>
        <w:rPr>
          <w:rFonts w:hint="eastAsia" w:asciiTheme="minorEastAsia" w:hAnsiTheme="minorEastAsia" w:eastAsiaTheme="minorEastAsia" w:cstheme="minorEastAsia"/>
          <w:highlight w:val="none"/>
          <w:u w:val="single"/>
        </w:rPr>
        <w:t xml:space="preserve">                </w:t>
      </w:r>
    </w:p>
    <w:p w14:paraId="6F624F55">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注册地址：</w:t>
      </w:r>
      <w:r>
        <w:rPr>
          <w:rFonts w:hint="eastAsia" w:asciiTheme="minorEastAsia" w:hAnsiTheme="minorEastAsia" w:eastAsiaTheme="minorEastAsia" w:cstheme="minorEastAsia"/>
          <w:highlight w:val="none"/>
          <w:u w:val="single"/>
        </w:rPr>
        <w:t xml:space="preserve">                        </w:t>
      </w:r>
    </w:p>
    <w:p w14:paraId="11EF0C77">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成立时间：</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月</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日</w:t>
      </w:r>
    </w:p>
    <w:p w14:paraId="7AD9D56A">
      <w:pPr>
        <w:autoSpaceDE w:val="0"/>
        <w:autoSpaceDN w:val="0"/>
        <w:adjustRightInd w:val="0"/>
        <w:snapToGrid w:val="0"/>
        <w:spacing w:beforeLines="50" w:line="360" w:lineRule="auto"/>
        <w:jc w:val="left"/>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rPr>
        <w:t>经营期限：</w:t>
      </w:r>
      <w:r>
        <w:rPr>
          <w:rFonts w:hint="eastAsia" w:asciiTheme="minorEastAsia" w:hAnsiTheme="minorEastAsia" w:eastAsiaTheme="minorEastAsia" w:cstheme="minorEastAsia"/>
          <w:highlight w:val="none"/>
          <w:u w:val="single"/>
        </w:rPr>
        <w:t xml:space="preserve">                  </w:t>
      </w:r>
    </w:p>
    <w:p w14:paraId="00B3AF1A">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姓名：</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性别：</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年龄：</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系</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（投标人名称）的法定代表人。</w:t>
      </w:r>
    </w:p>
    <w:p w14:paraId="6F12F584">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特此证明。</w:t>
      </w:r>
    </w:p>
    <w:p w14:paraId="2C491955">
      <w:pPr>
        <w:autoSpaceDE w:val="0"/>
        <w:autoSpaceDN w:val="0"/>
        <w:adjustRightInd w:val="0"/>
        <w:snapToGrid w:val="0"/>
        <w:spacing w:beforeLines="50"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附：法定代表人身份证复印件</w:t>
      </w:r>
    </w:p>
    <w:tbl>
      <w:tblPr>
        <w:tblStyle w:val="12"/>
        <w:tblpPr w:leftFromText="180" w:rightFromText="180" w:vertAnchor="text" w:horzAnchor="margin" w:tblpXSpec="center" w:tblpY="104"/>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1BF0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2C420045">
            <w:pPr>
              <w:widowControl w:val="0"/>
              <w:snapToGrid w:val="0"/>
              <w:spacing w:line="480" w:lineRule="auto"/>
              <w:jc w:val="center"/>
              <w:rPr>
                <w:rFonts w:asciiTheme="minorEastAsia" w:hAnsiTheme="minorEastAsia" w:eastAsiaTheme="minorEastAsia" w:cstheme="minorEastAsia"/>
                <w:szCs w:val="21"/>
                <w:highlight w:val="none"/>
              </w:rPr>
            </w:pPr>
          </w:p>
          <w:p w14:paraId="29F5095F">
            <w:pPr>
              <w:widowControl w:val="0"/>
              <w:snapToGrid w:val="0"/>
              <w:spacing w:line="480" w:lineRule="auto"/>
              <w:jc w:val="center"/>
              <w:rPr>
                <w:rFonts w:asciiTheme="minorEastAsia" w:hAnsiTheme="minorEastAsia" w:eastAsiaTheme="minorEastAsia" w:cstheme="minorEastAsia"/>
                <w:szCs w:val="21"/>
                <w:highlight w:val="none"/>
              </w:rPr>
            </w:pPr>
          </w:p>
          <w:p w14:paraId="23E576B5">
            <w:pPr>
              <w:widowControl w:val="0"/>
              <w:autoSpaceDE w:val="0"/>
              <w:autoSpaceDN w:val="0"/>
              <w:adjustRightInd w:val="0"/>
              <w:snapToGrid w:val="0"/>
              <w:spacing w:beforeLines="50"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法定代表人身份证复印件粘贴处</w:t>
            </w:r>
          </w:p>
          <w:p w14:paraId="01DF5DF9">
            <w:pPr>
              <w:pStyle w:val="5"/>
              <w:widowControl w:val="0"/>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szCs w:val="21"/>
                <w:highlight w:val="none"/>
              </w:rPr>
              <w:t>（正反面）</w:t>
            </w:r>
          </w:p>
          <w:p w14:paraId="3998144F">
            <w:pPr>
              <w:widowControl w:val="0"/>
              <w:snapToGrid w:val="0"/>
              <w:spacing w:line="480" w:lineRule="auto"/>
              <w:jc w:val="center"/>
              <w:rPr>
                <w:rFonts w:asciiTheme="minorEastAsia" w:hAnsiTheme="minorEastAsia" w:eastAsiaTheme="minorEastAsia" w:cstheme="minorEastAsia"/>
                <w:szCs w:val="21"/>
                <w:highlight w:val="none"/>
              </w:rPr>
            </w:pPr>
          </w:p>
          <w:p w14:paraId="01848294">
            <w:pPr>
              <w:widowControl w:val="0"/>
              <w:snapToGrid w:val="0"/>
              <w:spacing w:line="480" w:lineRule="auto"/>
              <w:jc w:val="center"/>
              <w:rPr>
                <w:rFonts w:asciiTheme="minorEastAsia" w:hAnsiTheme="minorEastAsia" w:eastAsiaTheme="minorEastAsia" w:cstheme="minorEastAsia"/>
                <w:szCs w:val="21"/>
                <w:highlight w:val="none"/>
              </w:rPr>
            </w:pPr>
          </w:p>
        </w:tc>
      </w:tr>
    </w:tbl>
    <w:p w14:paraId="1A9D5F5F">
      <w:pPr>
        <w:snapToGrid w:val="0"/>
        <w:spacing w:line="480" w:lineRule="auto"/>
        <w:rPr>
          <w:rFonts w:asciiTheme="minorEastAsia" w:hAnsiTheme="minorEastAsia" w:eastAsiaTheme="minorEastAsia" w:cstheme="minorEastAsia"/>
          <w:szCs w:val="21"/>
          <w:highlight w:val="none"/>
        </w:rPr>
      </w:pPr>
    </w:p>
    <w:p w14:paraId="1148DB64">
      <w:pPr>
        <w:snapToGrid w:val="0"/>
        <w:rPr>
          <w:rFonts w:asciiTheme="minorEastAsia" w:hAnsiTheme="minorEastAsia" w:eastAsiaTheme="minorEastAsia" w:cstheme="minorEastAsia"/>
          <w:szCs w:val="21"/>
          <w:highlight w:val="none"/>
        </w:rPr>
      </w:pPr>
    </w:p>
    <w:p w14:paraId="5CA0EBED">
      <w:pPr>
        <w:snapToGrid w:val="0"/>
        <w:rPr>
          <w:rFonts w:asciiTheme="minorEastAsia" w:hAnsiTheme="minorEastAsia" w:eastAsiaTheme="minorEastAsia" w:cstheme="minorEastAsia"/>
          <w:szCs w:val="21"/>
          <w:highlight w:val="none"/>
        </w:rPr>
      </w:pPr>
    </w:p>
    <w:p w14:paraId="01E70472">
      <w:pPr>
        <w:snapToGrid w:val="0"/>
        <w:rPr>
          <w:rFonts w:asciiTheme="minorEastAsia" w:hAnsiTheme="minorEastAsia" w:eastAsiaTheme="minorEastAsia" w:cstheme="minorEastAsia"/>
          <w:szCs w:val="21"/>
          <w:highlight w:val="none"/>
        </w:rPr>
      </w:pPr>
    </w:p>
    <w:p w14:paraId="465FBC4E">
      <w:pPr>
        <w:snapToGrid w:val="0"/>
        <w:rPr>
          <w:rFonts w:asciiTheme="minorEastAsia" w:hAnsiTheme="minorEastAsia" w:eastAsiaTheme="minorEastAsia" w:cstheme="minorEastAsia"/>
          <w:szCs w:val="21"/>
          <w:highlight w:val="none"/>
        </w:rPr>
      </w:pPr>
    </w:p>
    <w:p w14:paraId="262D34F3">
      <w:pPr>
        <w:adjustRightInd w:val="0"/>
        <w:snapToGrid w:val="0"/>
        <w:spacing w:line="360" w:lineRule="auto"/>
        <w:rPr>
          <w:rFonts w:asciiTheme="minorEastAsia" w:hAnsiTheme="minorEastAsia" w:eastAsiaTheme="minorEastAsia" w:cstheme="minorEastAsia"/>
          <w:highlight w:val="none"/>
        </w:rPr>
      </w:pPr>
    </w:p>
    <w:p w14:paraId="03474FD4">
      <w:pPr>
        <w:adjustRightInd w:val="0"/>
        <w:snapToGrid w:val="0"/>
        <w:spacing w:line="360" w:lineRule="auto"/>
        <w:ind w:right="420"/>
        <w:rPr>
          <w:rFonts w:asciiTheme="minorEastAsia" w:hAnsiTheme="minorEastAsia" w:eastAsiaTheme="minorEastAsia" w:cstheme="minorEastAsia"/>
          <w:highlight w:val="none"/>
        </w:rPr>
      </w:pPr>
    </w:p>
    <w:p w14:paraId="1D601409">
      <w:pPr>
        <w:adjustRightInd w:val="0"/>
        <w:snapToGrid w:val="0"/>
        <w:spacing w:line="360" w:lineRule="auto"/>
        <w:ind w:right="420"/>
        <w:rPr>
          <w:rFonts w:asciiTheme="minorEastAsia" w:hAnsiTheme="minorEastAsia" w:eastAsiaTheme="minorEastAsia" w:cstheme="minorEastAsia"/>
          <w:highlight w:val="none"/>
        </w:rPr>
      </w:pPr>
    </w:p>
    <w:p w14:paraId="1657AEBF">
      <w:pPr>
        <w:adjustRightInd w:val="0"/>
        <w:snapToGrid w:val="0"/>
        <w:spacing w:line="360" w:lineRule="auto"/>
        <w:ind w:right="420"/>
        <w:rPr>
          <w:rFonts w:asciiTheme="minorEastAsia" w:hAnsiTheme="minorEastAsia" w:eastAsiaTheme="minorEastAsia" w:cstheme="minorEastAsia"/>
          <w:highlight w:val="none"/>
        </w:rPr>
      </w:pPr>
    </w:p>
    <w:p w14:paraId="654FF00D">
      <w:pPr>
        <w:adjustRightInd w:val="0"/>
        <w:snapToGrid w:val="0"/>
        <w:spacing w:line="360" w:lineRule="auto"/>
        <w:ind w:right="420"/>
        <w:rPr>
          <w:rFonts w:asciiTheme="minorEastAsia" w:hAnsiTheme="minorEastAsia" w:eastAsiaTheme="minorEastAsia" w:cstheme="minorEastAsia"/>
          <w:highlight w:val="none"/>
        </w:rPr>
      </w:pPr>
    </w:p>
    <w:p w14:paraId="4BCC8FFD">
      <w:pPr>
        <w:adjustRightInd w:val="0"/>
        <w:snapToGrid w:val="0"/>
        <w:spacing w:line="360" w:lineRule="auto"/>
        <w:ind w:right="42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投标人名称（公章）：</w:t>
      </w:r>
    </w:p>
    <w:p w14:paraId="7096866D">
      <w:pPr>
        <w:adjustRightInd w:val="0"/>
        <w:snapToGrid w:val="0"/>
        <w:spacing w:line="360" w:lineRule="auto"/>
        <w:ind w:right="42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日期：    年  月  日</w:t>
      </w:r>
    </w:p>
    <w:p w14:paraId="7CACE54F">
      <w:pPr>
        <w:adjustRightInd w:val="0"/>
        <w:snapToGrid w:val="0"/>
        <w:spacing w:line="360" w:lineRule="auto"/>
        <w:ind w:right="420"/>
        <w:rPr>
          <w:rFonts w:asciiTheme="minorEastAsia" w:hAnsiTheme="minorEastAsia" w:eastAsiaTheme="minorEastAsia" w:cstheme="minorEastAsia"/>
          <w:highlight w:val="none"/>
        </w:rPr>
      </w:pPr>
    </w:p>
    <w:p w14:paraId="70EF5740">
      <w:pPr>
        <w:rPr>
          <w:rFonts w:asciiTheme="minorEastAsia" w:hAnsiTheme="minorEastAsia" w:eastAsiaTheme="minorEastAsia" w:cstheme="minorEastAsia"/>
          <w:sz w:val="32"/>
          <w:szCs w:val="32"/>
          <w:highlight w:val="none"/>
        </w:rPr>
      </w:pPr>
      <w:r>
        <w:rPr>
          <w:rFonts w:hint="eastAsia" w:asciiTheme="minorEastAsia" w:hAnsiTheme="minorEastAsia" w:eastAsiaTheme="minorEastAsia" w:cstheme="minorEastAsia"/>
          <w:sz w:val="32"/>
          <w:szCs w:val="32"/>
          <w:highlight w:val="none"/>
        </w:rPr>
        <w:br w:type="page"/>
      </w:r>
    </w:p>
    <w:p w14:paraId="549B0180">
      <w:pPr>
        <w:keepNext/>
        <w:spacing w:beforeLines="100"/>
        <w:jc w:val="center"/>
        <w:rPr>
          <w:rFonts w:asciiTheme="minorEastAsia" w:hAnsiTheme="minorEastAsia" w:eastAsiaTheme="minorEastAsia" w:cstheme="minorEastAsia"/>
          <w:sz w:val="32"/>
          <w:szCs w:val="32"/>
          <w:highlight w:val="none"/>
        </w:rPr>
      </w:pPr>
      <w:r>
        <w:rPr>
          <w:rFonts w:hint="eastAsia" w:asciiTheme="minorEastAsia" w:hAnsiTheme="minorEastAsia" w:eastAsiaTheme="minorEastAsia" w:cstheme="minorEastAsia"/>
          <w:sz w:val="32"/>
          <w:szCs w:val="32"/>
          <w:highlight w:val="none"/>
        </w:rPr>
        <w:t>法定代表人授权书</w:t>
      </w:r>
    </w:p>
    <w:p w14:paraId="5BBB51DA">
      <w:pPr>
        <w:rPr>
          <w:rFonts w:asciiTheme="minorEastAsia" w:hAnsiTheme="minorEastAsia" w:eastAsiaTheme="minorEastAsia" w:cstheme="minorEastAsia"/>
          <w:b/>
          <w:bCs/>
          <w:szCs w:val="32"/>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szCs w:val="32"/>
          <w:highlight w:val="none"/>
        </w:rPr>
        <w:t xml:space="preserve"> </w:t>
      </w:r>
    </w:p>
    <w:p w14:paraId="69D8F962">
      <w:pPr>
        <w:spacing w:line="56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b/>
          <w:spacing w:val="4"/>
          <w:szCs w:val="24"/>
          <w:highlight w:val="none"/>
        </w:rPr>
        <w:t>致：</w:t>
      </w:r>
      <w:r>
        <w:rPr>
          <w:rFonts w:hint="eastAsia" w:asciiTheme="minorEastAsia" w:hAnsiTheme="minorEastAsia" w:eastAsiaTheme="minorEastAsia" w:cstheme="minorEastAsia"/>
          <w:b/>
          <w:spacing w:val="4"/>
          <w:szCs w:val="24"/>
          <w:highlight w:val="none"/>
          <w:u w:val="single"/>
        </w:rPr>
        <w:t>陕西至诚项目管理集团有限公司</w:t>
      </w:r>
    </w:p>
    <w:p w14:paraId="637D11F2">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u w:val="single"/>
        </w:rPr>
        <w:t xml:space="preserve">(投标人名称)   </w:t>
      </w:r>
      <w:r>
        <w:rPr>
          <w:rFonts w:hint="eastAsia" w:asciiTheme="minorEastAsia" w:hAnsiTheme="minorEastAsia" w:eastAsiaTheme="minorEastAsia" w:cstheme="minorEastAsia"/>
          <w:spacing w:val="4"/>
          <w:szCs w:val="24"/>
          <w:highlight w:val="none"/>
        </w:rPr>
        <w:t>按中华人民共和国法律于</w:t>
      </w:r>
      <w:r>
        <w:rPr>
          <w:rFonts w:hint="eastAsia" w:asciiTheme="minorEastAsia" w:hAnsiTheme="minorEastAsia" w:eastAsiaTheme="minorEastAsia" w:cstheme="minorEastAsia"/>
          <w:spacing w:val="4"/>
          <w:szCs w:val="24"/>
          <w:highlight w:val="none"/>
          <w:u w:val="single"/>
        </w:rPr>
        <w:t xml:space="preserve">（  年  月  日 ）  </w:t>
      </w:r>
      <w:r>
        <w:rPr>
          <w:rFonts w:hint="eastAsia" w:asciiTheme="minorEastAsia" w:hAnsiTheme="minorEastAsia" w:eastAsiaTheme="minorEastAsia" w:cstheme="minorEastAsia"/>
          <w:spacing w:val="4"/>
          <w:szCs w:val="24"/>
          <w:highlight w:val="none"/>
        </w:rPr>
        <w:t>成立。</w:t>
      </w:r>
      <w:r>
        <w:rPr>
          <w:rFonts w:hint="eastAsia" w:asciiTheme="minorEastAsia" w:hAnsiTheme="minorEastAsia" w:eastAsiaTheme="minorEastAsia" w:cstheme="minorEastAsia"/>
          <w:spacing w:val="4"/>
          <w:szCs w:val="24"/>
          <w:highlight w:val="none"/>
          <w:u w:val="single"/>
        </w:rPr>
        <w:t>(</w:t>
      </w:r>
      <w:r>
        <w:rPr>
          <w:rFonts w:hint="eastAsia" w:asciiTheme="minorEastAsia" w:hAnsiTheme="minorEastAsia" w:eastAsiaTheme="minorEastAsia" w:cstheme="minorEastAsia"/>
          <w:szCs w:val="24"/>
          <w:highlight w:val="none"/>
          <w:u w:val="single"/>
        </w:rPr>
        <w:t>法定代表人</w:t>
      </w:r>
      <w:r>
        <w:rPr>
          <w:rFonts w:hint="eastAsia" w:asciiTheme="minorEastAsia" w:hAnsiTheme="minorEastAsia" w:eastAsiaTheme="minorEastAsia" w:cstheme="minorEastAsia"/>
          <w:spacing w:val="4"/>
          <w:szCs w:val="24"/>
          <w:highlight w:val="none"/>
          <w:u w:val="single"/>
        </w:rPr>
        <w:t>姓名)</w:t>
      </w:r>
      <w:r>
        <w:rPr>
          <w:rFonts w:hint="eastAsia" w:asciiTheme="minorEastAsia" w:hAnsiTheme="minorEastAsia" w:eastAsiaTheme="minorEastAsia" w:cstheme="minorEastAsia"/>
          <w:spacing w:val="4"/>
          <w:szCs w:val="24"/>
          <w:highlight w:val="none"/>
        </w:rPr>
        <w:t>特授权</w:t>
      </w:r>
      <w:r>
        <w:rPr>
          <w:rFonts w:hint="eastAsia" w:asciiTheme="minorEastAsia" w:hAnsiTheme="minorEastAsia" w:eastAsiaTheme="minorEastAsia" w:cstheme="minorEastAsia"/>
          <w:spacing w:val="4"/>
          <w:szCs w:val="24"/>
          <w:highlight w:val="none"/>
          <w:u w:val="single"/>
        </w:rPr>
        <w:t xml:space="preserve">（ </w:t>
      </w:r>
      <w:r>
        <w:rPr>
          <w:rFonts w:hint="eastAsia" w:asciiTheme="minorEastAsia" w:hAnsiTheme="minorEastAsia" w:eastAsiaTheme="minorEastAsia" w:cstheme="minorEastAsia"/>
          <w:szCs w:val="24"/>
          <w:highlight w:val="none"/>
          <w:u w:val="single"/>
        </w:rPr>
        <w:t>授权代表</w:t>
      </w:r>
      <w:r>
        <w:rPr>
          <w:rFonts w:hint="eastAsia" w:asciiTheme="minorEastAsia" w:hAnsiTheme="minorEastAsia" w:eastAsiaTheme="minorEastAsia" w:cstheme="minorEastAsia"/>
          <w:spacing w:val="4"/>
          <w:szCs w:val="24"/>
          <w:highlight w:val="none"/>
          <w:u w:val="single"/>
        </w:rPr>
        <w:t>姓名 ）</w:t>
      </w:r>
      <w:r>
        <w:rPr>
          <w:rFonts w:hint="eastAsia" w:asciiTheme="minorEastAsia" w:hAnsiTheme="minorEastAsia" w:eastAsiaTheme="minorEastAsia" w:cstheme="minorEastAsia"/>
          <w:spacing w:val="4"/>
          <w:szCs w:val="24"/>
          <w:highlight w:val="none"/>
        </w:rPr>
        <w:t xml:space="preserve">代表我公司全权办理针对本次 </w:t>
      </w:r>
      <w:r>
        <w:rPr>
          <w:rFonts w:hint="eastAsia" w:asciiTheme="minorEastAsia" w:hAnsiTheme="minorEastAsia" w:eastAsiaTheme="minorEastAsia" w:cstheme="minorEastAsia"/>
          <w:spacing w:val="4"/>
          <w:szCs w:val="24"/>
          <w:highlight w:val="none"/>
          <w:u w:val="single"/>
        </w:rPr>
        <w:t xml:space="preserve">（项目名称、项目编号）    </w:t>
      </w:r>
      <w:r>
        <w:rPr>
          <w:rFonts w:hint="eastAsia" w:asciiTheme="minorEastAsia" w:hAnsiTheme="minorEastAsia" w:eastAsiaTheme="minorEastAsia" w:cstheme="minorEastAsia"/>
          <w:spacing w:val="4"/>
          <w:szCs w:val="24"/>
          <w:highlight w:val="none"/>
        </w:rPr>
        <w:t>投标、谈判、签约等具体工作，并签署全部有关的文件、协议及合同。</w:t>
      </w:r>
    </w:p>
    <w:p w14:paraId="5949445A">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我公司对</w:t>
      </w:r>
      <w:r>
        <w:rPr>
          <w:rFonts w:hint="eastAsia" w:asciiTheme="minorEastAsia" w:hAnsiTheme="minorEastAsia" w:eastAsiaTheme="minorEastAsia" w:cstheme="minorEastAsia"/>
          <w:szCs w:val="24"/>
          <w:highlight w:val="none"/>
        </w:rPr>
        <w:t>授权代表</w:t>
      </w:r>
      <w:r>
        <w:rPr>
          <w:rFonts w:hint="eastAsia" w:asciiTheme="minorEastAsia" w:hAnsiTheme="minorEastAsia" w:eastAsiaTheme="minorEastAsia" w:cstheme="minorEastAsia"/>
          <w:spacing w:val="4"/>
          <w:szCs w:val="24"/>
          <w:highlight w:val="none"/>
        </w:rPr>
        <w:t>的签名负全部责任。</w:t>
      </w:r>
    </w:p>
    <w:p w14:paraId="4C0E4DE7">
      <w:pPr>
        <w:spacing w:line="560" w:lineRule="exact"/>
        <w:ind w:right="540" w:rightChars="257" w:firstLine="420" w:firstLineChars="200"/>
        <w:jc w:val="left"/>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委托期限：</w:t>
      </w:r>
      <w:r>
        <w:rPr>
          <w:rFonts w:hint="eastAsia" w:asciiTheme="minorEastAsia" w:hAnsiTheme="minorEastAsia" w:eastAsiaTheme="minorEastAsia" w:cstheme="minorEastAsia"/>
          <w:highlight w:val="none"/>
          <w:lang w:val="zh-CN"/>
        </w:rPr>
        <w:t>自开标之日起</w:t>
      </w:r>
      <w:r>
        <w:rPr>
          <w:rFonts w:hint="eastAsia" w:asciiTheme="minorEastAsia" w:hAnsiTheme="minorEastAsia" w:eastAsiaTheme="minorEastAsia" w:cstheme="minorEastAsia"/>
          <w:highlight w:val="none"/>
        </w:rPr>
        <w:t>90</w:t>
      </w:r>
      <w:r>
        <w:rPr>
          <w:rFonts w:hint="eastAsia" w:asciiTheme="minorEastAsia" w:hAnsiTheme="minorEastAsia" w:eastAsiaTheme="minorEastAsia" w:cstheme="minorEastAsia"/>
          <w:highlight w:val="none"/>
          <w:lang w:val="zh-CN"/>
        </w:rPr>
        <w:t>天。</w:t>
      </w:r>
    </w:p>
    <w:p w14:paraId="5B4E1BEB">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本授权书于</w:t>
      </w:r>
      <w:r>
        <w:rPr>
          <w:rFonts w:hint="eastAsia" w:asciiTheme="minorEastAsia" w:hAnsiTheme="minorEastAsia" w:eastAsiaTheme="minorEastAsia" w:cstheme="minorEastAsia"/>
          <w:spacing w:val="4"/>
          <w:szCs w:val="24"/>
          <w:highlight w:val="none"/>
          <w:u w:val="single"/>
        </w:rPr>
        <w:t xml:space="preserve">      年   月   日</w:t>
      </w:r>
      <w:r>
        <w:rPr>
          <w:rFonts w:hint="eastAsia" w:asciiTheme="minorEastAsia" w:hAnsiTheme="minorEastAsia" w:eastAsiaTheme="minorEastAsia" w:cstheme="minorEastAsia"/>
          <w:spacing w:val="4"/>
          <w:szCs w:val="24"/>
          <w:highlight w:val="none"/>
        </w:rPr>
        <w:t>签章生效，特此证明。</w:t>
      </w:r>
    </w:p>
    <w:tbl>
      <w:tblPr>
        <w:tblStyle w:val="11"/>
        <w:tblW w:w="8190" w:type="dxa"/>
        <w:tblInd w:w="633" w:type="dxa"/>
        <w:tblLayout w:type="fixed"/>
        <w:tblCellMar>
          <w:top w:w="0" w:type="dxa"/>
          <w:left w:w="108" w:type="dxa"/>
          <w:bottom w:w="0" w:type="dxa"/>
          <w:right w:w="108" w:type="dxa"/>
        </w:tblCellMar>
      </w:tblPr>
      <w:tblGrid>
        <w:gridCol w:w="4200"/>
        <w:gridCol w:w="3990"/>
      </w:tblGrid>
      <w:tr w14:paraId="39F060B7">
        <w:tblPrEx>
          <w:tblCellMar>
            <w:top w:w="0" w:type="dxa"/>
            <w:left w:w="108" w:type="dxa"/>
            <w:bottom w:w="0" w:type="dxa"/>
            <w:right w:w="108" w:type="dxa"/>
          </w:tblCellMar>
        </w:tblPrEx>
        <w:trPr>
          <w:trHeight w:val="600" w:hRule="atLeast"/>
        </w:trPr>
        <w:tc>
          <w:tcPr>
            <w:tcW w:w="4200" w:type="dxa"/>
          </w:tcPr>
          <w:p w14:paraId="1BC27D2E">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被授权人签字或盖章：</w:t>
            </w:r>
          </w:p>
        </w:tc>
        <w:tc>
          <w:tcPr>
            <w:tcW w:w="3990" w:type="dxa"/>
          </w:tcPr>
          <w:p w14:paraId="286125DB">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zCs w:val="24"/>
                <w:highlight w:val="none"/>
              </w:rPr>
              <w:t>法定代表人</w:t>
            </w:r>
            <w:r>
              <w:rPr>
                <w:rFonts w:hint="eastAsia" w:asciiTheme="minorEastAsia" w:hAnsiTheme="minorEastAsia" w:eastAsiaTheme="minorEastAsia" w:cstheme="minorEastAsia"/>
                <w:spacing w:val="4"/>
                <w:szCs w:val="24"/>
                <w:highlight w:val="none"/>
              </w:rPr>
              <w:t>签字或盖章：</w:t>
            </w:r>
          </w:p>
        </w:tc>
      </w:tr>
      <w:tr w14:paraId="4B71F40B">
        <w:tblPrEx>
          <w:tblCellMar>
            <w:top w:w="0" w:type="dxa"/>
            <w:left w:w="108" w:type="dxa"/>
            <w:bottom w:w="0" w:type="dxa"/>
            <w:right w:w="108" w:type="dxa"/>
          </w:tblCellMar>
        </w:tblPrEx>
        <w:trPr>
          <w:trHeight w:val="600" w:hRule="atLeast"/>
        </w:trPr>
        <w:tc>
          <w:tcPr>
            <w:tcW w:w="4200" w:type="dxa"/>
          </w:tcPr>
          <w:p w14:paraId="11C469F3">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职务：</w:t>
            </w:r>
          </w:p>
        </w:tc>
        <w:tc>
          <w:tcPr>
            <w:tcW w:w="3990" w:type="dxa"/>
          </w:tcPr>
          <w:p w14:paraId="191CCF86">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职务：</w:t>
            </w:r>
          </w:p>
        </w:tc>
      </w:tr>
      <w:tr w14:paraId="455F5CD9">
        <w:tblPrEx>
          <w:tblCellMar>
            <w:top w:w="0" w:type="dxa"/>
            <w:left w:w="108" w:type="dxa"/>
            <w:bottom w:w="0" w:type="dxa"/>
            <w:right w:w="108" w:type="dxa"/>
          </w:tblCellMar>
        </w:tblPrEx>
        <w:trPr>
          <w:trHeight w:val="600" w:hRule="atLeast"/>
        </w:trPr>
        <w:tc>
          <w:tcPr>
            <w:tcW w:w="4200" w:type="dxa"/>
          </w:tcPr>
          <w:p w14:paraId="6A55FAF3">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所在部门：</w:t>
            </w:r>
          </w:p>
        </w:tc>
        <w:tc>
          <w:tcPr>
            <w:tcW w:w="3990" w:type="dxa"/>
          </w:tcPr>
          <w:p w14:paraId="1A81AF9A">
            <w:pPr>
              <w:spacing w:line="520" w:lineRule="exact"/>
              <w:jc w:val="left"/>
              <w:rPr>
                <w:rFonts w:asciiTheme="minorEastAsia" w:hAnsiTheme="minorEastAsia" w:eastAsiaTheme="minorEastAsia" w:cstheme="minorEastAsia"/>
                <w:spacing w:val="4"/>
                <w:szCs w:val="24"/>
                <w:highlight w:val="none"/>
              </w:rPr>
            </w:pPr>
          </w:p>
        </w:tc>
      </w:tr>
    </w:tbl>
    <w:p w14:paraId="18C4A9E3">
      <w:pPr>
        <w:spacing w:line="520" w:lineRule="exact"/>
        <w:ind w:firstLine="436" w:firstLineChars="200"/>
        <w:jc w:val="left"/>
        <w:rPr>
          <w:rFonts w:asciiTheme="minorEastAsia" w:hAnsiTheme="minorEastAsia" w:eastAsiaTheme="minorEastAsia" w:cstheme="minorEastAsia"/>
          <w:spacing w:val="4"/>
          <w:szCs w:val="24"/>
          <w:highlight w:val="none"/>
        </w:rPr>
      </w:pPr>
    </w:p>
    <w:p w14:paraId="3A3D2F14">
      <w:pPr>
        <w:spacing w:before="240" w:line="360" w:lineRule="auto"/>
        <w:ind w:firstLine="840" w:firstLineChars="400"/>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lang w:val="zh-CN"/>
        </w:rPr>
        <w:t>附法定代表人</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zh-CN"/>
        </w:rPr>
        <w:t>授权代表身份证复印件</w:t>
      </w:r>
    </w:p>
    <w:tbl>
      <w:tblPr>
        <w:tblStyle w:val="11"/>
        <w:tblW w:w="8357" w:type="dxa"/>
        <w:tblInd w:w="540" w:type="dxa"/>
        <w:tblLayout w:type="fixed"/>
        <w:tblCellMar>
          <w:top w:w="0" w:type="dxa"/>
          <w:left w:w="108" w:type="dxa"/>
          <w:bottom w:w="0" w:type="dxa"/>
          <w:right w:w="108" w:type="dxa"/>
        </w:tblCellMar>
      </w:tblPr>
      <w:tblGrid>
        <w:gridCol w:w="4246"/>
        <w:gridCol w:w="4111"/>
      </w:tblGrid>
      <w:tr w14:paraId="7103AFEE">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32E7F8AC">
            <w:pPr>
              <w:spacing w:line="360" w:lineRule="auto"/>
              <w:jc w:val="center"/>
              <w:rPr>
                <w:rFonts w:asciiTheme="minorEastAsia" w:hAnsiTheme="minorEastAsia" w:eastAsiaTheme="minorEastAsia" w:cstheme="minorEastAsia"/>
                <w:szCs w:val="21"/>
                <w:highlight w:val="none"/>
                <w:lang w:val="zh-CN"/>
              </w:rPr>
            </w:pPr>
            <w:r>
              <w:rPr>
                <w:rFonts w:hint="eastAsia" w:asciiTheme="minorEastAsia" w:hAnsiTheme="minorEastAsia" w:eastAsiaTheme="minorEastAsia" w:cstheme="minorEastAsia"/>
                <w:szCs w:val="21"/>
                <w:highlight w:val="none"/>
                <w:lang w:val="zh-CN"/>
              </w:rPr>
              <w:t>法定代表人身份证复印件粘贴处</w:t>
            </w:r>
          </w:p>
          <w:p w14:paraId="5073A261">
            <w:pPr>
              <w:spacing w:line="360" w:lineRule="auto"/>
              <w:jc w:val="center"/>
              <w:rPr>
                <w:rFonts w:asciiTheme="minorEastAsia" w:hAnsiTheme="minorEastAsia" w:eastAsiaTheme="minorEastAsia" w:cstheme="minorEastAsia"/>
                <w:szCs w:val="21"/>
                <w:highlight w:val="none"/>
                <w:u w:val="single"/>
              </w:rPr>
            </w:pPr>
            <w:r>
              <w:rPr>
                <w:rFonts w:hint="eastAsia" w:asciiTheme="minorEastAsia" w:hAnsiTheme="minorEastAsia" w:eastAsiaTheme="minorEastAsia" w:cstheme="minorEastAsia"/>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7981CCE0">
            <w:pPr>
              <w:autoSpaceDE w:val="0"/>
              <w:autoSpaceDN w:val="0"/>
              <w:adjustRightInd w:val="0"/>
              <w:snapToGrid w:val="0"/>
              <w:spacing w:beforeLines="50"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4"/>
                <w:highlight w:val="none"/>
              </w:rPr>
              <w:t>授权代表</w:t>
            </w:r>
            <w:r>
              <w:rPr>
                <w:rFonts w:hint="eastAsia" w:asciiTheme="minorEastAsia" w:hAnsiTheme="minorEastAsia" w:eastAsiaTheme="minorEastAsia" w:cstheme="minorEastAsia"/>
                <w:szCs w:val="21"/>
                <w:highlight w:val="none"/>
              </w:rPr>
              <w:t>身份证复印件粘贴处</w:t>
            </w:r>
          </w:p>
          <w:p w14:paraId="41CEF2DF">
            <w:pPr>
              <w:autoSpaceDE w:val="0"/>
              <w:autoSpaceDN w:val="0"/>
              <w:adjustRightInd w:val="0"/>
              <w:snapToGrid w:val="0"/>
              <w:spacing w:beforeLines="50" w:line="360" w:lineRule="auto"/>
              <w:jc w:val="center"/>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szCs w:val="21"/>
                <w:highlight w:val="none"/>
              </w:rPr>
              <w:t>（正反面）</w:t>
            </w:r>
          </w:p>
        </w:tc>
      </w:tr>
    </w:tbl>
    <w:p w14:paraId="1B6FD023">
      <w:pPr>
        <w:spacing w:line="480" w:lineRule="auto"/>
        <w:ind w:left="424" w:leftChars="202" w:right="540" w:rightChars="257"/>
        <w:jc w:val="left"/>
        <w:rPr>
          <w:rFonts w:hint="eastAsia" w:asciiTheme="minorEastAsia" w:hAnsiTheme="minorEastAsia" w:eastAsiaTheme="minorEastAsia" w:cstheme="minorEastAsia"/>
          <w:highlight w:val="none"/>
        </w:rPr>
      </w:pPr>
    </w:p>
    <w:p w14:paraId="0729E565">
      <w:pPr>
        <w:spacing w:line="480" w:lineRule="auto"/>
        <w:ind w:left="424" w:leftChars="202" w:right="540" w:rightChars="257"/>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highlight w:val="none"/>
          <w:u w:val="single"/>
        </w:rPr>
        <w:t xml:space="preserve">      （加盖单位公章）      </w:t>
      </w:r>
    </w:p>
    <w:p w14:paraId="10C29FBB">
      <w:pPr>
        <w:spacing w:line="440" w:lineRule="exact"/>
        <w:ind w:left="424" w:leftChars="202"/>
        <w:rPr>
          <w:rFonts w:asciiTheme="minorEastAsia" w:hAnsiTheme="minorEastAsia" w:eastAsiaTheme="minorEastAsia" w:cstheme="minorEastAsia"/>
          <w:spacing w:val="4"/>
          <w:szCs w:val="30"/>
          <w:highlight w:val="none"/>
        </w:rPr>
      </w:pPr>
      <w:r>
        <w:rPr>
          <w:rFonts w:hint="eastAsia" w:asciiTheme="minorEastAsia" w:hAnsiTheme="minorEastAsia" w:eastAsiaTheme="minorEastAsia" w:cstheme="minorEastAsia"/>
          <w:spacing w:val="4"/>
          <w:szCs w:val="30"/>
          <w:highlight w:val="none"/>
        </w:rPr>
        <w:t>日   期：</w:t>
      </w:r>
    </w:p>
    <w:p w14:paraId="4FE3BAE6">
      <w:pPr>
        <w:ind w:firstLine="422" w:firstLineChars="200"/>
        <w:rPr>
          <w:rFonts w:asciiTheme="minorEastAsia" w:hAnsiTheme="minorEastAsia" w:eastAsiaTheme="minorEastAsia" w:cstheme="minorEastAsia"/>
          <w:b/>
          <w:bCs/>
          <w:highlight w:val="none"/>
          <w:lang w:val="zh-CN"/>
        </w:rPr>
      </w:pPr>
    </w:p>
    <w:p w14:paraId="2C8FCDA5">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br w:type="page"/>
      </w:r>
    </w:p>
    <w:p w14:paraId="196283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(3)提供投标截止日前近一年内任意一个月的纳税证明或完税证明（任意税种），依法免税的单位应提供相关证明材料；</w:t>
      </w:r>
    </w:p>
    <w:p w14:paraId="758252D9">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br w:type="page"/>
      </w:r>
    </w:p>
    <w:p w14:paraId="356725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(4)提供投标截止日前一年内已缴存的至少一个月的社会保障资金缴存单据或社保机构开具的社会保险参保缴费情况证明，依法不需要缴纳社会保障资金的单位应提供相关证明材料；</w:t>
      </w:r>
    </w:p>
    <w:p w14:paraId="6953AFE2">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br w:type="page"/>
      </w:r>
    </w:p>
    <w:p w14:paraId="5F6C3AE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(5)财务状况：提供递交投标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p w14:paraId="09AEB165">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br w:type="page"/>
      </w:r>
    </w:p>
    <w:p w14:paraId="16DEB0B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09DB963A">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Chars="200" w:right="0" w:rightChars="0"/>
        <w:jc w:val="center"/>
        <w:rPr>
          <w:rFonts w:hint="eastAsia" w:asciiTheme="minorEastAsia" w:hAnsiTheme="minorEastAsia" w:eastAsiaTheme="minorEastAsia" w:cstheme="minorEastAsia"/>
          <w:color w:val="000000"/>
          <w:highlight w:val="none"/>
          <w:lang w:val="en-US" w:eastAsia="zh-CN"/>
        </w:rPr>
      </w:pPr>
      <w:r>
        <w:rPr>
          <w:rFonts w:hint="eastAsia" w:asciiTheme="minorEastAsia" w:hAnsiTheme="minorEastAsia" w:eastAsiaTheme="minorEastAsia" w:cstheme="minorEastAsia"/>
          <w:b/>
          <w:bCs/>
          <w:color w:val="000000"/>
          <w:kern w:val="2"/>
          <w:sz w:val="28"/>
          <w:szCs w:val="21"/>
          <w:highlight w:val="none"/>
          <w:lang w:val="en-US" w:eastAsia="zh-CN" w:bidi="ar-SA"/>
        </w:rPr>
        <w:t>供应商信用记录书面声明函</w:t>
      </w:r>
    </w:p>
    <w:p w14:paraId="19A9170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80" w:lineRule="atLeast"/>
        <w:ind w:right="0"/>
        <w:jc w:val="both"/>
        <w:textAlignment w:val="auto"/>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rPr>
      </w:pP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lang w:eastAsia="zh-CN"/>
        </w:rPr>
        <w:t>陕西至诚项目管理集团有限公司</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rPr>
        <w:t>：</w:t>
      </w:r>
    </w:p>
    <w:p w14:paraId="5D9A888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80" w:lineRule="atLeast"/>
        <w:ind w:right="0" w:firstLine="480" w:firstLineChars="200"/>
        <w:jc w:val="both"/>
        <w:textAlignment w:val="auto"/>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pP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eastAsia="zh-CN"/>
        </w:rPr>
        <w:t>我</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方作为项目名称</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rPr>
        <w:t xml:space="preserve"> </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lang w:val="en-US" w:eastAsia="zh-CN"/>
        </w:rPr>
        <w:t xml:space="preserve">                     </w:t>
      </w:r>
      <w:r>
        <w:rPr>
          <w:rFonts w:hint="eastAsia" w:asciiTheme="minorEastAsia" w:hAnsiTheme="minorEastAsia" w:eastAsiaTheme="minorEastAsia" w:cstheme="minorEastAsia"/>
          <w:color w:val="000000"/>
          <w:spacing w:val="19"/>
          <w:sz w:val="24"/>
          <w:szCs w:val="24"/>
          <w:highlight w:val="none"/>
          <w:u w:val="single"/>
          <w:lang w:val="en-US" w:eastAsia="zh-CN"/>
        </w:rPr>
        <w:t>（项目名称）</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（项目编号：</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rPr>
        <w:t xml:space="preserve"> </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）的</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val="en-US" w:eastAsia="zh-CN"/>
        </w:rPr>
        <w:t>投标人</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，在此郑重声明：</w:t>
      </w:r>
    </w:p>
    <w:p w14:paraId="64F3F03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80" w:lineRule="atLeast"/>
        <w:ind w:right="0" w:firstLine="480" w:firstLineChars="200"/>
        <w:jc w:val="both"/>
        <w:textAlignment w:val="auto"/>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pP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eastAsia="zh-CN"/>
        </w:rPr>
        <w:t>1.</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在参加本次政府采购活动前3年内的经营活动中</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rPr>
        <w:t xml:space="preserve"> </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（填“没有”或“有”）重大违法记录。</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val="en-US" w:eastAsia="zh-CN"/>
        </w:rPr>
        <w:t>供应商</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在参加政府采购活动前 3 年内因违法经营被禁止在一定期限内参加政府采购活动，期限届满的，可以参加政府采购活动，但应提供期限届满的证明材料。</w:t>
      </w:r>
    </w:p>
    <w:p w14:paraId="3D89CE2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80" w:lineRule="atLeast"/>
        <w:ind w:right="0" w:firstLine="480" w:firstLineChars="200"/>
        <w:jc w:val="both"/>
        <w:textAlignment w:val="auto"/>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pP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eastAsia="zh-CN"/>
        </w:rPr>
        <w:t>2.</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val="en-US" w:eastAsia="zh-CN"/>
        </w:rPr>
        <w:t>我</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方</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（填“未被列入”或“被列入”）失信被执行人名单。</w:t>
      </w:r>
    </w:p>
    <w:p w14:paraId="224E6B3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80" w:lineRule="atLeast"/>
        <w:ind w:right="0" w:firstLine="480" w:firstLineChars="200"/>
        <w:jc w:val="both"/>
        <w:textAlignment w:val="auto"/>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pP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eastAsia="zh-CN"/>
        </w:rPr>
        <w:t>3.</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val="en-US" w:eastAsia="zh-CN"/>
        </w:rPr>
        <w:t>我</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方</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rPr>
        <w:t xml:space="preserve"> </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（填“未被列入”或“被列入”）重大税收违法案件当事人名单。</w:t>
      </w:r>
    </w:p>
    <w:p w14:paraId="6F12FB9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80" w:lineRule="atLeast"/>
        <w:ind w:right="0" w:firstLine="480" w:firstLineChars="200"/>
        <w:jc w:val="both"/>
        <w:textAlignment w:val="auto"/>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pP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eastAsia="zh-CN"/>
        </w:rPr>
        <w:t>4.</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val="en-US" w:eastAsia="zh-CN"/>
        </w:rPr>
        <w:t>我</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方</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rPr>
        <w:t xml:space="preserve"> </w:t>
      </w:r>
      <w:r>
        <w:rPr>
          <w:rFonts w:hint="eastAsia" w:asciiTheme="minorEastAsia" w:hAnsiTheme="minorEastAsia" w:eastAsiaTheme="minorEastAsia" w:cstheme="minorEastAsia"/>
          <w:i w:val="0"/>
          <w:iCs w:val="0"/>
          <w:caps w:val="0"/>
          <w:color w:val="000000"/>
          <w:spacing w:val="0"/>
          <w:sz w:val="24"/>
          <w:szCs w:val="24"/>
          <w:highlight w:val="none"/>
          <w:u w:val="single"/>
          <w:shd w:val="clear" w:color="auto" w:fill="FFFFFF"/>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（填“未被列入”或“被列入”）政府采购严重违法失信行为记录名单。</w:t>
      </w:r>
    </w:p>
    <w:p w14:paraId="707AF51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80" w:lineRule="atLeast"/>
        <w:ind w:right="0" w:firstLine="480" w:firstLineChars="200"/>
        <w:jc w:val="both"/>
        <w:textAlignment w:val="auto"/>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pP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如有不实，</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eastAsia="zh-CN"/>
        </w:rPr>
        <w:t>我</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方将无条件地退出本项目的采购活动，并遵照《</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lang w:eastAsia="zh-CN"/>
        </w:rPr>
        <w:t>中华人民共和国政府采购法</w:t>
      </w: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》有关“提供虚假材料的规定”接受处罚。</w:t>
      </w:r>
    </w:p>
    <w:p w14:paraId="7433E677">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pPr>
      <w:r>
        <w:rPr>
          <w:rFonts w:hint="eastAsia" w:asciiTheme="minorEastAsia" w:hAnsiTheme="minorEastAsia" w:eastAsiaTheme="minorEastAsia" w:cstheme="minorEastAsia"/>
          <w:i w:val="0"/>
          <w:iCs w:val="0"/>
          <w:caps w:val="0"/>
          <w:color w:val="000000"/>
          <w:spacing w:val="0"/>
          <w:sz w:val="24"/>
          <w:szCs w:val="24"/>
          <w:highlight w:val="none"/>
          <w:shd w:val="clear" w:color="auto" w:fill="FFFFFF"/>
        </w:rPr>
        <w:t>特此声明。</w:t>
      </w:r>
    </w:p>
    <w:p w14:paraId="6E0ECCDD">
      <w:pPr>
        <w:wordWrap w:val="0"/>
        <w:snapToGrid w:val="0"/>
        <w:spacing w:line="480" w:lineRule="auto"/>
        <w:ind w:firstLine="480" w:firstLineChars="200"/>
        <w:jc w:val="right"/>
        <w:rPr>
          <w:rFonts w:hint="eastAsia" w:asciiTheme="minorEastAsia" w:hAnsiTheme="minorEastAsia" w:eastAsiaTheme="minorEastAsia" w:cstheme="minorEastAsia"/>
          <w:color w:val="000000"/>
          <w:sz w:val="24"/>
          <w:highlight w:val="none"/>
        </w:rPr>
      </w:pPr>
      <w:r>
        <w:rPr>
          <w:rFonts w:hint="eastAsia" w:asciiTheme="minorEastAsia" w:hAnsiTheme="minorEastAsia" w:eastAsiaTheme="minorEastAsia" w:cstheme="minorEastAsia"/>
          <w:color w:val="auto"/>
          <w:kern w:val="2"/>
          <w:sz w:val="24"/>
          <w:szCs w:val="24"/>
          <w:highlight w:val="none"/>
          <w:lang w:val="en-US" w:eastAsia="zh-CN"/>
        </w:rPr>
        <w:t>投标人</w:t>
      </w:r>
      <w:r>
        <w:rPr>
          <w:rFonts w:hint="eastAsia" w:asciiTheme="minorEastAsia" w:hAnsiTheme="minorEastAsia" w:eastAsiaTheme="minorEastAsia" w:cstheme="minorEastAsia"/>
          <w:color w:val="000000"/>
          <w:sz w:val="24"/>
          <w:highlight w:val="none"/>
        </w:rPr>
        <w:t>名称：</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u w:val="single"/>
          <w:lang w:val="en-US" w:eastAsia="zh-CN"/>
        </w:rPr>
        <w:t xml:space="preserve">                      </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rPr>
        <w:t>（盖单位章）</w:t>
      </w:r>
    </w:p>
    <w:p w14:paraId="0888BEFA">
      <w:pPr>
        <w:snapToGrid w:val="0"/>
        <w:spacing w:line="480" w:lineRule="auto"/>
        <w:ind w:firstLine="480" w:firstLineChars="200"/>
        <w:jc w:val="right"/>
        <w:rPr>
          <w:rFonts w:hint="eastAsia" w:asciiTheme="minorEastAsia" w:hAnsiTheme="minorEastAsia" w:eastAsiaTheme="minorEastAsia" w:cstheme="minorEastAsia"/>
          <w:color w:val="000000"/>
          <w:sz w:val="24"/>
          <w:highlight w:val="none"/>
        </w:rPr>
      </w:pPr>
      <w:r>
        <w:rPr>
          <w:rFonts w:hint="eastAsia" w:asciiTheme="minorEastAsia" w:hAnsiTheme="minorEastAsia" w:eastAsiaTheme="minorEastAsia" w:cstheme="minorEastAsia"/>
          <w:color w:val="000000"/>
          <w:sz w:val="24"/>
          <w:highlight w:val="none"/>
        </w:rPr>
        <w:t>法定代表人或其委托代理人：</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rPr>
        <w:t>（签字或盖章）</w:t>
      </w:r>
    </w:p>
    <w:p w14:paraId="1CEF287F">
      <w:pPr>
        <w:pStyle w:val="5"/>
        <w:snapToGrid w:val="0"/>
        <w:spacing w:after="156"/>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000000"/>
          <w:sz w:val="24"/>
          <w:highlight w:val="none"/>
        </w:rPr>
        <w:t xml:space="preserve">                               </w:t>
      </w:r>
      <w:r>
        <w:rPr>
          <w:rFonts w:hint="eastAsia" w:asciiTheme="minorEastAsia" w:hAnsiTheme="minorEastAsia" w:eastAsiaTheme="minorEastAsia" w:cstheme="minorEastAsia"/>
          <w:color w:val="000000"/>
          <w:sz w:val="24"/>
          <w:highlight w:val="none"/>
          <w:lang w:val="en-US" w:eastAsia="zh-CN"/>
        </w:rPr>
        <w:t xml:space="preserve">  </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u w:val="single"/>
          <w:lang w:val="en-US" w:eastAsia="zh-CN"/>
        </w:rPr>
        <w:t xml:space="preserve"> </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rPr>
        <w:t>年</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u w:val="single"/>
          <w:lang w:val="en-US" w:eastAsia="zh-CN"/>
        </w:rPr>
        <w:t xml:space="preserve">   </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rPr>
        <w:t>月</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u w:val="single"/>
          <w:lang w:val="en-US" w:eastAsia="zh-CN"/>
        </w:rPr>
        <w:t xml:space="preserve">   </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rPr>
        <w:t>日</w:t>
      </w:r>
    </w:p>
    <w:p w14:paraId="461692FA">
      <w:pPr>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br w:type="page"/>
      </w:r>
    </w:p>
    <w:p w14:paraId="1D195D13">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p>
    <w:p w14:paraId="2B08118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(7)参加政府采购活动前3年内，在经营活动中没有重大违法记录的书面声明;</w:t>
      </w:r>
    </w:p>
    <w:p w14:paraId="41A8F652">
      <w:pPr>
        <w:widowControl/>
        <w:spacing w:line="360" w:lineRule="auto"/>
        <w:ind w:left="1" w:firstLine="240" w:firstLineChars="100"/>
        <w:jc w:val="center"/>
        <w:rPr>
          <w:rFonts w:ascii="宋体" w:hAnsi="宋体" w:cs="宋体"/>
          <w:b/>
          <w:kern w:val="0"/>
          <w:sz w:val="24"/>
          <w:szCs w:val="24"/>
          <w:highlight w:val="none"/>
        </w:rPr>
      </w:pPr>
      <w:r>
        <w:rPr>
          <w:rFonts w:hint="eastAsia" w:ascii="宋体" w:hAnsi="宋体" w:cs="宋体"/>
          <w:b/>
          <w:kern w:val="0"/>
          <w:sz w:val="24"/>
          <w:szCs w:val="24"/>
          <w:highlight w:val="none"/>
        </w:rPr>
        <w:t>参加政府采购活动前3年内在经营活动中没有重大违法纪录的书面声明</w:t>
      </w:r>
    </w:p>
    <w:p w14:paraId="230ACD39">
      <w:pPr>
        <w:widowControl/>
        <w:spacing w:line="360" w:lineRule="auto"/>
        <w:ind w:left="1"/>
        <w:jc w:val="center"/>
        <w:rPr>
          <w:rFonts w:ascii="宋体" w:hAnsi="宋体" w:cs="宋体"/>
          <w:b/>
          <w:kern w:val="0"/>
          <w:sz w:val="28"/>
          <w:szCs w:val="28"/>
          <w:highlight w:val="none"/>
        </w:rPr>
      </w:pPr>
      <w:r>
        <w:rPr>
          <w:rFonts w:hint="eastAsia" w:ascii="宋体" w:hAnsi="宋体" w:cs="宋体"/>
          <w:b/>
          <w:kern w:val="0"/>
          <w:sz w:val="28"/>
          <w:szCs w:val="28"/>
          <w:highlight w:val="none"/>
        </w:rPr>
        <w:t>（格式）</w:t>
      </w:r>
    </w:p>
    <w:p w14:paraId="2F93B59F">
      <w:pPr>
        <w:pStyle w:val="10"/>
        <w:wordWrap w:val="0"/>
        <w:spacing w:line="560" w:lineRule="exact"/>
        <w:rPr>
          <w:rFonts w:hint="eastAsia" w:ascii="宋体" w:hAnsi="宋体" w:cs="宋体"/>
          <w:color w:val="auto"/>
          <w:highlight w:val="none"/>
          <w:u w:val="single"/>
          <w:shd w:val="clear" w:color="auto" w:fill="FFFFFF"/>
        </w:rPr>
      </w:pPr>
    </w:p>
    <w:p w14:paraId="31C23D1E">
      <w:pPr>
        <w:pStyle w:val="10"/>
        <w:wordWrap w:val="0"/>
        <w:spacing w:line="560" w:lineRule="exact"/>
        <w:rPr>
          <w:rFonts w:ascii="宋体" w:hAnsi="宋体" w:cs="宋体"/>
          <w:color w:val="auto"/>
          <w:highlight w:val="none"/>
          <w:u w:val="single"/>
          <w:shd w:val="clear" w:color="auto" w:fill="FFFFFF"/>
        </w:rPr>
      </w:pPr>
      <w:r>
        <w:rPr>
          <w:rFonts w:hint="eastAsia" w:ascii="宋体" w:hAnsi="宋体" w:cs="宋体"/>
          <w:color w:val="auto"/>
          <w:highlight w:val="none"/>
          <w:u w:val="single"/>
          <w:shd w:val="clear" w:color="auto" w:fill="FFFFFF"/>
          <w:lang w:eastAsia="zh-CN"/>
        </w:rPr>
        <w:t>陕西至诚项目管理集团有限公司</w:t>
      </w:r>
      <w:r>
        <w:rPr>
          <w:rFonts w:hint="eastAsia" w:ascii="宋体" w:hAnsi="宋体" w:cs="宋体"/>
          <w:color w:val="auto"/>
          <w:highlight w:val="none"/>
          <w:u w:val="single"/>
          <w:shd w:val="clear" w:color="auto" w:fill="FFFFFF"/>
        </w:rPr>
        <w:t>：</w:t>
      </w:r>
    </w:p>
    <w:p w14:paraId="67B3C7E5">
      <w:pPr>
        <w:pStyle w:val="10"/>
        <w:wordWrap w:val="0"/>
        <w:spacing w:line="560" w:lineRule="exact"/>
        <w:ind w:firstLine="640"/>
        <w:rPr>
          <w:rFonts w:ascii="宋体" w:hAnsi="宋体" w:cs="宋体"/>
          <w:color w:val="auto"/>
          <w:highlight w:val="none"/>
        </w:rPr>
      </w:pPr>
      <w:r>
        <w:rPr>
          <w:rFonts w:hint="eastAsia" w:ascii="宋体" w:hAnsi="宋体" w:cs="宋体"/>
          <w:color w:val="auto"/>
          <w:highlight w:val="none"/>
          <w:shd w:val="clear" w:color="auto" w:fill="FFFFFF"/>
        </w:rPr>
        <w:t>我方作为项目名称</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shd w:val="clear" w:color="auto" w:fill="FFFFFF"/>
        </w:rPr>
        <w:t>（项目编号</w:t>
      </w:r>
      <w:r>
        <w:rPr>
          <w:rFonts w:hint="eastAsia" w:cs="宋体"/>
          <w:color w:val="auto"/>
          <w:highlight w:val="none"/>
          <w:shd w:val="clear" w:color="auto" w:fill="FFFFFF"/>
        </w:rPr>
        <w:t>、包号</w:t>
      </w:r>
      <w:r>
        <w:rPr>
          <w:rFonts w:hint="eastAsia" w:ascii="宋体" w:hAnsi="宋体" w:cs="宋体"/>
          <w:color w:val="auto"/>
          <w:highlight w:val="none"/>
          <w:shd w:val="clear" w:color="auto" w:fill="FFFFFF"/>
        </w:rPr>
        <w:t>：</w:t>
      </w:r>
      <w:r>
        <w:rPr>
          <w:rFonts w:hint="eastAsia" w:ascii="宋体" w:hAnsi="宋体" w:cs="宋体"/>
          <w:i/>
          <w:iCs/>
          <w:color w:val="auto"/>
          <w:highlight w:val="none"/>
          <w:u w:val="single"/>
          <w:shd w:val="clear" w:color="auto" w:fill="FFFFFF"/>
        </w:rPr>
        <w:t xml:space="preserve">          </w:t>
      </w:r>
      <w:r>
        <w:rPr>
          <w:rFonts w:hint="eastAsia" w:ascii="宋体" w:hAnsi="宋体" w:cs="宋体"/>
          <w:color w:val="auto"/>
          <w:highlight w:val="none"/>
          <w:shd w:val="clear" w:color="auto" w:fill="FFFFFF"/>
        </w:rPr>
        <w:t xml:space="preserve">）的供应商，在此郑重声明： </w:t>
      </w:r>
    </w:p>
    <w:p w14:paraId="472C1D87">
      <w:pPr>
        <w:pStyle w:val="10"/>
        <w:wordWrap w:val="0"/>
        <w:spacing w:line="560" w:lineRule="exact"/>
        <w:ind w:firstLine="420"/>
        <w:rPr>
          <w:rFonts w:ascii="宋体" w:hAnsi="宋体" w:cs="宋体"/>
          <w:color w:val="auto"/>
          <w:highlight w:val="none"/>
        </w:rPr>
      </w:pPr>
      <w:r>
        <w:rPr>
          <w:rFonts w:hint="eastAsia" w:ascii="宋体" w:hAnsi="宋体" w:cs="宋体"/>
          <w:color w:val="auto"/>
          <w:highlight w:val="none"/>
          <w:shd w:val="clear" w:color="auto" w:fill="FFFFFF"/>
        </w:rPr>
        <w:t>在参加本次政府采购活动前3年内的经营活动中</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D8BC2F8">
      <w:pPr>
        <w:pStyle w:val="10"/>
        <w:wordWrap w:val="0"/>
        <w:spacing w:line="560" w:lineRule="exact"/>
        <w:ind w:firstLine="420"/>
        <w:rPr>
          <w:rFonts w:ascii="宋体" w:hAnsi="宋体" w:cs="宋体"/>
          <w:color w:val="auto"/>
          <w:highlight w:val="none"/>
        </w:rPr>
      </w:pPr>
      <w:r>
        <w:rPr>
          <w:rFonts w:hint="eastAsia" w:ascii="宋体" w:hAnsi="宋体" w:cs="宋体"/>
          <w:color w:val="auto"/>
          <w:highlight w:val="none"/>
          <w:shd w:val="clear" w:color="auto" w:fill="FFFFFF"/>
        </w:rPr>
        <w:t xml:space="preserve">如有不实，我方将无条件地退出本项目的采购活动，并遵照《政府采购法》有关“提供虚假材料的规定”接受处罚。 </w:t>
      </w:r>
    </w:p>
    <w:p w14:paraId="0A8AB0B2">
      <w:pPr>
        <w:pStyle w:val="10"/>
        <w:wordWrap w:val="0"/>
        <w:spacing w:line="560" w:lineRule="exact"/>
        <w:ind w:firstLine="420"/>
        <w:rPr>
          <w:rFonts w:ascii="宋体" w:hAnsi="宋体" w:cs="宋体"/>
          <w:color w:val="auto"/>
          <w:highlight w:val="none"/>
          <w:shd w:val="clear" w:color="auto" w:fill="FFFFFF"/>
        </w:rPr>
      </w:pPr>
      <w:r>
        <w:rPr>
          <w:rFonts w:hint="eastAsia" w:ascii="宋体" w:hAnsi="宋体" w:cs="宋体"/>
          <w:color w:val="auto"/>
          <w:highlight w:val="none"/>
          <w:shd w:val="clear" w:color="auto" w:fill="FFFFFF"/>
        </w:rPr>
        <w:t>特此声明！</w:t>
      </w:r>
    </w:p>
    <w:p w14:paraId="4420DE3A">
      <w:pPr>
        <w:pStyle w:val="10"/>
        <w:wordWrap w:val="0"/>
        <w:spacing w:line="560" w:lineRule="exact"/>
        <w:ind w:firstLine="420"/>
        <w:rPr>
          <w:rFonts w:ascii="宋体" w:hAnsi="宋体" w:cs="宋体"/>
          <w:color w:val="auto"/>
          <w:highlight w:val="none"/>
          <w:shd w:val="clear" w:color="auto" w:fill="FFFFFF"/>
        </w:rPr>
      </w:pPr>
    </w:p>
    <w:p w14:paraId="57105643">
      <w:pPr>
        <w:spacing w:line="480" w:lineRule="auto"/>
        <w:ind w:firstLine="3360" w:firstLineChars="1400"/>
        <w:rPr>
          <w:rFonts w:ascii="宋体" w:hAnsi="宋体" w:cs="宋体"/>
          <w:sz w:val="24"/>
          <w:highlight w:val="none"/>
        </w:rPr>
      </w:pPr>
      <w:r>
        <w:rPr>
          <w:rFonts w:hint="eastAsia" w:ascii="宋体" w:hAnsi="宋体" w:cs="宋体"/>
          <w:sz w:val="24"/>
          <w:highlight w:val="none"/>
        </w:rPr>
        <w:t>投标人名称：</w:t>
      </w:r>
      <w:r>
        <w:rPr>
          <w:rFonts w:hint="eastAsia" w:ascii="宋体" w:hAnsi="宋体" w:cs="宋体"/>
          <w:sz w:val="24"/>
          <w:highlight w:val="none"/>
          <w:u w:val="single"/>
        </w:rPr>
        <w:t xml:space="preserve">               </w:t>
      </w:r>
      <w:r>
        <w:rPr>
          <w:rFonts w:hint="eastAsia" w:ascii="宋体" w:hAnsi="宋体" w:cs="宋体"/>
          <w:sz w:val="24"/>
          <w:highlight w:val="none"/>
        </w:rPr>
        <w:t>（盖章）</w:t>
      </w:r>
    </w:p>
    <w:p w14:paraId="2BAA5D66">
      <w:pPr>
        <w:pStyle w:val="17"/>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2F155FD2">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p>
    <w:p w14:paraId="474B50E3">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br w:type="page"/>
      </w:r>
    </w:p>
    <w:p w14:paraId="03E3520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(8)提供具有履行合同所必需的设备和专业技术能力的书面承诺；</w:t>
      </w:r>
    </w:p>
    <w:p w14:paraId="5D3F3D5B">
      <w:pPr>
        <w:adjustRightInd w:val="0"/>
        <w:snapToGrid w:val="0"/>
        <w:spacing w:line="360" w:lineRule="auto"/>
        <w:jc w:val="center"/>
        <w:rPr>
          <w:rFonts w:ascii="宋体" w:hAnsi="宋体" w:cs="宋体"/>
          <w:b/>
          <w:sz w:val="28"/>
          <w:szCs w:val="28"/>
          <w:highlight w:val="none"/>
        </w:rPr>
      </w:pPr>
      <w:r>
        <w:rPr>
          <w:rFonts w:hint="eastAsia" w:ascii="宋体" w:hAnsi="宋体" w:cs="宋体"/>
          <w:b/>
          <w:sz w:val="28"/>
          <w:szCs w:val="28"/>
          <w:highlight w:val="none"/>
        </w:rPr>
        <w:t>具有履行本合同所必需的设备和专业技术能力的书面声明</w:t>
      </w:r>
    </w:p>
    <w:p w14:paraId="639E2405">
      <w:pPr>
        <w:widowControl/>
        <w:spacing w:line="360" w:lineRule="auto"/>
        <w:ind w:left="1"/>
        <w:jc w:val="center"/>
        <w:rPr>
          <w:rFonts w:ascii="宋体" w:hAnsi="宋体" w:cs="宋体"/>
          <w:b/>
          <w:kern w:val="0"/>
          <w:sz w:val="28"/>
          <w:szCs w:val="28"/>
          <w:highlight w:val="none"/>
        </w:rPr>
      </w:pPr>
      <w:r>
        <w:rPr>
          <w:rFonts w:hint="eastAsia" w:ascii="宋体" w:hAnsi="宋体" w:cs="宋体"/>
          <w:b/>
          <w:kern w:val="0"/>
          <w:sz w:val="28"/>
          <w:szCs w:val="28"/>
          <w:highlight w:val="none"/>
        </w:rPr>
        <w:t>（格式）</w:t>
      </w:r>
    </w:p>
    <w:p w14:paraId="66687E05">
      <w:pPr>
        <w:rPr>
          <w:highlight w:val="none"/>
        </w:rPr>
      </w:pPr>
    </w:p>
    <w:p w14:paraId="40D1BC93">
      <w:pPr>
        <w:pStyle w:val="6"/>
        <w:adjustRightInd w:val="0"/>
        <w:snapToGrid w:val="0"/>
        <w:spacing w:line="720" w:lineRule="exact"/>
        <w:jc w:val="center"/>
        <w:rPr>
          <w:rFonts w:hAnsi="宋体"/>
          <w:b/>
          <w:sz w:val="28"/>
          <w:szCs w:val="28"/>
          <w:highlight w:val="none"/>
        </w:rPr>
      </w:pPr>
    </w:p>
    <w:p w14:paraId="787CA2E5">
      <w:pPr>
        <w:spacing w:line="720" w:lineRule="exact"/>
        <w:rPr>
          <w:rFonts w:ascii="宋体" w:hAnsi="宋体" w:cs="宋体"/>
          <w:spacing w:val="4"/>
          <w:sz w:val="24"/>
          <w:highlight w:val="none"/>
          <w:u w:val="single"/>
        </w:rPr>
      </w:pPr>
      <w:r>
        <w:rPr>
          <w:rFonts w:hint="eastAsia" w:ascii="宋体" w:hAnsi="宋体" w:cs="宋体"/>
          <w:spacing w:val="4"/>
          <w:sz w:val="24"/>
          <w:highlight w:val="none"/>
          <w:u w:val="single"/>
        </w:rPr>
        <w:t xml:space="preserve"> </w:t>
      </w:r>
      <w:r>
        <w:rPr>
          <w:rFonts w:hint="eastAsia" w:ascii="宋体" w:hAnsi="宋体" w:cs="宋体"/>
          <w:spacing w:val="4"/>
          <w:sz w:val="24"/>
          <w:highlight w:val="none"/>
          <w:u w:val="single"/>
          <w:lang w:eastAsia="zh-CN"/>
        </w:rPr>
        <w:t>陕西至诚项目管理集团有限公司</w:t>
      </w:r>
      <w:r>
        <w:rPr>
          <w:rFonts w:hint="eastAsia" w:ascii="宋体" w:hAnsi="宋体" w:cs="宋体"/>
          <w:spacing w:val="4"/>
          <w:sz w:val="24"/>
          <w:highlight w:val="none"/>
          <w:u w:val="single"/>
        </w:rPr>
        <w:t xml:space="preserve"> ：</w:t>
      </w:r>
    </w:p>
    <w:p w14:paraId="5B42F186">
      <w:pPr>
        <w:pStyle w:val="6"/>
        <w:adjustRightInd w:val="0"/>
        <w:snapToGrid w:val="0"/>
        <w:spacing w:line="720" w:lineRule="exact"/>
        <w:rPr>
          <w:rFonts w:hAnsi="宋体"/>
          <w:spacing w:val="4"/>
          <w:sz w:val="24"/>
          <w:szCs w:val="24"/>
          <w:highlight w:val="none"/>
        </w:rPr>
      </w:pPr>
      <w:r>
        <w:rPr>
          <w:rFonts w:hint="eastAsia" w:hAnsi="宋体"/>
          <w:spacing w:val="4"/>
          <w:sz w:val="24"/>
          <w:szCs w:val="24"/>
          <w:highlight w:val="none"/>
        </w:rPr>
        <w:t xml:space="preserve">   </w:t>
      </w:r>
      <w:r>
        <w:rPr>
          <w:rFonts w:hint="eastAsia" w:hAnsi="宋体"/>
          <w:spacing w:val="4"/>
          <w:sz w:val="24"/>
          <w:szCs w:val="24"/>
          <w:highlight w:val="none"/>
          <w:u w:val="single"/>
        </w:rPr>
        <w:t xml:space="preserve">      （供应商名称）    </w:t>
      </w:r>
      <w:r>
        <w:rPr>
          <w:rFonts w:hint="eastAsia" w:hAnsi="宋体"/>
          <w:spacing w:val="4"/>
          <w:sz w:val="24"/>
          <w:szCs w:val="24"/>
          <w:highlight w:val="none"/>
        </w:rPr>
        <w:t xml:space="preserve"> 于</w:t>
      </w:r>
      <w:r>
        <w:rPr>
          <w:rFonts w:hint="eastAsia" w:hAnsi="宋体"/>
          <w:spacing w:val="4"/>
          <w:sz w:val="24"/>
          <w:szCs w:val="24"/>
          <w:highlight w:val="none"/>
          <w:u w:val="single"/>
        </w:rPr>
        <w:t xml:space="preserve">     </w:t>
      </w:r>
      <w:r>
        <w:rPr>
          <w:rFonts w:hint="eastAsia" w:hAnsi="宋体"/>
          <w:spacing w:val="4"/>
          <w:sz w:val="24"/>
          <w:szCs w:val="24"/>
          <w:highlight w:val="none"/>
        </w:rPr>
        <w:t>年</w:t>
      </w:r>
      <w:r>
        <w:rPr>
          <w:rFonts w:hint="eastAsia" w:hAnsi="宋体"/>
          <w:spacing w:val="4"/>
          <w:sz w:val="24"/>
          <w:szCs w:val="24"/>
          <w:highlight w:val="none"/>
          <w:u w:val="single"/>
        </w:rPr>
        <w:t xml:space="preserve">    </w:t>
      </w:r>
      <w:r>
        <w:rPr>
          <w:rFonts w:hint="eastAsia" w:hAnsi="宋体"/>
          <w:spacing w:val="4"/>
          <w:sz w:val="24"/>
          <w:szCs w:val="24"/>
          <w:highlight w:val="none"/>
        </w:rPr>
        <w:t>月</w:t>
      </w:r>
      <w:r>
        <w:rPr>
          <w:rFonts w:hint="eastAsia" w:hAnsi="宋体"/>
          <w:spacing w:val="4"/>
          <w:sz w:val="24"/>
          <w:szCs w:val="24"/>
          <w:highlight w:val="none"/>
          <w:u w:val="single"/>
        </w:rPr>
        <w:t xml:space="preserve">   </w:t>
      </w:r>
      <w:r>
        <w:rPr>
          <w:rFonts w:hint="eastAsia" w:hAnsi="宋体"/>
          <w:spacing w:val="4"/>
          <w:sz w:val="24"/>
          <w:szCs w:val="24"/>
          <w:highlight w:val="none"/>
        </w:rPr>
        <w:t>日在中华人民共和国境内</w:t>
      </w:r>
      <w:r>
        <w:rPr>
          <w:rFonts w:hint="eastAsia" w:hAnsi="宋体"/>
          <w:spacing w:val="4"/>
          <w:sz w:val="24"/>
          <w:szCs w:val="24"/>
          <w:highlight w:val="none"/>
          <w:u w:val="single"/>
        </w:rPr>
        <w:t xml:space="preserve">               （详细注册地址）     </w:t>
      </w:r>
      <w:r>
        <w:rPr>
          <w:rFonts w:hint="eastAsia" w:hAnsi="宋体"/>
          <w:spacing w:val="4"/>
          <w:sz w:val="24"/>
          <w:szCs w:val="24"/>
          <w:highlight w:val="none"/>
        </w:rPr>
        <w:t>合法注册并经营，公司主营业务为</w:t>
      </w:r>
      <w:r>
        <w:rPr>
          <w:rFonts w:hint="eastAsia" w:hAnsi="宋体"/>
          <w:spacing w:val="4"/>
          <w:sz w:val="24"/>
          <w:szCs w:val="24"/>
          <w:highlight w:val="none"/>
          <w:u w:val="single"/>
        </w:rPr>
        <w:t xml:space="preserve">                    </w:t>
      </w:r>
      <w:r>
        <w:rPr>
          <w:rFonts w:hint="eastAsia" w:hAnsi="宋体"/>
          <w:spacing w:val="4"/>
          <w:sz w:val="24"/>
          <w:szCs w:val="24"/>
          <w:highlight w:val="none"/>
        </w:rPr>
        <w:t>。</w:t>
      </w:r>
    </w:p>
    <w:p w14:paraId="5C2FC41C">
      <w:pPr>
        <w:pStyle w:val="6"/>
        <w:adjustRightInd w:val="0"/>
        <w:snapToGrid w:val="0"/>
        <w:spacing w:line="720" w:lineRule="exact"/>
        <w:ind w:firstLine="550" w:firstLineChars="222"/>
        <w:rPr>
          <w:rFonts w:hAnsi="宋体"/>
          <w:spacing w:val="4"/>
          <w:sz w:val="24"/>
          <w:szCs w:val="24"/>
          <w:highlight w:val="none"/>
        </w:rPr>
      </w:pPr>
      <w:r>
        <w:rPr>
          <w:rFonts w:hint="eastAsia" w:hAnsi="宋体"/>
          <w:spacing w:val="4"/>
          <w:sz w:val="24"/>
          <w:szCs w:val="24"/>
          <w:highlight w:val="none"/>
        </w:rPr>
        <w:t>我公司郑重承诺，我公司具有履行本合同所必需的设备和专业技术能力，合同履约中将无条件增加相关设备、人员，直至满足项目需求。</w:t>
      </w:r>
    </w:p>
    <w:p w14:paraId="0BB556CD">
      <w:pPr>
        <w:pStyle w:val="6"/>
        <w:adjustRightInd w:val="0"/>
        <w:snapToGrid w:val="0"/>
        <w:spacing w:line="720" w:lineRule="exact"/>
        <w:rPr>
          <w:rFonts w:hAnsi="宋体"/>
          <w:spacing w:val="4"/>
          <w:sz w:val="24"/>
          <w:szCs w:val="24"/>
          <w:highlight w:val="none"/>
        </w:rPr>
      </w:pPr>
    </w:p>
    <w:p w14:paraId="0FACD318">
      <w:pPr>
        <w:pStyle w:val="6"/>
        <w:adjustRightInd w:val="0"/>
        <w:snapToGrid w:val="0"/>
        <w:spacing w:line="720" w:lineRule="exact"/>
        <w:rPr>
          <w:rFonts w:hAnsi="宋体"/>
          <w:spacing w:val="4"/>
          <w:sz w:val="24"/>
          <w:szCs w:val="24"/>
          <w:highlight w:val="none"/>
        </w:rPr>
      </w:pPr>
    </w:p>
    <w:p w14:paraId="45073A6C">
      <w:pPr>
        <w:pStyle w:val="6"/>
        <w:adjustRightInd w:val="0"/>
        <w:snapToGrid w:val="0"/>
        <w:spacing w:line="720" w:lineRule="exact"/>
        <w:rPr>
          <w:rFonts w:hAnsi="宋体"/>
          <w:spacing w:val="4"/>
          <w:sz w:val="24"/>
          <w:szCs w:val="24"/>
          <w:highlight w:val="none"/>
        </w:rPr>
      </w:pPr>
    </w:p>
    <w:p w14:paraId="261F643D">
      <w:pPr>
        <w:spacing w:line="480" w:lineRule="auto"/>
        <w:ind w:firstLine="2940" w:firstLineChars="1400"/>
        <w:rPr>
          <w:rFonts w:ascii="宋体" w:hAnsi="宋体" w:cs="宋体"/>
          <w:sz w:val="24"/>
          <w:highlight w:val="none"/>
        </w:rPr>
      </w:pPr>
      <w:r>
        <w:rPr>
          <w:rFonts w:hint="eastAsia" w:asciiTheme="minorEastAsia" w:hAnsiTheme="minorEastAsia" w:eastAsiaTheme="minorEastAsia" w:cstheme="minorEastAsia"/>
          <w:highlight w:val="none"/>
        </w:rPr>
        <w:t>投标人名称</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rPr>
        <w:t>（盖章）</w:t>
      </w:r>
    </w:p>
    <w:p w14:paraId="4F26E316">
      <w:pPr>
        <w:pStyle w:val="17"/>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0B8D402D">
      <w:pP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br w:type="page"/>
      </w:r>
    </w:p>
    <w:p w14:paraId="1EC35E5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(9)本项目专门面向中小企业采购，提供中小企业声明函；</w:t>
      </w:r>
    </w:p>
    <w:p w14:paraId="591C59A1">
      <w:pPr>
        <w:spacing w:before="114" w:line="225" w:lineRule="auto"/>
        <w:ind w:left="2971"/>
        <w:rPr>
          <w:rFonts w:ascii="宋体" w:hAnsi="宋体" w:eastAsia="宋体" w:cs="宋体"/>
          <w:sz w:val="35"/>
          <w:szCs w:val="35"/>
          <w:highlight w:val="none"/>
        </w:rPr>
      </w:pPr>
      <w:r>
        <w:rPr>
          <w:rFonts w:ascii="宋体" w:hAnsi="宋体" w:eastAsia="宋体" w:cs="宋体"/>
          <w:b/>
          <w:bCs/>
          <w:spacing w:val="4"/>
          <w:sz w:val="35"/>
          <w:szCs w:val="35"/>
          <w:highlight w:val="none"/>
        </w:rPr>
        <w:t>中小企业声明函</w:t>
      </w:r>
    </w:p>
    <w:p w14:paraId="6E95454B">
      <w:pPr>
        <w:pStyle w:val="5"/>
        <w:spacing w:line="327" w:lineRule="auto"/>
        <w:rPr>
          <w:highlight w:val="none"/>
        </w:rPr>
      </w:pPr>
    </w:p>
    <w:p w14:paraId="27D505D9">
      <w:pPr>
        <w:pStyle w:val="5"/>
        <w:spacing w:line="327" w:lineRule="auto"/>
        <w:rPr>
          <w:highlight w:val="none"/>
        </w:rPr>
      </w:pPr>
    </w:p>
    <w:p w14:paraId="52464244">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本公司郑重声明，根据《政府采购促进中小企业发展管理办法》（财库﹝2020﹞46 号）的规定，本公司参加</w:t>
      </w:r>
      <w:r>
        <w:rPr>
          <w:rFonts w:hint="eastAsia" w:ascii="宋体" w:hAnsi="宋体" w:cs="宋体"/>
          <w:sz w:val="24"/>
          <w:szCs w:val="24"/>
          <w:highlight w:val="none"/>
          <w:u w:val="single"/>
        </w:rPr>
        <w:t>（</w:t>
      </w:r>
      <w:r>
        <w:rPr>
          <w:rFonts w:hint="eastAsia" w:ascii="宋体" w:hAnsi="宋体" w:eastAsia="宋体" w:cs="宋体"/>
          <w:sz w:val="24"/>
          <w:szCs w:val="24"/>
          <w:highlight w:val="none"/>
          <w:u w:val="single"/>
          <w:lang w:val="en-US" w:eastAsia="zh-CN"/>
        </w:rPr>
        <w:t>招标人</w:t>
      </w:r>
      <w:r>
        <w:rPr>
          <w:rFonts w:hint="eastAsia" w:ascii="宋体" w:hAnsi="宋体" w:cs="宋体"/>
          <w:sz w:val="24"/>
          <w:szCs w:val="24"/>
          <w:highlight w:val="none"/>
          <w:u w:val="single"/>
        </w:rPr>
        <w:t>）</w:t>
      </w:r>
      <w:r>
        <w:rPr>
          <w:rFonts w:hint="eastAsia" w:ascii="宋体" w:hAnsi="宋体" w:cs="宋体"/>
          <w:sz w:val="24"/>
          <w:szCs w:val="24"/>
          <w:highlight w:val="none"/>
        </w:rPr>
        <w:t>的</w:t>
      </w:r>
      <w:r>
        <w:rPr>
          <w:rFonts w:hint="eastAsia" w:ascii="宋体" w:hAnsi="宋体" w:cs="宋体"/>
          <w:sz w:val="24"/>
          <w:szCs w:val="24"/>
          <w:highlight w:val="none"/>
          <w:u w:val="single"/>
        </w:rPr>
        <w:t>（项目名称）</w:t>
      </w:r>
      <w:r>
        <w:rPr>
          <w:rFonts w:hint="eastAsia" w:ascii="宋体" w:hAnsi="宋体" w:cs="宋体"/>
          <w:sz w:val="24"/>
          <w:szCs w:val="24"/>
          <w:highlight w:val="none"/>
        </w:rPr>
        <w:t>采购活动，工程的施工单位全部为符合政策要求的中小企业（或者：服务全部由符合政策要求的中小企业承接）。相关企业的具体情况如下：</w:t>
      </w:r>
    </w:p>
    <w:p w14:paraId="73F19036">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u w:val="single"/>
        </w:rPr>
        <w:t>（标的名称）</w:t>
      </w:r>
      <w:r>
        <w:rPr>
          <w:rFonts w:hint="eastAsia" w:ascii="宋体" w:hAnsi="宋体" w:cs="宋体"/>
          <w:sz w:val="24"/>
          <w:szCs w:val="24"/>
          <w:highlight w:val="none"/>
        </w:rPr>
        <w:t>，属于</w:t>
      </w:r>
      <w:r>
        <w:rPr>
          <w:rFonts w:hint="eastAsia" w:ascii="宋体" w:hAnsi="宋体" w:cs="宋体"/>
          <w:sz w:val="24"/>
          <w:szCs w:val="24"/>
          <w:highlight w:val="none"/>
          <w:u w:val="single"/>
        </w:rPr>
        <w:t>（采购文件中明确的所属行业）</w:t>
      </w:r>
      <w:r>
        <w:rPr>
          <w:rFonts w:hint="eastAsia" w:ascii="宋体" w:hAnsi="宋体" w:cs="宋体"/>
          <w:sz w:val="24"/>
          <w:szCs w:val="24"/>
          <w:highlight w:val="none"/>
        </w:rPr>
        <w:t>；承建（承接）企业为</w:t>
      </w:r>
      <w:r>
        <w:rPr>
          <w:rFonts w:hint="eastAsia" w:ascii="宋体" w:hAnsi="宋体" w:cs="宋体"/>
          <w:sz w:val="24"/>
          <w:szCs w:val="24"/>
          <w:highlight w:val="none"/>
          <w:u w:val="single"/>
        </w:rPr>
        <w:t>（企业名称）</w:t>
      </w:r>
      <w:r>
        <w:rPr>
          <w:rFonts w:hint="eastAsia" w:ascii="宋体" w:hAnsi="宋体" w:cs="宋体"/>
          <w:sz w:val="24"/>
          <w:szCs w:val="24"/>
          <w:highlight w:val="none"/>
        </w:rPr>
        <w:t>，从业人员</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人，营业收入</w:t>
      </w:r>
      <w:r>
        <w:rPr>
          <w:rFonts w:hint="eastAsia" w:ascii="宋体" w:hAnsi="宋体" w:cs="宋体"/>
          <w:sz w:val="24"/>
          <w:szCs w:val="24"/>
          <w:highlight w:val="none"/>
          <w:u w:val="single"/>
        </w:rPr>
        <w:t xml:space="preserve">为 </w:t>
      </w:r>
      <w:r>
        <w:rPr>
          <w:rFonts w:hint="eastAsia" w:ascii="宋体" w:hAnsi="宋体" w:cs="宋体"/>
          <w:sz w:val="24"/>
          <w:szCs w:val="24"/>
          <w:highlight w:val="none"/>
          <w:u w:val="single"/>
        </w:rPr>
        <w:tab/>
      </w:r>
      <w:r>
        <w:rPr>
          <w:rFonts w:hint="eastAsia"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万元，属于</w:t>
      </w:r>
      <w:r>
        <w:rPr>
          <w:rFonts w:hint="eastAsia" w:ascii="宋体" w:hAnsi="宋体" w:cs="宋体"/>
          <w:sz w:val="24"/>
          <w:szCs w:val="24"/>
          <w:highlight w:val="none"/>
          <w:u w:val="single"/>
        </w:rPr>
        <w:t>（中型企业、小型企业、微型企业）</w:t>
      </w:r>
      <w:r>
        <w:rPr>
          <w:rFonts w:hint="eastAsia" w:ascii="宋体" w:hAnsi="宋体" w:cs="宋体"/>
          <w:sz w:val="24"/>
          <w:szCs w:val="24"/>
          <w:highlight w:val="none"/>
        </w:rPr>
        <w:t>；</w:t>
      </w:r>
    </w:p>
    <w:p w14:paraId="784C15A7">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u w:val="single"/>
        </w:rPr>
        <w:t>（标的名称）</w:t>
      </w:r>
      <w:r>
        <w:rPr>
          <w:rFonts w:hint="eastAsia" w:ascii="宋体" w:hAnsi="宋体" w:cs="宋体"/>
          <w:sz w:val="24"/>
          <w:szCs w:val="24"/>
          <w:highlight w:val="none"/>
        </w:rPr>
        <w:t>，属于</w:t>
      </w:r>
      <w:r>
        <w:rPr>
          <w:rFonts w:hint="eastAsia" w:ascii="宋体" w:hAnsi="宋体" w:cs="宋体"/>
          <w:sz w:val="24"/>
          <w:szCs w:val="24"/>
          <w:highlight w:val="none"/>
          <w:u w:val="single"/>
        </w:rPr>
        <w:t>（采购文件中明确的所属行业</w:t>
      </w:r>
      <w:r>
        <w:rPr>
          <w:rFonts w:hint="eastAsia" w:ascii="宋体" w:hAnsi="宋体" w:cs="宋体"/>
          <w:sz w:val="24"/>
          <w:szCs w:val="24"/>
          <w:highlight w:val="none"/>
        </w:rPr>
        <w:t>）；承建（承接）企业为</w:t>
      </w:r>
      <w:r>
        <w:rPr>
          <w:rFonts w:hint="eastAsia" w:ascii="宋体" w:hAnsi="宋体" w:cs="宋体"/>
          <w:sz w:val="24"/>
          <w:szCs w:val="24"/>
          <w:highlight w:val="none"/>
          <w:u w:val="single"/>
        </w:rPr>
        <w:t>（企业名称）</w:t>
      </w:r>
      <w:r>
        <w:rPr>
          <w:rFonts w:hint="eastAsia" w:ascii="宋体" w:hAnsi="宋体" w:cs="宋体"/>
          <w:sz w:val="24"/>
          <w:szCs w:val="24"/>
          <w:highlight w:val="none"/>
        </w:rPr>
        <w:t>，从业人员</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人，营业收入为</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万元，属于</w:t>
      </w:r>
      <w:r>
        <w:rPr>
          <w:rFonts w:hint="eastAsia" w:ascii="宋体" w:hAnsi="宋体" w:cs="宋体"/>
          <w:sz w:val="24"/>
          <w:szCs w:val="24"/>
          <w:highlight w:val="none"/>
          <w:u w:val="single"/>
        </w:rPr>
        <w:t>（中型企业、小型企业、微型企业）</w:t>
      </w:r>
      <w:r>
        <w:rPr>
          <w:rFonts w:hint="eastAsia" w:ascii="宋体" w:hAnsi="宋体" w:cs="宋体"/>
          <w:sz w:val="24"/>
          <w:szCs w:val="24"/>
          <w:highlight w:val="none"/>
        </w:rPr>
        <w:t>；</w:t>
      </w:r>
    </w:p>
    <w:p w14:paraId="2B65A37E">
      <w:pPr>
        <w:tabs>
          <w:tab w:val="left" w:pos="1620"/>
          <w:tab w:val="left" w:pos="1800"/>
        </w:tabs>
        <w:spacing w:line="500" w:lineRule="exact"/>
        <w:rPr>
          <w:rFonts w:ascii="宋体" w:hAnsi="宋体" w:cs="宋体"/>
          <w:sz w:val="24"/>
          <w:szCs w:val="24"/>
          <w:highlight w:val="none"/>
        </w:rPr>
      </w:pPr>
      <w:r>
        <w:rPr>
          <w:rFonts w:hint="eastAsia" w:ascii="宋体" w:hAnsi="宋体" w:cs="宋体"/>
          <w:sz w:val="24"/>
          <w:szCs w:val="24"/>
          <w:highlight w:val="none"/>
        </w:rPr>
        <w:t>……</w:t>
      </w:r>
    </w:p>
    <w:p w14:paraId="7F54BABE">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以上企业，不属于大企业的分支机构，不存在控股股东为大企业的情形，也不存在与大企业的负责人为同一人的情形。</w:t>
      </w:r>
    </w:p>
    <w:p w14:paraId="70304384">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本企业对上述声明内容的真实性负责。如有虚假，将依法承担相应责任。</w:t>
      </w:r>
    </w:p>
    <w:p w14:paraId="62AA6B44">
      <w:pPr>
        <w:tabs>
          <w:tab w:val="left" w:pos="1620"/>
          <w:tab w:val="left" w:pos="1800"/>
        </w:tabs>
        <w:spacing w:line="500" w:lineRule="exact"/>
        <w:rPr>
          <w:rFonts w:ascii="宋体" w:hAnsi="宋体" w:cs="宋体"/>
          <w:sz w:val="24"/>
          <w:szCs w:val="24"/>
          <w:highlight w:val="none"/>
        </w:rPr>
      </w:pPr>
    </w:p>
    <w:p w14:paraId="707CD10E">
      <w:pPr>
        <w:tabs>
          <w:tab w:val="left" w:pos="1620"/>
          <w:tab w:val="left" w:pos="1800"/>
        </w:tabs>
        <w:spacing w:line="500" w:lineRule="exact"/>
        <w:ind w:firstLine="4800" w:firstLineChars="2000"/>
        <w:rPr>
          <w:rFonts w:ascii="宋体" w:hAnsi="宋体" w:cs="宋体"/>
          <w:sz w:val="24"/>
          <w:szCs w:val="24"/>
          <w:highlight w:val="none"/>
        </w:rPr>
      </w:pPr>
      <w:r>
        <w:rPr>
          <w:rFonts w:hint="eastAsia" w:ascii="宋体" w:hAnsi="宋体" w:cs="宋体"/>
          <w:sz w:val="24"/>
          <w:szCs w:val="24"/>
          <w:highlight w:val="none"/>
        </w:rPr>
        <w:t>企业名称（盖章）：</w:t>
      </w:r>
    </w:p>
    <w:p w14:paraId="5B470808">
      <w:pPr>
        <w:tabs>
          <w:tab w:val="left" w:pos="1620"/>
          <w:tab w:val="left" w:pos="1800"/>
        </w:tabs>
        <w:spacing w:line="500" w:lineRule="exact"/>
        <w:ind w:firstLine="4800" w:firstLineChars="2000"/>
        <w:rPr>
          <w:rFonts w:ascii="宋体" w:hAnsi="宋体" w:cs="宋体"/>
          <w:sz w:val="24"/>
          <w:szCs w:val="24"/>
          <w:highlight w:val="none"/>
        </w:rPr>
      </w:pPr>
      <w:r>
        <w:rPr>
          <w:rFonts w:hint="eastAsia" w:ascii="宋体" w:hAnsi="宋体" w:cs="宋体"/>
          <w:sz w:val="24"/>
          <w:szCs w:val="24"/>
          <w:highlight w:val="none"/>
        </w:rPr>
        <w:t>日期：</w:t>
      </w:r>
    </w:p>
    <w:p w14:paraId="76B1F1EE">
      <w:pPr>
        <w:pStyle w:val="5"/>
        <w:spacing w:line="421" w:lineRule="auto"/>
        <w:rPr>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261620</wp:posOffset>
                </wp:positionV>
                <wp:extent cx="5688965" cy="7620"/>
                <wp:effectExtent l="0" t="0" r="0" b="0"/>
                <wp:wrapNone/>
                <wp:docPr id="51" name="任意多边形 51"/>
                <wp:cNvGraphicFramePr/>
                <a:graphic xmlns:a="http://schemas.openxmlformats.org/drawingml/2006/main">
                  <a:graphicData uri="http://schemas.microsoft.com/office/word/2010/wordprocessingShape">
                    <wps:wsp>
                      <wps:cNvSpPr/>
                      <wps:spPr>
                        <a:xfrm>
                          <a:off x="0" y="0"/>
                          <a:ext cx="5688965" cy="7620"/>
                        </a:xfrm>
                        <a:custGeom>
                          <a:avLst/>
                          <a:gdLst/>
                          <a:ahLst/>
                          <a:cxnLst/>
                          <a:pathLst>
                            <a:path w="8959" h="12">
                              <a:moveTo>
                                <a:pt x="0" y="5"/>
                              </a:moveTo>
                              <a:lnTo>
                                <a:pt x="8958" y="5"/>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3pt;margin-top:20.6pt;height:0.6pt;width:447.95pt;z-index:251662336;mso-width-relative:page;mso-height-relative:page;" filled="f" stroked="t" coordsize="8959,12" o:gfxdata="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kDP4TXAAAABgEAAA8AAAAAAAAAAQAgAAAAIgAAAGRycy9k&#10;b3ducmV2LnhtbFBLAQIUABQAAAAIAIdO4kDit/4zPAIAAJgEAAAOAAAAAAAAAAEAIAAAACYBAABk&#10;cnMvZTJvRG9jLnhtbFBLBQYAAAAABgAGAFkBAADUBQAAAAA=&#10;" path="m0,5l8958,5e">
                <v:fill on="f" focussize="0,0"/>
                <v:stroke weight="0.6pt" color="#000000" joinstyle="bevel"/>
                <v:imagedata o:title=""/>
                <o:lock v:ext="edit" aspectratio="f"/>
              </v:shape>
            </w:pict>
          </mc:Fallback>
        </mc:AlternateContent>
      </w:r>
    </w:p>
    <w:p w14:paraId="151A8823">
      <w:pPr>
        <w:spacing w:before="59" w:line="220" w:lineRule="auto"/>
        <w:ind w:left="9"/>
        <w:rPr>
          <w:rFonts w:ascii="宋体" w:hAnsi="宋体" w:eastAsia="宋体" w:cs="宋体"/>
          <w:sz w:val="18"/>
          <w:szCs w:val="18"/>
          <w:highlight w:val="none"/>
        </w:rPr>
      </w:pPr>
      <w:r>
        <w:rPr>
          <w:rFonts w:ascii="宋体" w:hAnsi="宋体" w:eastAsia="宋体" w:cs="宋体"/>
          <w:spacing w:val="-4"/>
          <w:sz w:val="18"/>
          <w:szCs w:val="18"/>
          <w:highlight w:val="none"/>
        </w:rPr>
        <w:t>说明：</w:t>
      </w:r>
    </w:p>
    <w:p w14:paraId="4A417495">
      <w:pPr>
        <w:spacing w:before="20" w:line="229" w:lineRule="auto"/>
        <w:ind w:left="8" w:right="2" w:firstLine="369"/>
        <w:rPr>
          <w:rFonts w:ascii="宋体" w:hAnsi="宋体" w:eastAsia="宋体" w:cs="宋体"/>
          <w:sz w:val="18"/>
          <w:szCs w:val="18"/>
          <w:highlight w:val="none"/>
        </w:rPr>
      </w:pPr>
      <w:r>
        <w:rPr>
          <w:rFonts w:ascii="宋体" w:hAnsi="宋体" w:eastAsia="宋体" w:cs="宋体"/>
          <w:spacing w:val="6"/>
          <w:sz w:val="18"/>
          <w:szCs w:val="18"/>
          <w:highlight w:val="none"/>
        </w:rPr>
        <w:t>（1）填报前请认真阅读《中小企业划型标准规定》</w:t>
      </w:r>
      <w:r>
        <w:rPr>
          <w:rFonts w:ascii="宋体" w:hAnsi="宋体" w:eastAsia="宋体" w:cs="宋体"/>
          <w:spacing w:val="-61"/>
          <w:sz w:val="18"/>
          <w:szCs w:val="18"/>
          <w:highlight w:val="none"/>
        </w:rPr>
        <w:t xml:space="preserve"> </w:t>
      </w:r>
      <w:r>
        <w:rPr>
          <w:rFonts w:ascii="宋体" w:hAnsi="宋体" w:eastAsia="宋体" w:cs="宋体"/>
          <w:spacing w:val="6"/>
          <w:sz w:val="18"/>
          <w:szCs w:val="18"/>
          <w:highlight w:val="none"/>
        </w:rPr>
        <w:t>（</w:t>
      </w:r>
      <w:r>
        <w:rPr>
          <w:rFonts w:ascii="宋体" w:hAnsi="宋体" w:eastAsia="宋体" w:cs="宋体"/>
          <w:spacing w:val="5"/>
          <w:sz w:val="18"/>
          <w:szCs w:val="18"/>
          <w:highlight w:val="none"/>
        </w:rPr>
        <w:t>工信部联企业</w:t>
      </w:r>
      <w:r>
        <w:rPr>
          <w:rFonts w:ascii="宋体" w:hAnsi="宋体" w:eastAsia="宋体" w:cs="宋体"/>
          <w:spacing w:val="-38"/>
          <w:sz w:val="18"/>
          <w:szCs w:val="18"/>
          <w:highlight w:val="none"/>
        </w:rPr>
        <w:t xml:space="preserve"> </w:t>
      </w:r>
      <w:r>
        <w:rPr>
          <w:rFonts w:ascii="宋体" w:hAnsi="宋体" w:eastAsia="宋体" w:cs="宋体"/>
          <w:spacing w:val="5"/>
          <w:sz w:val="18"/>
          <w:szCs w:val="18"/>
          <w:highlight w:val="none"/>
        </w:rPr>
        <w:t>[2011]300</w:t>
      </w:r>
      <w:r>
        <w:rPr>
          <w:rFonts w:ascii="宋体" w:hAnsi="宋体" w:eastAsia="宋体" w:cs="宋体"/>
          <w:spacing w:val="-17"/>
          <w:sz w:val="18"/>
          <w:szCs w:val="18"/>
          <w:highlight w:val="none"/>
        </w:rPr>
        <w:t xml:space="preserve"> </w:t>
      </w:r>
      <w:r>
        <w:rPr>
          <w:rFonts w:ascii="宋体" w:hAnsi="宋体" w:eastAsia="宋体" w:cs="宋体"/>
          <w:spacing w:val="5"/>
          <w:sz w:val="18"/>
          <w:szCs w:val="18"/>
          <w:highlight w:val="none"/>
        </w:rPr>
        <w:t>号）</w:t>
      </w:r>
      <w:r>
        <w:rPr>
          <w:rFonts w:ascii="宋体" w:hAnsi="宋体" w:eastAsia="宋体" w:cs="宋体"/>
          <w:spacing w:val="-40"/>
          <w:sz w:val="18"/>
          <w:szCs w:val="18"/>
          <w:highlight w:val="none"/>
        </w:rPr>
        <w:t xml:space="preserve"> </w:t>
      </w:r>
      <w:r>
        <w:rPr>
          <w:rFonts w:ascii="宋体" w:hAnsi="宋体" w:eastAsia="宋体" w:cs="宋体"/>
          <w:spacing w:val="5"/>
          <w:sz w:val="18"/>
          <w:szCs w:val="18"/>
          <w:highlight w:val="none"/>
        </w:rPr>
        <w:t>、《金融业企业划型</w:t>
      </w:r>
      <w:r>
        <w:rPr>
          <w:rFonts w:ascii="宋体" w:hAnsi="宋体" w:eastAsia="宋体" w:cs="宋体"/>
          <w:spacing w:val="-1"/>
          <w:sz w:val="18"/>
          <w:szCs w:val="18"/>
          <w:highlight w:val="none"/>
        </w:rPr>
        <w:t>标准规定》（银发〔2015〕309</w:t>
      </w:r>
      <w:r>
        <w:rPr>
          <w:rFonts w:ascii="宋体" w:hAnsi="宋体" w:eastAsia="宋体" w:cs="宋体"/>
          <w:spacing w:val="-34"/>
          <w:sz w:val="18"/>
          <w:szCs w:val="18"/>
          <w:highlight w:val="none"/>
        </w:rPr>
        <w:t xml:space="preserve"> </w:t>
      </w:r>
      <w:r>
        <w:rPr>
          <w:rFonts w:ascii="宋体" w:hAnsi="宋体" w:eastAsia="宋体" w:cs="宋体"/>
          <w:spacing w:val="-1"/>
          <w:sz w:val="18"/>
          <w:szCs w:val="18"/>
          <w:highlight w:val="none"/>
        </w:rPr>
        <w:t>号）和《政府采购促进中小企业发展管理办法》</w:t>
      </w:r>
      <w:r>
        <w:rPr>
          <w:rFonts w:ascii="宋体" w:hAnsi="宋体" w:eastAsia="宋体" w:cs="宋体"/>
          <w:spacing w:val="-51"/>
          <w:sz w:val="18"/>
          <w:szCs w:val="18"/>
          <w:highlight w:val="none"/>
        </w:rPr>
        <w:t xml:space="preserve"> </w:t>
      </w:r>
      <w:r>
        <w:rPr>
          <w:rFonts w:ascii="宋体" w:hAnsi="宋体" w:eastAsia="宋体" w:cs="宋体"/>
          <w:spacing w:val="-1"/>
          <w:sz w:val="18"/>
          <w:szCs w:val="18"/>
          <w:highlight w:val="none"/>
        </w:rPr>
        <w:t>(财库[2020]46</w:t>
      </w:r>
      <w:r>
        <w:rPr>
          <w:rFonts w:ascii="宋体" w:hAnsi="宋体" w:eastAsia="宋体" w:cs="宋体"/>
          <w:spacing w:val="-34"/>
          <w:sz w:val="18"/>
          <w:szCs w:val="18"/>
          <w:highlight w:val="none"/>
        </w:rPr>
        <w:t xml:space="preserve"> </w:t>
      </w:r>
      <w:r>
        <w:rPr>
          <w:rFonts w:ascii="宋体" w:hAnsi="宋体" w:eastAsia="宋体" w:cs="宋体"/>
          <w:spacing w:val="-1"/>
          <w:sz w:val="18"/>
          <w:szCs w:val="18"/>
          <w:highlight w:val="none"/>
        </w:rPr>
        <w:t>号)相关规</w:t>
      </w:r>
      <w:r>
        <w:rPr>
          <w:rFonts w:ascii="宋体" w:hAnsi="宋体" w:eastAsia="宋体" w:cs="宋体"/>
          <w:spacing w:val="-2"/>
          <w:sz w:val="18"/>
          <w:szCs w:val="18"/>
          <w:highlight w:val="none"/>
        </w:rPr>
        <w:t>定。</w:t>
      </w:r>
    </w:p>
    <w:p w14:paraId="393A2C77">
      <w:pPr>
        <w:spacing w:before="20" w:line="229" w:lineRule="auto"/>
        <w:ind w:left="8" w:right="2" w:firstLine="369"/>
        <w:rPr>
          <w:rFonts w:ascii="宋体" w:hAnsi="宋体" w:eastAsia="宋体" w:cs="宋体"/>
          <w:sz w:val="18"/>
          <w:szCs w:val="18"/>
          <w:highlight w:val="none"/>
        </w:rPr>
      </w:pPr>
      <w:r>
        <w:rPr>
          <w:rFonts w:ascii="宋体" w:hAnsi="宋体" w:eastAsia="宋体" w:cs="宋体"/>
          <w:spacing w:val="1"/>
          <w:sz w:val="18"/>
          <w:szCs w:val="18"/>
          <w:highlight w:val="none"/>
        </w:rPr>
        <w:t>（2）从业人员、营业收入、资产总额填报上一年度数据，无上</w:t>
      </w:r>
      <w:r>
        <w:rPr>
          <w:rFonts w:ascii="宋体" w:hAnsi="宋体" w:eastAsia="宋体" w:cs="宋体"/>
          <w:sz w:val="18"/>
          <w:szCs w:val="18"/>
          <w:highlight w:val="none"/>
        </w:rPr>
        <w:t>一年度数据的新成立企业可不填报。响应文件其他地方与《中小企业声明函》数据不一致的，以《中小</w:t>
      </w:r>
      <w:r>
        <w:rPr>
          <w:rFonts w:ascii="宋体" w:hAnsi="宋体" w:eastAsia="宋体" w:cs="宋体"/>
          <w:spacing w:val="-1"/>
          <w:sz w:val="18"/>
          <w:szCs w:val="18"/>
          <w:highlight w:val="none"/>
        </w:rPr>
        <w:t>企业声明函》为准。</w:t>
      </w:r>
    </w:p>
    <w:p w14:paraId="3655C83A">
      <w:pPr>
        <w:spacing w:before="20" w:line="229" w:lineRule="auto"/>
        <w:ind w:left="6" w:firstLine="371"/>
        <w:rPr>
          <w:rFonts w:ascii="宋体" w:hAnsi="宋体" w:eastAsia="宋体" w:cs="宋体"/>
          <w:sz w:val="18"/>
          <w:szCs w:val="18"/>
          <w:highlight w:val="none"/>
        </w:rPr>
      </w:pPr>
      <w:r>
        <w:rPr>
          <w:rFonts w:ascii="宋体" w:hAnsi="宋体" w:eastAsia="宋体" w:cs="宋体"/>
          <w:spacing w:val="1"/>
          <w:sz w:val="18"/>
          <w:szCs w:val="18"/>
          <w:highlight w:val="none"/>
        </w:rPr>
        <w:t>（3）供应商符合享受小微企业政府采购优惠政策条件的，必须填报全</w:t>
      </w:r>
      <w:r>
        <w:rPr>
          <w:rFonts w:ascii="宋体" w:hAnsi="宋体" w:eastAsia="宋体" w:cs="宋体"/>
          <w:sz w:val="18"/>
          <w:szCs w:val="18"/>
          <w:highlight w:val="none"/>
        </w:rPr>
        <w:t>部服务商商的数据，未按要求提供、填</w:t>
      </w:r>
      <w:r>
        <w:rPr>
          <w:rFonts w:ascii="宋体" w:hAnsi="宋体" w:eastAsia="宋体" w:cs="宋体"/>
          <w:spacing w:val="-1"/>
          <w:sz w:val="18"/>
          <w:szCs w:val="18"/>
          <w:highlight w:val="none"/>
        </w:rPr>
        <w:t>报的，不享受报价扣除优惠政策。</w:t>
      </w:r>
    </w:p>
    <w:p w14:paraId="1DB2F7A0">
      <w:pPr>
        <w:spacing w:before="20"/>
        <w:ind w:left="6" w:firstLine="381"/>
        <w:rPr>
          <w:rFonts w:ascii="宋体" w:hAnsi="宋体" w:eastAsia="宋体" w:cs="宋体"/>
          <w:sz w:val="18"/>
          <w:szCs w:val="18"/>
          <w:highlight w:val="none"/>
        </w:rPr>
      </w:pPr>
      <w:r>
        <w:rPr>
          <w:rFonts w:ascii="宋体" w:hAnsi="宋体" w:eastAsia="宋体" w:cs="宋体"/>
          <w:spacing w:val="2"/>
          <w:sz w:val="18"/>
          <w:szCs w:val="18"/>
          <w:highlight w:val="none"/>
        </w:rPr>
        <w:t>以联合体投标各方均为小微企业的，必须填报全部服务商的数据，未按要求提供、填报的，不享受报价扣除</w:t>
      </w:r>
      <w:r>
        <w:rPr>
          <w:rFonts w:ascii="宋体" w:hAnsi="宋体" w:eastAsia="宋体" w:cs="宋体"/>
          <w:spacing w:val="-2"/>
          <w:sz w:val="18"/>
          <w:szCs w:val="18"/>
          <w:highlight w:val="none"/>
        </w:rPr>
        <w:t>优惠政策。</w:t>
      </w:r>
    </w:p>
    <w:p w14:paraId="051A947E">
      <w:pPr>
        <w:spacing w:before="2" w:line="238" w:lineRule="auto"/>
        <w:ind w:left="8" w:firstLine="379"/>
        <w:jc w:val="both"/>
        <w:rPr>
          <w:rFonts w:ascii="宋体" w:hAnsi="宋体" w:eastAsia="宋体" w:cs="宋体"/>
          <w:sz w:val="18"/>
          <w:szCs w:val="18"/>
          <w:highlight w:val="none"/>
        </w:rPr>
      </w:pPr>
      <w:r>
        <w:rPr>
          <w:rFonts w:ascii="宋体" w:hAnsi="宋体" w:eastAsia="宋体" w:cs="宋体"/>
          <w:spacing w:val="2"/>
          <w:sz w:val="18"/>
          <w:szCs w:val="18"/>
          <w:highlight w:val="none"/>
        </w:rPr>
        <w:t>以大中型企业与小微企业组成联合体或者大中型企业向一家或者多家小微企业分包的供应商，只填写服务商</w:t>
      </w:r>
      <w:r>
        <w:rPr>
          <w:rFonts w:ascii="宋体" w:hAnsi="宋体" w:eastAsia="宋体" w:cs="宋体"/>
          <w:spacing w:val="3"/>
          <w:sz w:val="18"/>
          <w:szCs w:val="18"/>
          <w:highlight w:val="none"/>
        </w:rPr>
        <w:t>为小微企业的数据，未按要求提供、填报的，不享受报价扣除优惠政策。</w:t>
      </w:r>
      <w:r>
        <w:rPr>
          <w:rFonts w:ascii="宋体" w:hAnsi="宋体" w:eastAsia="宋体" w:cs="宋体"/>
          <w:spacing w:val="2"/>
          <w:sz w:val="18"/>
          <w:szCs w:val="18"/>
          <w:highlight w:val="none"/>
        </w:rPr>
        <w:t>供应商不享受报价扣除优惠政策的可不</w:t>
      </w:r>
      <w:r>
        <w:rPr>
          <w:rFonts w:ascii="宋体" w:hAnsi="宋体" w:eastAsia="宋体" w:cs="宋体"/>
          <w:spacing w:val="-3"/>
          <w:sz w:val="18"/>
          <w:szCs w:val="18"/>
          <w:highlight w:val="none"/>
        </w:rPr>
        <w:t>提供。</w:t>
      </w:r>
    </w:p>
    <w:p w14:paraId="2919634C">
      <w:pPr>
        <w:spacing w:line="220" w:lineRule="auto"/>
        <w:ind w:left="377"/>
        <w:rPr>
          <w:rFonts w:ascii="宋体" w:hAnsi="宋体" w:eastAsia="宋体" w:cs="宋体"/>
          <w:sz w:val="18"/>
          <w:szCs w:val="18"/>
          <w:highlight w:val="none"/>
        </w:rPr>
      </w:pPr>
      <w:r>
        <w:rPr>
          <w:rFonts w:ascii="宋体" w:hAnsi="宋体" w:eastAsia="宋体" w:cs="宋体"/>
          <w:spacing w:val="-1"/>
          <w:sz w:val="18"/>
          <w:szCs w:val="18"/>
          <w:highlight w:val="none"/>
        </w:rPr>
        <w:t>（4）横线以下只做填报说明，响应文件可不要。</w:t>
      </w:r>
    </w:p>
    <w:p w14:paraId="08A6C2AF">
      <w:pPr>
        <w:spacing w:line="220" w:lineRule="auto"/>
        <w:rPr>
          <w:rFonts w:ascii="宋体" w:hAnsi="宋体" w:eastAsia="宋体" w:cs="宋体"/>
          <w:sz w:val="18"/>
          <w:szCs w:val="18"/>
          <w:highlight w:val="none"/>
        </w:rPr>
        <w:sectPr>
          <w:footerReference r:id="rId21" w:type="default"/>
          <w:pgSz w:w="11907" w:h="16840"/>
          <w:pgMar w:top="1162" w:right="1474" w:bottom="1199" w:left="1473" w:header="0" w:footer="984" w:gutter="0"/>
          <w:pgNumType w:fmt="decimal"/>
          <w:cols w:space="720" w:num="1"/>
        </w:sectPr>
      </w:pPr>
    </w:p>
    <w:p w14:paraId="0888CBD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left"/>
        <w:textAlignment w:val="baseline"/>
        <w:rPr>
          <w:rFonts w:hint="default" w:asciiTheme="minorEastAsia" w:hAnsiTheme="minorEastAsia" w:cstheme="minorEastAsia"/>
          <w:i w:val="0"/>
          <w:iCs w:val="0"/>
          <w:caps w:val="0"/>
          <w:color w:val="333333"/>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（10）控股管理关系：提供直接控股和管理关系清单。若与其他供应商存在单位负责人为同一人或者存在直接控股、管理关系的，则投标无效；</w:t>
      </w:r>
    </w:p>
    <w:p w14:paraId="318D12C2">
      <w:pPr>
        <w:spacing w:line="500" w:lineRule="exact"/>
        <w:ind w:firstLine="241" w:firstLineChars="100"/>
        <w:jc w:val="center"/>
        <w:rPr>
          <w:rFonts w:hint="eastAsia" w:asciiTheme="minorEastAsia" w:hAnsiTheme="minorEastAsia" w:eastAsiaTheme="minorEastAsia" w:cstheme="minorEastAsia"/>
          <w:b/>
          <w:bCs/>
          <w:kern w:val="20"/>
          <w:sz w:val="24"/>
          <w:szCs w:val="32"/>
          <w:highlight w:val="none"/>
          <w:lang w:val="zh-CN"/>
        </w:rPr>
      </w:pPr>
      <w:r>
        <w:rPr>
          <w:rFonts w:hint="eastAsia" w:asciiTheme="minorEastAsia" w:hAnsiTheme="minorEastAsia" w:eastAsiaTheme="minorEastAsia" w:cstheme="minorEastAsia"/>
          <w:b/>
          <w:bCs/>
          <w:kern w:val="20"/>
          <w:sz w:val="24"/>
          <w:szCs w:val="32"/>
          <w:highlight w:val="none"/>
          <w:lang w:val="zh-CN"/>
        </w:rPr>
        <w:t>投标人企业关系关联承诺书</w:t>
      </w:r>
    </w:p>
    <w:p w14:paraId="2E1C64F0">
      <w:pPr>
        <w:spacing w:line="500" w:lineRule="exact"/>
        <w:ind w:firstLine="240" w:firstLineChars="100"/>
        <w:rPr>
          <w:rFonts w:hint="eastAsia" w:asciiTheme="minorEastAsia" w:hAnsiTheme="minorEastAsia" w:eastAsiaTheme="minorEastAsia" w:cstheme="minorEastAsia"/>
          <w:b/>
          <w:bCs/>
          <w:sz w:val="24"/>
          <w:szCs w:val="32"/>
          <w:highlight w:val="none"/>
        </w:rPr>
      </w:pPr>
      <w:r>
        <w:rPr>
          <w:rFonts w:hint="eastAsia" w:asciiTheme="minorEastAsia" w:hAnsiTheme="minorEastAsia" w:eastAsiaTheme="minorEastAsia" w:cstheme="minorEastAsia"/>
          <w:sz w:val="24"/>
          <w:szCs w:val="32"/>
          <w:highlight w:val="none"/>
        </w:rPr>
        <w:t>1、</w:t>
      </w:r>
      <w:r>
        <w:rPr>
          <w:rFonts w:hint="eastAsia" w:asciiTheme="minorEastAsia" w:hAnsiTheme="minorEastAsia" w:eastAsiaTheme="minorEastAsia" w:cstheme="minorEastAsia"/>
          <w:b/>
          <w:bCs/>
          <w:sz w:val="24"/>
          <w:szCs w:val="32"/>
          <w:highlight w:val="none"/>
          <w:lang w:val="en-US" w:eastAsia="zh-CN"/>
        </w:rPr>
        <w:t>投标人</w:t>
      </w:r>
      <w:r>
        <w:rPr>
          <w:rFonts w:hint="eastAsia" w:asciiTheme="minorEastAsia" w:hAnsiTheme="minorEastAsia" w:eastAsiaTheme="minorEastAsia" w:cstheme="minorEastAsia"/>
          <w:b/>
          <w:bCs/>
          <w:sz w:val="24"/>
          <w:szCs w:val="32"/>
          <w:highlight w:val="none"/>
        </w:rPr>
        <w:t>股东及股权证明。（提供国家企业信用信息公示系统http://www.gsxt.gov.cn/index.html网页截图并加盖供应商</w:t>
      </w:r>
      <w:r>
        <w:rPr>
          <w:rFonts w:hint="eastAsia" w:asciiTheme="minorEastAsia" w:hAnsiTheme="minorEastAsia" w:eastAsiaTheme="minorEastAsia" w:cstheme="minorEastAsia"/>
          <w:b/>
          <w:bCs/>
          <w:sz w:val="24"/>
          <w:szCs w:val="32"/>
          <w:highlight w:val="none"/>
          <w:lang w:eastAsia="zh-CN"/>
        </w:rPr>
        <w:t>公</w:t>
      </w:r>
      <w:r>
        <w:rPr>
          <w:rFonts w:hint="eastAsia" w:asciiTheme="minorEastAsia" w:hAnsiTheme="minorEastAsia" w:eastAsiaTheme="minorEastAsia" w:cstheme="minorEastAsia"/>
          <w:b/>
          <w:bCs/>
          <w:sz w:val="24"/>
          <w:szCs w:val="32"/>
          <w:highlight w:val="none"/>
        </w:rPr>
        <w:t>章）</w:t>
      </w:r>
    </w:p>
    <w:p w14:paraId="250227EE">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2、投标人在本项目</w:t>
      </w:r>
      <w:r>
        <w:rPr>
          <w:rFonts w:hint="eastAsia" w:asciiTheme="minorEastAsia" w:hAnsiTheme="minorEastAsia" w:eastAsiaTheme="minorEastAsia" w:cstheme="minorEastAsia"/>
          <w:sz w:val="24"/>
          <w:szCs w:val="32"/>
          <w:highlight w:val="none"/>
          <w:lang w:val="en-US" w:eastAsia="zh-CN"/>
        </w:rPr>
        <w:t>本包</w:t>
      </w:r>
      <w:r>
        <w:rPr>
          <w:rFonts w:hint="eastAsia" w:asciiTheme="minorEastAsia" w:hAnsiTheme="minorEastAsia" w:eastAsiaTheme="minorEastAsia" w:cstheme="minorEastAsia"/>
          <w:sz w:val="24"/>
          <w:szCs w:val="32"/>
          <w:highlight w:val="none"/>
        </w:rPr>
        <w:t>投标中，不存在</w:t>
      </w:r>
      <w:r>
        <w:rPr>
          <w:rFonts w:hint="eastAsia" w:asciiTheme="minorEastAsia" w:hAnsiTheme="minorEastAsia" w:eastAsiaTheme="minorEastAsia" w:cstheme="minorEastAsia"/>
          <w:sz w:val="24"/>
          <w:szCs w:val="32"/>
          <w:highlight w:val="none"/>
          <w:lang w:eastAsia="zh-CN"/>
        </w:rPr>
        <w:t>与其他供应商</w:t>
      </w:r>
      <w:r>
        <w:rPr>
          <w:rFonts w:hint="eastAsia" w:asciiTheme="minorEastAsia" w:hAnsiTheme="minorEastAsia" w:eastAsiaTheme="minorEastAsia" w:cstheme="minorEastAsia"/>
          <w:sz w:val="24"/>
          <w:szCs w:val="32"/>
          <w:highlight w:val="none"/>
        </w:rPr>
        <w:t>投标人为同一人，有控股、管理等关联关系承诺：</w:t>
      </w:r>
    </w:p>
    <w:p w14:paraId="0561CA13">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2.1管理关系说明：</w:t>
      </w:r>
    </w:p>
    <w:p w14:paraId="40786FC5">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我单位管理的具有独立法人的下属单位有</w:t>
      </w:r>
      <w:r>
        <w:rPr>
          <w:rFonts w:hint="eastAsia" w:asciiTheme="minorEastAsia" w:hAnsiTheme="minorEastAsia" w:eastAsiaTheme="minorEastAsia" w:cstheme="minorEastAsia"/>
          <w:sz w:val="24"/>
          <w:szCs w:val="32"/>
          <w:highlight w:val="none"/>
          <w:u w:val="single"/>
        </w:rPr>
        <w:t xml:space="preserve">：                 </w:t>
      </w:r>
      <w:r>
        <w:rPr>
          <w:rFonts w:hint="eastAsia" w:asciiTheme="minorEastAsia" w:hAnsiTheme="minorEastAsia" w:eastAsiaTheme="minorEastAsia" w:cstheme="minorEastAsia"/>
          <w:sz w:val="24"/>
          <w:szCs w:val="32"/>
          <w:highlight w:val="none"/>
        </w:rPr>
        <w:t>。</w:t>
      </w:r>
    </w:p>
    <w:p w14:paraId="1716F8A8">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我单位的上级管理单位有</w:t>
      </w:r>
      <w:r>
        <w:rPr>
          <w:rFonts w:hint="eastAsia" w:asciiTheme="minorEastAsia" w:hAnsiTheme="minorEastAsia" w:eastAsiaTheme="minorEastAsia" w:cstheme="minorEastAsia"/>
          <w:sz w:val="24"/>
          <w:szCs w:val="32"/>
          <w:highlight w:val="none"/>
          <w:u w:val="single"/>
        </w:rPr>
        <w:t xml:space="preserve">              </w:t>
      </w:r>
      <w:r>
        <w:rPr>
          <w:rFonts w:hint="eastAsia" w:asciiTheme="minorEastAsia" w:hAnsiTheme="minorEastAsia" w:eastAsiaTheme="minorEastAsia" w:cstheme="minorEastAsia"/>
          <w:sz w:val="24"/>
          <w:szCs w:val="32"/>
          <w:highlight w:val="none"/>
        </w:rPr>
        <w:t>。</w:t>
      </w:r>
    </w:p>
    <w:p w14:paraId="3E3E6C28">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2.2股权关系说明：</w:t>
      </w:r>
    </w:p>
    <w:p w14:paraId="30F3204D">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我单位控股的单位有</w:t>
      </w:r>
      <w:r>
        <w:rPr>
          <w:rFonts w:hint="eastAsia" w:asciiTheme="minorEastAsia" w:hAnsiTheme="minorEastAsia" w:eastAsiaTheme="minorEastAsia" w:cstheme="minorEastAsia"/>
          <w:sz w:val="24"/>
          <w:szCs w:val="32"/>
          <w:highlight w:val="none"/>
          <w:u w:val="single"/>
        </w:rPr>
        <w:t xml:space="preserve">           </w:t>
      </w:r>
      <w:r>
        <w:rPr>
          <w:rFonts w:hint="eastAsia" w:asciiTheme="minorEastAsia" w:hAnsiTheme="minorEastAsia" w:eastAsiaTheme="minorEastAsia" w:cstheme="minorEastAsia"/>
          <w:sz w:val="24"/>
          <w:szCs w:val="32"/>
          <w:highlight w:val="none"/>
        </w:rPr>
        <w:t>。</w:t>
      </w:r>
    </w:p>
    <w:p w14:paraId="79258A13">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我单位被</w:t>
      </w:r>
      <w:r>
        <w:rPr>
          <w:rFonts w:hint="eastAsia" w:asciiTheme="minorEastAsia" w:hAnsiTheme="minorEastAsia" w:eastAsiaTheme="minorEastAsia" w:cstheme="minorEastAsia"/>
          <w:sz w:val="24"/>
          <w:szCs w:val="32"/>
          <w:highlight w:val="none"/>
          <w:u w:val="single"/>
        </w:rPr>
        <w:t xml:space="preserve">              </w:t>
      </w:r>
      <w:r>
        <w:rPr>
          <w:rFonts w:hint="eastAsia" w:asciiTheme="minorEastAsia" w:hAnsiTheme="minorEastAsia" w:eastAsiaTheme="minorEastAsia" w:cstheme="minorEastAsia"/>
          <w:sz w:val="24"/>
          <w:szCs w:val="32"/>
          <w:highlight w:val="none"/>
        </w:rPr>
        <w:t>单位控股。</w:t>
      </w:r>
    </w:p>
    <w:p w14:paraId="3B56468A">
      <w:pPr>
        <w:spacing w:line="500" w:lineRule="exact"/>
        <w:ind w:firstLine="240" w:firstLineChars="100"/>
        <w:rPr>
          <w:rFonts w:hint="eastAsia" w:asciiTheme="minorEastAsia" w:hAnsiTheme="minorEastAsia" w:eastAsiaTheme="minorEastAsia" w:cstheme="minorEastAsia"/>
          <w:sz w:val="24"/>
          <w:szCs w:val="32"/>
          <w:highlight w:val="none"/>
          <w:u w:val="single"/>
        </w:rPr>
      </w:pPr>
      <w:r>
        <w:rPr>
          <w:rFonts w:hint="eastAsia" w:asciiTheme="minorEastAsia" w:hAnsiTheme="minorEastAsia" w:eastAsiaTheme="minorEastAsia" w:cstheme="minorEastAsia"/>
          <w:sz w:val="24"/>
          <w:szCs w:val="32"/>
          <w:highlight w:val="none"/>
        </w:rPr>
        <w:t>2.3、单位负责人：</w:t>
      </w:r>
      <w:r>
        <w:rPr>
          <w:rFonts w:hint="eastAsia" w:asciiTheme="minorEastAsia" w:hAnsiTheme="minorEastAsia" w:eastAsiaTheme="minorEastAsia" w:cstheme="minorEastAsia"/>
          <w:sz w:val="24"/>
          <w:szCs w:val="32"/>
          <w:highlight w:val="none"/>
          <w:u w:val="single"/>
        </w:rPr>
        <w:t xml:space="preserve">                </w:t>
      </w:r>
    </w:p>
    <w:p w14:paraId="5B395E58">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3、</w:t>
      </w:r>
      <w:r>
        <w:rPr>
          <w:rFonts w:hint="eastAsia" w:asciiTheme="minorEastAsia" w:hAnsiTheme="minorEastAsia" w:eastAsiaTheme="minorEastAsia" w:cstheme="minorEastAsia"/>
          <w:sz w:val="24"/>
          <w:szCs w:val="32"/>
          <w:highlight w:val="none"/>
          <w:u w:val="single"/>
        </w:rPr>
        <w:t xml:space="preserve"> </w:t>
      </w:r>
      <w:r>
        <w:rPr>
          <w:rFonts w:hint="eastAsia" w:asciiTheme="minorEastAsia" w:hAnsiTheme="minorEastAsia" w:eastAsiaTheme="minorEastAsia" w:cstheme="minorEastAsia"/>
          <w:sz w:val="24"/>
          <w:szCs w:val="32"/>
          <w:highlight w:val="none"/>
          <w:u w:val="single"/>
          <w:lang w:val="en-US" w:eastAsia="zh-CN"/>
        </w:rPr>
        <w:t xml:space="preserve"> </w:t>
      </w:r>
      <w:r>
        <w:rPr>
          <w:rFonts w:hint="eastAsia" w:asciiTheme="minorEastAsia" w:hAnsiTheme="minorEastAsia" w:eastAsiaTheme="minorEastAsia" w:cstheme="minorEastAsia"/>
          <w:sz w:val="24"/>
          <w:szCs w:val="32"/>
          <w:highlight w:val="none"/>
          <w:u w:val="single"/>
        </w:rPr>
        <w:t xml:space="preserve"> </w:t>
      </w:r>
      <w:r>
        <w:rPr>
          <w:rFonts w:hint="eastAsia" w:asciiTheme="minorEastAsia" w:hAnsiTheme="minorEastAsia" w:eastAsiaTheme="minorEastAsia" w:cstheme="minorEastAsia"/>
          <w:sz w:val="24"/>
          <w:szCs w:val="32"/>
          <w:highlight w:val="none"/>
        </w:rPr>
        <w:t>（是或否） 为采购项目提供整体设计、规范编制或者项目管理、监理、检测等服务的供应商。</w:t>
      </w:r>
    </w:p>
    <w:p w14:paraId="3C708B41">
      <w:pPr>
        <w:spacing w:line="500" w:lineRule="exact"/>
        <w:ind w:firstLine="240" w:firstLineChars="100"/>
        <w:rPr>
          <w:rFonts w:hint="eastAsia" w:asciiTheme="minorEastAsia" w:hAnsiTheme="minorEastAsia" w:eastAsiaTheme="minorEastAsia" w:cstheme="minorEastAsia"/>
          <w:sz w:val="24"/>
          <w:szCs w:val="32"/>
          <w:highlight w:val="none"/>
          <w:u w:val="single"/>
        </w:rPr>
      </w:pPr>
      <w:r>
        <w:rPr>
          <w:rFonts w:hint="eastAsia" w:asciiTheme="minorEastAsia" w:hAnsiTheme="minorEastAsia" w:eastAsiaTheme="minorEastAsia" w:cstheme="minorEastAsia"/>
          <w:sz w:val="24"/>
          <w:szCs w:val="32"/>
          <w:highlight w:val="none"/>
        </w:rPr>
        <w:t>4、其他与本项目有关的利害关系说明：</w:t>
      </w:r>
      <w:r>
        <w:rPr>
          <w:rFonts w:hint="eastAsia" w:asciiTheme="minorEastAsia" w:hAnsiTheme="minorEastAsia" w:eastAsiaTheme="minorEastAsia" w:cstheme="minorEastAsia"/>
          <w:sz w:val="24"/>
          <w:szCs w:val="32"/>
          <w:highlight w:val="none"/>
          <w:u w:val="single"/>
        </w:rPr>
        <w:t xml:space="preserve">                               </w:t>
      </w:r>
    </w:p>
    <w:p w14:paraId="4C688BAF">
      <w:pPr>
        <w:pStyle w:val="5"/>
        <w:rPr>
          <w:rFonts w:hint="eastAsia" w:asciiTheme="minorEastAsia" w:hAnsiTheme="minorEastAsia" w:eastAsiaTheme="minorEastAsia" w:cstheme="minorEastAsia"/>
          <w:sz w:val="24"/>
          <w:szCs w:val="32"/>
          <w:highlight w:val="none"/>
        </w:rPr>
      </w:pPr>
    </w:p>
    <w:p w14:paraId="4A4AC926">
      <w:pPr>
        <w:spacing w:line="500" w:lineRule="exact"/>
        <w:ind w:firstLine="240" w:firstLineChars="1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我单位承诺以上说明真实有效，无虚假内容或隐瞒。</w:t>
      </w:r>
    </w:p>
    <w:p w14:paraId="0D152FCA">
      <w:pPr>
        <w:spacing w:line="500" w:lineRule="exact"/>
        <w:ind w:firstLine="240" w:firstLineChars="100"/>
        <w:rPr>
          <w:rFonts w:hint="eastAsia" w:asciiTheme="minorEastAsia" w:hAnsiTheme="minorEastAsia" w:eastAsiaTheme="minorEastAsia" w:cstheme="minorEastAsia"/>
          <w:sz w:val="24"/>
          <w:szCs w:val="32"/>
          <w:highlight w:val="none"/>
        </w:rPr>
      </w:pPr>
    </w:p>
    <w:p w14:paraId="533813B2">
      <w:pPr>
        <w:pStyle w:val="5"/>
        <w:rPr>
          <w:rFonts w:hint="eastAsia" w:asciiTheme="minorEastAsia" w:hAnsiTheme="minorEastAsia" w:eastAsiaTheme="minorEastAsia" w:cstheme="minorEastAsia"/>
          <w:sz w:val="24"/>
          <w:szCs w:val="32"/>
          <w:highlight w:val="none"/>
        </w:rPr>
      </w:pPr>
    </w:p>
    <w:p w14:paraId="3E881E1B">
      <w:pPr>
        <w:autoSpaceDE w:val="0"/>
        <w:autoSpaceDN w:val="0"/>
        <w:adjustRightInd w:val="0"/>
        <w:spacing w:line="360" w:lineRule="auto"/>
        <w:ind w:right="480" w:firstLine="1890" w:firstLineChars="900"/>
        <w:jc w:val="both"/>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kern w:val="0"/>
          <w:sz w:val="24"/>
          <w:highlight w:val="none"/>
        </w:rPr>
        <w:t>：</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kern w:val="0"/>
          <w:sz w:val="24"/>
          <w:highlight w:val="none"/>
          <w:u w:val="single"/>
        </w:rPr>
        <w:t xml:space="preserve"> （盖单位章）</w:t>
      </w:r>
    </w:p>
    <w:p w14:paraId="40604B0F">
      <w:pPr>
        <w:spacing w:line="500" w:lineRule="exact"/>
        <w:ind w:firstLine="2160" w:firstLineChars="9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法定代表人或被授权人</w:t>
      </w:r>
      <w:r>
        <w:rPr>
          <w:rFonts w:hint="eastAsia" w:asciiTheme="minorEastAsia" w:hAnsiTheme="minorEastAsia" w:eastAsiaTheme="minorEastAsia" w:cstheme="minorEastAsia"/>
          <w:sz w:val="24"/>
          <w:szCs w:val="32"/>
          <w:highlight w:val="none"/>
          <w:u w:val="single"/>
        </w:rPr>
        <w:t xml:space="preserve">： </w:t>
      </w:r>
      <w:r>
        <w:rPr>
          <w:rFonts w:hint="eastAsia" w:asciiTheme="minorEastAsia" w:hAnsiTheme="minorEastAsia" w:eastAsiaTheme="minorEastAsia" w:cstheme="minorEastAsia"/>
          <w:sz w:val="24"/>
          <w:szCs w:val="32"/>
          <w:highlight w:val="none"/>
          <w:u w:val="single"/>
          <w:lang w:val="en-US" w:eastAsia="zh-CN"/>
        </w:rPr>
        <w:t xml:space="preserve">       </w:t>
      </w:r>
      <w:r>
        <w:rPr>
          <w:rFonts w:hint="eastAsia" w:asciiTheme="minorEastAsia" w:hAnsiTheme="minorEastAsia" w:eastAsiaTheme="minorEastAsia" w:cstheme="minorEastAsia"/>
          <w:sz w:val="24"/>
          <w:szCs w:val="32"/>
          <w:highlight w:val="none"/>
          <w:u w:val="single"/>
        </w:rPr>
        <w:t xml:space="preserve">   </w:t>
      </w:r>
      <w:r>
        <w:rPr>
          <w:rFonts w:hint="eastAsia" w:asciiTheme="minorEastAsia" w:hAnsiTheme="minorEastAsia" w:eastAsiaTheme="minorEastAsia" w:cstheme="minorEastAsia"/>
          <w:sz w:val="24"/>
          <w:szCs w:val="32"/>
          <w:highlight w:val="none"/>
        </w:rPr>
        <w:t>（签字或盖章）</w:t>
      </w:r>
    </w:p>
    <w:p w14:paraId="763A185D">
      <w:pPr>
        <w:spacing w:line="500" w:lineRule="exact"/>
        <w:ind w:firstLine="2160" w:firstLineChars="900"/>
        <w:rPr>
          <w:rFonts w:hint="eastAsia"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日      期：  年  月  日</w:t>
      </w:r>
    </w:p>
    <w:p w14:paraId="716931B6">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p>
    <w:p w14:paraId="0E4A43BE">
      <w:pP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br w:type="page"/>
      </w:r>
    </w:p>
    <w:p w14:paraId="7FEAC4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textAlignment w:val="baseline"/>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w:t>
      </w:r>
      <w:r>
        <w:rPr>
          <w:rFonts w:hint="eastAsia" w:asciiTheme="minorEastAsia" w:hAnsiTheme="minorEastAsia" w:cstheme="minorEastAsia"/>
          <w:i w:val="0"/>
          <w:iCs w:val="0"/>
          <w:caps w:val="0"/>
          <w:color w:val="333333"/>
          <w:spacing w:val="0"/>
          <w:sz w:val="24"/>
          <w:szCs w:val="24"/>
          <w:highlight w:val="none"/>
          <w:shd w:val="clear" w:fill="FFFFFF"/>
          <w:vertAlign w:val="baseline"/>
          <w:lang w:val="en-US" w:eastAsia="zh-CN"/>
        </w:rPr>
        <w:t>11</w:t>
      </w:r>
      <w:r>
        <w:rPr>
          <w:rFonts w:hint="eastAsia" w:asciiTheme="minorEastAsia" w:hAnsiTheme="minorEastAsia" w:eastAsiaTheme="minorEastAsia" w:cstheme="minorEastAsia"/>
          <w:i w:val="0"/>
          <w:iCs w:val="0"/>
          <w:caps w:val="0"/>
          <w:color w:val="333333"/>
          <w:spacing w:val="0"/>
          <w:sz w:val="24"/>
          <w:szCs w:val="24"/>
          <w:highlight w:val="none"/>
          <w:shd w:val="clear" w:fill="FFFFFF"/>
          <w:vertAlign w:val="baseline"/>
        </w:rPr>
        <w:t>)本项目不接受联合体投标（提供承诺书）；</w:t>
      </w:r>
    </w:p>
    <w:p w14:paraId="7BF82503">
      <w:pPr>
        <w:rPr>
          <w:rFonts w:hint="eastAsia" w:asciiTheme="minorEastAsia" w:hAnsiTheme="minorEastAsia" w:eastAsiaTheme="minorEastAsia" w:cstheme="minorEastAsia"/>
          <w:i w:val="0"/>
          <w:iCs w:val="0"/>
          <w:caps w:val="0"/>
          <w:snapToGrid w:val="0"/>
          <w:color w:val="333333"/>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snapToGrid w:val="0"/>
          <w:color w:val="333333"/>
          <w:spacing w:val="0"/>
          <w:kern w:val="0"/>
          <w:sz w:val="24"/>
          <w:szCs w:val="24"/>
          <w:highlight w:val="none"/>
          <w:shd w:val="clear" w:fill="FFFFFF"/>
          <w:vertAlign w:val="baseline"/>
          <w:lang w:val="en-US" w:eastAsia="zh-CN" w:bidi="ar"/>
        </w:rPr>
        <w:br w:type="page"/>
      </w:r>
    </w:p>
    <w:p w14:paraId="6726B4F6">
      <w:pPr>
        <w:pStyle w:val="5"/>
        <w:spacing w:line="256" w:lineRule="auto"/>
        <w:rPr>
          <w:highlight w:val="none"/>
        </w:rPr>
      </w:pPr>
    </w:p>
    <w:p w14:paraId="12B234E0">
      <w:pPr>
        <w:pStyle w:val="5"/>
        <w:spacing w:line="257" w:lineRule="auto"/>
        <w:rPr>
          <w:highlight w:val="none"/>
        </w:rPr>
      </w:pPr>
    </w:p>
    <w:p w14:paraId="21996DF3">
      <w:pPr>
        <w:spacing w:before="114" w:line="225" w:lineRule="auto"/>
        <w:jc w:val="center"/>
        <w:outlineLvl w:val="1"/>
        <w:rPr>
          <w:rFonts w:ascii="宋体" w:hAnsi="宋体" w:eastAsia="宋体" w:cs="宋体"/>
          <w:sz w:val="35"/>
          <w:szCs w:val="35"/>
          <w:highlight w:val="none"/>
        </w:rPr>
      </w:pPr>
      <w:r>
        <w:rPr>
          <w:rFonts w:ascii="宋体" w:hAnsi="宋体" w:eastAsia="宋体" w:cs="宋体"/>
          <w:b/>
          <w:bCs/>
          <w:spacing w:val="3"/>
          <w:sz w:val="35"/>
          <w:szCs w:val="35"/>
          <w:highlight w:val="none"/>
        </w:rPr>
        <w:t>陕西省政府采购供应商</w:t>
      </w:r>
    </w:p>
    <w:p w14:paraId="5DEF24CD">
      <w:pPr>
        <w:spacing w:before="274" w:line="225" w:lineRule="auto"/>
        <w:ind w:left="1773"/>
        <w:outlineLvl w:val="1"/>
        <w:rPr>
          <w:rFonts w:ascii="宋体" w:hAnsi="宋体" w:eastAsia="宋体" w:cs="宋体"/>
          <w:sz w:val="35"/>
          <w:szCs w:val="35"/>
          <w:highlight w:val="none"/>
        </w:rPr>
      </w:pPr>
      <w:r>
        <w:rPr>
          <w:rFonts w:ascii="宋体" w:hAnsi="宋体" w:eastAsia="宋体" w:cs="宋体"/>
          <w:b/>
          <w:bCs/>
          <w:spacing w:val="6"/>
          <w:sz w:val="35"/>
          <w:szCs w:val="35"/>
          <w:highlight w:val="none"/>
        </w:rPr>
        <w:t>拒绝政府采购领域商业贿赂承诺书</w:t>
      </w:r>
    </w:p>
    <w:p w14:paraId="374931FE">
      <w:pPr>
        <w:pStyle w:val="5"/>
        <w:spacing w:line="320" w:lineRule="auto"/>
        <w:rPr>
          <w:highlight w:val="none"/>
        </w:rPr>
      </w:pPr>
    </w:p>
    <w:p w14:paraId="47A55211">
      <w:pPr>
        <w:pStyle w:val="5"/>
        <w:spacing w:line="321" w:lineRule="auto"/>
        <w:rPr>
          <w:highlight w:val="none"/>
        </w:rPr>
      </w:pPr>
    </w:p>
    <w:p w14:paraId="1F7E9017">
      <w:pPr>
        <w:spacing w:before="78" w:line="359" w:lineRule="auto"/>
        <w:ind w:left="1" w:firstLine="481"/>
        <w:rPr>
          <w:rFonts w:ascii="宋体" w:hAnsi="宋体" w:eastAsia="宋体" w:cs="宋体"/>
          <w:sz w:val="24"/>
          <w:szCs w:val="24"/>
          <w:highlight w:val="none"/>
        </w:rPr>
      </w:pPr>
      <w:r>
        <w:rPr>
          <w:rFonts w:ascii="宋体" w:hAnsi="宋体" w:eastAsia="宋体" w:cs="宋体"/>
          <w:spacing w:val="2"/>
          <w:sz w:val="24"/>
          <w:szCs w:val="24"/>
          <w:highlight w:val="none"/>
        </w:rPr>
        <w:t>为响应党中央、国务院关于治理政府采购领域商业贿赂行为的号召，</w:t>
      </w:r>
      <w:r>
        <w:rPr>
          <w:rFonts w:ascii="宋体" w:hAnsi="宋体" w:eastAsia="宋体" w:cs="宋体"/>
          <w:spacing w:val="1"/>
          <w:sz w:val="24"/>
          <w:szCs w:val="24"/>
          <w:highlight w:val="none"/>
        </w:rPr>
        <w:t>我公司在此</w:t>
      </w:r>
      <w:r>
        <w:rPr>
          <w:rFonts w:ascii="宋体" w:hAnsi="宋体" w:eastAsia="宋体" w:cs="宋体"/>
          <w:spacing w:val="-3"/>
          <w:sz w:val="24"/>
          <w:szCs w:val="24"/>
          <w:highlight w:val="none"/>
        </w:rPr>
        <w:t>庄严承诺：</w:t>
      </w:r>
    </w:p>
    <w:p w14:paraId="108054CE">
      <w:pPr>
        <w:spacing w:line="219" w:lineRule="auto"/>
        <w:ind w:left="498"/>
        <w:rPr>
          <w:rFonts w:ascii="宋体" w:hAnsi="宋体" w:eastAsia="宋体" w:cs="宋体"/>
          <w:sz w:val="24"/>
          <w:szCs w:val="24"/>
          <w:highlight w:val="none"/>
        </w:rPr>
      </w:pPr>
      <w:r>
        <w:rPr>
          <w:rFonts w:ascii="宋体" w:hAnsi="宋体" w:eastAsia="宋体" w:cs="宋体"/>
          <w:spacing w:val="-1"/>
          <w:sz w:val="24"/>
          <w:szCs w:val="24"/>
          <w:highlight w:val="none"/>
        </w:rPr>
        <w:t>1.在参与政府采购活动中遵纪守法、诚信经营、公平竞</w:t>
      </w:r>
      <w:r>
        <w:rPr>
          <w:rFonts w:ascii="宋体" w:hAnsi="宋体" w:eastAsia="宋体" w:cs="宋体"/>
          <w:spacing w:val="-2"/>
          <w:sz w:val="24"/>
          <w:szCs w:val="24"/>
          <w:highlight w:val="none"/>
        </w:rPr>
        <w:t>标。</w:t>
      </w:r>
    </w:p>
    <w:p w14:paraId="307ACB7A">
      <w:pPr>
        <w:spacing w:before="182" w:line="289" w:lineRule="auto"/>
        <w:ind w:left="28" w:firstLine="455"/>
        <w:rPr>
          <w:rFonts w:ascii="宋体" w:hAnsi="宋体" w:eastAsia="宋体" w:cs="宋体"/>
          <w:sz w:val="24"/>
          <w:szCs w:val="24"/>
          <w:highlight w:val="none"/>
        </w:rPr>
      </w:pPr>
      <w:r>
        <w:rPr>
          <w:rFonts w:ascii="宋体" w:hAnsi="宋体" w:eastAsia="宋体" w:cs="宋体"/>
          <w:spacing w:val="2"/>
          <w:sz w:val="24"/>
          <w:szCs w:val="24"/>
          <w:highlight w:val="none"/>
        </w:rPr>
        <w:t>2.不向政府征集人、采购代理机构和政府采购评审专家进行任何</w:t>
      </w:r>
      <w:r>
        <w:rPr>
          <w:rFonts w:ascii="宋体" w:hAnsi="宋体" w:eastAsia="宋体" w:cs="宋体"/>
          <w:spacing w:val="1"/>
          <w:sz w:val="24"/>
          <w:szCs w:val="24"/>
          <w:highlight w:val="none"/>
        </w:rPr>
        <w:t>形式的商业贿赂</w:t>
      </w:r>
      <w:r>
        <w:rPr>
          <w:rFonts w:ascii="宋体" w:hAnsi="宋体" w:eastAsia="宋体" w:cs="宋体"/>
          <w:spacing w:val="-5"/>
          <w:sz w:val="24"/>
          <w:szCs w:val="24"/>
          <w:highlight w:val="none"/>
        </w:rPr>
        <w:t>以谋取交易机会。</w:t>
      </w:r>
    </w:p>
    <w:p w14:paraId="29D8D969">
      <w:pPr>
        <w:spacing w:before="182" w:line="289" w:lineRule="auto"/>
        <w:ind w:firstLine="485"/>
        <w:rPr>
          <w:rFonts w:ascii="宋体" w:hAnsi="宋体" w:eastAsia="宋体" w:cs="宋体"/>
          <w:sz w:val="24"/>
          <w:szCs w:val="24"/>
          <w:highlight w:val="none"/>
        </w:rPr>
      </w:pPr>
      <w:r>
        <w:rPr>
          <w:rFonts w:ascii="宋体" w:hAnsi="宋体" w:eastAsia="宋体" w:cs="宋体"/>
          <w:spacing w:val="2"/>
          <w:sz w:val="24"/>
          <w:szCs w:val="24"/>
          <w:highlight w:val="none"/>
        </w:rPr>
        <w:t>3.不向政府采购代理机构和征集人提供虚假资质文件或采用</w:t>
      </w:r>
      <w:r>
        <w:rPr>
          <w:rFonts w:ascii="宋体" w:hAnsi="宋体" w:eastAsia="宋体" w:cs="宋体"/>
          <w:spacing w:val="1"/>
          <w:sz w:val="24"/>
          <w:szCs w:val="24"/>
          <w:highlight w:val="none"/>
        </w:rPr>
        <w:t>虚假响应方式参与政</w:t>
      </w:r>
      <w:r>
        <w:rPr>
          <w:rFonts w:ascii="宋体" w:hAnsi="宋体" w:eastAsia="宋体" w:cs="宋体"/>
          <w:spacing w:val="-1"/>
          <w:sz w:val="24"/>
          <w:szCs w:val="24"/>
          <w:highlight w:val="none"/>
        </w:rPr>
        <w:t>府采购市场竞争并谋取成交、成交。</w:t>
      </w:r>
    </w:p>
    <w:p w14:paraId="0E30F41C">
      <w:pPr>
        <w:spacing w:before="183" w:line="219" w:lineRule="auto"/>
        <w:ind w:left="480"/>
        <w:rPr>
          <w:rFonts w:ascii="宋体" w:hAnsi="宋体" w:eastAsia="宋体" w:cs="宋体"/>
          <w:sz w:val="24"/>
          <w:szCs w:val="24"/>
          <w:highlight w:val="none"/>
        </w:rPr>
      </w:pPr>
      <w:r>
        <w:rPr>
          <w:rFonts w:ascii="宋体" w:hAnsi="宋体" w:eastAsia="宋体" w:cs="宋体"/>
          <w:spacing w:val="-3"/>
          <w:sz w:val="24"/>
          <w:szCs w:val="24"/>
          <w:highlight w:val="none"/>
        </w:rPr>
        <w:t>4.不采取“</w:t>
      </w:r>
      <w:r>
        <w:rPr>
          <w:rFonts w:ascii="宋体" w:hAnsi="宋体" w:eastAsia="宋体" w:cs="宋体"/>
          <w:spacing w:val="-78"/>
          <w:sz w:val="24"/>
          <w:szCs w:val="24"/>
          <w:highlight w:val="none"/>
        </w:rPr>
        <w:t xml:space="preserve"> </w:t>
      </w:r>
      <w:r>
        <w:rPr>
          <w:rFonts w:ascii="宋体" w:hAnsi="宋体" w:eastAsia="宋体" w:cs="宋体"/>
          <w:spacing w:val="-3"/>
          <w:sz w:val="24"/>
          <w:szCs w:val="24"/>
          <w:highlight w:val="none"/>
        </w:rPr>
        <w:t>围标、陪标</w:t>
      </w:r>
      <w:r>
        <w:rPr>
          <w:rFonts w:ascii="宋体" w:hAnsi="宋体" w:eastAsia="宋体" w:cs="宋体"/>
          <w:spacing w:val="-88"/>
          <w:sz w:val="24"/>
          <w:szCs w:val="24"/>
          <w:highlight w:val="none"/>
        </w:rPr>
        <w:t xml:space="preserve"> </w:t>
      </w:r>
      <w:r>
        <w:rPr>
          <w:rFonts w:ascii="宋体" w:hAnsi="宋体" w:eastAsia="宋体" w:cs="宋体"/>
          <w:spacing w:val="-3"/>
          <w:sz w:val="24"/>
          <w:szCs w:val="24"/>
          <w:highlight w:val="none"/>
        </w:rPr>
        <w:t>”等商业欺诈手段获得政府采购定单。</w:t>
      </w:r>
    </w:p>
    <w:p w14:paraId="5FE10FE8">
      <w:pPr>
        <w:spacing w:before="181" w:line="219" w:lineRule="auto"/>
        <w:ind w:left="485"/>
        <w:rPr>
          <w:rFonts w:ascii="宋体" w:hAnsi="宋体" w:eastAsia="宋体" w:cs="宋体"/>
          <w:sz w:val="24"/>
          <w:szCs w:val="24"/>
          <w:highlight w:val="none"/>
        </w:rPr>
      </w:pPr>
      <w:r>
        <w:rPr>
          <w:rFonts w:ascii="宋体" w:hAnsi="宋体" w:eastAsia="宋体" w:cs="宋体"/>
          <w:spacing w:val="-1"/>
          <w:sz w:val="24"/>
          <w:szCs w:val="24"/>
          <w:highlight w:val="none"/>
        </w:rPr>
        <w:t>5.不采取不正当手段诋毁、排挤其他供应商。</w:t>
      </w:r>
    </w:p>
    <w:p w14:paraId="782726A4">
      <w:pPr>
        <w:spacing w:before="184"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6.不在提供商品和服务时“偷梁换柱、以次充好</w:t>
      </w:r>
      <w:r>
        <w:rPr>
          <w:rFonts w:ascii="宋体" w:hAnsi="宋体" w:eastAsia="宋体" w:cs="宋体"/>
          <w:spacing w:val="-88"/>
          <w:sz w:val="24"/>
          <w:szCs w:val="24"/>
          <w:highlight w:val="none"/>
        </w:rPr>
        <w:t xml:space="preserve"> </w:t>
      </w:r>
      <w:r>
        <w:rPr>
          <w:rFonts w:ascii="宋体" w:hAnsi="宋体" w:eastAsia="宋体" w:cs="宋体"/>
          <w:spacing w:val="-1"/>
          <w:sz w:val="24"/>
          <w:szCs w:val="24"/>
          <w:highlight w:val="none"/>
        </w:rPr>
        <w:t>”</w:t>
      </w:r>
      <w:r>
        <w:rPr>
          <w:rFonts w:ascii="宋体" w:hAnsi="宋体" w:eastAsia="宋体" w:cs="宋体"/>
          <w:spacing w:val="-2"/>
          <w:sz w:val="24"/>
          <w:szCs w:val="24"/>
          <w:highlight w:val="none"/>
        </w:rPr>
        <w:t>损害征集人的合法权益。</w:t>
      </w:r>
    </w:p>
    <w:p w14:paraId="14B82DE9">
      <w:pPr>
        <w:spacing w:before="179" w:line="290" w:lineRule="auto"/>
        <w:ind w:left="3" w:firstLine="482"/>
        <w:rPr>
          <w:rFonts w:ascii="宋体" w:hAnsi="宋体" w:eastAsia="宋体" w:cs="宋体"/>
          <w:sz w:val="24"/>
          <w:szCs w:val="24"/>
          <w:highlight w:val="none"/>
        </w:rPr>
      </w:pPr>
      <w:r>
        <w:rPr>
          <w:rFonts w:ascii="宋体" w:hAnsi="宋体" w:eastAsia="宋体" w:cs="宋体"/>
          <w:spacing w:val="2"/>
          <w:sz w:val="24"/>
          <w:szCs w:val="24"/>
          <w:highlight w:val="none"/>
        </w:rPr>
        <w:t>7.不与征集人、采购代理机构政府采购评审专家或其它供</w:t>
      </w:r>
      <w:r>
        <w:rPr>
          <w:rFonts w:ascii="宋体" w:hAnsi="宋体" w:eastAsia="宋体" w:cs="宋体"/>
          <w:spacing w:val="1"/>
          <w:sz w:val="24"/>
          <w:szCs w:val="24"/>
          <w:highlight w:val="none"/>
        </w:rPr>
        <w:t>应商恶意串通，进行质</w:t>
      </w:r>
      <w:r>
        <w:rPr>
          <w:rFonts w:ascii="宋体" w:hAnsi="宋体" w:eastAsia="宋体" w:cs="宋体"/>
          <w:spacing w:val="-1"/>
          <w:sz w:val="24"/>
          <w:szCs w:val="24"/>
          <w:highlight w:val="none"/>
        </w:rPr>
        <w:t>疑和投诉，维护政府采购市场秩序。</w:t>
      </w:r>
    </w:p>
    <w:p w14:paraId="61AA819E">
      <w:pPr>
        <w:spacing w:before="181" w:line="290" w:lineRule="auto"/>
        <w:ind w:right="56" w:firstLine="480"/>
        <w:rPr>
          <w:rFonts w:ascii="宋体" w:hAnsi="宋体" w:eastAsia="宋体" w:cs="宋体"/>
          <w:sz w:val="24"/>
          <w:szCs w:val="24"/>
          <w:highlight w:val="none"/>
        </w:rPr>
      </w:pPr>
      <w:r>
        <w:rPr>
          <w:rFonts w:ascii="宋体" w:hAnsi="宋体" w:eastAsia="宋体" w:cs="宋体"/>
          <w:sz w:val="24"/>
          <w:szCs w:val="24"/>
          <w:highlight w:val="none"/>
        </w:rPr>
        <w:t>8.尊重和接受政府采购监督管理部门的监督和政府采购代理机构招标采购要求，</w:t>
      </w:r>
      <w:r>
        <w:rPr>
          <w:rFonts w:ascii="宋体" w:hAnsi="宋体" w:eastAsia="宋体" w:cs="宋体"/>
          <w:spacing w:val="-1"/>
          <w:sz w:val="24"/>
          <w:szCs w:val="24"/>
          <w:highlight w:val="none"/>
        </w:rPr>
        <w:t>承担因违约行为给征集人造成的损失。</w:t>
      </w:r>
    </w:p>
    <w:p w14:paraId="5DA5C71D">
      <w:pPr>
        <w:spacing w:before="182" w:line="219" w:lineRule="auto"/>
        <w:ind w:left="481"/>
        <w:rPr>
          <w:rFonts w:ascii="宋体" w:hAnsi="宋体" w:eastAsia="宋体" w:cs="宋体"/>
          <w:sz w:val="24"/>
          <w:szCs w:val="24"/>
          <w:highlight w:val="none"/>
        </w:rPr>
      </w:pPr>
      <w:r>
        <w:rPr>
          <w:rFonts w:ascii="宋体" w:hAnsi="宋体" w:eastAsia="宋体" w:cs="宋体"/>
          <w:sz w:val="24"/>
          <w:szCs w:val="24"/>
          <w:highlight w:val="none"/>
        </w:rPr>
        <w:t>9.不发生其他有悖于政府采购公开、公平</w:t>
      </w:r>
      <w:r>
        <w:rPr>
          <w:rFonts w:ascii="宋体" w:hAnsi="宋体" w:eastAsia="宋体" w:cs="宋体"/>
          <w:spacing w:val="-1"/>
          <w:sz w:val="24"/>
          <w:szCs w:val="24"/>
          <w:highlight w:val="none"/>
        </w:rPr>
        <w:t>、公正和诚信原则的行为。</w:t>
      </w:r>
    </w:p>
    <w:p w14:paraId="6499E187">
      <w:pPr>
        <w:pStyle w:val="5"/>
        <w:spacing w:line="268" w:lineRule="auto"/>
        <w:rPr>
          <w:highlight w:val="none"/>
        </w:rPr>
      </w:pPr>
    </w:p>
    <w:p w14:paraId="06A45224">
      <w:pPr>
        <w:pStyle w:val="5"/>
        <w:spacing w:line="268" w:lineRule="auto"/>
        <w:rPr>
          <w:highlight w:val="none"/>
        </w:rPr>
      </w:pPr>
    </w:p>
    <w:p w14:paraId="07B91C1C">
      <w:pPr>
        <w:pStyle w:val="5"/>
        <w:spacing w:line="269" w:lineRule="auto"/>
        <w:rPr>
          <w:highlight w:val="none"/>
        </w:rPr>
      </w:pPr>
    </w:p>
    <w:p w14:paraId="49BAFD6F">
      <w:pPr>
        <w:spacing w:before="79" w:line="219" w:lineRule="auto"/>
        <w:ind w:left="480"/>
        <w:rPr>
          <w:rFonts w:ascii="宋体" w:hAnsi="宋体" w:eastAsia="宋体" w:cs="宋体"/>
          <w:sz w:val="24"/>
          <w:szCs w:val="24"/>
          <w:highlight w:val="none"/>
        </w:rPr>
      </w:pPr>
      <w:r>
        <w:rPr>
          <w:rFonts w:hint="eastAsia" w:ascii="宋体" w:hAnsi="宋体" w:eastAsia="宋体" w:cs="宋体"/>
          <w:spacing w:val="-17"/>
          <w:sz w:val="24"/>
          <w:szCs w:val="24"/>
          <w:highlight w:val="none"/>
        </w:rPr>
        <w:t>投标人名称</w:t>
      </w:r>
      <w:r>
        <w:rPr>
          <w:rFonts w:ascii="宋体" w:hAnsi="宋体" w:eastAsia="宋体" w:cs="宋体"/>
          <w:spacing w:val="-17"/>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7"/>
          <w:sz w:val="24"/>
          <w:szCs w:val="24"/>
          <w:highlight w:val="none"/>
        </w:rPr>
        <w:t>（</w:t>
      </w:r>
      <w:r>
        <w:rPr>
          <w:rFonts w:ascii="宋体" w:hAnsi="宋体" w:eastAsia="宋体" w:cs="宋体"/>
          <w:spacing w:val="3"/>
          <w:sz w:val="24"/>
          <w:szCs w:val="24"/>
          <w:highlight w:val="none"/>
        </w:rPr>
        <w:t>公章）</w:t>
      </w:r>
    </w:p>
    <w:p w14:paraId="2B695A93">
      <w:pPr>
        <w:spacing w:before="181" w:line="219" w:lineRule="auto"/>
        <w:ind w:left="481"/>
        <w:rPr>
          <w:rFonts w:ascii="宋体" w:hAnsi="宋体" w:eastAsia="宋体" w:cs="宋体"/>
          <w:sz w:val="24"/>
          <w:szCs w:val="24"/>
          <w:highlight w:val="none"/>
        </w:rPr>
      </w:pPr>
      <w:r>
        <w:rPr>
          <w:rFonts w:ascii="宋体" w:hAnsi="宋体" w:eastAsia="宋体" w:cs="宋体"/>
          <w:b/>
          <w:bCs/>
          <w:sz w:val="24"/>
          <w:szCs w:val="24"/>
          <w:highlight w:val="none"/>
        </w:rPr>
        <w:t>法人代表或委托代理人</w:t>
      </w:r>
      <w:r>
        <w:rPr>
          <w:rFonts w:ascii="宋体" w:hAnsi="宋体" w:eastAsia="宋体" w:cs="宋体"/>
          <w:spacing w:val="-14"/>
          <w:sz w:val="24"/>
          <w:szCs w:val="24"/>
          <w:highlight w:val="none"/>
        </w:rPr>
        <w:t>：</w:t>
      </w:r>
      <w:r>
        <w:rPr>
          <w:rFonts w:ascii="宋体" w:hAnsi="宋体" w:eastAsia="宋体" w:cs="宋体"/>
          <w:spacing w:val="13"/>
          <w:sz w:val="24"/>
          <w:szCs w:val="24"/>
          <w:highlight w:val="none"/>
          <w:u w:val="single" w:color="auto"/>
        </w:rPr>
        <w:t xml:space="preserve">         </w:t>
      </w:r>
      <w:r>
        <w:rPr>
          <w:rFonts w:ascii="宋体" w:hAnsi="宋体" w:eastAsia="宋体" w:cs="宋体"/>
          <w:spacing w:val="-14"/>
          <w:sz w:val="24"/>
          <w:szCs w:val="24"/>
          <w:highlight w:val="none"/>
        </w:rPr>
        <w:t>（</w:t>
      </w:r>
      <w:r>
        <w:rPr>
          <w:rFonts w:ascii="宋体" w:hAnsi="宋体" w:eastAsia="宋体" w:cs="宋体"/>
          <w:sz w:val="24"/>
          <w:szCs w:val="24"/>
          <w:highlight w:val="none"/>
        </w:rPr>
        <w:t>签字或盖章）</w:t>
      </w:r>
    </w:p>
    <w:p w14:paraId="344AC62A">
      <w:pPr>
        <w:spacing w:before="181" w:line="220" w:lineRule="auto"/>
        <w:ind w:left="522"/>
        <w:outlineLvl w:val="1"/>
        <w:rPr>
          <w:rFonts w:ascii="宋体" w:hAnsi="宋体" w:eastAsia="宋体" w:cs="宋体"/>
          <w:sz w:val="24"/>
          <w:szCs w:val="24"/>
          <w:highlight w:val="none"/>
        </w:rPr>
      </w:pPr>
      <w:r>
        <w:rPr>
          <w:rFonts w:ascii="宋体" w:hAnsi="宋体" w:eastAsia="宋体" w:cs="宋体"/>
          <w:b/>
          <w:bCs/>
          <w:spacing w:val="-15"/>
          <w:sz w:val="24"/>
          <w:szCs w:val="24"/>
          <w:highlight w:val="none"/>
        </w:rPr>
        <w:t>日期：</w:t>
      </w:r>
      <w:r>
        <w:rPr>
          <w:rFonts w:ascii="宋体" w:hAnsi="宋体" w:eastAsia="宋体" w:cs="宋体"/>
          <w:sz w:val="24"/>
          <w:szCs w:val="24"/>
          <w:highlight w:val="none"/>
          <w:u w:val="single" w:color="auto"/>
        </w:rPr>
        <w:t xml:space="preserve">    </w:t>
      </w:r>
      <w:r>
        <w:rPr>
          <w:rFonts w:ascii="宋体" w:hAnsi="宋体" w:eastAsia="宋体" w:cs="宋体"/>
          <w:spacing w:val="-108"/>
          <w:sz w:val="24"/>
          <w:szCs w:val="24"/>
          <w:highlight w:val="none"/>
        </w:rPr>
        <w:t xml:space="preserve"> </w:t>
      </w:r>
      <w:r>
        <w:rPr>
          <w:rFonts w:ascii="宋体" w:hAnsi="宋体" w:eastAsia="宋体" w:cs="宋体"/>
          <w:b/>
          <w:bCs/>
          <w:spacing w:val="-15"/>
          <w:sz w:val="24"/>
          <w:szCs w:val="24"/>
          <w:highlight w:val="none"/>
        </w:rPr>
        <w:t>年</w:t>
      </w:r>
      <w:r>
        <w:rPr>
          <w:rFonts w:ascii="宋体" w:hAnsi="宋体" w:eastAsia="宋体" w:cs="宋体"/>
          <w:sz w:val="24"/>
          <w:szCs w:val="24"/>
          <w:highlight w:val="none"/>
          <w:u w:val="single" w:color="auto"/>
        </w:rPr>
        <w:t xml:space="preserve">      </w:t>
      </w:r>
      <w:r>
        <w:rPr>
          <w:rFonts w:ascii="宋体" w:hAnsi="宋体" w:eastAsia="宋体" w:cs="宋体"/>
          <w:spacing w:val="-102"/>
          <w:sz w:val="24"/>
          <w:szCs w:val="24"/>
          <w:highlight w:val="none"/>
        </w:rPr>
        <w:t xml:space="preserve"> </w:t>
      </w:r>
      <w:r>
        <w:rPr>
          <w:rFonts w:ascii="宋体" w:hAnsi="宋体" w:eastAsia="宋体" w:cs="宋体"/>
          <w:b/>
          <w:bCs/>
          <w:spacing w:val="-15"/>
          <w:sz w:val="24"/>
          <w:szCs w:val="24"/>
          <w:highlight w:val="none"/>
        </w:rPr>
        <w:t>月</w:t>
      </w:r>
      <w:r>
        <w:rPr>
          <w:rFonts w:ascii="宋体" w:hAnsi="宋体" w:eastAsia="宋体" w:cs="宋体"/>
          <w:spacing w:val="-118"/>
          <w:sz w:val="24"/>
          <w:szCs w:val="24"/>
          <w:highlight w:val="none"/>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67"/>
          <w:sz w:val="24"/>
          <w:szCs w:val="24"/>
          <w:highlight w:val="none"/>
        </w:rPr>
        <w:t xml:space="preserve"> </w:t>
      </w:r>
      <w:r>
        <w:rPr>
          <w:rFonts w:ascii="宋体" w:hAnsi="宋体" w:eastAsia="宋体" w:cs="宋体"/>
          <w:b/>
          <w:bCs/>
          <w:spacing w:val="-15"/>
          <w:sz w:val="24"/>
          <w:szCs w:val="24"/>
          <w:highlight w:val="none"/>
        </w:rPr>
        <w:t>日</w:t>
      </w:r>
    </w:p>
    <w:p w14:paraId="484AB90B">
      <w:pPr>
        <w:spacing w:line="220" w:lineRule="auto"/>
        <w:rPr>
          <w:rFonts w:ascii="宋体" w:hAnsi="宋体" w:eastAsia="宋体" w:cs="宋体"/>
          <w:sz w:val="24"/>
          <w:szCs w:val="24"/>
          <w:highlight w:val="none"/>
        </w:rPr>
        <w:sectPr>
          <w:footerReference r:id="rId22" w:type="default"/>
          <w:pgSz w:w="11907" w:h="16840"/>
          <w:pgMar w:top="1431" w:right="1474" w:bottom="1199" w:left="1481" w:header="0" w:footer="984" w:gutter="0"/>
          <w:pgNumType w:fmt="decimal"/>
          <w:cols w:space="720" w:num="1"/>
        </w:sectPr>
      </w:pPr>
    </w:p>
    <w:p w14:paraId="01258533">
      <w:pPr>
        <w:pStyle w:val="5"/>
        <w:spacing w:line="286" w:lineRule="auto"/>
        <w:rPr>
          <w:highlight w:val="none"/>
        </w:rPr>
      </w:pPr>
    </w:p>
    <w:p w14:paraId="51F0A0B8">
      <w:pPr>
        <w:spacing w:before="114" w:line="225" w:lineRule="auto"/>
        <w:ind w:left="2436"/>
        <w:rPr>
          <w:rFonts w:ascii="宋体" w:hAnsi="宋体" w:eastAsia="宋体" w:cs="宋体"/>
          <w:sz w:val="35"/>
          <w:szCs w:val="35"/>
          <w:highlight w:val="none"/>
        </w:rPr>
      </w:pPr>
      <w:r>
        <w:rPr>
          <w:rFonts w:ascii="宋体" w:hAnsi="宋体" w:eastAsia="宋体" w:cs="宋体"/>
          <w:b/>
          <w:bCs/>
          <w:spacing w:val="4"/>
          <w:sz w:val="35"/>
          <w:szCs w:val="35"/>
          <w:highlight w:val="none"/>
        </w:rPr>
        <w:t>第二部分</w:t>
      </w:r>
      <w:r>
        <w:rPr>
          <w:rFonts w:ascii="宋体" w:hAnsi="宋体" w:eastAsia="宋体" w:cs="宋体"/>
          <w:spacing w:val="-28"/>
          <w:sz w:val="35"/>
          <w:szCs w:val="35"/>
          <w:highlight w:val="none"/>
        </w:rPr>
        <w:t xml:space="preserve"> </w:t>
      </w:r>
      <w:r>
        <w:rPr>
          <w:rFonts w:ascii="宋体" w:hAnsi="宋体" w:eastAsia="宋体" w:cs="宋体"/>
          <w:b/>
          <w:bCs/>
          <w:spacing w:val="4"/>
          <w:sz w:val="35"/>
          <w:szCs w:val="35"/>
          <w:highlight w:val="none"/>
        </w:rPr>
        <w:t>符合性证明文件</w:t>
      </w:r>
    </w:p>
    <w:p w14:paraId="7D2F030D">
      <w:pPr>
        <w:pStyle w:val="5"/>
        <w:spacing w:line="265" w:lineRule="auto"/>
        <w:rPr>
          <w:highlight w:val="none"/>
        </w:rPr>
      </w:pPr>
    </w:p>
    <w:p w14:paraId="6FF89A47">
      <w:pPr>
        <w:spacing w:before="91" w:line="221" w:lineRule="auto"/>
        <w:ind w:left="7"/>
        <w:jc w:val="center"/>
        <w:rPr>
          <w:rFonts w:ascii="宋体" w:hAnsi="宋体" w:eastAsia="宋体" w:cs="宋体"/>
          <w:sz w:val="28"/>
          <w:szCs w:val="28"/>
          <w:highlight w:val="none"/>
        </w:rPr>
      </w:pPr>
      <w:r>
        <w:rPr>
          <w:rFonts w:ascii="宋体" w:hAnsi="宋体" w:eastAsia="宋体" w:cs="宋体"/>
          <w:b/>
          <w:bCs/>
          <w:spacing w:val="-4"/>
          <w:sz w:val="28"/>
          <w:szCs w:val="28"/>
          <w:highlight w:val="none"/>
        </w:rPr>
        <w:t>一、申请函格式</w:t>
      </w:r>
    </w:p>
    <w:p w14:paraId="036A260F">
      <w:pPr>
        <w:pStyle w:val="5"/>
        <w:spacing w:line="294" w:lineRule="auto"/>
        <w:rPr>
          <w:highlight w:val="none"/>
        </w:rPr>
      </w:pPr>
    </w:p>
    <w:p w14:paraId="49B7B11A">
      <w:pPr>
        <w:spacing w:before="91" w:line="221" w:lineRule="auto"/>
        <w:ind w:left="4097"/>
        <w:rPr>
          <w:rFonts w:ascii="宋体" w:hAnsi="宋体" w:eastAsia="宋体" w:cs="宋体"/>
          <w:sz w:val="28"/>
          <w:szCs w:val="28"/>
          <w:highlight w:val="none"/>
        </w:rPr>
      </w:pPr>
      <w:r>
        <w:rPr>
          <w:rFonts w:ascii="宋体" w:hAnsi="宋体" w:eastAsia="宋体" w:cs="宋体"/>
          <w:b/>
          <w:bCs/>
          <w:spacing w:val="-18"/>
          <w:sz w:val="28"/>
          <w:szCs w:val="28"/>
          <w:highlight w:val="none"/>
        </w:rPr>
        <w:t>申请函</w:t>
      </w:r>
    </w:p>
    <w:p w14:paraId="754B20FA">
      <w:pPr>
        <w:pStyle w:val="5"/>
        <w:spacing w:line="241" w:lineRule="auto"/>
        <w:rPr>
          <w:highlight w:val="none"/>
        </w:rPr>
      </w:pPr>
    </w:p>
    <w:p w14:paraId="428FC7CB">
      <w:pPr>
        <w:pStyle w:val="5"/>
        <w:spacing w:line="242" w:lineRule="auto"/>
        <w:rPr>
          <w:highlight w:val="none"/>
        </w:rPr>
      </w:pPr>
    </w:p>
    <w:p w14:paraId="709CB0F2">
      <w:pPr>
        <w:spacing w:before="78" w:line="219" w:lineRule="auto"/>
        <w:ind w:left="18"/>
        <w:rPr>
          <w:rFonts w:ascii="宋体" w:hAnsi="宋体" w:eastAsia="宋体" w:cs="宋体"/>
          <w:sz w:val="24"/>
          <w:szCs w:val="24"/>
          <w:highlight w:val="none"/>
          <w:u w:val="single"/>
        </w:rPr>
      </w:pPr>
      <w:bookmarkStart w:id="29" w:name="_GoBack"/>
      <w:r>
        <w:rPr>
          <w:rFonts w:hint="eastAsia" w:ascii="宋体" w:hAnsi="宋体" w:eastAsia="宋体" w:cs="宋体"/>
          <w:b/>
          <w:bCs/>
          <w:spacing w:val="-4"/>
          <w:sz w:val="24"/>
          <w:szCs w:val="24"/>
          <w:highlight w:val="none"/>
          <w:u w:val="single"/>
          <w:lang w:eastAsia="zh-CN"/>
        </w:rPr>
        <w:t>陕西至诚项目管理集团有限公司</w:t>
      </w:r>
      <w:r>
        <w:rPr>
          <w:rFonts w:ascii="宋体" w:hAnsi="宋体" w:eastAsia="宋体" w:cs="宋体"/>
          <w:b/>
          <w:bCs/>
          <w:spacing w:val="-4"/>
          <w:sz w:val="24"/>
          <w:szCs w:val="24"/>
          <w:highlight w:val="none"/>
          <w:u w:val="single"/>
        </w:rPr>
        <w:t>：</w:t>
      </w:r>
    </w:p>
    <w:bookmarkEnd w:id="29"/>
    <w:p w14:paraId="37877B8E">
      <w:pPr>
        <w:spacing w:before="304" w:line="239" w:lineRule="auto"/>
        <w:ind w:left="6" w:right="2" w:firstLine="476"/>
        <w:jc w:val="both"/>
        <w:rPr>
          <w:rFonts w:ascii="宋体" w:hAnsi="宋体" w:eastAsia="宋体" w:cs="宋体"/>
          <w:sz w:val="24"/>
          <w:szCs w:val="24"/>
          <w:highlight w:val="none"/>
        </w:rPr>
      </w:pPr>
      <w:r>
        <w:rPr>
          <w:rFonts w:ascii="宋体" w:hAnsi="宋体" w:eastAsia="宋体" w:cs="宋体"/>
          <w:spacing w:val="2"/>
          <w:sz w:val="24"/>
          <w:szCs w:val="24"/>
          <w:highlight w:val="none"/>
        </w:rPr>
        <w:t>我方已仔细研究了</w:t>
      </w:r>
      <w:r>
        <w:rPr>
          <w:rFonts w:ascii="宋体" w:hAnsi="宋体" w:eastAsia="宋体" w:cs="宋体"/>
          <w:spacing w:val="-112"/>
          <w:sz w:val="24"/>
          <w:szCs w:val="24"/>
          <w:highlight w:val="none"/>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2"/>
          <w:sz w:val="24"/>
          <w:szCs w:val="24"/>
          <w:highlight w:val="none"/>
          <w:u w:val="single" w:color="auto"/>
        </w:rPr>
        <w:t>(</w:t>
      </w:r>
      <w:r>
        <w:rPr>
          <w:rFonts w:ascii="宋体" w:hAnsi="宋体" w:eastAsia="宋体" w:cs="宋体"/>
          <w:spacing w:val="2"/>
          <w:sz w:val="24"/>
          <w:szCs w:val="24"/>
          <w:highlight w:val="none"/>
        </w:rPr>
        <w:t>项目名称)的征集文件（</w:t>
      </w:r>
      <w:r>
        <w:rPr>
          <w:rFonts w:ascii="宋体" w:hAnsi="宋体" w:eastAsia="宋体" w:cs="宋体"/>
          <w:spacing w:val="1"/>
          <w:sz w:val="24"/>
          <w:szCs w:val="24"/>
          <w:highlight w:val="none"/>
        </w:rPr>
        <w:t>项目编</w:t>
      </w:r>
      <w:r>
        <w:rPr>
          <w:rFonts w:ascii="宋体" w:hAnsi="宋体" w:eastAsia="宋体" w:cs="宋体"/>
          <w:spacing w:val="2"/>
          <w:sz w:val="24"/>
          <w:szCs w:val="24"/>
          <w:highlight w:val="none"/>
        </w:rPr>
        <w:t>号：</w:t>
      </w:r>
      <w:r>
        <w:rPr>
          <w:rFonts w:hint="eastAsia" w:ascii="宋体" w:hAnsi="宋体" w:eastAsia="宋体" w:cs="宋体"/>
          <w:sz w:val="24"/>
          <w:szCs w:val="24"/>
          <w:highlight w:val="none"/>
          <w:lang w:eastAsia="zh-CN"/>
        </w:rPr>
        <w:t>SXZCZB2026-ZCGK-0327</w:t>
      </w:r>
      <w:r>
        <w:rPr>
          <w:rFonts w:ascii="宋体" w:hAnsi="宋体" w:eastAsia="宋体" w:cs="宋体"/>
          <w:spacing w:val="2"/>
          <w:sz w:val="24"/>
          <w:szCs w:val="24"/>
          <w:highlight w:val="none"/>
        </w:rPr>
        <w:t>）的全部内容，知悉</w:t>
      </w:r>
      <w:r>
        <w:rPr>
          <w:rFonts w:ascii="宋体" w:hAnsi="宋体" w:eastAsia="宋体" w:cs="宋体"/>
          <w:spacing w:val="1"/>
          <w:sz w:val="24"/>
          <w:szCs w:val="24"/>
          <w:highlight w:val="none"/>
        </w:rPr>
        <w:t>参加投标的风险，我方承诺接受征集文件</w:t>
      </w:r>
      <w:r>
        <w:rPr>
          <w:rFonts w:ascii="宋体" w:hAnsi="宋体" w:eastAsia="宋体" w:cs="宋体"/>
          <w:spacing w:val="-1"/>
          <w:sz w:val="24"/>
          <w:szCs w:val="24"/>
          <w:highlight w:val="none"/>
        </w:rPr>
        <w:t>的全部条款且无任何异议，决定参加贵单位组织的本项目招标。</w:t>
      </w:r>
    </w:p>
    <w:p w14:paraId="214BDF5A">
      <w:pPr>
        <w:spacing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一、我方提交响应文件正本一套和副本</w:t>
      </w:r>
      <w:r>
        <w:rPr>
          <w:rFonts w:ascii="宋体" w:hAnsi="宋体" w:eastAsia="宋体" w:cs="宋体"/>
          <w:spacing w:val="-1"/>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1"/>
          <w:sz w:val="24"/>
          <w:szCs w:val="24"/>
          <w:highlight w:val="none"/>
        </w:rPr>
        <w:t>套，电子</w:t>
      </w:r>
      <w:r>
        <w:rPr>
          <w:rFonts w:ascii="宋体" w:hAnsi="宋体" w:eastAsia="宋体" w:cs="宋体"/>
          <w:spacing w:val="-2"/>
          <w:sz w:val="24"/>
          <w:szCs w:val="24"/>
          <w:highlight w:val="none"/>
        </w:rPr>
        <w:t>文件</w:t>
      </w:r>
      <w:r>
        <w:rPr>
          <w:rFonts w:ascii="宋体" w:hAnsi="宋体" w:eastAsia="宋体" w:cs="宋体"/>
          <w:spacing w:val="-2"/>
          <w:sz w:val="24"/>
          <w:szCs w:val="24"/>
          <w:highlight w:val="none"/>
          <w:u w:val="single" w:color="auto"/>
        </w:rPr>
        <w:t xml:space="preserve">  </w:t>
      </w:r>
      <w:r>
        <w:rPr>
          <w:rFonts w:ascii="宋体" w:hAnsi="宋体" w:eastAsia="宋体" w:cs="宋体"/>
          <w:spacing w:val="-110"/>
          <w:sz w:val="24"/>
          <w:szCs w:val="24"/>
          <w:highlight w:val="none"/>
        </w:rPr>
        <w:t xml:space="preserve"> </w:t>
      </w:r>
      <w:r>
        <w:rPr>
          <w:rFonts w:ascii="宋体" w:hAnsi="宋体" w:eastAsia="宋体" w:cs="宋体"/>
          <w:spacing w:val="-2"/>
          <w:sz w:val="24"/>
          <w:szCs w:val="24"/>
          <w:highlight w:val="none"/>
        </w:rPr>
        <w:t>份。</w:t>
      </w:r>
    </w:p>
    <w:p w14:paraId="19BF98E9">
      <w:pPr>
        <w:spacing w:before="24" w:line="220" w:lineRule="auto"/>
        <w:ind w:left="484"/>
        <w:rPr>
          <w:rFonts w:ascii="宋体" w:hAnsi="宋体" w:eastAsia="宋体" w:cs="宋体"/>
          <w:sz w:val="24"/>
          <w:szCs w:val="24"/>
          <w:highlight w:val="none"/>
        </w:rPr>
      </w:pPr>
      <w:r>
        <w:rPr>
          <w:rFonts w:ascii="宋体" w:hAnsi="宋体" w:eastAsia="宋体" w:cs="宋体"/>
          <w:sz w:val="24"/>
          <w:szCs w:val="24"/>
          <w:highlight w:val="none"/>
        </w:rPr>
        <w:t>二、我方已详细阅读了征集文件，完全理解并</w:t>
      </w:r>
      <w:r>
        <w:rPr>
          <w:rFonts w:ascii="宋体" w:hAnsi="宋体" w:eastAsia="宋体" w:cs="宋体"/>
          <w:spacing w:val="-1"/>
          <w:sz w:val="24"/>
          <w:szCs w:val="24"/>
          <w:highlight w:val="none"/>
        </w:rPr>
        <w:t>同意征集文件的所有事项及内容。</w:t>
      </w:r>
    </w:p>
    <w:p w14:paraId="2DDA0B25">
      <w:pPr>
        <w:spacing w:before="28" w:line="233" w:lineRule="auto"/>
        <w:ind w:firstLine="480"/>
        <w:rPr>
          <w:rFonts w:ascii="宋体" w:hAnsi="宋体" w:eastAsia="宋体" w:cs="宋体"/>
          <w:sz w:val="24"/>
          <w:szCs w:val="24"/>
          <w:highlight w:val="none"/>
        </w:rPr>
      </w:pPr>
      <w:r>
        <w:rPr>
          <w:rFonts w:ascii="宋体" w:hAnsi="宋体" w:eastAsia="宋体" w:cs="宋体"/>
          <w:spacing w:val="2"/>
          <w:sz w:val="24"/>
          <w:szCs w:val="24"/>
          <w:highlight w:val="none"/>
        </w:rPr>
        <w:t>三、我方已悉知并关注了贵方在政府采购信息发布媒体（详见征集文件中的</w:t>
      </w:r>
      <w:r>
        <w:rPr>
          <w:rFonts w:ascii="宋体" w:hAnsi="宋体" w:eastAsia="宋体" w:cs="宋体"/>
          <w:spacing w:val="1"/>
          <w:sz w:val="24"/>
          <w:szCs w:val="24"/>
          <w:highlight w:val="none"/>
        </w:rPr>
        <w:t>“征集文件的修改、澄清</w:t>
      </w:r>
      <w:r>
        <w:rPr>
          <w:rFonts w:ascii="宋体" w:hAnsi="宋体" w:eastAsia="宋体" w:cs="宋体"/>
          <w:spacing w:val="-86"/>
          <w:sz w:val="24"/>
          <w:szCs w:val="24"/>
          <w:highlight w:val="none"/>
        </w:rPr>
        <w:t xml:space="preserve"> </w:t>
      </w:r>
      <w:r>
        <w:rPr>
          <w:rFonts w:ascii="宋体" w:hAnsi="宋体" w:eastAsia="宋体" w:cs="宋体"/>
          <w:spacing w:val="1"/>
          <w:sz w:val="24"/>
          <w:szCs w:val="24"/>
          <w:highlight w:val="none"/>
        </w:rPr>
        <w:t>”）上发布的关于本项目的有关变更公告（包括但不限于</w:t>
      </w:r>
      <w:r>
        <w:rPr>
          <w:rFonts w:ascii="宋体" w:hAnsi="宋体" w:eastAsia="宋体" w:cs="宋体"/>
          <w:sz w:val="24"/>
          <w:szCs w:val="24"/>
          <w:highlight w:val="none"/>
        </w:rPr>
        <w:t>对征集文件做出的修改或澄清、答疑纪要，以及项目暂停、</w:t>
      </w:r>
      <w:r>
        <w:rPr>
          <w:rFonts w:ascii="宋体" w:hAnsi="宋体" w:eastAsia="宋体" w:cs="宋体"/>
          <w:spacing w:val="-1"/>
          <w:sz w:val="24"/>
          <w:szCs w:val="24"/>
          <w:highlight w:val="none"/>
        </w:rPr>
        <w:t>重启、延期、终止等）。</w:t>
      </w:r>
    </w:p>
    <w:p w14:paraId="4CDC7786">
      <w:pPr>
        <w:spacing w:before="22" w:line="234" w:lineRule="auto"/>
        <w:ind w:left="3" w:firstLine="499"/>
        <w:rPr>
          <w:rFonts w:ascii="宋体" w:hAnsi="宋体" w:eastAsia="宋体" w:cs="宋体"/>
          <w:sz w:val="24"/>
          <w:szCs w:val="24"/>
          <w:highlight w:val="none"/>
        </w:rPr>
      </w:pPr>
      <w:r>
        <w:rPr>
          <w:rFonts w:ascii="宋体" w:hAnsi="宋体" w:eastAsia="宋体" w:cs="宋体"/>
          <w:spacing w:val="1"/>
          <w:sz w:val="24"/>
          <w:szCs w:val="24"/>
          <w:highlight w:val="none"/>
        </w:rPr>
        <w:t>四、我方同意向贵方提供与本征集有关的任何证明材料，保证所提交的证明材料</w:t>
      </w:r>
      <w:r>
        <w:rPr>
          <w:rFonts w:ascii="宋体" w:hAnsi="宋体" w:eastAsia="宋体" w:cs="宋体"/>
          <w:spacing w:val="2"/>
          <w:sz w:val="24"/>
          <w:szCs w:val="24"/>
          <w:highlight w:val="none"/>
        </w:rPr>
        <w:t>真实、合法、有效。</w:t>
      </w:r>
    </w:p>
    <w:p w14:paraId="5893284B">
      <w:pPr>
        <w:spacing w:before="22" w:line="220"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五、我方承诺在征集文件规定的响应文件有效期内不撤销响应文件。</w:t>
      </w:r>
    </w:p>
    <w:p w14:paraId="1A8744BC">
      <w:pPr>
        <w:spacing w:before="27" w:line="229" w:lineRule="auto"/>
        <w:ind w:firstLine="481"/>
        <w:rPr>
          <w:rFonts w:ascii="宋体" w:hAnsi="宋体" w:eastAsia="宋体" w:cs="宋体"/>
          <w:sz w:val="24"/>
          <w:szCs w:val="24"/>
          <w:highlight w:val="none"/>
        </w:rPr>
      </w:pPr>
      <w:r>
        <w:rPr>
          <w:rFonts w:ascii="宋体" w:hAnsi="宋体" w:eastAsia="宋体" w:cs="宋体"/>
          <w:spacing w:val="2"/>
          <w:sz w:val="24"/>
          <w:szCs w:val="24"/>
          <w:highlight w:val="none"/>
        </w:rPr>
        <w:t>六、我方承诺遵守《中华人民共和国政府采购法》及其实施条例的有关</w:t>
      </w:r>
      <w:r>
        <w:rPr>
          <w:rFonts w:ascii="宋体" w:hAnsi="宋体" w:eastAsia="宋体" w:cs="宋体"/>
          <w:spacing w:val="1"/>
          <w:sz w:val="24"/>
          <w:szCs w:val="24"/>
          <w:highlight w:val="none"/>
        </w:rPr>
        <w:t>规定，保</w:t>
      </w:r>
      <w:r>
        <w:rPr>
          <w:rFonts w:ascii="宋体" w:hAnsi="宋体" w:eastAsia="宋体" w:cs="宋体"/>
          <w:spacing w:val="-1"/>
          <w:sz w:val="24"/>
          <w:szCs w:val="24"/>
          <w:highlight w:val="none"/>
        </w:rPr>
        <w:t>证在获得中标资格后：</w:t>
      </w:r>
    </w:p>
    <w:p w14:paraId="78349C83">
      <w:pPr>
        <w:spacing w:before="26"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（1）在收到入围通知书后，在入围通知书规定的期限内与征集人签订合同；</w:t>
      </w:r>
    </w:p>
    <w:p w14:paraId="142E883F">
      <w:pPr>
        <w:spacing w:before="27"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（2）在签订合同时，不向征集人提出附加条件；</w:t>
      </w:r>
    </w:p>
    <w:p w14:paraId="08133029">
      <w:pPr>
        <w:spacing w:before="27" w:line="220"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（3）按照征集文件规定和标准向贵方交纳招标代理服务费；</w:t>
      </w:r>
    </w:p>
    <w:p w14:paraId="27A1F05B">
      <w:pPr>
        <w:spacing w:before="24" w:line="220"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（4）在合同约定的服务期限内完成合同规定的全部义务。</w:t>
      </w:r>
    </w:p>
    <w:p w14:paraId="55761495">
      <w:pPr>
        <w:spacing w:before="26" w:line="220" w:lineRule="auto"/>
        <w:ind w:left="480"/>
        <w:rPr>
          <w:rFonts w:ascii="宋体" w:hAnsi="宋体" w:eastAsia="宋体" w:cs="宋体"/>
          <w:sz w:val="24"/>
          <w:szCs w:val="24"/>
          <w:highlight w:val="none"/>
        </w:rPr>
      </w:pPr>
      <w:r>
        <w:rPr>
          <w:rFonts w:ascii="宋体" w:hAnsi="宋体" w:eastAsia="宋体" w:cs="宋体"/>
          <w:sz w:val="24"/>
          <w:szCs w:val="24"/>
          <w:highlight w:val="none"/>
        </w:rPr>
        <w:t>七、我方完全理解并同意征集文件中有关不退还申请保证</w:t>
      </w:r>
      <w:r>
        <w:rPr>
          <w:rFonts w:ascii="宋体" w:hAnsi="宋体" w:eastAsia="宋体" w:cs="宋体"/>
          <w:spacing w:val="-1"/>
          <w:sz w:val="24"/>
          <w:szCs w:val="24"/>
          <w:highlight w:val="none"/>
        </w:rPr>
        <w:t>金条款所规定的情形。</w:t>
      </w:r>
    </w:p>
    <w:p w14:paraId="660E511C">
      <w:pPr>
        <w:spacing w:before="27" w:line="229" w:lineRule="auto"/>
        <w:ind w:left="1" w:firstLine="482"/>
        <w:rPr>
          <w:rFonts w:ascii="宋体" w:hAnsi="宋体" w:eastAsia="宋体" w:cs="宋体"/>
          <w:sz w:val="24"/>
          <w:szCs w:val="24"/>
          <w:highlight w:val="none"/>
        </w:rPr>
      </w:pPr>
      <w:r>
        <w:rPr>
          <w:rFonts w:ascii="宋体" w:hAnsi="宋体" w:eastAsia="宋体" w:cs="宋体"/>
          <w:spacing w:val="2"/>
          <w:sz w:val="24"/>
          <w:szCs w:val="24"/>
          <w:highlight w:val="none"/>
        </w:rPr>
        <w:t>八、我方完全理解最低报价不是中标的唯一条件，并尊重评标委员</w:t>
      </w:r>
      <w:r>
        <w:rPr>
          <w:rFonts w:ascii="宋体" w:hAnsi="宋体" w:eastAsia="宋体" w:cs="宋体"/>
          <w:spacing w:val="1"/>
          <w:sz w:val="24"/>
          <w:szCs w:val="24"/>
          <w:highlight w:val="none"/>
        </w:rPr>
        <w:t>会的评审结论</w:t>
      </w:r>
      <w:r>
        <w:rPr>
          <w:rFonts w:ascii="宋体" w:hAnsi="宋体" w:eastAsia="宋体" w:cs="宋体"/>
          <w:spacing w:val="-2"/>
          <w:sz w:val="24"/>
          <w:szCs w:val="24"/>
          <w:highlight w:val="none"/>
        </w:rPr>
        <w:t>和中标结果。</w:t>
      </w:r>
    </w:p>
    <w:p w14:paraId="34927902">
      <w:pPr>
        <w:spacing w:before="25" w:line="233" w:lineRule="auto"/>
        <w:ind w:right="2" w:firstLine="486"/>
        <w:rPr>
          <w:rFonts w:ascii="宋体" w:hAnsi="宋体" w:eastAsia="宋体" w:cs="宋体"/>
          <w:sz w:val="24"/>
          <w:szCs w:val="24"/>
          <w:highlight w:val="none"/>
        </w:rPr>
      </w:pPr>
      <w:r>
        <w:rPr>
          <w:rFonts w:ascii="宋体" w:hAnsi="宋体" w:eastAsia="宋体" w:cs="宋体"/>
          <w:spacing w:val="2"/>
          <w:sz w:val="24"/>
          <w:szCs w:val="24"/>
          <w:highlight w:val="none"/>
        </w:rPr>
        <w:t>九、我方在此声明，所递交的响应文件及有关资料内容完</w:t>
      </w:r>
      <w:r>
        <w:rPr>
          <w:rFonts w:ascii="宋体" w:hAnsi="宋体" w:eastAsia="宋体" w:cs="宋体"/>
          <w:spacing w:val="1"/>
          <w:sz w:val="24"/>
          <w:szCs w:val="24"/>
          <w:highlight w:val="none"/>
        </w:rPr>
        <w:t>整、真实和准确，且不</w:t>
      </w:r>
      <w:r>
        <w:rPr>
          <w:rFonts w:ascii="宋体" w:hAnsi="宋体" w:eastAsia="宋体" w:cs="宋体"/>
          <w:spacing w:val="5"/>
          <w:sz w:val="24"/>
          <w:szCs w:val="24"/>
          <w:highlight w:val="none"/>
        </w:rPr>
        <w:t>存在第二章“供应商须知</w:t>
      </w:r>
      <w:r>
        <w:rPr>
          <w:rFonts w:ascii="宋体" w:hAnsi="宋体" w:eastAsia="宋体" w:cs="宋体"/>
          <w:spacing w:val="-61"/>
          <w:sz w:val="24"/>
          <w:szCs w:val="24"/>
          <w:highlight w:val="none"/>
        </w:rPr>
        <w:t xml:space="preserve"> </w:t>
      </w:r>
      <w:r>
        <w:rPr>
          <w:rFonts w:ascii="宋体" w:hAnsi="宋体" w:eastAsia="宋体" w:cs="宋体"/>
          <w:spacing w:val="5"/>
          <w:sz w:val="24"/>
          <w:szCs w:val="24"/>
          <w:highlight w:val="none"/>
        </w:rPr>
        <w:t>”总则第</w:t>
      </w:r>
      <w:r>
        <w:rPr>
          <w:rFonts w:ascii="宋体" w:hAnsi="宋体" w:eastAsia="宋体" w:cs="宋体"/>
          <w:spacing w:val="-21"/>
          <w:sz w:val="24"/>
          <w:szCs w:val="24"/>
          <w:highlight w:val="none"/>
        </w:rPr>
        <w:t xml:space="preserve"> </w:t>
      </w:r>
      <w:r>
        <w:rPr>
          <w:rFonts w:ascii="宋体" w:hAnsi="宋体" w:eastAsia="宋体" w:cs="宋体"/>
          <w:spacing w:val="5"/>
          <w:sz w:val="24"/>
          <w:szCs w:val="24"/>
          <w:highlight w:val="none"/>
        </w:rPr>
        <w:t>1.3.2</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条款规定的任何一种情形。否则，愿承担</w:t>
      </w:r>
      <w:r>
        <w:rPr>
          <w:rFonts w:ascii="宋体" w:hAnsi="宋体" w:eastAsia="宋体" w:cs="宋体"/>
          <w:spacing w:val="-1"/>
          <w:sz w:val="24"/>
          <w:szCs w:val="24"/>
          <w:highlight w:val="none"/>
        </w:rPr>
        <w:t>《中华人民共和国政府采购法》第七十七条规定的法律责任。</w:t>
      </w:r>
    </w:p>
    <w:p w14:paraId="505A4D47">
      <w:pPr>
        <w:spacing w:before="25" w:line="220" w:lineRule="auto"/>
        <w:ind w:left="481"/>
        <w:rPr>
          <w:rFonts w:ascii="宋体" w:hAnsi="宋体" w:eastAsia="宋体" w:cs="宋体"/>
          <w:sz w:val="24"/>
          <w:szCs w:val="24"/>
          <w:highlight w:val="none"/>
        </w:rPr>
      </w:pPr>
      <w:r>
        <w:rPr>
          <w:rFonts w:ascii="宋体" w:hAnsi="宋体" w:eastAsia="宋体" w:cs="宋体"/>
          <w:sz w:val="24"/>
          <w:szCs w:val="24"/>
          <w:highlight w:val="none"/>
        </w:rPr>
        <w:t>十、</w:t>
      </w:r>
      <w:r>
        <w:rPr>
          <w:rFonts w:ascii="宋体" w:hAnsi="宋体" w:eastAsia="宋体" w:cs="宋体"/>
          <w:sz w:val="24"/>
          <w:szCs w:val="24"/>
          <w:highlight w:val="none"/>
          <w:u w:val="single" w:color="auto"/>
        </w:rPr>
        <w:t xml:space="preserve">                           </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（其他补充说明）。</w:t>
      </w:r>
    </w:p>
    <w:p w14:paraId="1227CFDA">
      <w:pPr>
        <w:spacing w:before="26"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十一、有关本项目的所有函电，请按下列地址联系：</w:t>
      </w:r>
    </w:p>
    <w:p w14:paraId="180C6942">
      <w:pPr>
        <w:pStyle w:val="5"/>
        <w:spacing w:line="257" w:lineRule="auto"/>
        <w:rPr>
          <w:highlight w:val="none"/>
        </w:rPr>
      </w:pPr>
    </w:p>
    <w:p w14:paraId="19203BD4">
      <w:pPr>
        <w:spacing w:before="78" w:line="219" w:lineRule="auto"/>
        <w:ind w:left="480"/>
        <w:rPr>
          <w:rFonts w:ascii="宋体" w:hAnsi="宋体" w:eastAsia="宋体" w:cs="宋体"/>
          <w:sz w:val="24"/>
          <w:szCs w:val="24"/>
          <w:highlight w:val="none"/>
        </w:rPr>
      </w:pPr>
      <w:r>
        <w:rPr>
          <w:rFonts w:hint="eastAsia" w:ascii="宋体" w:hAnsi="宋体" w:eastAsia="宋体" w:cs="宋体"/>
          <w:spacing w:val="-18"/>
          <w:sz w:val="24"/>
          <w:szCs w:val="24"/>
          <w:highlight w:val="none"/>
        </w:rPr>
        <w:t>投标人名称</w:t>
      </w:r>
      <w:r>
        <w:rPr>
          <w:rFonts w:ascii="宋体" w:hAnsi="宋体" w:eastAsia="宋体" w:cs="宋体"/>
          <w:spacing w:val="-18"/>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8"/>
          <w:sz w:val="24"/>
          <w:szCs w:val="24"/>
          <w:highlight w:val="none"/>
        </w:rPr>
        <w:t>（</w:t>
      </w:r>
      <w:r>
        <w:rPr>
          <w:rFonts w:ascii="宋体" w:hAnsi="宋体" w:eastAsia="宋体" w:cs="宋体"/>
          <w:spacing w:val="3"/>
          <w:sz w:val="24"/>
          <w:szCs w:val="24"/>
          <w:highlight w:val="none"/>
        </w:rPr>
        <w:t>盖单位章）</w:t>
      </w:r>
    </w:p>
    <w:p w14:paraId="78DFA1F1">
      <w:pPr>
        <w:spacing w:before="27" w:line="220" w:lineRule="auto"/>
        <w:ind w:left="481"/>
        <w:rPr>
          <w:rFonts w:ascii="宋体" w:hAnsi="宋体" w:eastAsia="宋体" w:cs="宋体"/>
          <w:sz w:val="24"/>
          <w:szCs w:val="24"/>
          <w:highlight w:val="none"/>
        </w:rPr>
      </w:pPr>
      <w:r>
        <w:rPr>
          <w:rFonts w:ascii="宋体" w:hAnsi="宋体" w:eastAsia="宋体" w:cs="宋体"/>
          <w:spacing w:val="3"/>
          <w:sz w:val="24"/>
          <w:szCs w:val="24"/>
          <w:highlight w:val="none"/>
        </w:rPr>
        <w:t>法定代表人</w:t>
      </w:r>
      <w:r>
        <w:rPr>
          <w:rFonts w:ascii="宋体" w:hAnsi="宋体" w:eastAsia="宋体" w:cs="宋体"/>
          <w:spacing w:val="-18"/>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8"/>
          <w:sz w:val="24"/>
          <w:szCs w:val="24"/>
          <w:highlight w:val="none"/>
        </w:rPr>
        <w:t>（</w:t>
      </w:r>
      <w:r>
        <w:rPr>
          <w:rFonts w:ascii="宋体" w:hAnsi="宋体" w:eastAsia="宋体" w:cs="宋体"/>
          <w:spacing w:val="3"/>
          <w:sz w:val="24"/>
          <w:szCs w:val="24"/>
          <w:highlight w:val="none"/>
        </w:rPr>
        <w:t>签名）</w:t>
      </w:r>
    </w:p>
    <w:p w14:paraId="1F5493C5">
      <w:pPr>
        <w:spacing w:before="24" w:line="220" w:lineRule="auto"/>
        <w:ind w:left="480"/>
        <w:rPr>
          <w:rFonts w:ascii="宋体" w:hAnsi="宋体" w:eastAsia="宋体" w:cs="宋体"/>
          <w:sz w:val="24"/>
          <w:szCs w:val="24"/>
          <w:highlight w:val="none"/>
        </w:rPr>
      </w:pPr>
      <w:r>
        <w:rPr>
          <w:rFonts w:ascii="宋体" w:hAnsi="宋体" w:eastAsia="宋体" w:cs="宋体"/>
          <w:spacing w:val="-5"/>
          <w:sz w:val="24"/>
          <w:szCs w:val="24"/>
          <w:highlight w:val="none"/>
        </w:rPr>
        <w:t>通讯地址：</w:t>
      </w:r>
      <w:r>
        <w:rPr>
          <w:rFonts w:ascii="宋体" w:hAnsi="宋体" w:eastAsia="宋体" w:cs="宋体"/>
          <w:spacing w:val="1"/>
          <w:sz w:val="24"/>
          <w:szCs w:val="24"/>
          <w:highlight w:val="none"/>
        </w:rPr>
        <w:t xml:space="preserve">                        </w:t>
      </w:r>
      <w:r>
        <w:rPr>
          <w:rFonts w:ascii="宋体" w:hAnsi="宋体" w:eastAsia="宋体" w:cs="宋体"/>
          <w:spacing w:val="-5"/>
          <w:sz w:val="24"/>
          <w:szCs w:val="24"/>
          <w:highlight w:val="none"/>
        </w:rPr>
        <w:t>电子邮件：</w:t>
      </w:r>
    </w:p>
    <w:p w14:paraId="458C24D4">
      <w:pPr>
        <w:spacing w:before="26" w:line="220" w:lineRule="auto"/>
        <w:ind w:left="481"/>
        <w:rPr>
          <w:rFonts w:ascii="宋体" w:hAnsi="宋体" w:eastAsia="宋体" w:cs="宋体"/>
          <w:sz w:val="24"/>
          <w:szCs w:val="24"/>
          <w:highlight w:val="none"/>
        </w:rPr>
      </w:pPr>
      <w:r>
        <w:rPr>
          <w:rFonts w:ascii="宋体" w:hAnsi="宋体" w:eastAsia="宋体" w:cs="宋体"/>
          <w:spacing w:val="-4"/>
          <w:sz w:val="24"/>
          <w:szCs w:val="24"/>
          <w:highlight w:val="none"/>
        </w:rPr>
        <w:t>联系电话：</w:t>
      </w:r>
      <w:r>
        <w:rPr>
          <w:rFonts w:ascii="宋体" w:hAnsi="宋体" w:eastAsia="宋体" w:cs="宋体"/>
          <w:spacing w:val="1"/>
          <w:sz w:val="24"/>
          <w:szCs w:val="24"/>
          <w:highlight w:val="none"/>
        </w:rPr>
        <w:t xml:space="preserve">                        </w:t>
      </w:r>
      <w:r>
        <w:rPr>
          <w:rFonts w:ascii="宋体" w:hAnsi="宋体" w:eastAsia="宋体" w:cs="宋体"/>
          <w:spacing w:val="-4"/>
          <w:sz w:val="24"/>
          <w:szCs w:val="24"/>
          <w:highlight w:val="none"/>
        </w:rPr>
        <w:t>邮政编码：</w:t>
      </w:r>
    </w:p>
    <w:p w14:paraId="14BD060F">
      <w:pPr>
        <w:spacing w:before="26" w:line="219" w:lineRule="auto"/>
        <w:ind w:left="479"/>
        <w:rPr>
          <w:rFonts w:ascii="宋体" w:hAnsi="宋体" w:eastAsia="宋体" w:cs="宋体"/>
          <w:sz w:val="24"/>
          <w:szCs w:val="24"/>
          <w:highlight w:val="none"/>
        </w:rPr>
      </w:pPr>
      <w:r>
        <w:rPr>
          <w:rFonts w:ascii="宋体" w:hAnsi="宋体" w:eastAsia="宋体" w:cs="宋体"/>
          <w:spacing w:val="-7"/>
          <w:sz w:val="24"/>
          <w:szCs w:val="24"/>
          <w:highlight w:val="none"/>
        </w:rPr>
        <w:t>传</w:t>
      </w:r>
      <w:r>
        <w:rPr>
          <w:rFonts w:ascii="宋体" w:hAnsi="宋体" w:eastAsia="宋体" w:cs="宋体"/>
          <w:spacing w:val="3"/>
          <w:sz w:val="24"/>
          <w:szCs w:val="24"/>
          <w:highlight w:val="none"/>
        </w:rPr>
        <w:t xml:space="preserve">    </w:t>
      </w:r>
      <w:r>
        <w:rPr>
          <w:rFonts w:ascii="宋体" w:hAnsi="宋体" w:eastAsia="宋体" w:cs="宋体"/>
          <w:spacing w:val="-7"/>
          <w:sz w:val="24"/>
          <w:szCs w:val="24"/>
          <w:highlight w:val="none"/>
        </w:rPr>
        <w:t>真：</w:t>
      </w:r>
    </w:p>
    <w:p w14:paraId="45EEB9A9">
      <w:pPr>
        <w:spacing w:before="27" w:line="221" w:lineRule="auto"/>
        <w:ind w:left="481"/>
        <w:rPr>
          <w:rFonts w:ascii="宋体" w:hAnsi="宋体" w:eastAsia="宋体" w:cs="宋体"/>
          <w:sz w:val="24"/>
          <w:szCs w:val="24"/>
          <w:highlight w:val="none"/>
        </w:rPr>
      </w:pPr>
      <w:r>
        <w:rPr>
          <w:rFonts w:ascii="宋体" w:hAnsi="宋体" w:eastAsia="宋体" w:cs="宋体"/>
          <w:spacing w:val="-6"/>
          <w:sz w:val="24"/>
          <w:szCs w:val="24"/>
          <w:highlight w:val="none"/>
        </w:rPr>
        <w:t>开户银行:</w:t>
      </w:r>
      <w:r>
        <w:rPr>
          <w:rFonts w:ascii="宋体" w:hAnsi="宋体" w:eastAsia="宋体" w:cs="宋体"/>
          <w:spacing w:val="1"/>
          <w:sz w:val="24"/>
          <w:szCs w:val="24"/>
          <w:highlight w:val="none"/>
        </w:rPr>
        <w:t xml:space="preserve">                    </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帐</w:t>
      </w:r>
      <w:r>
        <w:rPr>
          <w:rFonts w:ascii="宋体" w:hAnsi="宋体" w:eastAsia="宋体" w:cs="宋体"/>
          <w:spacing w:val="4"/>
          <w:sz w:val="24"/>
          <w:szCs w:val="24"/>
          <w:highlight w:val="none"/>
        </w:rPr>
        <w:t xml:space="preserve">    </w:t>
      </w:r>
      <w:r>
        <w:rPr>
          <w:rFonts w:ascii="宋体" w:hAnsi="宋体" w:eastAsia="宋体" w:cs="宋体"/>
          <w:spacing w:val="-6"/>
          <w:sz w:val="24"/>
          <w:szCs w:val="24"/>
          <w:highlight w:val="none"/>
        </w:rPr>
        <w:t>号：</w:t>
      </w:r>
    </w:p>
    <w:p w14:paraId="720AE97D">
      <w:pPr>
        <w:spacing w:before="22" w:line="221" w:lineRule="auto"/>
        <w:ind w:left="522"/>
        <w:rPr>
          <w:rFonts w:ascii="宋体" w:hAnsi="宋体" w:eastAsia="宋体" w:cs="宋体"/>
          <w:sz w:val="24"/>
          <w:szCs w:val="24"/>
          <w:highlight w:val="none"/>
        </w:rPr>
      </w:pPr>
      <w:r>
        <w:rPr>
          <w:rFonts w:ascii="宋体" w:hAnsi="宋体" w:eastAsia="宋体" w:cs="宋体"/>
          <w:spacing w:val="-21"/>
          <w:sz w:val="24"/>
          <w:szCs w:val="24"/>
          <w:highlight w:val="none"/>
        </w:rPr>
        <w:t>日</w:t>
      </w:r>
      <w:r>
        <w:rPr>
          <w:rFonts w:ascii="宋体" w:hAnsi="宋体" w:eastAsia="宋体" w:cs="宋体"/>
          <w:spacing w:val="3"/>
          <w:sz w:val="24"/>
          <w:szCs w:val="24"/>
          <w:highlight w:val="none"/>
        </w:rPr>
        <w:t xml:space="preserve">    </w:t>
      </w:r>
      <w:r>
        <w:rPr>
          <w:rFonts w:ascii="宋体" w:hAnsi="宋体" w:eastAsia="宋体" w:cs="宋体"/>
          <w:spacing w:val="-21"/>
          <w:sz w:val="24"/>
          <w:szCs w:val="24"/>
          <w:highlight w:val="none"/>
        </w:rPr>
        <w:t>期：</w:t>
      </w:r>
    </w:p>
    <w:p w14:paraId="0F3BD91A">
      <w:pPr>
        <w:spacing w:line="221" w:lineRule="auto"/>
        <w:rPr>
          <w:rFonts w:ascii="宋体" w:hAnsi="宋体" w:eastAsia="宋体" w:cs="宋体"/>
          <w:sz w:val="24"/>
          <w:szCs w:val="24"/>
          <w:highlight w:val="none"/>
        </w:rPr>
        <w:sectPr>
          <w:footerReference r:id="rId23" w:type="default"/>
          <w:pgSz w:w="11907" w:h="16840"/>
          <w:pgMar w:top="1431" w:right="1474" w:bottom="1199" w:left="1481" w:header="0" w:footer="984" w:gutter="0"/>
          <w:pgNumType w:fmt="decimal"/>
          <w:cols w:space="720" w:num="1"/>
        </w:sectPr>
      </w:pPr>
    </w:p>
    <w:p w14:paraId="5F5E2EBD">
      <w:pPr>
        <w:pStyle w:val="5"/>
        <w:spacing w:line="257" w:lineRule="auto"/>
        <w:rPr>
          <w:highlight w:val="none"/>
        </w:rPr>
      </w:pPr>
    </w:p>
    <w:p w14:paraId="015EF458">
      <w:pPr>
        <w:spacing w:before="113" w:line="226" w:lineRule="auto"/>
        <w:ind w:left="3849"/>
        <w:rPr>
          <w:rFonts w:ascii="宋体" w:hAnsi="宋体" w:eastAsia="宋体" w:cs="宋体"/>
          <w:sz w:val="35"/>
          <w:szCs w:val="35"/>
          <w:highlight w:val="none"/>
        </w:rPr>
      </w:pPr>
      <w:r>
        <w:rPr>
          <w:rFonts w:ascii="宋体" w:hAnsi="宋体" w:eastAsia="宋体" w:cs="宋体"/>
          <w:b/>
          <w:bCs/>
          <w:spacing w:val="4"/>
          <w:sz w:val="35"/>
          <w:szCs w:val="35"/>
          <w:highlight w:val="none"/>
        </w:rPr>
        <w:t>二、开标一览表</w:t>
      </w:r>
    </w:p>
    <w:p w14:paraId="5DB7FB83">
      <w:pPr>
        <w:pStyle w:val="5"/>
        <w:spacing w:line="419" w:lineRule="auto"/>
        <w:rPr>
          <w:highlight w:val="none"/>
        </w:rPr>
      </w:pPr>
    </w:p>
    <w:p w14:paraId="7B758CD4">
      <w:pPr>
        <w:spacing w:before="78" w:line="219" w:lineRule="auto"/>
        <w:ind w:left="384"/>
        <w:outlineLvl w:val="1"/>
        <w:rPr>
          <w:rFonts w:ascii="宋体" w:hAnsi="宋体" w:eastAsia="宋体" w:cs="宋体"/>
          <w:sz w:val="24"/>
          <w:szCs w:val="24"/>
          <w:highlight w:val="none"/>
        </w:rPr>
      </w:pPr>
      <w:r>
        <w:rPr>
          <w:rFonts w:ascii="宋体" w:hAnsi="宋体" w:eastAsia="宋体" w:cs="宋体"/>
          <w:spacing w:val="-2"/>
          <w:sz w:val="24"/>
          <w:szCs w:val="24"/>
          <w:highlight w:val="none"/>
        </w:rPr>
        <w:t>项目编号：</w:t>
      </w:r>
    </w:p>
    <w:tbl>
      <w:tblPr>
        <w:tblStyle w:val="15"/>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78"/>
        <w:gridCol w:w="2801"/>
        <w:gridCol w:w="2099"/>
        <w:gridCol w:w="1385"/>
      </w:tblGrid>
      <w:tr w14:paraId="3F3A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0" w:type="auto"/>
            <w:vAlign w:val="center"/>
          </w:tcPr>
          <w:p w14:paraId="68DDD434">
            <w:pPr>
              <w:pStyle w:val="16"/>
              <w:snapToGrid w:val="0"/>
              <w:spacing w:before="78" w:line="240" w:lineRule="auto"/>
              <w:ind w:left="0" w:leftChars="0" w:right="0" w:rightChars="0" w:firstLine="0" w:firstLineChars="0"/>
              <w:jc w:val="center"/>
              <w:rPr>
                <w:b/>
                <w:highlight w:val="none"/>
              </w:rPr>
            </w:pPr>
            <w:r>
              <w:rPr>
                <w:b/>
                <w:bCs/>
                <w:spacing w:val="-6"/>
                <w:highlight w:val="none"/>
              </w:rPr>
              <w:t>项目名称</w:t>
            </w:r>
          </w:p>
        </w:tc>
        <w:tc>
          <w:tcPr>
            <w:tcW w:w="0" w:type="auto"/>
            <w:vAlign w:val="center"/>
          </w:tcPr>
          <w:p w14:paraId="2D5BD627">
            <w:pPr>
              <w:pStyle w:val="16"/>
              <w:snapToGrid w:val="0"/>
              <w:spacing w:before="117" w:line="240" w:lineRule="auto"/>
              <w:ind w:left="0" w:leftChars="0" w:right="0" w:rightChars="0" w:firstLine="0" w:firstLineChars="0"/>
              <w:jc w:val="center"/>
              <w:rPr>
                <w:rFonts w:hint="default" w:eastAsia="宋体"/>
                <w:b/>
                <w:highlight w:val="none"/>
                <w:lang w:val="en-US" w:eastAsia="zh-CN"/>
              </w:rPr>
            </w:pPr>
            <w:r>
              <w:rPr>
                <w:rFonts w:hint="eastAsia"/>
                <w:b/>
                <w:bCs/>
                <w:spacing w:val="-4"/>
                <w:highlight w:val="none"/>
                <w:lang w:val="en-US" w:eastAsia="zh-CN"/>
              </w:rPr>
              <w:t>折扣</w:t>
            </w:r>
            <w:r>
              <w:rPr>
                <w:b/>
                <w:bCs/>
                <w:spacing w:val="-4"/>
                <w:highlight w:val="none"/>
              </w:rPr>
              <w:t>报价</w:t>
            </w:r>
          </w:p>
        </w:tc>
        <w:tc>
          <w:tcPr>
            <w:tcW w:w="0" w:type="auto"/>
            <w:vAlign w:val="center"/>
          </w:tcPr>
          <w:p w14:paraId="3DC65FE9">
            <w:pPr>
              <w:pStyle w:val="16"/>
              <w:snapToGrid w:val="0"/>
              <w:spacing w:before="78" w:line="240" w:lineRule="auto"/>
              <w:ind w:left="0" w:leftChars="0" w:right="0" w:rightChars="0" w:firstLine="0" w:firstLineChars="0"/>
              <w:jc w:val="center"/>
              <w:rPr>
                <w:b/>
                <w:highlight w:val="none"/>
              </w:rPr>
            </w:pPr>
            <w:r>
              <w:rPr>
                <w:b/>
                <w:bCs/>
                <w:spacing w:val="-5"/>
                <w:highlight w:val="none"/>
              </w:rPr>
              <w:t>服务期</w:t>
            </w:r>
          </w:p>
        </w:tc>
        <w:tc>
          <w:tcPr>
            <w:tcW w:w="1385" w:type="dxa"/>
            <w:vAlign w:val="center"/>
          </w:tcPr>
          <w:p w14:paraId="4A910F1D">
            <w:pPr>
              <w:pStyle w:val="16"/>
              <w:snapToGrid w:val="0"/>
              <w:spacing w:before="78" w:line="240" w:lineRule="auto"/>
              <w:ind w:left="0" w:leftChars="0" w:right="0" w:rightChars="0" w:firstLine="0" w:firstLineChars="0"/>
              <w:jc w:val="center"/>
              <w:rPr>
                <w:b/>
                <w:bCs/>
                <w:spacing w:val="-9"/>
                <w:highlight w:val="none"/>
              </w:rPr>
            </w:pPr>
            <w:r>
              <w:rPr>
                <w:b/>
                <w:bCs/>
                <w:spacing w:val="-9"/>
                <w:highlight w:val="none"/>
              </w:rPr>
              <w:t>备注</w:t>
            </w:r>
          </w:p>
        </w:tc>
      </w:tr>
      <w:tr w14:paraId="4C30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78" w:type="dxa"/>
            <w:vAlign w:val="center"/>
          </w:tcPr>
          <w:p w14:paraId="56D39AD8">
            <w:pPr>
              <w:snapToGrid w:val="0"/>
              <w:ind w:left="0" w:leftChars="0" w:right="0" w:rightChars="0" w:firstLine="0" w:firstLineChars="0"/>
              <w:jc w:val="center"/>
              <w:rPr>
                <w:rFonts w:ascii="微软雅黑" w:eastAsia="微软雅黑"/>
                <w:sz w:val="24"/>
                <w:highlight w:val="none"/>
              </w:rPr>
            </w:pPr>
          </w:p>
        </w:tc>
        <w:tc>
          <w:tcPr>
            <w:tcW w:w="2801" w:type="dxa"/>
            <w:vAlign w:val="center"/>
          </w:tcPr>
          <w:p w14:paraId="061F4C47">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240" w:lineRule="auto"/>
              <w:ind w:left="0" w:leftChars="0" w:right="0" w:rightChars="0" w:firstLine="0" w:firstLineChars="0"/>
              <w:jc w:val="center"/>
              <w:textAlignment w:val="baseline"/>
              <w:rPr>
                <w:rFonts w:ascii="微软雅黑" w:eastAsia="微软雅黑"/>
                <w:sz w:val="24"/>
                <w:highlight w:val="none"/>
              </w:rPr>
            </w:pPr>
            <w:r>
              <w:rPr>
                <w:rFonts w:hint="eastAsia" w:ascii="微软雅黑" w:hAnsi="微软雅黑" w:eastAsia="微软雅黑" w:cs="微软雅黑"/>
                <w:i w:val="0"/>
                <w:iCs w:val="0"/>
                <w:caps w:val="0"/>
                <w:color w:val="000000"/>
                <w:spacing w:val="0"/>
                <w:sz w:val="24"/>
                <w:szCs w:val="24"/>
                <w:highlight w:val="none"/>
                <w:u w:val="single"/>
                <w:shd w:val="clear" w:fill="FFFFFF"/>
                <w:vertAlign w:val="baseline"/>
                <w:lang w:val="en-US" w:eastAsia="zh-CN"/>
              </w:rPr>
              <w:t xml:space="preserve">          </w:t>
            </w:r>
            <w:r>
              <w:rPr>
                <w:rFonts w:hint="eastAsia" w:ascii="微软雅黑" w:hAnsi="微软雅黑" w:eastAsia="微软雅黑" w:cs="微软雅黑"/>
                <w:i w:val="0"/>
                <w:iCs w:val="0"/>
                <w:caps w:val="0"/>
                <w:color w:val="000000"/>
                <w:spacing w:val="0"/>
                <w:sz w:val="24"/>
                <w:szCs w:val="24"/>
                <w:highlight w:val="none"/>
                <w:u w:val="none"/>
                <w:shd w:val="clear" w:fill="FFFFFF"/>
                <w:vertAlign w:val="baseline"/>
                <w:lang w:val="en-US" w:eastAsia="zh-CN"/>
              </w:rPr>
              <w:t xml:space="preserve"> </w:t>
            </w:r>
            <w:r>
              <w:rPr>
                <w:rFonts w:hint="eastAsia" w:ascii="微软雅黑" w:eastAsia="微软雅黑" w:hAnsiTheme="minorEastAsia" w:cstheme="minorEastAsia"/>
                <w:i w:val="0"/>
                <w:iCs w:val="0"/>
                <w:caps w:val="0"/>
                <w:color w:val="000000"/>
                <w:spacing w:val="0"/>
                <w:sz w:val="24"/>
                <w:szCs w:val="24"/>
                <w:highlight w:val="none"/>
                <w:u w:val="none"/>
                <w:shd w:val="clear" w:fill="FFFFFF"/>
                <w:vertAlign w:val="baseline"/>
                <w:lang w:val="en-US" w:eastAsia="zh-CN"/>
              </w:rPr>
              <w:t>%</w:t>
            </w:r>
          </w:p>
        </w:tc>
        <w:tc>
          <w:tcPr>
            <w:tcW w:w="2099" w:type="dxa"/>
            <w:vAlign w:val="center"/>
          </w:tcPr>
          <w:p w14:paraId="3FA3419C">
            <w:pPr>
              <w:snapToGrid w:val="0"/>
              <w:ind w:left="0" w:leftChars="0" w:right="0" w:rightChars="0" w:firstLine="0" w:firstLineChars="0"/>
              <w:jc w:val="center"/>
              <w:rPr>
                <w:rFonts w:ascii="微软雅黑" w:eastAsia="微软雅黑"/>
                <w:sz w:val="24"/>
                <w:highlight w:val="none"/>
              </w:rPr>
            </w:pPr>
          </w:p>
        </w:tc>
        <w:tc>
          <w:tcPr>
            <w:tcW w:w="1385" w:type="dxa"/>
            <w:vAlign w:val="center"/>
          </w:tcPr>
          <w:p w14:paraId="0DD71C12">
            <w:pPr>
              <w:snapToGrid w:val="0"/>
              <w:ind w:left="0" w:leftChars="0" w:right="0" w:rightChars="0" w:firstLine="0" w:firstLineChars="0"/>
              <w:jc w:val="center"/>
              <w:rPr>
                <w:rFonts w:ascii="微软雅黑" w:eastAsia="微软雅黑"/>
                <w:sz w:val="24"/>
                <w:highlight w:val="none"/>
              </w:rPr>
            </w:pPr>
          </w:p>
        </w:tc>
      </w:tr>
    </w:tbl>
    <w:p w14:paraId="030C836D">
      <w:pPr>
        <w:spacing w:line="120" w:lineRule="exact"/>
        <w:rPr>
          <w:highlight w:val="none"/>
        </w:rPr>
      </w:pPr>
    </w:p>
    <w:p w14:paraId="5C8A7F20">
      <w:pPr>
        <w:pStyle w:val="5"/>
        <w:rPr>
          <w:highlight w:val="none"/>
        </w:rPr>
      </w:pPr>
    </w:p>
    <w:p w14:paraId="30CDB549">
      <w:pPr>
        <w:pStyle w:val="10"/>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left="0" w:leftChars="0" w:right="0" w:rightChars="0" w:firstLine="0" w:firstLineChars="0"/>
        <w:jc w:val="left"/>
        <w:textAlignment w:val="baseline"/>
        <w:rPr>
          <w:rFonts w:hint="default"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pPr>
      <w:r>
        <w:rPr>
          <w:rFonts w:hint="eastAsia" w:eastAsia="宋体"/>
          <w:highlight w:val="none"/>
          <w:lang w:val="en-US" w:eastAsia="zh-CN"/>
        </w:rPr>
        <w:t>注:</w:t>
      </w: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按照陕西省考古研究院基本建设考古调查、勘探、发掘经费预算定额管理办法（试行）。（其中包括民工费、机械费、临时建筑设施费、管理费、安全保卫费、不可预见费等文物发掘工作除技术外的所有费用）</w:t>
      </w:r>
      <w:r>
        <w:rPr>
          <w:rFonts w:hint="eastAsia" w:ascii="微软雅黑" w:hAnsi="微软雅黑" w:eastAsia="微软雅黑" w:cs="微软雅黑"/>
          <w:i w:val="0"/>
          <w:iCs w:val="0"/>
          <w:caps w:val="0"/>
          <w:color w:val="000000"/>
          <w:spacing w:val="0"/>
          <w:sz w:val="24"/>
          <w:szCs w:val="24"/>
          <w:highlight w:val="none"/>
          <w:u w:val="single"/>
          <w:shd w:val="clear" w:fill="FFFFFF"/>
          <w:vertAlign w:val="baseline"/>
          <w:lang w:val="en-US" w:eastAsia="zh-CN"/>
        </w:rPr>
        <w:t>×</w:t>
      </w:r>
      <w:r>
        <w:rPr>
          <w:rFonts w:hint="eastAsia" w:ascii="宋体" w:eastAsia="宋体" w:hAnsiTheme="minorEastAsia" w:cstheme="minorEastAsia"/>
          <w:i w:val="0"/>
          <w:iCs w:val="0"/>
          <w:caps w:val="0"/>
          <w:color w:val="000000"/>
          <w:spacing w:val="0"/>
          <w:sz w:val="24"/>
          <w:szCs w:val="24"/>
          <w:highlight w:val="none"/>
          <w:u w:val="single"/>
          <w:shd w:val="clear" w:fill="FFFFFF"/>
          <w:vertAlign w:val="baseline"/>
          <w:lang w:val="en-US" w:eastAsia="zh-CN"/>
        </w:rPr>
        <w:t>100%，超过最高限价（100%），按无效文件处理。</w:t>
      </w:r>
    </w:p>
    <w:p w14:paraId="6467378B">
      <w:pPr>
        <w:pStyle w:val="5"/>
        <w:spacing w:line="241" w:lineRule="auto"/>
        <w:rPr>
          <w:rFonts w:hint="default" w:eastAsia="宋体"/>
          <w:highlight w:val="none"/>
          <w:lang w:val="en-US" w:eastAsia="zh-CN"/>
        </w:rPr>
      </w:pPr>
    </w:p>
    <w:p w14:paraId="75253159">
      <w:pPr>
        <w:pStyle w:val="5"/>
        <w:spacing w:line="241" w:lineRule="auto"/>
        <w:rPr>
          <w:highlight w:val="none"/>
        </w:rPr>
      </w:pPr>
    </w:p>
    <w:p w14:paraId="3448CC8A">
      <w:pPr>
        <w:pStyle w:val="5"/>
        <w:spacing w:line="241" w:lineRule="auto"/>
        <w:rPr>
          <w:highlight w:val="none"/>
        </w:rPr>
      </w:pPr>
    </w:p>
    <w:p w14:paraId="7C58F67E">
      <w:pPr>
        <w:spacing w:before="79" w:line="219" w:lineRule="auto"/>
        <w:ind w:left="385"/>
        <w:rPr>
          <w:rFonts w:ascii="宋体" w:hAnsi="宋体" w:eastAsia="宋体" w:cs="宋体"/>
          <w:sz w:val="24"/>
          <w:szCs w:val="24"/>
          <w:highlight w:val="none"/>
        </w:rPr>
      </w:pPr>
      <w:r>
        <w:rPr>
          <w:rFonts w:hint="eastAsia" w:ascii="宋体" w:hAnsi="宋体" w:eastAsia="宋体" w:cs="宋体"/>
          <w:spacing w:val="-18"/>
          <w:sz w:val="24"/>
          <w:szCs w:val="24"/>
          <w:highlight w:val="none"/>
        </w:rPr>
        <w:t>投标人名称</w:t>
      </w:r>
      <w:r>
        <w:rPr>
          <w:rFonts w:ascii="宋体" w:hAnsi="宋体" w:eastAsia="宋体" w:cs="宋体"/>
          <w:spacing w:val="-18"/>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8"/>
          <w:sz w:val="24"/>
          <w:szCs w:val="24"/>
          <w:highlight w:val="none"/>
        </w:rPr>
        <w:t>（</w:t>
      </w:r>
      <w:r>
        <w:rPr>
          <w:rFonts w:ascii="宋体" w:hAnsi="宋体" w:eastAsia="宋体" w:cs="宋体"/>
          <w:spacing w:val="3"/>
          <w:sz w:val="24"/>
          <w:szCs w:val="24"/>
          <w:highlight w:val="none"/>
        </w:rPr>
        <w:t>盖单位章）</w:t>
      </w:r>
    </w:p>
    <w:p w14:paraId="7D0F890D">
      <w:pPr>
        <w:pStyle w:val="5"/>
        <w:spacing w:line="277" w:lineRule="auto"/>
        <w:rPr>
          <w:highlight w:val="none"/>
        </w:rPr>
      </w:pPr>
    </w:p>
    <w:p w14:paraId="1F3A468B">
      <w:pPr>
        <w:pStyle w:val="5"/>
        <w:spacing w:line="277" w:lineRule="auto"/>
        <w:rPr>
          <w:highlight w:val="none"/>
        </w:rPr>
      </w:pPr>
    </w:p>
    <w:p w14:paraId="50DDE4A9">
      <w:pPr>
        <w:pStyle w:val="5"/>
        <w:spacing w:line="277" w:lineRule="auto"/>
        <w:rPr>
          <w:highlight w:val="none"/>
        </w:rPr>
      </w:pPr>
    </w:p>
    <w:p w14:paraId="6B0F7358">
      <w:pPr>
        <w:spacing w:before="79" w:line="220" w:lineRule="auto"/>
        <w:ind w:left="386"/>
        <w:outlineLvl w:val="1"/>
        <w:rPr>
          <w:rFonts w:ascii="宋体" w:hAnsi="宋体" w:eastAsia="宋体" w:cs="宋体"/>
          <w:sz w:val="24"/>
          <w:szCs w:val="24"/>
          <w:highlight w:val="none"/>
        </w:rPr>
      </w:pPr>
      <w:r>
        <w:rPr>
          <w:rFonts w:ascii="宋体" w:hAnsi="宋体" w:eastAsia="宋体" w:cs="宋体"/>
          <w:spacing w:val="1"/>
          <w:sz w:val="24"/>
          <w:szCs w:val="24"/>
          <w:highlight w:val="none"/>
        </w:rPr>
        <w:t>法定代表人或委托代理人</w:t>
      </w:r>
      <w:r>
        <w:rPr>
          <w:rFonts w:ascii="宋体" w:hAnsi="宋体" w:eastAsia="宋体" w:cs="宋体"/>
          <w:spacing w:val="-13"/>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3"/>
          <w:sz w:val="24"/>
          <w:szCs w:val="24"/>
          <w:highlight w:val="none"/>
        </w:rPr>
        <w:t>（</w:t>
      </w:r>
      <w:r>
        <w:rPr>
          <w:rFonts w:ascii="宋体" w:hAnsi="宋体" w:eastAsia="宋体" w:cs="宋体"/>
          <w:spacing w:val="1"/>
          <w:sz w:val="24"/>
          <w:szCs w:val="24"/>
          <w:highlight w:val="none"/>
        </w:rPr>
        <w:t>签名）</w:t>
      </w:r>
    </w:p>
    <w:p w14:paraId="765D6511">
      <w:pPr>
        <w:pStyle w:val="5"/>
        <w:spacing w:line="276" w:lineRule="auto"/>
        <w:rPr>
          <w:highlight w:val="none"/>
        </w:rPr>
      </w:pPr>
    </w:p>
    <w:p w14:paraId="33657339">
      <w:pPr>
        <w:pStyle w:val="5"/>
        <w:spacing w:line="277" w:lineRule="auto"/>
        <w:rPr>
          <w:highlight w:val="none"/>
        </w:rPr>
      </w:pPr>
    </w:p>
    <w:p w14:paraId="742B9928">
      <w:pPr>
        <w:pStyle w:val="5"/>
        <w:spacing w:line="277" w:lineRule="auto"/>
        <w:rPr>
          <w:highlight w:val="none"/>
        </w:rPr>
      </w:pPr>
    </w:p>
    <w:p w14:paraId="6C22C2F4">
      <w:pPr>
        <w:spacing w:before="79" w:line="220" w:lineRule="auto"/>
        <w:ind w:left="426"/>
        <w:outlineLvl w:val="1"/>
        <w:rPr>
          <w:rFonts w:ascii="宋体" w:hAnsi="宋体" w:eastAsia="宋体" w:cs="宋体"/>
          <w:sz w:val="24"/>
          <w:szCs w:val="24"/>
          <w:highlight w:val="none"/>
        </w:rPr>
      </w:pPr>
      <w:r>
        <w:rPr>
          <w:rFonts w:ascii="宋体" w:hAnsi="宋体" w:eastAsia="宋体" w:cs="宋体"/>
          <w:spacing w:val="-20"/>
          <w:sz w:val="24"/>
          <w:szCs w:val="24"/>
          <w:highlight w:val="none"/>
        </w:rPr>
        <w:t>日</w:t>
      </w:r>
      <w:r>
        <w:rPr>
          <w:rFonts w:ascii="宋体" w:hAnsi="宋体" w:eastAsia="宋体" w:cs="宋体"/>
          <w:spacing w:val="3"/>
          <w:sz w:val="24"/>
          <w:szCs w:val="24"/>
          <w:highlight w:val="none"/>
        </w:rPr>
        <w:t xml:space="preserve">    </w:t>
      </w:r>
      <w:r>
        <w:rPr>
          <w:rFonts w:ascii="宋体" w:hAnsi="宋体" w:eastAsia="宋体" w:cs="宋体"/>
          <w:spacing w:val="-20"/>
          <w:sz w:val="24"/>
          <w:szCs w:val="24"/>
          <w:highlight w:val="none"/>
        </w:rPr>
        <w:t>期</w:t>
      </w:r>
      <w:r>
        <w:rPr>
          <w:rFonts w:ascii="宋体" w:hAnsi="宋体" w:eastAsia="宋体" w:cs="宋体"/>
          <w:spacing w:val="-89"/>
          <w:sz w:val="24"/>
          <w:szCs w:val="24"/>
          <w:highlight w:val="none"/>
        </w:rPr>
        <w:t xml:space="preserve"> </w:t>
      </w:r>
      <w:r>
        <w:rPr>
          <w:rFonts w:ascii="宋体" w:hAnsi="宋体" w:eastAsia="宋体" w:cs="宋体"/>
          <w:spacing w:val="-20"/>
          <w:sz w:val="24"/>
          <w:szCs w:val="24"/>
          <w:highlight w:val="none"/>
        </w:rPr>
        <w:t>：</w:t>
      </w:r>
      <w:r>
        <w:rPr>
          <w:rFonts w:ascii="宋体" w:hAnsi="宋体" w:eastAsia="宋体" w:cs="宋体"/>
          <w:spacing w:val="2"/>
          <w:sz w:val="24"/>
          <w:szCs w:val="24"/>
          <w:highlight w:val="none"/>
        </w:rPr>
        <w:t xml:space="preserve">    </w:t>
      </w:r>
      <w:r>
        <w:rPr>
          <w:rFonts w:ascii="宋体" w:hAnsi="宋体" w:eastAsia="宋体" w:cs="宋体"/>
          <w:spacing w:val="-20"/>
          <w:sz w:val="24"/>
          <w:szCs w:val="24"/>
          <w:highlight w:val="none"/>
        </w:rPr>
        <w:t>年</w:t>
      </w:r>
      <w:r>
        <w:rPr>
          <w:rFonts w:ascii="宋体" w:hAnsi="宋体" w:eastAsia="宋体" w:cs="宋体"/>
          <w:spacing w:val="5"/>
          <w:sz w:val="24"/>
          <w:szCs w:val="24"/>
          <w:highlight w:val="none"/>
        </w:rPr>
        <w:t xml:space="preserve">   </w:t>
      </w:r>
      <w:r>
        <w:rPr>
          <w:rFonts w:ascii="宋体" w:hAnsi="宋体" w:eastAsia="宋体" w:cs="宋体"/>
          <w:spacing w:val="-20"/>
          <w:sz w:val="24"/>
          <w:szCs w:val="24"/>
          <w:highlight w:val="none"/>
        </w:rPr>
        <w:t>月</w:t>
      </w:r>
      <w:r>
        <w:rPr>
          <w:rFonts w:ascii="宋体" w:hAnsi="宋体" w:eastAsia="宋体" w:cs="宋体"/>
          <w:spacing w:val="17"/>
          <w:sz w:val="24"/>
          <w:szCs w:val="24"/>
          <w:highlight w:val="none"/>
        </w:rPr>
        <w:t xml:space="preserve">   </w:t>
      </w:r>
      <w:r>
        <w:rPr>
          <w:rFonts w:ascii="宋体" w:hAnsi="宋体" w:eastAsia="宋体" w:cs="宋体"/>
          <w:spacing w:val="-20"/>
          <w:sz w:val="24"/>
          <w:szCs w:val="24"/>
          <w:highlight w:val="none"/>
        </w:rPr>
        <w:t>日</w:t>
      </w:r>
    </w:p>
    <w:p w14:paraId="37E4A4AF">
      <w:pPr>
        <w:spacing w:line="220" w:lineRule="auto"/>
        <w:rPr>
          <w:rFonts w:ascii="宋体" w:hAnsi="宋体" w:eastAsia="宋体" w:cs="宋体"/>
          <w:sz w:val="24"/>
          <w:szCs w:val="24"/>
          <w:highlight w:val="none"/>
        </w:rPr>
        <w:sectPr>
          <w:footerReference r:id="rId24" w:type="default"/>
          <w:pgSz w:w="11907" w:h="16840"/>
          <w:pgMar w:top="1431" w:right="1644" w:bottom="1199" w:left="1217" w:header="0" w:footer="984" w:gutter="0"/>
          <w:pgNumType w:fmt="decimal"/>
          <w:cols w:space="720" w:num="1"/>
        </w:sectPr>
      </w:pPr>
    </w:p>
    <w:p w14:paraId="4B45E5D5">
      <w:pPr>
        <w:spacing w:before="72" w:line="225" w:lineRule="auto"/>
        <w:ind w:left="2989"/>
        <w:outlineLvl w:val="1"/>
        <w:rPr>
          <w:rFonts w:ascii="宋体" w:hAnsi="宋体" w:eastAsia="宋体" w:cs="宋体"/>
          <w:sz w:val="35"/>
          <w:szCs w:val="35"/>
          <w:highlight w:val="none"/>
        </w:rPr>
      </w:pPr>
      <w:r>
        <w:rPr>
          <w:rFonts w:ascii="宋体" w:hAnsi="宋体" w:eastAsia="宋体" w:cs="宋体"/>
          <w:b/>
          <w:bCs/>
          <w:spacing w:val="5"/>
          <w:sz w:val="35"/>
          <w:szCs w:val="35"/>
          <w:highlight w:val="none"/>
        </w:rPr>
        <w:t>三、商务条款偏离表</w:t>
      </w:r>
    </w:p>
    <w:p w14:paraId="5D699CF8">
      <w:pPr>
        <w:pStyle w:val="5"/>
        <w:spacing w:line="457" w:lineRule="auto"/>
        <w:rPr>
          <w:highlight w:val="none"/>
        </w:rPr>
      </w:pPr>
    </w:p>
    <w:p w14:paraId="54714FDD">
      <w:pPr>
        <w:spacing w:before="78" w:line="219" w:lineRule="auto"/>
        <w:ind w:left="251"/>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投标人名称</w:t>
      </w:r>
      <w:r>
        <w:rPr>
          <w:rFonts w:ascii="宋体" w:hAnsi="宋体" w:eastAsia="宋体" w:cs="宋体"/>
          <w:sz w:val="24"/>
          <w:szCs w:val="24"/>
          <w:highlight w:val="none"/>
        </w:rPr>
        <w:t>：                           项目编号：</w:t>
      </w:r>
    </w:p>
    <w:p w14:paraId="3784E446">
      <w:pPr>
        <w:spacing w:line="110" w:lineRule="exact"/>
        <w:rPr>
          <w:highlight w:val="none"/>
        </w:rPr>
      </w:pPr>
    </w:p>
    <w:tbl>
      <w:tblPr>
        <w:tblStyle w:val="15"/>
        <w:tblW w:w="90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1520"/>
        <w:gridCol w:w="1714"/>
        <w:gridCol w:w="2297"/>
        <w:gridCol w:w="993"/>
        <w:gridCol w:w="1931"/>
      </w:tblGrid>
      <w:tr w14:paraId="0D2B9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64" w:type="dxa"/>
            <w:tcBorders>
              <w:top w:val="single" w:color="000000" w:sz="10" w:space="0"/>
              <w:left w:val="single" w:color="000000" w:sz="10" w:space="0"/>
            </w:tcBorders>
            <w:textDirection w:val="tbRlV"/>
            <w:vAlign w:val="top"/>
          </w:tcPr>
          <w:p w14:paraId="4B9A28FC">
            <w:pPr>
              <w:pStyle w:val="16"/>
              <w:spacing w:before="175" w:line="210" w:lineRule="auto"/>
              <w:ind w:left="146"/>
              <w:rPr>
                <w:highlight w:val="none"/>
              </w:rPr>
            </w:pPr>
            <w:r>
              <w:rPr>
                <w:b/>
                <w:bCs/>
                <w:spacing w:val="33"/>
                <w:highlight w:val="none"/>
              </w:rPr>
              <w:t>序号</w:t>
            </w:r>
          </w:p>
        </w:tc>
        <w:tc>
          <w:tcPr>
            <w:tcW w:w="1520" w:type="dxa"/>
            <w:tcBorders>
              <w:top w:val="single" w:color="000000" w:sz="10" w:space="0"/>
            </w:tcBorders>
            <w:vAlign w:val="top"/>
          </w:tcPr>
          <w:p w14:paraId="0C7BB0FD">
            <w:pPr>
              <w:pStyle w:val="16"/>
              <w:spacing w:before="302" w:line="220" w:lineRule="auto"/>
              <w:ind w:left="144"/>
              <w:rPr>
                <w:highlight w:val="none"/>
              </w:rPr>
            </w:pPr>
            <w:r>
              <w:rPr>
                <w:b/>
                <w:bCs/>
                <w:spacing w:val="-4"/>
                <w:highlight w:val="none"/>
              </w:rPr>
              <w:t>文件条目号</w:t>
            </w:r>
          </w:p>
        </w:tc>
        <w:tc>
          <w:tcPr>
            <w:tcW w:w="1714" w:type="dxa"/>
            <w:tcBorders>
              <w:top w:val="single" w:color="000000" w:sz="10" w:space="0"/>
            </w:tcBorders>
            <w:vAlign w:val="top"/>
          </w:tcPr>
          <w:p w14:paraId="6D995F16">
            <w:pPr>
              <w:pStyle w:val="16"/>
              <w:spacing w:before="302" w:line="219" w:lineRule="auto"/>
              <w:ind w:left="124"/>
              <w:rPr>
                <w:highlight w:val="none"/>
              </w:rPr>
            </w:pPr>
            <w:r>
              <w:rPr>
                <w:b/>
                <w:bCs/>
                <w:spacing w:val="-4"/>
                <w:highlight w:val="none"/>
              </w:rPr>
              <w:t>采购商务要求</w:t>
            </w:r>
          </w:p>
        </w:tc>
        <w:tc>
          <w:tcPr>
            <w:tcW w:w="2297" w:type="dxa"/>
            <w:tcBorders>
              <w:top w:val="single" w:color="000000" w:sz="10" w:space="0"/>
            </w:tcBorders>
            <w:vAlign w:val="top"/>
          </w:tcPr>
          <w:p w14:paraId="3C202694">
            <w:pPr>
              <w:pStyle w:val="16"/>
              <w:spacing w:before="302" w:line="220" w:lineRule="auto"/>
              <w:ind w:left="192"/>
              <w:rPr>
                <w:highlight w:val="none"/>
              </w:rPr>
            </w:pPr>
            <w:r>
              <w:rPr>
                <w:b/>
                <w:bCs/>
                <w:spacing w:val="-5"/>
                <w:highlight w:val="none"/>
              </w:rPr>
              <w:t>响应文件商务应答</w:t>
            </w:r>
          </w:p>
        </w:tc>
        <w:tc>
          <w:tcPr>
            <w:tcW w:w="993" w:type="dxa"/>
            <w:tcBorders>
              <w:top w:val="single" w:color="000000" w:sz="10" w:space="0"/>
            </w:tcBorders>
            <w:vAlign w:val="top"/>
          </w:tcPr>
          <w:p w14:paraId="1C54A3EA">
            <w:pPr>
              <w:pStyle w:val="16"/>
              <w:spacing w:before="302" w:line="220" w:lineRule="auto"/>
              <w:ind w:left="256"/>
              <w:rPr>
                <w:highlight w:val="none"/>
              </w:rPr>
            </w:pPr>
            <w:r>
              <w:rPr>
                <w:b/>
                <w:bCs/>
                <w:spacing w:val="-8"/>
                <w:highlight w:val="none"/>
              </w:rPr>
              <w:t>偏离</w:t>
            </w:r>
          </w:p>
        </w:tc>
        <w:tc>
          <w:tcPr>
            <w:tcW w:w="1931" w:type="dxa"/>
            <w:tcBorders>
              <w:top w:val="single" w:color="000000" w:sz="10" w:space="0"/>
              <w:right w:val="single" w:color="000000" w:sz="10" w:space="0"/>
            </w:tcBorders>
            <w:vAlign w:val="top"/>
          </w:tcPr>
          <w:p w14:paraId="007015EE">
            <w:pPr>
              <w:pStyle w:val="16"/>
              <w:spacing w:before="302" w:line="220" w:lineRule="auto"/>
              <w:ind w:left="240"/>
              <w:rPr>
                <w:highlight w:val="none"/>
              </w:rPr>
            </w:pPr>
            <w:r>
              <w:rPr>
                <w:b/>
                <w:bCs/>
                <w:spacing w:val="-4"/>
                <w:highlight w:val="none"/>
              </w:rPr>
              <w:t>偏离及其影响</w:t>
            </w:r>
          </w:p>
        </w:tc>
      </w:tr>
      <w:tr w14:paraId="48D59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4" w:type="dxa"/>
            <w:tcBorders>
              <w:left w:val="single" w:color="000000" w:sz="10" w:space="0"/>
            </w:tcBorders>
            <w:vAlign w:val="top"/>
          </w:tcPr>
          <w:p w14:paraId="5CAAE870">
            <w:pPr>
              <w:rPr>
                <w:rFonts w:ascii="Arial"/>
                <w:sz w:val="21"/>
                <w:highlight w:val="none"/>
              </w:rPr>
            </w:pPr>
          </w:p>
        </w:tc>
        <w:tc>
          <w:tcPr>
            <w:tcW w:w="1520" w:type="dxa"/>
            <w:vAlign w:val="top"/>
          </w:tcPr>
          <w:p w14:paraId="68D293D1">
            <w:pPr>
              <w:rPr>
                <w:rFonts w:ascii="Arial"/>
                <w:sz w:val="21"/>
                <w:highlight w:val="none"/>
              </w:rPr>
            </w:pPr>
          </w:p>
        </w:tc>
        <w:tc>
          <w:tcPr>
            <w:tcW w:w="1714" w:type="dxa"/>
            <w:vAlign w:val="top"/>
          </w:tcPr>
          <w:p w14:paraId="13F5969A">
            <w:pPr>
              <w:rPr>
                <w:rFonts w:ascii="Arial"/>
                <w:sz w:val="21"/>
                <w:highlight w:val="none"/>
              </w:rPr>
            </w:pPr>
          </w:p>
        </w:tc>
        <w:tc>
          <w:tcPr>
            <w:tcW w:w="2297" w:type="dxa"/>
            <w:vAlign w:val="top"/>
          </w:tcPr>
          <w:p w14:paraId="4145D8F2">
            <w:pPr>
              <w:rPr>
                <w:rFonts w:ascii="Arial"/>
                <w:sz w:val="21"/>
                <w:highlight w:val="none"/>
              </w:rPr>
            </w:pPr>
          </w:p>
        </w:tc>
        <w:tc>
          <w:tcPr>
            <w:tcW w:w="993" w:type="dxa"/>
            <w:vAlign w:val="top"/>
          </w:tcPr>
          <w:p w14:paraId="582F294B">
            <w:pPr>
              <w:rPr>
                <w:rFonts w:ascii="Arial"/>
                <w:sz w:val="21"/>
                <w:highlight w:val="none"/>
              </w:rPr>
            </w:pPr>
          </w:p>
        </w:tc>
        <w:tc>
          <w:tcPr>
            <w:tcW w:w="1931" w:type="dxa"/>
            <w:tcBorders>
              <w:right w:val="single" w:color="000000" w:sz="10" w:space="0"/>
            </w:tcBorders>
            <w:vAlign w:val="top"/>
          </w:tcPr>
          <w:p w14:paraId="090053C1">
            <w:pPr>
              <w:rPr>
                <w:rFonts w:ascii="Arial"/>
                <w:sz w:val="21"/>
                <w:highlight w:val="none"/>
              </w:rPr>
            </w:pPr>
          </w:p>
        </w:tc>
      </w:tr>
      <w:tr w14:paraId="3515B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64" w:type="dxa"/>
            <w:tcBorders>
              <w:left w:val="single" w:color="000000" w:sz="10" w:space="0"/>
            </w:tcBorders>
            <w:vAlign w:val="top"/>
          </w:tcPr>
          <w:p w14:paraId="70A43E6F">
            <w:pPr>
              <w:rPr>
                <w:rFonts w:ascii="Arial"/>
                <w:sz w:val="21"/>
                <w:highlight w:val="none"/>
              </w:rPr>
            </w:pPr>
          </w:p>
        </w:tc>
        <w:tc>
          <w:tcPr>
            <w:tcW w:w="1520" w:type="dxa"/>
            <w:vAlign w:val="top"/>
          </w:tcPr>
          <w:p w14:paraId="12D701E3">
            <w:pPr>
              <w:rPr>
                <w:rFonts w:ascii="Arial"/>
                <w:sz w:val="21"/>
                <w:highlight w:val="none"/>
              </w:rPr>
            </w:pPr>
          </w:p>
        </w:tc>
        <w:tc>
          <w:tcPr>
            <w:tcW w:w="1714" w:type="dxa"/>
            <w:vAlign w:val="top"/>
          </w:tcPr>
          <w:p w14:paraId="74A2277F">
            <w:pPr>
              <w:rPr>
                <w:rFonts w:ascii="Arial"/>
                <w:sz w:val="21"/>
                <w:highlight w:val="none"/>
              </w:rPr>
            </w:pPr>
          </w:p>
        </w:tc>
        <w:tc>
          <w:tcPr>
            <w:tcW w:w="2297" w:type="dxa"/>
            <w:vAlign w:val="top"/>
          </w:tcPr>
          <w:p w14:paraId="6A46E7F9">
            <w:pPr>
              <w:rPr>
                <w:rFonts w:ascii="Arial"/>
                <w:sz w:val="21"/>
                <w:highlight w:val="none"/>
              </w:rPr>
            </w:pPr>
          </w:p>
        </w:tc>
        <w:tc>
          <w:tcPr>
            <w:tcW w:w="993" w:type="dxa"/>
            <w:vAlign w:val="top"/>
          </w:tcPr>
          <w:p w14:paraId="05CFC350">
            <w:pPr>
              <w:rPr>
                <w:rFonts w:ascii="Arial"/>
                <w:sz w:val="21"/>
                <w:highlight w:val="none"/>
              </w:rPr>
            </w:pPr>
          </w:p>
        </w:tc>
        <w:tc>
          <w:tcPr>
            <w:tcW w:w="1931" w:type="dxa"/>
            <w:tcBorders>
              <w:right w:val="single" w:color="000000" w:sz="10" w:space="0"/>
            </w:tcBorders>
            <w:vAlign w:val="top"/>
          </w:tcPr>
          <w:p w14:paraId="01A9796F">
            <w:pPr>
              <w:rPr>
                <w:rFonts w:ascii="Arial"/>
                <w:sz w:val="21"/>
                <w:highlight w:val="none"/>
              </w:rPr>
            </w:pPr>
          </w:p>
        </w:tc>
      </w:tr>
      <w:tr w14:paraId="7348D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4" w:type="dxa"/>
            <w:tcBorders>
              <w:left w:val="single" w:color="000000" w:sz="10" w:space="0"/>
            </w:tcBorders>
            <w:vAlign w:val="top"/>
          </w:tcPr>
          <w:p w14:paraId="49FD888C">
            <w:pPr>
              <w:rPr>
                <w:rFonts w:ascii="Arial"/>
                <w:sz w:val="21"/>
                <w:highlight w:val="none"/>
              </w:rPr>
            </w:pPr>
          </w:p>
        </w:tc>
        <w:tc>
          <w:tcPr>
            <w:tcW w:w="1520" w:type="dxa"/>
            <w:vAlign w:val="top"/>
          </w:tcPr>
          <w:p w14:paraId="10EDA421">
            <w:pPr>
              <w:rPr>
                <w:rFonts w:ascii="Arial"/>
                <w:sz w:val="21"/>
                <w:highlight w:val="none"/>
              </w:rPr>
            </w:pPr>
          </w:p>
        </w:tc>
        <w:tc>
          <w:tcPr>
            <w:tcW w:w="1714" w:type="dxa"/>
            <w:vAlign w:val="top"/>
          </w:tcPr>
          <w:p w14:paraId="661C007D">
            <w:pPr>
              <w:rPr>
                <w:rFonts w:ascii="Arial"/>
                <w:sz w:val="21"/>
                <w:highlight w:val="none"/>
              </w:rPr>
            </w:pPr>
          </w:p>
        </w:tc>
        <w:tc>
          <w:tcPr>
            <w:tcW w:w="2297" w:type="dxa"/>
            <w:vAlign w:val="top"/>
          </w:tcPr>
          <w:p w14:paraId="7C176395">
            <w:pPr>
              <w:rPr>
                <w:rFonts w:ascii="Arial"/>
                <w:sz w:val="21"/>
                <w:highlight w:val="none"/>
              </w:rPr>
            </w:pPr>
          </w:p>
        </w:tc>
        <w:tc>
          <w:tcPr>
            <w:tcW w:w="993" w:type="dxa"/>
            <w:vAlign w:val="top"/>
          </w:tcPr>
          <w:p w14:paraId="640A8EBB">
            <w:pPr>
              <w:rPr>
                <w:rFonts w:ascii="Arial"/>
                <w:sz w:val="21"/>
                <w:highlight w:val="none"/>
              </w:rPr>
            </w:pPr>
          </w:p>
        </w:tc>
        <w:tc>
          <w:tcPr>
            <w:tcW w:w="1931" w:type="dxa"/>
            <w:tcBorders>
              <w:right w:val="single" w:color="000000" w:sz="10" w:space="0"/>
            </w:tcBorders>
            <w:vAlign w:val="top"/>
          </w:tcPr>
          <w:p w14:paraId="07BFAD92">
            <w:pPr>
              <w:rPr>
                <w:rFonts w:ascii="Arial"/>
                <w:sz w:val="21"/>
                <w:highlight w:val="none"/>
              </w:rPr>
            </w:pPr>
          </w:p>
        </w:tc>
      </w:tr>
      <w:tr w14:paraId="3CCC2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64" w:type="dxa"/>
            <w:tcBorders>
              <w:left w:val="single" w:color="000000" w:sz="10" w:space="0"/>
            </w:tcBorders>
            <w:vAlign w:val="top"/>
          </w:tcPr>
          <w:p w14:paraId="40C89FD9">
            <w:pPr>
              <w:rPr>
                <w:rFonts w:ascii="Arial"/>
                <w:sz w:val="21"/>
                <w:highlight w:val="none"/>
              </w:rPr>
            </w:pPr>
          </w:p>
        </w:tc>
        <w:tc>
          <w:tcPr>
            <w:tcW w:w="1520" w:type="dxa"/>
            <w:vAlign w:val="top"/>
          </w:tcPr>
          <w:p w14:paraId="0999291E">
            <w:pPr>
              <w:rPr>
                <w:rFonts w:ascii="Arial"/>
                <w:sz w:val="21"/>
                <w:highlight w:val="none"/>
              </w:rPr>
            </w:pPr>
          </w:p>
        </w:tc>
        <w:tc>
          <w:tcPr>
            <w:tcW w:w="1714" w:type="dxa"/>
            <w:vAlign w:val="top"/>
          </w:tcPr>
          <w:p w14:paraId="5488607A">
            <w:pPr>
              <w:rPr>
                <w:rFonts w:ascii="Arial"/>
                <w:sz w:val="21"/>
                <w:highlight w:val="none"/>
              </w:rPr>
            </w:pPr>
          </w:p>
        </w:tc>
        <w:tc>
          <w:tcPr>
            <w:tcW w:w="2297" w:type="dxa"/>
            <w:vAlign w:val="top"/>
          </w:tcPr>
          <w:p w14:paraId="2CE1FF6D">
            <w:pPr>
              <w:rPr>
                <w:rFonts w:ascii="Arial"/>
                <w:sz w:val="21"/>
                <w:highlight w:val="none"/>
              </w:rPr>
            </w:pPr>
          </w:p>
        </w:tc>
        <w:tc>
          <w:tcPr>
            <w:tcW w:w="993" w:type="dxa"/>
            <w:vAlign w:val="top"/>
          </w:tcPr>
          <w:p w14:paraId="0BCFD1C9">
            <w:pPr>
              <w:rPr>
                <w:rFonts w:ascii="Arial"/>
                <w:sz w:val="21"/>
                <w:highlight w:val="none"/>
              </w:rPr>
            </w:pPr>
          </w:p>
        </w:tc>
        <w:tc>
          <w:tcPr>
            <w:tcW w:w="1931" w:type="dxa"/>
            <w:tcBorders>
              <w:right w:val="single" w:color="000000" w:sz="10" w:space="0"/>
            </w:tcBorders>
            <w:vAlign w:val="top"/>
          </w:tcPr>
          <w:p w14:paraId="791B2296">
            <w:pPr>
              <w:rPr>
                <w:rFonts w:ascii="Arial"/>
                <w:sz w:val="21"/>
                <w:highlight w:val="none"/>
              </w:rPr>
            </w:pPr>
          </w:p>
        </w:tc>
      </w:tr>
      <w:tr w14:paraId="5423A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4" w:type="dxa"/>
            <w:tcBorders>
              <w:left w:val="single" w:color="000000" w:sz="10" w:space="0"/>
            </w:tcBorders>
            <w:vAlign w:val="top"/>
          </w:tcPr>
          <w:p w14:paraId="6683BB43">
            <w:pPr>
              <w:rPr>
                <w:rFonts w:ascii="Arial"/>
                <w:sz w:val="21"/>
                <w:highlight w:val="none"/>
              </w:rPr>
            </w:pPr>
          </w:p>
        </w:tc>
        <w:tc>
          <w:tcPr>
            <w:tcW w:w="1520" w:type="dxa"/>
            <w:vAlign w:val="top"/>
          </w:tcPr>
          <w:p w14:paraId="67D0742D">
            <w:pPr>
              <w:rPr>
                <w:rFonts w:ascii="Arial"/>
                <w:sz w:val="21"/>
                <w:highlight w:val="none"/>
              </w:rPr>
            </w:pPr>
          </w:p>
        </w:tc>
        <w:tc>
          <w:tcPr>
            <w:tcW w:w="1714" w:type="dxa"/>
            <w:vAlign w:val="top"/>
          </w:tcPr>
          <w:p w14:paraId="111E36A4">
            <w:pPr>
              <w:rPr>
                <w:rFonts w:ascii="Arial"/>
                <w:sz w:val="21"/>
                <w:highlight w:val="none"/>
              </w:rPr>
            </w:pPr>
          </w:p>
        </w:tc>
        <w:tc>
          <w:tcPr>
            <w:tcW w:w="2297" w:type="dxa"/>
            <w:vAlign w:val="top"/>
          </w:tcPr>
          <w:p w14:paraId="52FCF70B">
            <w:pPr>
              <w:rPr>
                <w:rFonts w:ascii="Arial"/>
                <w:sz w:val="21"/>
                <w:highlight w:val="none"/>
              </w:rPr>
            </w:pPr>
          </w:p>
        </w:tc>
        <w:tc>
          <w:tcPr>
            <w:tcW w:w="993" w:type="dxa"/>
            <w:vAlign w:val="top"/>
          </w:tcPr>
          <w:p w14:paraId="3072B5B5">
            <w:pPr>
              <w:rPr>
                <w:rFonts w:ascii="Arial"/>
                <w:sz w:val="21"/>
                <w:highlight w:val="none"/>
              </w:rPr>
            </w:pPr>
          </w:p>
        </w:tc>
        <w:tc>
          <w:tcPr>
            <w:tcW w:w="1931" w:type="dxa"/>
            <w:tcBorders>
              <w:right w:val="single" w:color="000000" w:sz="10" w:space="0"/>
            </w:tcBorders>
            <w:vAlign w:val="top"/>
          </w:tcPr>
          <w:p w14:paraId="21A49E2B">
            <w:pPr>
              <w:rPr>
                <w:rFonts w:ascii="Arial"/>
                <w:sz w:val="21"/>
                <w:highlight w:val="none"/>
              </w:rPr>
            </w:pPr>
          </w:p>
        </w:tc>
      </w:tr>
      <w:tr w14:paraId="02546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64" w:type="dxa"/>
            <w:tcBorders>
              <w:left w:val="single" w:color="000000" w:sz="10" w:space="0"/>
            </w:tcBorders>
            <w:vAlign w:val="top"/>
          </w:tcPr>
          <w:p w14:paraId="4C129A90">
            <w:pPr>
              <w:rPr>
                <w:rFonts w:ascii="Arial"/>
                <w:sz w:val="21"/>
                <w:highlight w:val="none"/>
              </w:rPr>
            </w:pPr>
          </w:p>
        </w:tc>
        <w:tc>
          <w:tcPr>
            <w:tcW w:w="1520" w:type="dxa"/>
            <w:vAlign w:val="top"/>
          </w:tcPr>
          <w:p w14:paraId="6306E642">
            <w:pPr>
              <w:rPr>
                <w:rFonts w:ascii="Arial"/>
                <w:sz w:val="21"/>
                <w:highlight w:val="none"/>
              </w:rPr>
            </w:pPr>
          </w:p>
        </w:tc>
        <w:tc>
          <w:tcPr>
            <w:tcW w:w="1714" w:type="dxa"/>
            <w:vAlign w:val="top"/>
          </w:tcPr>
          <w:p w14:paraId="54B44D53">
            <w:pPr>
              <w:rPr>
                <w:rFonts w:ascii="Arial"/>
                <w:sz w:val="21"/>
                <w:highlight w:val="none"/>
              </w:rPr>
            </w:pPr>
          </w:p>
        </w:tc>
        <w:tc>
          <w:tcPr>
            <w:tcW w:w="2297" w:type="dxa"/>
            <w:vAlign w:val="top"/>
          </w:tcPr>
          <w:p w14:paraId="2E81279A">
            <w:pPr>
              <w:rPr>
                <w:rFonts w:ascii="Arial"/>
                <w:sz w:val="21"/>
                <w:highlight w:val="none"/>
              </w:rPr>
            </w:pPr>
          </w:p>
        </w:tc>
        <w:tc>
          <w:tcPr>
            <w:tcW w:w="993" w:type="dxa"/>
            <w:vAlign w:val="top"/>
          </w:tcPr>
          <w:p w14:paraId="5CBEA05F">
            <w:pPr>
              <w:rPr>
                <w:rFonts w:ascii="Arial"/>
                <w:sz w:val="21"/>
                <w:highlight w:val="none"/>
              </w:rPr>
            </w:pPr>
          </w:p>
        </w:tc>
        <w:tc>
          <w:tcPr>
            <w:tcW w:w="1931" w:type="dxa"/>
            <w:tcBorders>
              <w:right w:val="single" w:color="000000" w:sz="10" w:space="0"/>
            </w:tcBorders>
            <w:vAlign w:val="top"/>
          </w:tcPr>
          <w:p w14:paraId="1B900804">
            <w:pPr>
              <w:rPr>
                <w:rFonts w:ascii="Arial"/>
                <w:sz w:val="21"/>
                <w:highlight w:val="none"/>
              </w:rPr>
            </w:pPr>
          </w:p>
        </w:tc>
      </w:tr>
      <w:tr w14:paraId="4C64E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4" w:type="dxa"/>
            <w:tcBorders>
              <w:left w:val="single" w:color="000000" w:sz="10" w:space="0"/>
            </w:tcBorders>
            <w:vAlign w:val="top"/>
          </w:tcPr>
          <w:p w14:paraId="25A1DCF0">
            <w:pPr>
              <w:rPr>
                <w:rFonts w:ascii="Arial"/>
                <w:sz w:val="21"/>
                <w:highlight w:val="none"/>
              </w:rPr>
            </w:pPr>
          </w:p>
        </w:tc>
        <w:tc>
          <w:tcPr>
            <w:tcW w:w="1520" w:type="dxa"/>
            <w:vAlign w:val="top"/>
          </w:tcPr>
          <w:p w14:paraId="59E7763B">
            <w:pPr>
              <w:rPr>
                <w:rFonts w:ascii="Arial"/>
                <w:sz w:val="21"/>
                <w:highlight w:val="none"/>
              </w:rPr>
            </w:pPr>
          </w:p>
        </w:tc>
        <w:tc>
          <w:tcPr>
            <w:tcW w:w="1714" w:type="dxa"/>
            <w:vAlign w:val="top"/>
          </w:tcPr>
          <w:p w14:paraId="6B37DACA">
            <w:pPr>
              <w:rPr>
                <w:rFonts w:ascii="Arial"/>
                <w:sz w:val="21"/>
                <w:highlight w:val="none"/>
              </w:rPr>
            </w:pPr>
          </w:p>
        </w:tc>
        <w:tc>
          <w:tcPr>
            <w:tcW w:w="2297" w:type="dxa"/>
            <w:vAlign w:val="top"/>
          </w:tcPr>
          <w:p w14:paraId="7E2A0172">
            <w:pPr>
              <w:rPr>
                <w:rFonts w:ascii="Arial"/>
                <w:sz w:val="21"/>
                <w:highlight w:val="none"/>
              </w:rPr>
            </w:pPr>
          </w:p>
        </w:tc>
        <w:tc>
          <w:tcPr>
            <w:tcW w:w="993" w:type="dxa"/>
            <w:vAlign w:val="top"/>
          </w:tcPr>
          <w:p w14:paraId="34F61CD1">
            <w:pPr>
              <w:rPr>
                <w:rFonts w:ascii="Arial"/>
                <w:sz w:val="21"/>
                <w:highlight w:val="none"/>
              </w:rPr>
            </w:pPr>
          </w:p>
        </w:tc>
        <w:tc>
          <w:tcPr>
            <w:tcW w:w="1931" w:type="dxa"/>
            <w:tcBorders>
              <w:right w:val="single" w:color="000000" w:sz="10" w:space="0"/>
            </w:tcBorders>
            <w:vAlign w:val="top"/>
          </w:tcPr>
          <w:p w14:paraId="561F11C7">
            <w:pPr>
              <w:rPr>
                <w:rFonts w:ascii="Arial"/>
                <w:sz w:val="21"/>
                <w:highlight w:val="none"/>
              </w:rPr>
            </w:pPr>
          </w:p>
        </w:tc>
      </w:tr>
      <w:tr w14:paraId="6AA8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64" w:type="dxa"/>
            <w:tcBorders>
              <w:left w:val="single" w:color="000000" w:sz="10" w:space="0"/>
            </w:tcBorders>
            <w:vAlign w:val="top"/>
          </w:tcPr>
          <w:p w14:paraId="3CA5C7C3">
            <w:pPr>
              <w:rPr>
                <w:rFonts w:ascii="Arial"/>
                <w:sz w:val="21"/>
                <w:highlight w:val="none"/>
              </w:rPr>
            </w:pPr>
          </w:p>
        </w:tc>
        <w:tc>
          <w:tcPr>
            <w:tcW w:w="1520" w:type="dxa"/>
            <w:vAlign w:val="top"/>
          </w:tcPr>
          <w:p w14:paraId="1C268F2B">
            <w:pPr>
              <w:rPr>
                <w:rFonts w:ascii="Arial"/>
                <w:sz w:val="21"/>
                <w:highlight w:val="none"/>
              </w:rPr>
            </w:pPr>
          </w:p>
        </w:tc>
        <w:tc>
          <w:tcPr>
            <w:tcW w:w="1714" w:type="dxa"/>
            <w:vAlign w:val="top"/>
          </w:tcPr>
          <w:p w14:paraId="30B510CA">
            <w:pPr>
              <w:rPr>
                <w:rFonts w:ascii="Arial"/>
                <w:sz w:val="21"/>
                <w:highlight w:val="none"/>
              </w:rPr>
            </w:pPr>
          </w:p>
        </w:tc>
        <w:tc>
          <w:tcPr>
            <w:tcW w:w="2297" w:type="dxa"/>
            <w:vAlign w:val="top"/>
          </w:tcPr>
          <w:p w14:paraId="3336585A">
            <w:pPr>
              <w:rPr>
                <w:rFonts w:ascii="Arial"/>
                <w:sz w:val="21"/>
                <w:highlight w:val="none"/>
              </w:rPr>
            </w:pPr>
          </w:p>
        </w:tc>
        <w:tc>
          <w:tcPr>
            <w:tcW w:w="993" w:type="dxa"/>
            <w:vAlign w:val="top"/>
          </w:tcPr>
          <w:p w14:paraId="4E46A155">
            <w:pPr>
              <w:rPr>
                <w:rFonts w:ascii="Arial"/>
                <w:sz w:val="21"/>
                <w:highlight w:val="none"/>
              </w:rPr>
            </w:pPr>
          </w:p>
        </w:tc>
        <w:tc>
          <w:tcPr>
            <w:tcW w:w="1931" w:type="dxa"/>
            <w:tcBorders>
              <w:right w:val="single" w:color="000000" w:sz="10" w:space="0"/>
            </w:tcBorders>
            <w:vAlign w:val="top"/>
          </w:tcPr>
          <w:p w14:paraId="42BB7E84">
            <w:pPr>
              <w:rPr>
                <w:rFonts w:ascii="Arial"/>
                <w:sz w:val="21"/>
                <w:highlight w:val="none"/>
              </w:rPr>
            </w:pPr>
          </w:p>
        </w:tc>
      </w:tr>
      <w:tr w14:paraId="030BB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4" w:type="dxa"/>
            <w:tcBorders>
              <w:left w:val="single" w:color="000000" w:sz="10" w:space="0"/>
            </w:tcBorders>
            <w:vAlign w:val="top"/>
          </w:tcPr>
          <w:p w14:paraId="730CB085">
            <w:pPr>
              <w:rPr>
                <w:rFonts w:ascii="Arial"/>
                <w:sz w:val="21"/>
                <w:highlight w:val="none"/>
              </w:rPr>
            </w:pPr>
          </w:p>
        </w:tc>
        <w:tc>
          <w:tcPr>
            <w:tcW w:w="1520" w:type="dxa"/>
            <w:vAlign w:val="top"/>
          </w:tcPr>
          <w:p w14:paraId="3BEBC078">
            <w:pPr>
              <w:rPr>
                <w:rFonts w:ascii="Arial"/>
                <w:sz w:val="21"/>
                <w:highlight w:val="none"/>
              </w:rPr>
            </w:pPr>
          </w:p>
        </w:tc>
        <w:tc>
          <w:tcPr>
            <w:tcW w:w="1714" w:type="dxa"/>
            <w:vAlign w:val="top"/>
          </w:tcPr>
          <w:p w14:paraId="1C4FB99B">
            <w:pPr>
              <w:rPr>
                <w:rFonts w:ascii="Arial"/>
                <w:sz w:val="21"/>
                <w:highlight w:val="none"/>
              </w:rPr>
            </w:pPr>
          </w:p>
        </w:tc>
        <w:tc>
          <w:tcPr>
            <w:tcW w:w="2297" w:type="dxa"/>
            <w:vAlign w:val="top"/>
          </w:tcPr>
          <w:p w14:paraId="21E87EA9">
            <w:pPr>
              <w:rPr>
                <w:rFonts w:ascii="Arial"/>
                <w:sz w:val="21"/>
                <w:highlight w:val="none"/>
              </w:rPr>
            </w:pPr>
          </w:p>
        </w:tc>
        <w:tc>
          <w:tcPr>
            <w:tcW w:w="993" w:type="dxa"/>
            <w:vAlign w:val="top"/>
          </w:tcPr>
          <w:p w14:paraId="6D5B2A9F">
            <w:pPr>
              <w:rPr>
                <w:rFonts w:ascii="Arial"/>
                <w:sz w:val="21"/>
                <w:highlight w:val="none"/>
              </w:rPr>
            </w:pPr>
          </w:p>
        </w:tc>
        <w:tc>
          <w:tcPr>
            <w:tcW w:w="1931" w:type="dxa"/>
            <w:tcBorders>
              <w:right w:val="single" w:color="000000" w:sz="10" w:space="0"/>
            </w:tcBorders>
            <w:vAlign w:val="top"/>
          </w:tcPr>
          <w:p w14:paraId="6C229C61">
            <w:pPr>
              <w:rPr>
                <w:rFonts w:ascii="Arial"/>
                <w:sz w:val="21"/>
                <w:highlight w:val="none"/>
              </w:rPr>
            </w:pPr>
          </w:p>
        </w:tc>
      </w:tr>
      <w:tr w14:paraId="05759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64" w:type="dxa"/>
            <w:tcBorders>
              <w:left w:val="single" w:color="000000" w:sz="10" w:space="0"/>
            </w:tcBorders>
            <w:vAlign w:val="top"/>
          </w:tcPr>
          <w:p w14:paraId="55346363">
            <w:pPr>
              <w:rPr>
                <w:rFonts w:ascii="Arial"/>
                <w:sz w:val="21"/>
                <w:highlight w:val="none"/>
              </w:rPr>
            </w:pPr>
          </w:p>
        </w:tc>
        <w:tc>
          <w:tcPr>
            <w:tcW w:w="1520" w:type="dxa"/>
            <w:vAlign w:val="top"/>
          </w:tcPr>
          <w:p w14:paraId="7A967726">
            <w:pPr>
              <w:rPr>
                <w:rFonts w:ascii="Arial"/>
                <w:sz w:val="21"/>
                <w:highlight w:val="none"/>
              </w:rPr>
            </w:pPr>
          </w:p>
        </w:tc>
        <w:tc>
          <w:tcPr>
            <w:tcW w:w="1714" w:type="dxa"/>
            <w:vAlign w:val="top"/>
          </w:tcPr>
          <w:p w14:paraId="3C280097">
            <w:pPr>
              <w:rPr>
                <w:rFonts w:ascii="Arial"/>
                <w:sz w:val="21"/>
                <w:highlight w:val="none"/>
              </w:rPr>
            </w:pPr>
          </w:p>
        </w:tc>
        <w:tc>
          <w:tcPr>
            <w:tcW w:w="2297" w:type="dxa"/>
            <w:vAlign w:val="top"/>
          </w:tcPr>
          <w:p w14:paraId="74A26257">
            <w:pPr>
              <w:rPr>
                <w:rFonts w:ascii="Arial"/>
                <w:sz w:val="21"/>
                <w:highlight w:val="none"/>
              </w:rPr>
            </w:pPr>
          </w:p>
        </w:tc>
        <w:tc>
          <w:tcPr>
            <w:tcW w:w="993" w:type="dxa"/>
            <w:vAlign w:val="top"/>
          </w:tcPr>
          <w:p w14:paraId="66831E09">
            <w:pPr>
              <w:rPr>
                <w:rFonts w:ascii="Arial"/>
                <w:sz w:val="21"/>
                <w:highlight w:val="none"/>
              </w:rPr>
            </w:pPr>
          </w:p>
        </w:tc>
        <w:tc>
          <w:tcPr>
            <w:tcW w:w="1931" w:type="dxa"/>
            <w:tcBorders>
              <w:right w:val="single" w:color="000000" w:sz="10" w:space="0"/>
            </w:tcBorders>
            <w:vAlign w:val="top"/>
          </w:tcPr>
          <w:p w14:paraId="79174F90">
            <w:pPr>
              <w:rPr>
                <w:rFonts w:ascii="Arial"/>
                <w:sz w:val="21"/>
                <w:highlight w:val="none"/>
              </w:rPr>
            </w:pPr>
          </w:p>
        </w:tc>
      </w:tr>
      <w:tr w14:paraId="6544F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64" w:type="dxa"/>
            <w:tcBorders>
              <w:left w:val="single" w:color="000000" w:sz="10" w:space="0"/>
              <w:bottom w:val="single" w:color="000000" w:sz="10" w:space="0"/>
            </w:tcBorders>
            <w:vAlign w:val="top"/>
          </w:tcPr>
          <w:p w14:paraId="71988FC8">
            <w:pPr>
              <w:rPr>
                <w:rFonts w:ascii="Arial"/>
                <w:sz w:val="21"/>
                <w:highlight w:val="none"/>
              </w:rPr>
            </w:pPr>
          </w:p>
        </w:tc>
        <w:tc>
          <w:tcPr>
            <w:tcW w:w="1520" w:type="dxa"/>
            <w:tcBorders>
              <w:bottom w:val="single" w:color="000000" w:sz="10" w:space="0"/>
            </w:tcBorders>
            <w:vAlign w:val="top"/>
          </w:tcPr>
          <w:p w14:paraId="4DBBC33C">
            <w:pPr>
              <w:rPr>
                <w:rFonts w:ascii="Arial"/>
                <w:sz w:val="21"/>
                <w:highlight w:val="none"/>
              </w:rPr>
            </w:pPr>
          </w:p>
        </w:tc>
        <w:tc>
          <w:tcPr>
            <w:tcW w:w="1714" w:type="dxa"/>
            <w:tcBorders>
              <w:bottom w:val="single" w:color="000000" w:sz="10" w:space="0"/>
            </w:tcBorders>
            <w:vAlign w:val="top"/>
          </w:tcPr>
          <w:p w14:paraId="3A422C0E">
            <w:pPr>
              <w:rPr>
                <w:rFonts w:ascii="Arial"/>
                <w:sz w:val="21"/>
                <w:highlight w:val="none"/>
              </w:rPr>
            </w:pPr>
          </w:p>
        </w:tc>
        <w:tc>
          <w:tcPr>
            <w:tcW w:w="2297" w:type="dxa"/>
            <w:tcBorders>
              <w:bottom w:val="single" w:color="000000" w:sz="10" w:space="0"/>
            </w:tcBorders>
            <w:vAlign w:val="top"/>
          </w:tcPr>
          <w:p w14:paraId="71911BD9">
            <w:pPr>
              <w:rPr>
                <w:rFonts w:ascii="Arial"/>
                <w:sz w:val="21"/>
                <w:highlight w:val="none"/>
              </w:rPr>
            </w:pPr>
          </w:p>
        </w:tc>
        <w:tc>
          <w:tcPr>
            <w:tcW w:w="993" w:type="dxa"/>
            <w:tcBorders>
              <w:bottom w:val="single" w:color="000000" w:sz="10" w:space="0"/>
            </w:tcBorders>
            <w:vAlign w:val="top"/>
          </w:tcPr>
          <w:p w14:paraId="421B54EA">
            <w:pPr>
              <w:rPr>
                <w:rFonts w:ascii="Arial"/>
                <w:sz w:val="21"/>
                <w:highlight w:val="none"/>
              </w:rPr>
            </w:pPr>
          </w:p>
        </w:tc>
        <w:tc>
          <w:tcPr>
            <w:tcW w:w="1931" w:type="dxa"/>
            <w:tcBorders>
              <w:bottom w:val="single" w:color="000000" w:sz="10" w:space="0"/>
              <w:right w:val="single" w:color="000000" w:sz="10" w:space="0"/>
            </w:tcBorders>
            <w:vAlign w:val="top"/>
          </w:tcPr>
          <w:p w14:paraId="0E370E92">
            <w:pPr>
              <w:rPr>
                <w:rFonts w:ascii="Arial"/>
                <w:sz w:val="21"/>
                <w:highlight w:val="none"/>
              </w:rPr>
            </w:pPr>
          </w:p>
        </w:tc>
      </w:tr>
    </w:tbl>
    <w:p w14:paraId="1EA9826B">
      <w:pPr>
        <w:spacing w:before="27" w:line="220" w:lineRule="auto"/>
        <w:ind w:left="359"/>
        <w:rPr>
          <w:rFonts w:ascii="宋体" w:hAnsi="宋体" w:eastAsia="宋体" w:cs="宋体"/>
          <w:sz w:val="18"/>
          <w:szCs w:val="18"/>
          <w:highlight w:val="none"/>
        </w:rPr>
      </w:pPr>
      <w:r>
        <w:rPr>
          <w:rFonts w:ascii="宋体" w:hAnsi="宋体" w:eastAsia="宋体" w:cs="宋体"/>
          <w:spacing w:val="-4"/>
          <w:sz w:val="18"/>
          <w:szCs w:val="18"/>
          <w:highlight w:val="none"/>
        </w:rPr>
        <w:t>说明：</w:t>
      </w:r>
    </w:p>
    <w:p w14:paraId="4B119649">
      <w:pPr>
        <w:spacing w:before="19" w:line="233" w:lineRule="auto"/>
        <w:ind w:left="357" w:right="7" w:firstLine="552"/>
        <w:rPr>
          <w:rFonts w:ascii="宋体" w:hAnsi="宋体" w:eastAsia="宋体" w:cs="宋体"/>
          <w:sz w:val="18"/>
          <w:szCs w:val="18"/>
          <w:highlight w:val="none"/>
        </w:rPr>
      </w:pPr>
      <w:r>
        <w:rPr>
          <w:rFonts w:ascii="宋体" w:hAnsi="宋体" w:eastAsia="宋体" w:cs="宋体"/>
          <w:spacing w:val="1"/>
          <w:sz w:val="18"/>
          <w:szCs w:val="18"/>
          <w:highlight w:val="none"/>
        </w:rPr>
        <w:t>1.本表只填写响应文件中与征集文件有偏离的内容，响应</w:t>
      </w:r>
      <w:r>
        <w:rPr>
          <w:rFonts w:ascii="宋体" w:hAnsi="宋体" w:eastAsia="宋体" w:cs="宋体"/>
          <w:sz w:val="18"/>
          <w:szCs w:val="18"/>
          <w:highlight w:val="none"/>
        </w:rPr>
        <w:t>文件中商务响应与征集文件要求完全一致的，</w:t>
      </w:r>
      <w:r>
        <w:rPr>
          <w:rFonts w:ascii="宋体" w:hAnsi="宋体" w:eastAsia="宋体" w:cs="宋体"/>
          <w:spacing w:val="1"/>
          <w:sz w:val="18"/>
          <w:szCs w:val="18"/>
          <w:highlight w:val="none"/>
        </w:rPr>
        <w:t>不用在此表中列出，但必须提交空白表；如不提供此表，则视为供应商不满足征集文件</w:t>
      </w:r>
      <w:r>
        <w:rPr>
          <w:rFonts w:ascii="宋体" w:hAnsi="宋体" w:eastAsia="宋体" w:cs="宋体"/>
          <w:sz w:val="18"/>
          <w:szCs w:val="18"/>
          <w:highlight w:val="none"/>
        </w:rPr>
        <w:t>所有的商务条款要求，</w:t>
      </w:r>
      <w:r>
        <w:rPr>
          <w:rFonts w:ascii="宋体" w:hAnsi="宋体" w:eastAsia="宋体" w:cs="宋体"/>
          <w:spacing w:val="-3"/>
          <w:sz w:val="18"/>
          <w:szCs w:val="18"/>
          <w:highlight w:val="none"/>
        </w:rPr>
        <w:t>其</w:t>
      </w:r>
      <w:r>
        <w:rPr>
          <w:rFonts w:ascii="宋体" w:hAnsi="宋体" w:eastAsia="宋体" w:cs="宋体"/>
          <w:b/>
          <w:bCs/>
          <w:spacing w:val="-3"/>
          <w:sz w:val="18"/>
          <w:szCs w:val="18"/>
          <w:highlight w:val="none"/>
        </w:rPr>
        <w:t>投标无效</w:t>
      </w:r>
      <w:r>
        <w:rPr>
          <w:rFonts w:ascii="宋体" w:hAnsi="宋体" w:eastAsia="宋体" w:cs="宋体"/>
          <w:spacing w:val="-3"/>
          <w:sz w:val="18"/>
          <w:szCs w:val="18"/>
          <w:highlight w:val="none"/>
        </w:rPr>
        <w:t>。</w:t>
      </w:r>
    </w:p>
    <w:p w14:paraId="0643032F">
      <w:pPr>
        <w:spacing w:before="18" w:line="219" w:lineRule="auto"/>
        <w:ind w:left="762"/>
        <w:rPr>
          <w:rFonts w:ascii="宋体" w:hAnsi="宋体" w:eastAsia="宋体" w:cs="宋体"/>
          <w:sz w:val="18"/>
          <w:szCs w:val="18"/>
          <w:highlight w:val="none"/>
        </w:rPr>
      </w:pPr>
      <w:r>
        <w:rPr>
          <w:rFonts w:ascii="宋体" w:hAnsi="宋体" w:eastAsia="宋体" w:cs="宋体"/>
          <w:sz w:val="18"/>
          <w:szCs w:val="18"/>
          <w:highlight w:val="none"/>
        </w:rPr>
        <w:t>2.供应商必须据实填写，不得虚假响应，否则将</w:t>
      </w:r>
      <w:r>
        <w:rPr>
          <w:rFonts w:ascii="宋体" w:hAnsi="宋体" w:eastAsia="宋体" w:cs="宋体"/>
          <w:spacing w:val="-1"/>
          <w:sz w:val="18"/>
          <w:szCs w:val="18"/>
          <w:highlight w:val="none"/>
        </w:rPr>
        <w:t>取消其投标或中标资格。</w:t>
      </w:r>
    </w:p>
    <w:p w14:paraId="46B3AB1D">
      <w:pPr>
        <w:pStyle w:val="5"/>
        <w:spacing w:line="245" w:lineRule="auto"/>
        <w:rPr>
          <w:highlight w:val="none"/>
        </w:rPr>
      </w:pPr>
    </w:p>
    <w:p w14:paraId="703702F7">
      <w:pPr>
        <w:pStyle w:val="5"/>
        <w:spacing w:line="246" w:lineRule="auto"/>
        <w:rPr>
          <w:highlight w:val="none"/>
        </w:rPr>
      </w:pPr>
    </w:p>
    <w:p w14:paraId="5FAF82D5">
      <w:pPr>
        <w:spacing w:before="79" w:line="219" w:lineRule="auto"/>
        <w:ind w:left="134"/>
        <w:rPr>
          <w:rFonts w:ascii="宋体" w:hAnsi="宋体" w:eastAsia="宋体" w:cs="宋体"/>
          <w:sz w:val="24"/>
          <w:szCs w:val="24"/>
          <w:highlight w:val="none"/>
        </w:rPr>
      </w:pPr>
      <w:r>
        <w:rPr>
          <w:rFonts w:hint="eastAsia" w:ascii="宋体" w:hAnsi="宋体" w:eastAsia="宋体" w:cs="宋体"/>
          <w:spacing w:val="-32"/>
          <w:sz w:val="24"/>
          <w:szCs w:val="24"/>
          <w:highlight w:val="none"/>
        </w:rPr>
        <w:t>投标人名称</w:t>
      </w:r>
      <w:r>
        <w:rPr>
          <w:rFonts w:ascii="宋体" w:hAnsi="宋体" w:eastAsia="宋体" w:cs="宋体"/>
          <w:spacing w:val="-32"/>
          <w:sz w:val="24"/>
          <w:szCs w:val="24"/>
          <w:highlight w:val="none"/>
        </w:rPr>
        <w:t>：</w:t>
      </w:r>
      <w:r>
        <w:rPr>
          <w:rFonts w:ascii="宋体" w:hAnsi="宋体" w:eastAsia="宋体" w:cs="宋体"/>
          <w:spacing w:val="5"/>
          <w:sz w:val="24"/>
          <w:szCs w:val="24"/>
          <w:highlight w:val="none"/>
          <w:u w:val="single" w:color="auto"/>
        </w:rPr>
        <w:t xml:space="preserve">                        </w:t>
      </w:r>
      <w:r>
        <w:rPr>
          <w:rFonts w:ascii="宋体" w:hAnsi="宋体" w:eastAsia="宋体" w:cs="宋体"/>
          <w:spacing w:val="-32"/>
          <w:sz w:val="24"/>
          <w:szCs w:val="24"/>
          <w:highlight w:val="none"/>
        </w:rPr>
        <w:t>（</w:t>
      </w:r>
      <w:r>
        <w:rPr>
          <w:rFonts w:ascii="宋体" w:hAnsi="宋体" w:eastAsia="宋体" w:cs="宋体"/>
          <w:spacing w:val="5"/>
          <w:sz w:val="24"/>
          <w:szCs w:val="24"/>
          <w:highlight w:val="none"/>
        </w:rPr>
        <w:t>盖单位章）</w:t>
      </w:r>
    </w:p>
    <w:p w14:paraId="575D5243">
      <w:pPr>
        <w:spacing w:before="267" w:line="220" w:lineRule="auto"/>
        <w:ind w:left="132"/>
        <w:rPr>
          <w:rFonts w:ascii="宋体" w:hAnsi="宋体" w:eastAsia="宋体" w:cs="宋体"/>
          <w:sz w:val="24"/>
          <w:szCs w:val="24"/>
          <w:highlight w:val="none"/>
        </w:rPr>
      </w:pPr>
      <w:r>
        <w:rPr>
          <w:rFonts w:ascii="宋体" w:hAnsi="宋体" w:eastAsia="宋体" w:cs="宋体"/>
          <w:spacing w:val="1"/>
          <w:sz w:val="24"/>
          <w:szCs w:val="24"/>
          <w:highlight w:val="none"/>
        </w:rPr>
        <w:t>法定代表人或委托代理人</w:t>
      </w:r>
      <w:r>
        <w:rPr>
          <w:rFonts w:ascii="宋体" w:hAnsi="宋体" w:eastAsia="宋体" w:cs="宋体"/>
          <w:spacing w:val="-13"/>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3"/>
          <w:sz w:val="24"/>
          <w:szCs w:val="24"/>
          <w:highlight w:val="none"/>
        </w:rPr>
        <w:t>（</w:t>
      </w:r>
      <w:r>
        <w:rPr>
          <w:rFonts w:ascii="宋体" w:hAnsi="宋体" w:eastAsia="宋体" w:cs="宋体"/>
          <w:spacing w:val="1"/>
          <w:sz w:val="24"/>
          <w:szCs w:val="24"/>
          <w:highlight w:val="none"/>
        </w:rPr>
        <w:t>签名）</w:t>
      </w:r>
    </w:p>
    <w:p w14:paraId="11829977">
      <w:pPr>
        <w:pStyle w:val="5"/>
        <w:spacing w:line="258" w:lineRule="auto"/>
        <w:rPr>
          <w:highlight w:val="none"/>
        </w:rPr>
      </w:pPr>
    </w:p>
    <w:p w14:paraId="0603B634">
      <w:pPr>
        <w:spacing w:before="78" w:line="220" w:lineRule="auto"/>
        <w:ind w:left="172"/>
        <w:rPr>
          <w:rFonts w:ascii="宋体" w:hAnsi="宋体" w:eastAsia="宋体" w:cs="宋体"/>
          <w:sz w:val="24"/>
          <w:szCs w:val="24"/>
          <w:highlight w:val="none"/>
        </w:rPr>
      </w:pPr>
      <w:r>
        <w:rPr>
          <w:rFonts w:ascii="宋体" w:hAnsi="宋体" w:eastAsia="宋体" w:cs="宋体"/>
          <w:spacing w:val="-15"/>
          <w:sz w:val="24"/>
          <w:szCs w:val="24"/>
          <w:highlight w:val="none"/>
        </w:rPr>
        <w:t>日</w:t>
      </w:r>
      <w:r>
        <w:rPr>
          <w:rFonts w:ascii="宋体" w:hAnsi="宋体" w:eastAsia="宋体" w:cs="宋体"/>
          <w:spacing w:val="3"/>
          <w:sz w:val="24"/>
          <w:szCs w:val="24"/>
          <w:highlight w:val="none"/>
        </w:rPr>
        <w:t xml:space="preserve">    </w:t>
      </w:r>
      <w:r>
        <w:rPr>
          <w:rFonts w:ascii="宋体" w:hAnsi="宋体" w:eastAsia="宋体" w:cs="宋体"/>
          <w:spacing w:val="-15"/>
          <w:sz w:val="24"/>
          <w:szCs w:val="24"/>
          <w:highlight w:val="none"/>
        </w:rPr>
        <w:t>期:</w:t>
      </w:r>
      <w:r>
        <w:rPr>
          <w:rFonts w:ascii="宋体" w:hAnsi="宋体" w:eastAsia="宋体" w:cs="宋体"/>
          <w:spacing w:val="2"/>
          <w:sz w:val="24"/>
          <w:szCs w:val="24"/>
          <w:highlight w:val="none"/>
        </w:rPr>
        <w:t xml:space="preserve">     </w:t>
      </w:r>
      <w:r>
        <w:rPr>
          <w:rFonts w:ascii="宋体" w:hAnsi="宋体" w:eastAsia="宋体" w:cs="宋体"/>
          <w:spacing w:val="-15"/>
          <w:sz w:val="24"/>
          <w:szCs w:val="24"/>
          <w:highlight w:val="none"/>
        </w:rPr>
        <w:t>年</w:t>
      </w:r>
      <w:r>
        <w:rPr>
          <w:rFonts w:ascii="宋体" w:hAnsi="宋体" w:eastAsia="宋体" w:cs="宋体"/>
          <w:spacing w:val="8"/>
          <w:sz w:val="24"/>
          <w:szCs w:val="24"/>
          <w:highlight w:val="none"/>
        </w:rPr>
        <w:t xml:space="preserve">  </w:t>
      </w:r>
      <w:r>
        <w:rPr>
          <w:rFonts w:ascii="宋体" w:hAnsi="宋体" w:eastAsia="宋体" w:cs="宋体"/>
          <w:spacing w:val="-15"/>
          <w:sz w:val="24"/>
          <w:szCs w:val="24"/>
          <w:highlight w:val="none"/>
        </w:rPr>
        <w:t>月</w:t>
      </w:r>
      <w:r>
        <w:rPr>
          <w:rFonts w:ascii="宋体" w:hAnsi="宋体" w:eastAsia="宋体" w:cs="宋体"/>
          <w:spacing w:val="25"/>
          <w:sz w:val="24"/>
          <w:szCs w:val="24"/>
          <w:highlight w:val="none"/>
        </w:rPr>
        <w:t xml:space="preserve">  </w:t>
      </w:r>
      <w:r>
        <w:rPr>
          <w:rFonts w:ascii="宋体" w:hAnsi="宋体" w:eastAsia="宋体" w:cs="宋体"/>
          <w:spacing w:val="-15"/>
          <w:sz w:val="24"/>
          <w:szCs w:val="24"/>
          <w:highlight w:val="none"/>
        </w:rPr>
        <w:t>日</w:t>
      </w:r>
    </w:p>
    <w:p w14:paraId="221C7667">
      <w:pPr>
        <w:spacing w:line="220" w:lineRule="auto"/>
        <w:rPr>
          <w:rFonts w:ascii="宋体" w:hAnsi="宋体" w:eastAsia="宋体" w:cs="宋体"/>
          <w:sz w:val="24"/>
          <w:szCs w:val="24"/>
          <w:highlight w:val="none"/>
        </w:rPr>
        <w:sectPr>
          <w:footerReference r:id="rId25" w:type="default"/>
          <w:pgSz w:w="11907" w:h="16840"/>
          <w:pgMar w:top="1162" w:right="1510" w:bottom="1199" w:left="1351" w:header="0" w:footer="984" w:gutter="0"/>
          <w:pgNumType w:fmt="decimal"/>
          <w:cols w:space="720" w:num="1"/>
        </w:sectPr>
      </w:pPr>
    </w:p>
    <w:p w14:paraId="6D7051B3">
      <w:pPr>
        <w:spacing w:before="72" w:line="225" w:lineRule="auto"/>
        <w:ind w:left="2944"/>
        <w:rPr>
          <w:rFonts w:ascii="宋体" w:hAnsi="宋体" w:eastAsia="宋体" w:cs="宋体"/>
          <w:sz w:val="35"/>
          <w:szCs w:val="35"/>
          <w:highlight w:val="none"/>
        </w:rPr>
      </w:pPr>
      <w:r>
        <w:rPr>
          <w:rFonts w:ascii="宋体" w:hAnsi="宋体" w:eastAsia="宋体" w:cs="宋体"/>
          <w:b/>
          <w:bCs/>
          <w:spacing w:val="-2"/>
          <w:sz w:val="35"/>
          <w:szCs w:val="35"/>
          <w:highlight w:val="none"/>
        </w:rPr>
        <w:t>第三部分</w:t>
      </w:r>
      <w:r>
        <w:rPr>
          <w:rFonts w:ascii="宋体" w:hAnsi="宋体" w:eastAsia="宋体" w:cs="宋体"/>
          <w:spacing w:val="68"/>
          <w:sz w:val="35"/>
          <w:szCs w:val="35"/>
          <w:highlight w:val="none"/>
        </w:rPr>
        <w:t xml:space="preserve"> </w:t>
      </w:r>
      <w:r>
        <w:rPr>
          <w:rFonts w:ascii="宋体" w:hAnsi="宋体" w:eastAsia="宋体" w:cs="宋体"/>
          <w:b/>
          <w:bCs/>
          <w:spacing w:val="-2"/>
          <w:sz w:val="35"/>
          <w:szCs w:val="35"/>
          <w:highlight w:val="none"/>
        </w:rPr>
        <w:t>申请方案</w:t>
      </w:r>
    </w:p>
    <w:p w14:paraId="1F06C10F">
      <w:pPr>
        <w:pStyle w:val="5"/>
        <w:spacing w:line="243" w:lineRule="auto"/>
        <w:rPr>
          <w:highlight w:val="none"/>
        </w:rPr>
      </w:pPr>
    </w:p>
    <w:p w14:paraId="10184F4B">
      <w:pPr>
        <w:pStyle w:val="5"/>
        <w:spacing w:line="244" w:lineRule="auto"/>
        <w:rPr>
          <w:highlight w:val="none"/>
        </w:rPr>
      </w:pPr>
    </w:p>
    <w:p w14:paraId="7F74E49D">
      <w:pPr>
        <w:spacing w:before="78" w:line="220" w:lineRule="auto"/>
        <w:rPr>
          <w:rFonts w:ascii="宋体" w:hAnsi="宋体" w:eastAsia="宋体" w:cs="宋体"/>
          <w:sz w:val="24"/>
          <w:szCs w:val="24"/>
          <w:highlight w:val="none"/>
        </w:rPr>
      </w:pPr>
      <w:r>
        <w:rPr>
          <w:rFonts w:ascii="宋体" w:hAnsi="宋体" w:eastAsia="宋体" w:cs="宋体"/>
          <w:spacing w:val="-5"/>
          <w:sz w:val="24"/>
          <w:szCs w:val="24"/>
          <w:highlight w:val="none"/>
        </w:rPr>
        <w:t>说明：</w:t>
      </w:r>
    </w:p>
    <w:p w14:paraId="6760A608">
      <w:pPr>
        <w:spacing w:before="115" w:line="307" w:lineRule="auto"/>
        <w:ind w:left="19" w:firstLine="459"/>
        <w:rPr>
          <w:rFonts w:ascii="宋体" w:hAnsi="宋体" w:eastAsia="宋体" w:cs="宋体"/>
          <w:sz w:val="24"/>
          <w:szCs w:val="24"/>
          <w:highlight w:val="none"/>
        </w:rPr>
      </w:pPr>
      <w:r>
        <w:rPr>
          <w:rFonts w:ascii="宋体" w:hAnsi="宋体" w:eastAsia="宋体" w:cs="宋体"/>
          <w:sz w:val="24"/>
          <w:szCs w:val="24"/>
          <w:highlight w:val="none"/>
        </w:rPr>
        <w:t>参照征集文件评标因素中技术部分 分值构成与评</w:t>
      </w:r>
      <w:r>
        <w:rPr>
          <w:rFonts w:ascii="宋体" w:hAnsi="宋体" w:eastAsia="宋体" w:cs="宋体"/>
          <w:spacing w:val="-1"/>
          <w:sz w:val="24"/>
          <w:szCs w:val="24"/>
          <w:highlight w:val="none"/>
        </w:rPr>
        <w:t>分标准各条款的要求，结合第</w:t>
      </w:r>
      <w:r>
        <w:rPr>
          <w:rFonts w:ascii="宋体" w:hAnsi="宋体" w:eastAsia="宋体" w:cs="宋体"/>
          <w:spacing w:val="-2"/>
          <w:sz w:val="24"/>
          <w:szCs w:val="24"/>
          <w:highlight w:val="none"/>
        </w:rPr>
        <w:t>四章《征集内容及采购需求》编制申请方案。</w:t>
      </w:r>
    </w:p>
    <w:p w14:paraId="2EF91316">
      <w:pPr>
        <w:spacing w:line="220" w:lineRule="auto"/>
        <w:ind w:left="597"/>
        <w:rPr>
          <w:rFonts w:ascii="宋体" w:hAnsi="宋体" w:eastAsia="宋体" w:cs="宋体"/>
          <w:sz w:val="24"/>
          <w:szCs w:val="24"/>
          <w:highlight w:val="none"/>
        </w:rPr>
      </w:pPr>
      <w:r>
        <w:rPr>
          <w:rFonts w:ascii="宋体" w:hAnsi="宋体" w:eastAsia="宋体" w:cs="宋体"/>
          <w:spacing w:val="-2"/>
          <w:sz w:val="24"/>
          <w:szCs w:val="24"/>
          <w:highlight w:val="none"/>
        </w:rPr>
        <w:t>格式自定。</w:t>
      </w:r>
    </w:p>
    <w:p w14:paraId="61FC085B">
      <w:pPr>
        <w:pStyle w:val="5"/>
        <w:spacing w:line="335" w:lineRule="auto"/>
        <w:rPr>
          <w:highlight w:val="none"/>
        </w:rPr>
      </w:pPr>
    </w:p>
    <w:p w14:paraId="14419A08">
      <w:pPr>
        <w:spacing w:before="114" w:line="225" w:lineRule="auto"/>
        <w:ind w:left="28"/>
        <w:rPr>
          <w:rFonts w:ascii="宋体" w:hAnsi="宋体" w:eastAsia="宋体" w:cs="宋体"/>
          <w:sz w:val="35"/>
          <w:szCs w:val="35"/>
          <w:highlight w:val="none"/>
        </w:rPr>
      </w:pPr>
      <w:r>
        <w:rPr>
          <w:rFonts w:ascii="宋体" w:hAnsi="宋体" w:eastAsia="宋体" w:cs="宋体"/>
          <w:b/>
          <w:bCs/>
          <w:spacing w:val="-1"/>
          <w:sz w:val="35"/>
          <w:szCs w:val="35"/>
          <w:highlight w:val="none"/>
        </w:rPr>
        <w:t>1、技术方案</w:t>
      </w:r>
    </w:p>
    <w:p w14:paraId="6E6BFEF5">
      <w:pPr>
        <w:pStyle w:val="5"/>
        <w:spacing w:line="278" w:lineRule="auto"/>
        <w:rPr>
          <w:highlight w:val="none"/>
        </w:rPr>
      </w:pPr>
    </w:p>
    <w:p w14:paraId="60BE50ED">
      <w:pPr>
        <w:spacing w:before="115" w:line="225" w:lineRule="auto"/>
        <w:ind w:left="6"/>
        <w:rPr>
          <w:rFonts w:ascii="宋体" w:hAnsi="宋体" w:eastAsia="宋体" w:cs="宋体"/>
          <w:sz w:val="35"/>
          <w:szCs w:val="35"/>
          <w:highlight w:val="none"/>
        </w:rPr>
      </w:pPr>
      <w:r>
        <w:rPr>
          <w:rFonts w:ascii="宋体" w:hAnsi="宋体" w:eastAsia="宋体" w:cs="宋体"/>
          <w:b/>
          <w:bCs/>
          <w:spacing w:val="3"/>
          <w:sz w:val="35"/>
          <w:szCs w:val="35"/>
          <w:highlight w:val="none"/>
        </w:rPr>
        <w:t>2、商务方案</w:t>
      </w:r>
    </w:p>
    <w:p w14:paraId="6E2E7C93">
      <w:pPr>
        <w:spacing w:line="225" w:lineRule="auto"/>
        <w:rPr>
          <w:rFonts w:ascii="宋体" w:hAnsi="宋体" w:eastAsia="宋体" w:cs="宋体"/>
          <w:sz w:val="35"/>
          <w:szCs w:val="35"/>
          <w:highlight w:val="none"/>
        </w:rPr>
        <w:sectPr>
          <w:footerReference r:id="rId26" w:type="default"/>
          <w:pgSz w:w="11907" w:h="16840"/>
          <w:pgMar w:top="1162" w:right="1673" w:bottom="1199" w:left="1485" w:header="0" w:footer="984" w:gutter="0"/>
          <w:pgNumType w:fmt="decimal"/>
          <w:cols w:space="720" w:num="1"/>
        </w:sectPr>
      </w:pPr>
    </w:p>
    <w:p w14:paraId="6C5E83FB">
      <w:pPr>
        <w:spacing w:before="48" w:line="219" w:lineRule="auto"/>
        <w:ind w:left="258"/>
        <w:rPr>
          <w:rFonts w:ascii="宋体" w:hAnsi="宋体" w:eastAsia="宋体" w:cs="宋体"/>
          <w:sz w:val="24"/>
          <w:szCs w:val="24"/>
          <w:highlight w:val="none"/>
        </w:rPr>
      </w:pPr>
      <w:r>
        <w:rPr>
          <w:rFonts w:ascii="宋体" w:hAnsi="宋体" w:eastAsia="宋体" w:cs="宋体"/>
          <w:b/>
          <w:bCs/>
          <w:spacing w:val="-12"/>
          <w:sz w:val="24"/>
          <w:szCs w:val="24"/>
          <w:highlight w:val="none"/>
        </w:rPr>
        <w:t>附件</w:t>
      </w:r>
      <w:r>
        <w:rPr>
          <w:rFonts w:ascii="宋体" w:hAnsi="宋体" w:eastAsia="宋体" w:cs="宋体"/>
          <w:spacing w:val="-49"/>
          <w:sz w:val="24"/>
          <w:szCs w:val="24"/>
          <w:highlight w:val="none"/>
        </w:rPr>
        <w:t xml:space="preserve"> </w:t>
      </w:r>
      <w:r>
        <w:rPr>
          <w:rFonts w:ascii="宋体" w:hAnsi="宋体" w:eastAsia="宋体" w:cs="宋体"/>
          <w:b/>
          <w:bCs/>
          <w:spacing w:val="-12"/>
          <w:sz w:val="24"/>
          <w:szCs w:val="24"/>
          <w:highlight w:val="none"/>
        </w:rPr>
        <w:t>4：</w:t>
      </w:r>
    </w:p>
    <w:p w14:paraId="2C68F88F">
      <w:pPr>
        <w:spacing w:before="313" w:line="225" w:lineRule="auto"/>
        <w:ind w:left="2796"/>
        <w:rPr>
          <w:rFonts w:ascii="宋体" w:hAnsi="宋体" w:eastAsia="宋体" w:cs="宋体"/>
          <w:sz w:val="31"/>
          <w:szCs w:val="31"/>
          <w:highlight w:val="none"/>
        </w:rPr>
      </w:pPr>
      <w:r>
        <w:rPr>
          <w:rFonts w:ascii="宋体" w:hAnsi="宋体" w:eastAsia="宋体" w:cs="宋体"/>
          <w:b/>
          <w:bCs/>
          <w:spacing w:val="6"/>
          <w:sz w:val="31"/>
          <w:szCs w:val="31"/>
          <w:highlight w:val="none"/>
        </w:rPr>
        <w:t>完成本项目必须的设备清单</w:t>
      </w:r>
    </w:p>
    <w:p w14:paraId="5C9DE5E7">
      <w:pPr>
        <w:spacing w:before="266" w:line="219" w:lineRule="auto"/>
        <w:ind w:left="239"/>
        <w:rPr>
          <w:rFonts w:ascii="宋体" w:hAnsi="宋体" w:eastAsia="宋体" w:cs="宋体"/>
          <w:sz w:val="24"/>
          <w:szCs w:val="24"/>
          <w:highlight w:val="none"/>
        </w:rPr>
      </w:pPr>
      <w:r>
        <w:rPr>
          <w:rFonts w:hint="eastAsia" w:ascii="宋体" w:hAnsi="宋体" w:eastAsia="宋体" w:cs="宋体"/>
          <w:sz w:val="24"/>
          <w:szCs w:val="24"/>
          <w:highlight w:val="none"/>
        </w:rPr>
        <w:t>投标人名称</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 xml:space="preserve">    项目编号：</w:t>
      </w:r>
    </w:p>
    <w:p w14:paraId="206F2E96">
      <w:pPr>
        <w:spacing w:line="110" w:lineRule="exact"/>
        <w:rPr>
          <w:highlight w:val="none"/>
        </w:rPr>
      </w:pPr>
    </w:p>
    <w:tbl>
      <w:tblPr>
        <w:tblStyle w:val="15"/>
        <w:tblW w:w="917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2235"/>
        <w:gridCol w:w="1441"/>
        <w:gridCol w:w="989"/>
        <w:gridCol w:w="2403"/>
        <w:gridCol w:w="1281"/>
      </w:tblGrid>
      <w:tr w14:paraId="6B73E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29" w:type="dxa"/>
            <w:tcBorders>
              <w:top w:val="single" w:color="000000" w:sz="10" w:space="0"/>
              <w:left w:val="single" w:color="000000" w:sz="10" w:space="0"/>
            </w:tcBorders>
            <w:vAlign w:val="top"/>
          </w:tcPr>
          <w:p w14:paraId="43809E3D">
            <w:pPr>
              <w:pStyle w:val="16"/>
              <w:spacing w:before="176" w:line="222" w:lineRule="auto"/>
              <w:ind w:left="165"/>
              <w:rPr>
                <w:highlight w:val="none"/>
              </w:rPr>
            </w:pPr>
            <w:r>
              <w:rPr>
                <w:b/>
                <w:bCs/>
                <w:spacing w:val="-7"/>
                <w:highlight w:val="none"/>
              </w:rPr>
              <w:t>序号</w:t>
            </w:r>
          </w:p>
        </w:tc>
        <w:tc>
          <w:tcPr>
            <w:tcW w:w="2235" w:type="dxa"/>
            <w:tcBorders>
              <w:top w:val="single" w:color="000000" w:sz="10" w:space="0"/>
            </w:tcBorders>
            <w:vAlign w:val="top"/>
          </w:tcPr>
          <w:p w14:paraId="46DC3350">
            <w:pPr>
              <w:pStyle w:val="16"/>
              <w:spacing w:before="176" w:line="222" w:lineRule="auto"/>
              <w:ind w:left="637"/>
              <w:rPr>
                <w:highlight w:val="none"/>
              </w:rPr>
            </w:pPr>
            <w:r>
              <w:rPr>
                <w:b/>
                <w:bCs/>
                <w:spacing w:val="-6"/>
                <w:highlight w:val="none"/>
              </w:rPr>
              <w:t>设备名称</w:t>
            </w:r>
          </w:p>
        </w:tc>
        <w:tc>
          <w:tcPr>
            <w:tcW w:w="1441" w:type="dxa"/>
            <w:tcBorders>
              <w:top w:val="single" w:color="000000" w:sz="10" w:space="0"/>
            </w:tcBorders>
            <w:vAlign w:val="top"/>
          </w:tcPr>
          <w:p w14:paraId="56FFB4EB">
            <w:pPr>
              <w:pStyle w:val="16"/>
              <w:spacing w:before="176" w:line="221" w:lineRule="auto"/>
              <w:ind w:left="241"/>
              <w:rPr>
                <w:highlight w:val="none"/>
              </w:rPr>
            </w:pPr>
            <w:r>
              <w:rPr>
                <w:b/>
                <w:bCs/>
                <w:spacing w:val="-5"/>
                <w:highlight w:val="none"/>
              </w:rPr>
              <w:t>计量单位</w:t>
            </w:r>
          </w:p>
        </w:tc>
        <w:tc>
          <w:tcPr>
            <w:tcW w:w="989" w:type="dxa"/>
            <w:tcBorders>
              <w:top w:val="single" w:color="000000" w:sz="10" w:space="0"/>
            </w:tcBorders>
            <w:vAlign w:val="top"/>
          </w:tcPr>
          <w:p w14:paraId="08DAEBF5">
            <w:pPr>
              <w:pStyle w:val="16"/>
              <w:spacing w:before="176" w:line="220" w:lineRule="auto"/>
              <w:ind w:left="264"/>
              <w:rPr>
                <w:highlight w:val="none"/>
              </w:rPr>
            </w:pPr>
            <w:r>
              <w:rPr>
                <w:b/>
                <w:bCs/>
                <w:spacing w:val="-9"/>
                <w:highlight w:val="none"/>
              </w:rPr>
              <w:t>数量</w:t>
            </w:r>
          </w:p>
        </w:tc>
        <w:tc>
          <w:tcPr>
            <w:tcW w:w="2403" w:type="dxa"/>
            <w:tcBorders>
              <w:top w:val="single" w:color="000000" w:sz="10" w:space="0"/>
            </w:tcBorders>
            <w:vAlign w:val="top"/>
          </w:tcPr>
          <w:p w14:paraId="024B5921">
            <w:pPr>
              <w:pStyle w:val="16"/>
              <w:spacing w:before="176" w:line="220" w:lineRule="auto"/>
              <w:ind w:left="734"/>
              <w:rPr>
                <w:highlight w:val="none"/>
              </w:rPr>
            </w:pPr>
            <w:r>
              <w:rPr>
                <w:b/>
                <w:bCs/>
                <w:spacing w:val="-5"/>
                <w:highlight w:val="none"/>
              </w:rPr>
              <w:t>生产企业</w:t>
            </w:r>
          </w:p>
        </w:tc>
        <w:tc>
          <w:tcPr>
            <w:tcW w:w="1281" w:type="dxa"/>
            <w:tcBorders>
              <w:top w:val="single" w:color="000000" w:sz="10" w:space="0"/>
              <w:right w:val="single" w:color="000000" w:sz="10" w:space="0"/>
            </w:tcBorders>
            <w:vAlign w:val="top"/>
          </w:tcPr>
          <w:p w14:paraId="7F0466FB">
            <w:pPr>
              <w:pStyle w:val="16"/>
              <w:spacing w:before="176" w:line="220" w:lineRule="auto"/>
              <w:ind w:left="171"/>
              <w:rPr>
                <w:highlight w:val="none"/>
              </w:rPr>
            </w:pPr>
            <w:r>
              <w:rPr>
                <w:b/>
                <w:bCs/>
                <w:spacing w:val="-5"/>
                <w:highlight w:val="none"/>
              </w:rPr>
              <w:t>使用年限</w:t>
            </w:r>
          </w:p>
        </w:tc>
      </w:tr>
      <w:tr w14:paraId="0645E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829" w:type="dxa"/>
            <w:tcBorders>
              <w:left w:val="single" w:color="000000" w:sz="10" w:space="0"/>
            </w:tcBorders>
            <w:vAlign w:val="top"/>
          </w:tcPr>
          <w:p w14:paraId="15560409">
            <w:pPr>
              <w:rPr>
                <w:rFonts w:ascii="Arial"/>
                <w:sz w:val="21"/>
                <w:highlight w:val="none"/>
              </w:rPr>
            </w:pPr>
          </w:p>
        </w:tc>
        <w:tc>
          <w:tcPr>
            <w:tcW w:w="2235" w:type="dxa"/>
            <w:vAlign w:val="top"/>
          </w:tcPr>
          <w:p w14:paraId="0171E4E2">
            <w:pPr>
              <w:rPr>
                <w:rFonts w:ascii="Arial"/>
                <w:sz w:val="21"/>
                <w:highlight w:val="none"/>
              </w:rPr>
            </w:pPr>
          </w:p>
        </w:tc>
        <w:tc>
          <w:tcPr>
            <w:tcW w:w="1441" w:type="dxa"/>
            <w:vAlign w:val="top"/>
          </w:tcPr>
          <w:p w14:paraId="6AB76470">
            <w:pPr>
              <w:rPr>
                <w:rFonts w:ascii="Arial"/>
                <w:sz w:val="21"/>
                <w:highlight w:val="none"/>
              </w:rPr>
            </w:pPr>
          </w:p>
        </w:tc>
        <w:tc>
          <w:tcPr>
            <w:tcW w:w="989" w:type="dxa"/>
            <w:vAlign w:val="top"/>
          </w:tcPr>
          <w:p w14:paraId="044947B1">
            <w:pPr>
              <w:rPr>
                <w:rFonts w:ascii="Arial"/>
                <w:sz w:val="21"/>
                <w:highlight w:val="none"/>
              </w:rPr>
            </w:pPr>
          </w:p>
        </w:tc>
        <w:tc>
          <w:tcPr>
            <w:tcW w:w="2403" w:type="dxa"/>
            <w:vAlign w:val="top"/>
          </w:tcPr>
          <w:p w14:paraId="14455B9D">
            <w:pPr>
              <w:rPr>
                <w:rFonts w:ascii="Arial"/>
                <w:sz w:val="21"/>
                <w:highlight w:val="none"/>
              </w:rPr>
            </w:pPr>
          </w:p>
        </w:tc>
        <w:tc>
          <w:tcPr>
            <w:tcW w:w="1281" w:type="dxa"/>
            <w:tcBorders>
              <w:right w:val="single" w:color="000000" w:sz="10" w:space="0"/>
            </w:tcBorders>
            <w:vAlign w:val="top"/>
          </w:tcPr>
          <w:p w14:paraId="02DE7206">
            <w:pPr>
              <w:rPr>
                <w:rFonts w:ascii="Arial"/>
                <w:sz w:val="21"/>
                <w:highlight w:val="none"/>
              </w:rPr>
            </w:pPr>
          </w:p>
        </w:tc>
      </w:tr>
      <w:tr w14:paraId="58337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29" w:type="dxa"/>
            <w:tcBorders>
              <w:left w:val="single" w:color="000000" w:sz="10" w:space="0"/>
            </w:tcBorders>
            <w:vAlign w:val="top"/>
          </w:tcPr>
          <w:p w14:paraId="226A253E">
            <w:pPr>
              <w:rPr>
                <w:rFonts w:ascii="Arial"/>
                <w:sz w:val="21"/>
                <w:highlight w:val="none"/>
              </w:rPr>
            </w:pPr>
          </w:p>
        </w:tc>
        <w:tc>
          <w:tcPr>
            <w:tcW w:w="2235" w:type="dxa"/>
            <w:vAlign w:val="top"/>
          </w:tcPr>
          <w:p w14:paraId="1B1F1D5B">
            <w:pPr>
              <w:rPr>
                <w:rFonts w:ascii="Arial"/>
                <w:sz w:val="21"/>
                <w:highlight w:val="none"/>
              </w:rPr>
            </w:pPr>
          </w:p>
        </w:tc>
        <w:tc>
          <w:tcPr>
            <w:tcW w:w="1441" w:type="dxa"/>
            <w:vAlign w:val="top"/>
          </w:tcPr>
          <w:p w14:paraId="39309204">
            <w:pPr>
              <w:rPr>
                <w:rFonts w:ascii="Arial"/>
                <w:sz w:val="21"/>
                <w:highlight w:val="none"/>
              </w:rPr>
            </w:pPr>
          </w:p>
        </w:tc>
        <w:tc>
          <w:tcPr>
            <w:tcW w:w="989" w:type="dxa"/>
            <w:vAlign w:val="top"/>
          </w:tcPr>
          <w:p w14:paraId="1447F10F">
            <w:pPr>
              <w:rPr>
                <w:rFonts w:ascii="Arial"/>
                <w:sz w:val="21"/>
                <w:highlight w:val="none"/>
              </w:rPr>
            </w:pPr>
          </w:p>
        </w:tc>
        <w:tc>
          <w:tcPr>
            <w:tcW w:w="2403" w:type="dxa"/>
            <w:vAlign w:val="top"/>
          </w:tcPr>
          <w:p w14:paraId="744D08EA">
            <w:pPr>
              <w:rPr>
                <w:rFonts w:ascii="Arial"/>
                <w:sz w:val="21"/>
                <w:highlight w:val="none"/>
              </w:rPr>
            </w:pPr>
          </w:p>
        </w:tc>
        <w:tc>
          <w:tcPr>
            <w:tcW w:w="1281" w:type="dxa"/>
            <w:tcBorders>
              <w:right w:val="single" w:color="000000" w:sz="10" w:space="0"/>
            </w:tcBorders>
            <w:vAlign w:val="top"/>
          </w:tcPr>
          <w:p w14:paraId="263DE98D">
            <w:pPr>
              <w:rPr>
                <w:rFonts w:ascii="Arial"/>
                <w:sz w:val="21"/>
                <w:highlight w:val="none"/>
              </w:rPr>
            </w:pPr>
          </w:p>
        </w:tc>
      </w:tr>
      <w:tr w14:paraId="02F15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829" w:type="dxa"/>
            <w:tcBorders>
              <w:left w:val="single" w:color="000000" w:sz="10" w:space="0"/>
            </w:tcBorders>
            <w:vAlign w:val="top"/>
          </w:tcPr>
          <w:p w14:paraId="71F9A96B">
            <w:pPr>
              <w:rPr>
                <w:rFonts w:ascii="Arial"/>
                <w:sz w:val="21"/>
                <w:highlight w:val="none"/>
              </w:rPr>
            </w:pPr>
          </w:p>
        </w:tc>
        <w:tc>
          <w:tcPr>
            <w:tcW w:w="2235" w:type="dxa"/>
            <w:vAlign w:val="top"/>
          </w:tcPr>
          <w:p w14:paraId="1C03A84A">
            <w:pPr>
              <w:rPr>
                <w:rFonts w:ascii="Arial"/>
                <w:sz w:val="21"/>
                <w:highlight w:val="none"/>
              </w:rPr>
            </w:pPr>
          </w:p>
        </w:tc>
        <w:tc>
          <w:tcPr>
            <w:tcW w:w="1441" w:type="dxa"/>
            <w:vAlign w:val="top"/>
          </w:tcPr>
          <w:p w14:paraId="36FED0AD">
            <w:pPr>
              <w:rPr>
                <w:rFonts w:ascii="Arial"/>
                <w:sz w:val="21"/>
                <w:highlight w:val="none"/>
              </w:rPr>
            </w:pPr>
          </w:p>
        </w:tc>
        <w:tc>
          <w:tcPr>
            <w:tcW w:w="989" w:type="dxa"/>
            <w:vAlign w:val="top"/>
          </w:tcPr>
          <w:p w14:paraId="0C841A53">
            <w:pPr>
              <w:rPr>
                <w:rFonts w:ascii="Arial"/>
                <w:sz w:val="21"/>
                <w:highlight w:val="none"/>
              </w:rPr>
            </w:pPr>
          </w:p>
        </w:tc>
        <w:tc>
          <w:tcPr>
            <w:tcW w:w="2403" w:type="dxa"/>
            <w:vAlign w:val="top"/>
          </w:tcPr>
          <w:p w14:paraId="5AE52ECD">
            <w:pPr>
              <w:rPr>
                <w:rFonts w:ascii="Arial"/>
                <w:sz w:val="21"/>
                <w:highlight w:val="none"/>
              </w:rPr>
            </w:pPr>
          </w:p>
        </w:tc>
        <w:tc>
          <w:tcPr>
            <w:tcW w:w="1281" w:type="dxa"/>
            <w:tcBorders>
              <w:right w:val="single" w:color="000000" w:sz="10" w:space="0"/>
            </w:tcBorders>
            <w:vAlign w:val="top"/>
          </w:tcPr>
          <w:p w14:paraId="264CE137">
            <w:pPr>
              <w:rPr>
                <w:rFonts w:ascii="Arial"/>
                <w:sz w:val="21"/>
                <w:highlight w:val="none"/>
              </w:rPr>
            </w:pPr>
          </w:p>
        </w:tc>
      </w:tr>
      <w:tr w14:paraId="1FBD2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29" w:type="dxa"/>
            <w:tcBorders>
              <w:left w:val="single" w:color="000000" w:sz="10" w:space="0"/>
            </w:tcBorders>
            <w:vAlign w:val="top"/>
          </w:tcPr>
          <w:p w14:paraId="0501F1EE">
            <w:pPr>
              <w:rPr>
                <w:rFonts w:ascii="Arial"/>
                <w:sz w:val="21"/>
                <w:highlight w:val="none"/>
              </w:rPr>
            </w:pPr>
          </w:p>
        </w:tc>
        <w:tc>
          <w:tcPr>
            <w:tcW w:w="2235" w:type="dxa"/>
            <w:vAlign w:val="top"/>
          </w:tcPr>
          <w:p w14:paraId="1384A401">
            <w:pPr>
              <w:rPr>
                <w:rFonts w:ascii="Arial"/>
                <w:sz w:val="21"/>
                <w:highlight w:val="none"/>
              </w:rPr>
            </w:pPr>
          </w:p>
        </w:tc>
        <w:tc>
          <w:tcPr>
            <w:tcW w:w="1441" w:type="dxa"/>
            <w:vAlign w:val="top"/>
          </w:tcPr>
          <w:p w14:paraId="11717A8E">
            <w:pPr>
              <w:rPr>
                <w:rFonts w:ascii="Arial"/>
                <w:sz w:val="21"/>
                <w:highlight w:val="none"/>
              </w:rPr>
            </w:pPr>
          </w:p>
        </w:tc>
        <w:tc>
          <w:tcPr>
            <w:tcW w:w="989" w:type="dxa"/>
            <w:vAlign w:val="top"/>
          </w:tcPr>
          <w:p w14:paraId="54BA9002">
            <w:pPr>
              <w:rPr>
                <w:rFonts w:ascii="Arial"/>
                <w:sz w:val="21"/>
                <w:highlight w:val="none"/>
              </w:rPr>
            </w:pPr>
          </w:p>
        </w:tc>
        <w:tc>
          <w:tcPr>
            <w:tcW w:w="2403" w:type="dxa"/>
            <w:vAlign w:val="top"/>
          </w:tcPr>
          <w:p w14:paraId="608FCC09">
            <w:pPr>
              <w:rPr>
                <w:rFonts w:ascii="Arial"/>
                <w:sz w:val="21"/>
                <w:highlight w:val="none"/>
              </w:rPr>
            </w:pPr>
          </w:p>
        </w:tc>
        <w:tc>
          <w:tcPr>
            <w:tcW w:w="1281" w:type="dxa"/>
            <w:tcBorders>
              <w:right w:val="single" w:color="000000" w:sz="10" w:space="0"/>
            </w:tcBorders>
            <w:vAlign w:val="top"/>
          </w:tcPr>
          <w:p w14:paraId="21BCD4BD">
            <w:pPr>
              <w:rPr>
                <w:rFonts w:ascii="Arial"/>
                <w:sz w:val="21"/>
                <w:highlight w:val="none"/>
              </w:rPr>
            </w:pPr>
          </w:p>
        </w:tc>
      </w:tr>
      <w:tr w14:paraId="142C3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29" w:type="dxa"/>
            <w:tcBorders>
              <w:left w:val="single" w:color="000000" w:sz="10" w:space="0"/>
            </w:tcBorders>
            <w:vAlign w:val="top"/>
          </w:tcPr>
          <w:p w14:paraId="0E7B0A65">
            <w:pPr>
              <w:rPr>
                <w:rFonts w:ascii="Arial"/>
                <w:sz w:val="21"/>
                <w:highlight w:val="none"/>
              </w:rPr>
            </w:pPr>
          </w:p>
        </w:tc>
        <w:tc>
          <w:tcPr>
            <w:tcW w:w="2235" w:type="dxa"/>
            <w:vAlign w:val="top"/>
          </w:tcPr>
          <w:p w14:paraId="2742B540">
            <w:pPr>
              <w:rPr>
                <w:rFonts w:ascii="Arial"/>
                <w:sz w:val="21"/>
                <w:highlight w:val="none"/>
              </w:rPr>
            </w:pPr>
          </w:p>
        </w:tc>
        <w:tc>
          <w:tcPr>
            <w:tcW w:w="1441" w:type="dxa"/>
            <w:vAlign w:val="top"/>
          </w:tcPr>
          <w:p w14:paraId="6E0B5705">
            <w:pPr>
              <w:rPr>
                <w:rFonts w:ascii="Arial"/>
                <w:sz w:val="21"/>
                <w:highlight w:val="none"/>
              </w:rPr>
            </w:pPr>
          </w:p>
        </w:tc>
        <w:tc>
          <w:tcPr>
            <w:tcW w:w="989" w:type="dxa"/>
            <w:vAlign w:val="top"/>
          </w:tcPr>
          <w:p w14:paraId="76185C87">
            <w:pPr>
              <w:rPr>
                <w:rFonts w:ascii="Arial"/>
                <w:sz w:val="21"/>
                <w:highlight w:val="none"/>
              </w:rPr>
            </w:pPr>
          </w:p>
        </w:tc>
        <w:tc>
          <w:tcPr>
            <w:tcW w:w="2403" w:type="dxa"/>
            <w:vAlign w:val="top"/>
          </w:tcPr>
          <w:p w14:paraId="068290CE">
            <w:pPr>
              <w:rPr>
                <w:rFonts w:ascii="Arial"/>
                <w:sz w:val="21"/>
                <w:highlight w:val="none"/>
              </w:rPr>
            </w:pPr>
          </w:p>
        </w:tc>
        <w:tc>
          <w:tcPr>
            <w:tcW w:w="1281" w:type="dxa"/>
            <w:tcBorders>
              <w:right w:val="single" w:color="000000" w:sz="10" w:space="0"/>
            </w:tcBorders>
            <w:vAlign w:val="top"/>
          </w:tcPr>
          <w:p w14:paraId="25C50B55">
            <w:pPr>
              <w:rPr>
                <w:rFonts w:ascii="Arial"/>
                <w:sz w:val="21"/>
                <w:highlight w:val="none"/>
              </w:rPr>
            </w:pPr>
          </w:p>
        </w:tc>
      </w:tr>
      <w:tr w14:paraId="79BAB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29" w:type="dxa"/>
            <w:tcBorders>
              <w:left w:val="single" w:color="000000" w:sz="10" w:space="0"/>
            </w:tcBorders>
            <w:vAlign w:val="top"/>
          </w:tcPr>
          <w:p w14:paraId="0C3E2BE8">
            <w:pPr>
              <w:rPr>
                <w:rFonts w:ascii="Arial"/>
                <w:sz w:val="21"/>
                <w:highlight w:val="none"/>
              </w:rPr>
            </w:pPr>
          </w:p>
        </w:tc>
        <w:tc>
          <w:tcPr>
            <w:tcW w:w="2235" w:type="dxa"/>
            <w:vAlign w:val="top"/>
          </w:tcPr>
          <w:p w14:paraId="4ECDAFEE">
            <w:pPr>
              <w:rPr>
                <w:rFonts w:ascii="Arial"/>
                <w:sz w:val="21"/>
                <w:highlight w:val="none"/>
              </w:rPr>
            </w:pPr>
          </w:p>
        </w:tc>
        <w:tc>
          <w:tcPr>
            <w:tcW w:w="1441" w:type="dxa"/>
            <w:vAlign w:val="top"/>
          </w:tcPr>
          <w:p w14:paraId="7710FF33">
            <w:pPr>
              <w:rPr>
                <w:rFonts w:ascii="Arial"/>
                <w:sz w:val="21"/>
                <w:highlight w:val="none"/>
              </w:rPr>
            </w:pPr>
          </w:p>
        </w:tc>
        <w:tc>
          <w:tcPr>
            <w:tcW w:w="989" w:type="dxa"/>
            <w:vAlign w:val="top"/>
          </w:tcPr>
          <w:p w14:paraId="2C245178">
            <w:pPr>
              <w:rPr>
                <w:rFonts w:ascii="Arial"/>
                <w:sz w:val="21"/>
                <w:highlight w:val="none"/>
              </w:rPr>
            </w:pPr>
          </w:p>
        </w:tc>
        <w:tc>
          <w:tcPr>
            <w:tcW w:w="2403" w:type="dxa"/>
            <w:vAlign w:val="top"/>
          </w:tcPr>
          <w:p w14:paraId="77CB5576">
            <w:pPr>
              <w:rPr>
                <w:rFonts w:ascii="Arial"/>
                <w:sz w:val="21"/>
                <w:highlight w:val="none"/>
              </w:rPr>
            </w:pPr>
          </w:p>
        </w:tc>
        <w:tc>
          <w:tcPr>
            <w:tcW w:w="1281" w:type="dxa"/>
            <w:tcBorders>
              <w:right w:val="single" w:color="000000" w:sz="10" w:space="0"/>
            </w:tcBorders>
            <w:vAlign w:val="top"/>
          </w:tcPr>
          <w:p w14:paraId="140558AB">
            <w:pPr>
              <w:rPr>
                <w:rFonts w:ascii="Arial"/>
                <w:sz w:val="21"/>
                <w:highlight w:val="none"/>
              </w:rPr>
            </w:pPr>
          </w:p>
        </w:tc>
      </w:tr>
      <w:tr w14:paraId="5A08F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29" w:type="dxa"/>
            <w:tcBorders>
              <w:left w:val="single" w:color="000000" w:sz="10" w:space="0"/>
            </w:tcBorders>
            <w:vAlign w:val="top"/>
          </w:tcPr>
          <w:p w14:paraId="65A1EC6B">
            <w:pPr>
              <w:rPr>
                <w:rFonts w:ascii="Arial"/>
                <w:sz w:val="21"/>
                <w:highlight w:val="none"/>
              </w:rPr>
            </w:pPr>
          </w:p>
        </w:tc>
        <w:tc>
          <w:tcPr>
            <w:tcW w:w="2235" w:type="dxa"/>
            <w:vAlign w:val="top"/>
          </w:tcPr>
          <w:p w14:paraId="7E2C8841">
            <w:pPr>
              <w:rPr>
                <w:rFonts w:ascii="Arial"/>
                <w:sz w:val="21"/>
                <w:highlight w:val="none"/>
              </w:rPr>
            </w:pPr>
          </w:p>
        </w:tc>
        <w:tc>
          <w:tcPr>
            <w:tcW w:w="1441" w:type="dxa"/>
            <w:vAlign w:val="top"/>
          </w:tcPr>
          <w:p w14:paraId="3384F7AC">
            <w:pPr>
              <w:rPr>
                <w:rFonts w:ascii="Arial"/>
                <w:sz w:val="21"/>
                <w:highlight w:val="none"/>
              </w:rPr>
            </w:pPr>
          </w:p>
        </w:tc>
        <w:tc>
          <w:tcPr>
            <w:tcW w:w="989" w:type="dxa"/>
            <w:vAlign w:val="top"/>
          </w:tcPr>
          <w:p w14:paraId="0C189750">
            <w:pPr>
              <w:rPr>
                <w:rFonts w:ascii="Arial"/>
                <w:sz w:val="21"/>
                <w:highlight w:val="none"/>
              </w:rPr>
            </w:pPr>
          </w:p>
        </w:tc>
        <w:tc>
          <w:tcPr>
            <w:tcW w:w="2403" w:type="dxa"/>
            <w:vAlign w:val="top"/>
          </w:tcPr>
          <w:p w14:paraId="5527F166">
            <w:pPr>
              <w:rPr>
                <w:rFonts w:ascii="Arial"/>
                <w:sz w:val="21"/>
                <w:highlight w:val="none"/>
              </w:rPr>
            </w:pPr>
          </w:p>
        </w:tc>
        <w:tc>
          <w:tcPr>
            <w:tcW w:w="1281" w:type="dxa"/>
            <w:tcBorders>
              <w:right w:val="single" w:color="000000" w:sz="10" w:space="0"/>
            </w:tcBorders>
            <w:vAlign w:val="top"/>
          </w:tcPr>
          <w:p w14:paraId="0D3DD75C">
            <w:pPr>
              <w:rPr>
                <w:rFonts w:ascii="Arial"/>
                <w:sz w:val="21"/>
                <w:highlight w:val="none"/>
              </w:rPr>
            </w:pPr>
          </w:p>
        </w:tc>
      </w:tr>
      <w:tr w14:paraId="1DB8E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29" w:type="dxa"/>
            <w:tcBorders>
              <w:left w:val="single" w:color="000000" w:sz="10" w:space="0"/>
            </w:tcBorders>
            <w:vAlign w:val="top"/>
          </w:tcPr>
          <w:p w14:paraId="175C5DF0">
            <w:pPr>
              <w:rPr>
                <w:rFonts w:ascii="Arial"/>
                <w:sz w:val="21"/>
                <w:highlight w:val="none"/>
              </w:rPr>
            </w:pPr>
          </w:p>
        </w:tc>
        <w:tc>
          <w:tcPr>
            <w:tcW w:w="2235" w:type="dxa"/>
            <w:vAlign w:val="top"/>
          </w:tcPr>
          <w:p w14:paraId="18998F1E">
            <w:pPr>
              <w:rPr>
                <w:rFonts w:ascii="Arial"/>
                <w:sz w:val="21"/>
                <w:highlight w:val="none"/>
              </w:rPr>
            </w:pPr>
          </w:p>
        </w:tc>
        <w:tc>
          <w:tcPr>
            <w:tcW w:w="1441" w:type="dxa"/>
            <w:vAlign w:val="top"/>
          </w:tcPr>
          <w:p w14:paraId="54BE7163">
            <w:pPr>
              <w:rPr>
                <w:rFonts w:ascii="Arial"/>
                <w:sz w:val="21"/>
                <w:highlight w:val="none"/>
              </w:rPr>
            </w:pPr>
          </w:p>
        </w:tc>
        <w:tc>
          <w:tcPr>
            <w:tcW w:w="989" w:type="dxa"/>
            <w:vAlign w:val="top"/>
          </w:tcPr>
          <w:p w14:paraId="6A04E4E2">
            <w:pPr>
              <w:rPr>
                <w:rFonts w:ascii="Arial"/>
                <w:sz w:val="21"/>
                <w:highlight w:val="none"/>
              </w:rPr>
            </w:pPr>
          </w:p>
        </w:tc>
        <w:tc>
          <w:tcPr>
            <w:tcW w:w="2403" w:type="dxa"/>
            <w:vAlign w:val="top"/>
          </w:tcPr>
          <w:p w14:paraId="0465EAAF">
            <w:pPr>
              <w:rPr>
                <w:rFonts w:ascii="Arial"/>
                <w:sz w:val="21"/>
                <w:highlight w:val="none"/>
              </w:rPr>
            </w:pPr>
          </w:p>
        </w:tc>
        <w:tc>
          <w:tcPr>
            <w:tcW w:w="1281" w:type="dxa"/>
            <w:tcBorders>
              <w:right w:val="single" w:color="000000" w:sz="10" w:space="0"/>
            </w:tcBorders>
            <w:vAlign w:val="top"/>
          </w:tcPr>
          <w:p w14:paraId="26916AB1">
            <w:pPr>
              <w:rPr>
                <w:rFonts w:ascii="Arial"/>
                <w:sz w:val="21"/>
                <w:highlight w:val="none"/>
              </w:rPr>
            </w:pPr>
          </w:p>
        </w:tc>
      </w:tr>
      <w:tr w14:paraId="50A17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29" w:type="dxa"/>
            <w:tcBorders>
              <w:left w:val="single" w:color="000000" w:sz="10" w:space="0"/>
            </w:tcBorders>
            <w:vAlign w:val="top"/>
          </w:tcPr>
          <w:p w14:paraId="42AAD89D">
            <w:pPr>
              <w:rPr>
                <w:rFonts w:ascii="Arial"/>
                <w:sz w:val="21"/>
                <w:highlight w:val="none"/>
              </w:rPr>
            </w:pPr>
          </w:p>
        </w:tc>
        <w:tc>
          <w:tcPr>
            <w:tcW w:w="2235" w:type="dxa"/>
            <w:vAlign w:val="top"/>
          </w:tcPr>
          <w:p w14:paraId="4FF2CDDB">
            <w:pPr>
              <w:rPr>
                <w:rFonts w:ascii="Arial"/>
                <w:sz w:val="21"/>
                <w:highlight w:val="none"/>
              </w:rPr>
            </w:pPr>
          </w:p>
        </w:tc>
        <w:tc>
          <w:tcPr>
            <w:tcW w:w="1441" w:type="dxa"/>
            <w:vAlign w:val="top"/>
          </w:tcPr>
          <w:p w14:paraId="40DE119A">
            <w:pPr>
              <w:rPr>
                <w:rFonts w:ascii="Arial"/>
                <w:sz w:val="21"/>
                <w:highlight w:val="none"/>
              </w:rPr>
            </w:pPr>
          </w:p>
        </w:tc>
        <w:tc>
          <w:tcPr>
            <w:tcW w:w="989" w:type="dxa"/>
            <w:vAlign w:val="top"/>
          </w:tcPr>
          <w:p w14:paraId="6D315A6B">
            <w:pPr>
              <w:rPr>
                <w:rFonts w:ascii="Arial"/>
                <w:sz w:val="21"/>
                <w:highlight w:val="none"/>
              </w:rPr>
            </w:pPr>
          </w:p>
        </w:tc>
        <w:tc>
          <w:tcPr>
            <w:tcW w:w="2403" w:type="dxa"/>
            <w:vAlign w:val="top"/>
          </w:tcPr>
          <w:p w14:paraId="7756B627">
            <w:pPr>
              <w:rPr>
                <w:rFonts w:ascii="Arial"/>
                <w:sz w:val="21"/>
                <w:highlight w:val="none"/>
              </w:rPr>
            </w:pPr>
          </w:p>
        </w:tc>
        <w:tc>
          <w:tcPr>
            <w:tcW w:w="1281" w:type="dxa"/>
            <w:tcBorders>
              <w:right w:val="single" w:color="000000" w:sz="10" w:space="0"/>
            </w:tcBorders>
            <w:vAlign w:val="top"/>
          </w:tcPr>
          <w:p w14:paraId="277E9615">
            <w:pPr>
              <w:rPr>
                <w:rFonts w:ascii="Arial"/>
                <w:sz w:val="21"/>
                <w:highlight w:val="none"/>
              </w:rPr>
            </w:pPr>
          </w:p>
        </w:tc>
      </w:tr>
      <w:tr w14:paraId="0860B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29" w:type="dxa"/>
            <w:tcBorders>
              <w:left w:val="single" w:color="000000" w:sz="10" w:space="0"/>
            </w:tcBorders>
            <w:vAlign w:val="top"/>
          </w:tcPr>
          <w:p w14:paraId="33B53501">
            <w:pPr>
              <w:rPr>
                <w:rFonts w:ascii="Arial"/>
                <w:sz w:val="21"/>
                <w:highlight w:val="none"/>
              </w:rPr>
            </w:pPr>
          </w:p>
        </w:tc>
        <w:tc>
          <w:tcPr>
            <w:tcW w:w="2235" w:type="dxa"/>
            <w:vAlign w:val="top"/>
          </w:tcPr>
          <w:p w14:paraId="4835E254">
            <w:pPr>
              <w:rPr>
                <w:rFonts w:ascii="Arial"/>
                <w:sz w:val="21"/>
                <w:highlight w:val="none"/>
              </w:rPr>
            </w:pPr>
          </w:p>
        </w:tc>
        <w:tc>
          <w:tcPr>
            <w:tcW w:w="1441" w:type="dxa"/>
            <w:vAlign w:val="top"/>
          </w:tcPr>
          <w:p w14:paraId="369555A7">
            <w:pPr>
              <w:rPr>
                <w:rFonts w:ascii="Arial"/>
                <w:sz w:val="21"/>
                <w:highlight w:val="none"/>
              </w:rPr>
            </w:pPr>
          </w:p>
        </w:tc>
        <w:tc>
          <w:tcPr>
            <w:tcW w:w="989" w:type="dxa"/>
            <w:vAlign w:val="top"/>
          </w:tcPr>
          <w:p w14:paraId="386F206B">
            <w:pPr>
              <w:rPr>
                <w:rFonts w:ascii="Arial"/>
                <w:sz w:val="21"/>
                <w:highlight w:val="none"/>
              </w:rPr>
            </w:pPr>
          </w:p>
        </w:tc>
        <w:tc>
          <w:tcPr>
            <w:tcW w:w="2403" w:type="dxa"/>
            <w:vAlign w:val="top"/>
          </w:tcPr>
          <w:p w14:paraId="4294EB9F">
            <w:pPr>
              <w:rPr>
                <w:rFonts w:ascii="Arial"/>
                <w:sz w:val="21"/>
                <w:highlight w:val="none"/>
              </w:rPr>
            </w:pPr>
          </w:p>
        </w:tc>
        <w:tc>
          <w:tcPr>
            <w:tcW w:w="1281" w:type="dxa"/>
            <w:tcBorders>
              <w:right w:val="single" w:color="000000" w:sz="10" w:space="0"/>
            </w:tcBorders>
            <w:vAlign w:val="top"/>
          </w:tcPr>
          <w:p w14:paraId="2F6F1734">
            <w:pPr>
              <w:rPr>
                <w:rFonts w:ascii="Arial"/>
                <w:sz w:val="21"/>
                <w:highlight w:val="none"/>
              </w:rPr>
            </w:pPr>
          </w:p>
        </w:tc>
      </w:tr>
      <w:tr w14:paraId="2C939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29" w:type="dxa"/>
            <w:tcBorders>
              <w:left w:val="single" w:color="000000" w:sz="10" w:space="0"/>
            </w:tcBorders>
            <w:vAlign w:val="top"/>
          </w:tcPr>
          <w:p w14:paraId="7634DE5F">
            <w:pPr>
              <w:rPr>
                <w:rFonts w:ascii="Arial"/>
                <w:sz w:val="21"/>
                <w:highlight w:val="none"/>
              </w:rPr>
            </w:pPr>
          </w:p>
        </w:tc>
        <w:tc>
          <w:tcPr>
            <w:tcW w:w="2235" w:type="dxa"/>
            <w:vAlign w:val="top"/>
          </w:tcPr>
          <w:p w14:paraId="32A5CAD4">
            <w:pPr>
              <w:rPr>
                <w:rFonts w:ascii="Arial"/>
                <w:sz w:val="21"/>
                <w:highlight w:val="none"/>
              </w:rPr>
            </w:pPr>
          </w:p>
        </w:tc>
        <w:tc>
          <w:tcPr>
            <w:tcW w:w="1441" w:type="dxa"/>
            <w:vAlign w:val="top"/>
          </w:tcPr>
          <w:p w14:paraId="7AE268E3">
            <w:pPr>
              <w:rPr>
                <w:rFonts w:ascii="Arial"/>
                <w:sz w:val="21"/>
                <w:highlight w:val="none"/>
              </w:rPr>
            </w:pPr>
          </w:p>
        </w:tc>
        <w:tc>
          <w:tcPr>
            <w:tcW w:w="989" w:type="dxa"/>
            <w:vAlign w:val="top"/>
          </w:tcPr>
          <w:p w14:paraId="02D3378F">
            <w:pPr>
              <w:rPr>
                <w:rFonts w:ascii="Arial"/>
                <w:sz w:val="21"/>
                <w:highlight w:val="none"/>
              </w:rPr>
            </w:pPr>
          </w:p>
        </w:tc>
        <w:tc>
          <w:tcPr>
            <w:tcW w:w="2403" w:type="dxa"/>
            <w:vAlign w:val="top"/>
          </w:tcPr>
          <w:p w14:paraId="72723063">
            <w:pPr>
              <w:rPr>
                <w:rFonts w:ascii="Arial"/>
                <w:sz w:val="21"/>
                <w:highlight w:val="none"/>
              </w:rPr>
            </w:pPr>
          </w:p>
        </w:tc>
        <w:tc>
          <w:tcPr>
            <w:tcW w:w="1281" w:type="dxa"/>
            <w:tcBorders>
              <w:right w:val="single" w:color="000000" w:sz="10" w:space="0"/>
            </w:tcBorders>
            <w:vAlign w:val="top"/>
          </w:tcPr>
          <w:p w14:paraId="20D62FEE">
            <w:pPr>
              <w:rPr>
                <w:rFonts w:ascii="Arial"/>
                <w:sz w:val="21"/>
                <w:highlight w:val="none"/>
              </w:rPr>
            </w:pPr>
          </w:p>
        </w:tc>
      </w:tr>
      <w:tr w14:paraId="243F4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29" w:type="dxa"/>
            <w:tcBorders>
              <w:left w:val="single" w:color="000000" w:sz="10" w:space="0"/>
            </w:tcBorders>
            <w:vAlign w:val="top"/>
          </w:tcPr>
          <w:p w14:paraId="3234D840">
            <w:pPr>
              <w:rPr>
                <w:rFonts w:ascii="Arial"/>
                <w:sz w:val="21"/>
                <w:highlight w:val="none"/>
              </w:rPr>
            </w:pPr>
          </w:p>
        </w:tc>
        <w:tc>
          <w:tcPr>
            <w:tcW w:w="2235" w:type="dxa"/>
            <w:vAlign w:val="top"/>
          </w:tcPr>
          <w:p w14:paraId="2756B87E">
            <w:pPr>
              <w:rPr>
                <w:rFonts w:ascii="Arial"/>
                <w:sz w:val="21"/>
                <w:highlight w:val="none"/>
              </w:rPr>
            </w:pPr>
          </w:p>
        </w:tc>
        <w:tc>
          <w:tcPr>
            <w:tcW w:w="1441" w:type="dxa"/>
            <w:vAlign w:val="top"/>
          </w:tcPr>
          <w:p w14:paraId="69EA195A">
            <w:pPr>
              <w:rPr>
                <w:rFonts w:ascii="Arial"/>
                <w:sz w:val="21"/>
                <w:highlight w:val="none"/>
              </w:rPr>
            </w:pPr>
          </w:p>
        </w:tc>
        <w:tc>
          <w:tcPr>
            <w:tcW w:w="989" w:type="dxa"/>
            <w:vAlign w:val="top"/>
          </w:tcPr>
          <w:p w14:paraId="40E9CDFC">
            <w:pPr>
              <w:rPr>
                <w:rFonts w:ascii="Arial"/>
                <w:sz w:val="21"/>
                <w:highlight w:val="none"/>
              </w:rPr>
            </w:pPr>
          </w:p>
        </w:tc>
        <w:tc>
          <w:tcPr>
            <w:tcW w:w="2403" w:type="dxa"/>
            <w:vAlign w:val="top"/>
          </w:tcPr>
          <w:p w14:paraId="2C88F1C5">
            <w:pPr>
              <w:rPr>
                <w:rFonts w:ascii="Arial"/>
                <w:sz w:val="21"/>
                <w:highlight w:val="none"/>
              </w:rPr>
            </w:pPr>
          </w:p>
        </w:tc>
        <w:tc>
          <w:tcPr>
            <w:tcW w:w="1281" w:type="dxa"/>
            <w:tcBorders>
              <w:right w:val="single" w:color="000000" w:sz="10" w:space="0"/>
            </w:tcBorders>
            <w:vAlign w:val="top"/>
          </w:tcPr>
          <w:p w14:paraId="2E770E67">
            <w:pPr>
              <w:rPr>
                <w:rFonts w:ascii="Arial"/>
                <w:sz w:val="21"/>
                <w:highlight w:val="none"/>
              </w:rPr>
            </w:pPr>
          </w:p>
        </w:tc>
      </w:tr>
      <w:tr w14:paraId="334A3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29" w:type="dxa"/>
            <w:tcBorders>
              <w:left w:val="single" w:color="000000" w:sz="10" w:space="0"/>
            </w:tcBorders>
            <w:vAlign w:val="top"/>
          </w:tcPr>
          <w:p w14:paraId="3E6ED1F1">
            <w:pPr>
              <w:rPr>
                <w:rFonts w:ascii="Arial"/>
                <w:sz w:val="21"/>
                <w:highlight w:val="none"/>
              </w:rPr>
            </w:pPr>
          </w:p>
        </w:tc>
        <w:tc>
          <w:tcPr>
            <w:tcW w:w="2235" w:type="dxa"/>
            <w:vAlign w:val="top"/>
          </w:tcPr>
          <w:p w14:paraId="3C141EFB">
            <w:pPr>
              <w:rPr>
                <w:rFonts w:ascii="Arial"/>
                <w:sz w:val="21"/>
                <w:highlight w:val="none"/>
              </w:rPr>
            </w:pPr>
          </w:p>
        </w:tc>
        <w:tc>
          <w:tcPr>
            <w:tcW w:w="1441" w:type="dxa"/>
            <w:vAlign w:val="top"/>
          </w:tcPr>
          <w:p w14:paraId="4A53D511">
            <w:pPr>
              <w:rPr>
                <w:rFonts w:ascii="Arial"/>
                <w:sz w:val="21"/>
                <w:highlight w:val="none"/>
              </w:rPr>
            </w:pPr>
          </w:p>
        </w:tc>
        <w:tc>
          <w:tcPr>
            <w:tcW w:w="989" w:type="dxa"/>
            <w:vAlign w:val="top"/>
          </w:tcPr>
          <w:p w14:paraId="124EFE24">
            <w:pPr>
              <w:rPr>
                <w:rFonts w:ascii="Arial"/>
                <w:sz w:val="21"/>
                <w:highlight w:val="none"/>
              </w:rPr>
            </w:pPr>
          </w:p>
        </w:tc>
        <w:tc>
          <w:tcPr>
            <w:tcW w:w="2403" w:type="dxa"/>
            <w:vAlign w:val="top"/>
          </w:tcPr>
          <w:p w14:paraId="301388C0">
            <w:pPr>
              <w:rPr>
                <w:rFonts w:ascii="Arial"/>
                <w:sz w:val="21"/>
                <w:highlight w:val="none"/>
              </w:rPr>
            </w:pPr>
          </w:p>
        </w:tc>
        <w:tc>
          <w:tcPr>
            <w:tcW w:w="1281" w:type="dxa"/>
            <w:tcBorders>
              <w:right w:val="single" w:color="000000" w:sz="10" w:space="0"/>
            </w:tcBorders>
            <w:vAlign w:val="top"/>
          </w:tcPr>
          <w:p w14:paraId="7F9B8EFB">
            <w:pPr>
              <w:rPr>
                <w:rFonts w:ascii="Arial"/>
                <w:sz w:val="21"/>
                <w:highlight w:val="none"/>
              </w:rPr>
            </w:pPr>
          </w:p>
        </w:tc>
      </w:tr>
      <w:tr w14:paraId="5EB55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29" w:type="dxa"/>
            <w:tcBorders>
              <w:left w:val="single" w:color="000000" w:sz="10" w:space="0"/>
            </w:tcBorders>
            <w:vAlign w:val="top"/>
          </w:tcPr>
          <w:p w14:paraId="2CB6EC61">
            <w:pPr>
              <w:rPr>
                <w:rFonts w:ascii="Arial"/>
                <w:sz w:val="21"/>
                <w:highlight w:val="none"/>
              </w:rPr>
            </w:pPr>
          </w:p>
        </w:tc>
        <w:tc>
          <w:tcPr>
            <w:tcW w:w="2235" w:type="dxa"/>
            <w:vAlign w:val="top"/>
          </w:tcPr>
          <w:p w14:paraId="5C520E61">
            <w:pPr>
              <w:rPr>
                <w:rFonts w:ascii="Arial"/>
                <w:sz w:val="21"/>
                <w:highlight w:val="none"/>
              </w:rPr>
            </w:pPr>
          </w:p>
        </w:tc>
        <w:tc>
          <w:tcPr>
            <w:tcW w:w="1441" w:type="dxa"/>
            <w:vAlign w:val="top"/>
          </w:tcPr>
          <w:p w14:paraId="4502CDED">
            <w:pPr>
              <w:rPr>
                <w:rFonts w:ascii="Arial"/>
                <w:sz w:val="21"/>
                <w:highlight w:val="none"/>
              </w:rPr>
            </w:pPr>
          </w:p>
        </w:tc>
        <w:tc>
          <w:tcPr>
            <w:tcW w:w="989" w:type="dxa"/>
            <w:vAlign w:val="top"/>
          </w:tcPr>
          <w:p w14:paraId="4A0868FF">
            <w:pPr>
              <w:rPr>
                <w:rFonts w:ascii="Arial"/>
                <w:sz w:val="21"/>
                <w:highlight w:val="none"/>
              </w:rPr>
            </w:pPr>
          </w:p>
        </w:tc>
        <w:tc>
          <w:tcPr>
            <w:tcW w:w="2403" w:type="dxa"/>
            <w:vAlign w:val="top"/>
          </w:tcPr>
          <w:p w14:paraId="76B4BF8C">
            <w:pPr>
              <w:rPr>
                <w:rFonts w:ascii="Arial"/>
                <w:sz w:val="21"/>
                <w:highlight w:val="none"/>
              </w:rPr>
            </w:pPr>
          </w:p>
        </w:tc>
        <w:tc>
          <w:tcPr>
            <w:tcW w:w="1281" w:type="dxa"/>
            <w:tcBorders>
              <w:right w:val="single" w:color="000000" w:sz="10" w:space="0"/>
            </w:tcBorders>
            <w:vAlign w:val="top"/>
          </w:tcPr>
          <w:p w14:paraId="793979EF">
            <w:pPr>
              <w:rPr>
                <w:rFonts w:ascii="Arial"/>
                <w:sz w:val="21"/>
                <w:highlight w:val="none"/>
              </w:rPr>
            </w:pPr>
          </w:p>
        </w:tc>
      </w:tr>
      <w:tr w14:paraId="18551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29" w:type="dxa"/>
            <w:tcBorders>
              <w:left w:val="single" w:color="000000" w:sz="10" w:space="0"/>
            </w:tcBorders>
            <w:vAlign w:val="top"/>
          </w:tcPr>
          <w:p w14:paraId="40C74ED6">
            <w:pPr>
              <w:rPr>
                <w:rFonts w:ascii="Arial"/>
                <w:sz w:val="21"/>
                <w:highlight w:val="none"/>
              </w:rPr>
            </w:pPr>
          </w:p>
        </w:tc>
        <w:tc>
          <w:tcPr>
            <w:tcW w:w="2235" w:type="dxa"/>
            <w:vAlign w:val="top"/>
          </w:tcPr>
          <w:p w14:paraId="326F56EB">
            <w:pPr>
              <w:rPr>
                <w:rFonts w:ascii="Arial"/>
                <w:sz w:val="21"/>
                <w:highlight w:val="none"/>
              </w:rPr>
            </w:pPr>
          </w:p>
        </w:tc>
        <w:tc>
          <w:tcPr>
            <w:tcW w:w="1441" w:type="dxa"/>
            <w:vAlign w:val="top"/>
          </w:tcPr>
          <w:p w14:paraId="027E3349">
            <w:pPr>
              <w:rPr>
                <w:rFonts w:ascii="Arial"/>
                <w:sz w:val="21"/>
                <w:highlight w:val="none"/>
              </w:rPr>
            </w:pPr>
          </w:p>
        </w:tc>
        <w:tc>
          <w:tcPr>
            <w:tcW w:w="989" w:type="dxa"/>
            <w:vAlign w:val="top"/>
          </w:tcPr>
          <w:p w14:paraId="13322A75">
            <w:pPr>
              <w:rPr>
                <w:rFonts w:ascii="Arial"/>
                <w:sz w:val="21"/>
                <w:highlight w:val="none"/>
              </w:rPr>
            </w:pPr>
          </w:p>
        </w:tc>
        <w:tc>
          <w:tcPr>
            <w:tcW w:w="2403" w:type="dxa"/>
            <w:vAlign w:val="top"/>
          </w:tcPr>
          <w:p w14:paraId="73F52DC0">
            <w:pPr>
              <w:rPr>
                <w:rFonts w:ascii="Arial"/>
                <w:sz w:val="21"/>
                <w:highlight w:val="none"/>
              </w:rPr>
            </w:pPr>
          </w:p>
        </w:tc>
        <w:tc>
          <w:tcPr>
            <w:tcW w:w="1281" w:type="dxa"/>
            <w:tcBorders>
              <w:right w:val="single" w:color="000000" w:sz="10" w:space="0"/>
            </w:tcBorders>
            <w:vAlign w:val="top"/>
          </w:tcPr>
          <w:p w14:paraId="53D65917">
            <w:pPr>
              <w:rPr>
                <w:rFonts w:ascii="Arial"/>
                <w:sz w:val="21"/>
                <w:highlight w:val="none"/>
              </w:rPr>
            </w:pPr>
          </w:p>
        </w:tc>
      </w:tr>
      <w:tr w14:paraId="4265D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29" w:type="dxa"/>
            <w:tcBorders>
              <w:left w:val="single" w:color="000000" w:sz="10" w:space="0"/>
            </w:tcBorders>
            <w:vAlign w:val="top"/>
          </w:tcPr>
          <w:p w14:paraId="5A7E647C">
            <w:pPr>
              <w:rPr>
                <w:rFonts w:ascii="Arial"/>
                <w:sz w:val="21"/>
                <w:highlight w:val="none"/>
              </w:rPr>
            </w:pPr>
          </w:p>
        </w:tc>
        <w:tc>
          <w:tcPr>
            <w:tcW w:w="2235" w:type="dxa"/>
            <w:vAlign w:val="top"/>
          </w:tcPr>
          <w:p w14:paraId="1A798734">
            <w:pPr>
              <w:rPr>
                <w:rFonts w:ascii="Arial"/>
                <w:sz w:val="21"/>
                <w:highlight w:val="none"/>
              </w:rPr>
            </w:pPr>
          </w:p>
        </w:tc>
        <w:tc>
          <w:tcPr>
            <w:tcW w:w="1441" w:type="dxa"/>
            <w:vAlign w:val="top"/>
          </w:tcPr>
          <w:p w14:paraId="1519128D">
            <w:pPr>
              <w:rPr>
                <w:rFonts w:ascii="Arial"/>
                <w:sz w:val="21"/>
                <w:highlight w:val="none"/>
              </w:rPr>
            </w:pPr>
          </w:p>
        </w:tc>
        <w:tc>
          <w:tcPr>
            <w:tcW w:w="989" w:type="dxa"/>
            <w:vAlign w:val="top"/>
          </w:tcPr>
          <w:p w14:paraId="6A855D80">
            <w:pPr>
              <w:rPr>
                <w:rFonts w:ascii="Arial"/>
                <w:sz w:val="21"/>
                <w:highlight w:val="none"/>
              </w:rPr>
            </w:pPr>
          </w:p>
        </w:tc>
        <w:tc>
          <w:tcPr>
            <w:tcW w:w="2403" w:type="dxa"/>
            <w:vAlign w:val="top"/>
          </w:tcPr>
          <w:p w14:paraId="3A025F08">
            <w:pPr>
              <w:rPr>
                <w:rFonts w:ascii="Arial"/>
                <w:sz w:val="21"/>
                <w:highlight w:val="none"/>
              </w:rPr>
            </w:pPr>
          </w:p>
        </w:tc>
        <w:tc>
          <w:tcPr>
            <w:tcW w:w="1281" w:type="dxa"/>
            <w:tcBorders>
              <w:right w:val="single" w:color="000000" w:sz="10" w:space="0"/>
            </w:tcBorders>
            <w:vAlign w:val="top"/>
          </w:tcPr>
          <w:p w14:paraId="7784E454">
            <w:pPr>
              <w:rPr>
                <w:rFonts w:ascii="Arial"/>
                <w:sz w:val="21"/>
                <w:highlight w:val="none"/>
              </w:rPr>
            </w:pPr>
          </w:p>
        </w:tc>
      </w:tr>
      <w:tr w14:paraId="2B019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829" w:type="dxa"/>
            <w:tcBorders>
              <w:left w:val="single" w:color="000000" w:sz="10" w:space="0"/>
              <w:bottom w:val="single" w:color="000000" w:sz="10" w:space="0"/>
            </w:tcBorders>
            <w:vAlign w:val="top"/>
          </w:tcPr>
          <w:p w14:paraId="0116BB44">
            <w:pPr>
              <w:rPr>
                <w:rFonts w:ascii="Arial"/>
                <w:sz w:val="21"/>
                <w:highlight w:val="none"/>
              </w:rPr>
            </w:pPr>
          </w:p>
        </w:tc>
        <w:tc>
          <w:tcPr>
            <w:tcW w:w="2235" w:type="dxa"/>
            <w:tcBorders>
              <w:bottom w:val="single" w:color="000000" w:sz="10" w:space="0"/>
            </w:tcBorders>
            <w:vAlign w:val="top"/>
          </w:tcPr>
          <w:p w14:paraId="4B0D786F">
            <w:pPr>
              <w:rPr>
                <w:rFonts w:ascii="Arial"/>
                <w:sz w:val="21"/>
                <w:highlight w:val="none"/>
              </w:rPr>
            </w:pPr>
          </w:p>
        </w:tc>
        <w:tc>
          <w:tcPr>
            <w:tcW w:w="1441" w:type="dxa"/>
            <w:tcBorders>
              <w:bottom w:val="single" w:color="000000" w:sz="10" w:space="0"/>
            </w:tcBorders>
            <w:vAlign w:val="top"/>
          </w:tcPr>
          <w:p w14:paraId="52EADCFE">
            <w:pPr>
              <w:rPr>
                <w:rFonts w:ascii="Arial"/>
                <w:sz w:val="21"/>
                <w:highlight w:val="none"/>
              </w:rPr>
            </w:pPr>
          </w:p>
        </w:tc>
        <w:tc>
          <w:tcPr>
            <w:tcW w:w="989" w:type="dxa"/>
            <w:tcBorders>
              <w:bottom w:val="single" w:color="000000" w:sz="10" w:space="0"/>
            </w:tcBorders>
            <w:vAlign w:val="top"/>
          </w:tcPr>
          <w:p w14:paraId="60B5C875">
            <w:pPr>
              <w:rPr>
                <w:rFonts w:ascii="Arial"/>
                <w:sz w:val="21"/>
                <w:highlight w:val="none"/>
              </w:rPr>
            </w:pPr>
          </w:p>
        </w:tc>
        <w:tc>
          <w:tcPr>
            <w:tcW w:w="2403" w:type="dxa"/>
            <w:tcBorders>
              <w:bottom w:val="single" w:color="000000" w:sz="10" w:space="0"/>
            </w:tcBorders>
            <w:vAlign w:val="top"/>
          </w:tcPr>
          <w:p w14:paraId="6C09006E">
            <w:pPr>
              <w:rPr>
                <w:rFonts w:ascii="Arial"/>
                <w:sz w:val="21"/>
                <w:highlight w:val="none"/>
              </w:rPr>
            </w:pPr>
          </w:p>
        </w:tc>
        <w:tc>
          <w:tcPr>
            <w:tcW w:w="1281" w:type="dxa"/>
            <w:tcBorders>
              <w:bottom w:val="single" w:color="000000" w:sz="10" w:space="0"/>
              <w:right w:val="single" w:color="000000" w:sz="10" w:space="0"/>
            </w:tcBorders>
            <w:vAlign w:val="top"/>
          </w:tcPr>
          <w:p w14:paraId="13E9BBB7">
            <w:pPr>
              <w:rPr>
                <w:rFonts w:ascii="Arial"/>
                <w:sz w:val="21"/>
                <w:highlight w:val="none"/>
              </w:rPr>
            </w:pPr>
          </w:p>
        </w:tc>
      </w:tr>
    </w:tbl>
    <w:p w14:paraId="3311417C">
      <w:pPr>
        <w:spacing w:before="114" w:line="220" w:lineRule="auto"/>
        <w:ind w:left="362"/>
        <w:rPr>
          <w:rFonts w:ascii="宋体" w:hAnsi="宋体" w:eastAsia="宋体" w:cs="宋体"/>
          <w:sz w:val="24"/>
          <w:szCs w:val="24"/>
          <w:highlight w:val="none"/>
        </w:rPr>
      </w:pPr>
      <w:r>
        <w:rPr>
          <w:rFonts w:ascii="宋体" w:hAnsi="宋体" w:eastAsia="宋体" w:cs="宋体"/>
          <w:spacing w:val="-1"/>
          <w:sz w:val="24"/>
          <w:szCs w:val="24"/>
          <w:highlight w:val="none"/>
        </w:rPr>
        <w:t>说明：1.设备可以填写单台设备，也可以填写成套设备。</w:t>
      </w:r>
    </w:p>
    <w:p w14:paraId="24091ADA">
      <w:pPr>
        <w:pStyle w:val="5"/>
        <w:spacing w:line="435" w:lineRule="auto"/>
        <w:rPr>
          <w:highlight w:val="none"/>
        </w:rPr>
      </w:pPr>
    </w:p>
    <w:p w14:paraId="33C8EE44">
      <w:pPr>
        <w:spacing w:before="79" w:line="219" w:lineRule="auto"/>
        <w:ind w:left="359"/>
        <w:rPr>
          <w:rFonts w:ascii="宋体" w:hAnsi="宋体" w:eastAsia="宋体" w:cs="宋体"/>
          <w:sz w:val="24"/>
          <w:szCs w:val="24"/>
          <w:highlight w:val="none"/>
        </w:rPr>
      </w:pPr>
      <w:r>
        <w:rPr>
          <w:rFonts w:hint="eastAsia" w:ascii="宋体" w:hAnsi="宋体" w:eastAsia="宋体" w:cs="宋体"/>
          <w:spacing w:val="-16"/>
          <w:sz w:val="24"/>
          <w:szCs w:val="24"/>
          <w:highlight w:val="none"/>
        </w:rPr>
        <w:t>投标人名称</w:t>
      </w:r>
      <w:r>
        <w:rPr>
          <w:rFonts w:ascii="宋体" w:hAnsi="宋体" w:eastAsia="宋体" w:cs="宋体"/>
          <w:spacing w:val="-16"/>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
          <w:sz w:val="24"/>
          <w:szCs w:val="24"/>
          <w:highlight w:val="none"/>
        </w:rPr>
        <w:t xml:space="preserve"> </w:t>
      </w:r>
      <w:r>
        <w:rPr>
          <w:rFonts w:ascii="宋体" w:hAnsi="宋体" w:eastAsia="宋体" w:cs="宋体"/>
          <w:spacing w:val="-16"/>
          <w:sz w:val="24"/>
          <w:szCs w:val="24"/>
          <w:highlight w:val="none"/>
        </w:rPr>
        <w:t>（</w:t>
      </w:r>
      <w:r>
        <w:rPr>
          <w:rFonts w:ascii="宋体" w:hAnsi="宋体" w:eastAsia="宋体" w:cs="宋体"/>
          <w:spacing w:val="2"/>
          <w:sz w:val="24"/>
          <w:szCs w:val="24"/>
          <w:highlight w:val="none"/>
        </w:rPr>
        <w:t>盖单位章）</w:t>
      </w:r>
    </w:p>
    <w:p w14:paraId="26A5ACF8">
      <w:pPr>
        <w:pStyle w:val="5"/>
        <w:spacing w:line="342" w:lineRule="auto"/>
        <w:rPr>
          <w:highlight w:val="none"/>
        </w:rPr>
      </w:pPr>
    </w:p>
    <w:p w14:paraId="7EEB9D0B">
      <w:pPr>
        <w:spacing w:before="78" w:line="220" w:lineRule="auto"/>
        <w:ind w:left="360"/>
        <w:outlineLvl w:val="1"/>
        <w:rPr>
          <w:rFonts w:ascii="宋体" w:hAnsi="宋体" w:eastAsia="宋体" w:cs="宋体"/>
          <w:sz w:val="24"/>
          <w:szCs w:val="24"/>
          <w:highlight w:val="none"/>
        </w:rPr>
      </w:pPr>
      <w:r>
        <w:rPr>
          <w:rFonts w:ascii="宋体" w:hAnsi="宋体" w:eastAsia="宋体" w:cs="宋体"/>
          <w:spacing w:val="1"/>
          <w:sz w:val="24"/>
          <w:szCs w:val="24"/>
          <w:highlight w:val="none"/>
        </w:rPr>
        <w:t>法定代表人或委托代理人</w:t>
      </w:r>
      <w:r>
        <w:rPr>
          <w:rFonts w:ascii="宋体" w:hAnsi="宋体" w:eastAsia="宋体" w:cs="宋体"/>
          <w:spacing w:val="-13"/>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3"/>
          <w:sz w:val="24"/>
          <w:szCs w:val="24"/>
          <w:highlight w:val="none"/>
        </w:rPr>
        <w:t>（</w:t>
      </w:r>
      <w:r>
        <w:rPr>
          <w:rFonts w:ascii="宋体" w:hAnsi="宋体" w:eastAsia="宋体" w:cs="宋体"/>
          <w:spacing w:val="1"/>
          <w:sz w:val="24"/>
          <w:szCs w:val="24"/>
          <w:highlight w:val="none"/>
        </w:rPr>
        <w:t>签名）</w:t>
      </w:r>
    </w:p>
    <w:p w14:paraId="131592B5">
      <w:pPr>
        <w:pStyle w:val="5"/>
        <w:spacing w:line="290" w:lineRule="auto"/>
        <w:rPr>
          <w:highlight w:val="none"/>
        </w:rPr>
      </w:pPr>
    </w:p>
    <w:p w14:paraId="0B5F4204">
      <w:pPr>
        <w:pStyle w:val="5"/>
        <w:spacing w:line="290" w:lineRule="auto"/>
        <w:rPr>
          <w:highlight w:val="none"/>
        </w:rPr>
      </w:pPr>
    </w:p>
    <w:p w14:paraId="709E057D">
      <w:pPr>
        <w:spacing w:before="79" w:line="220" w:lineRule="auto"/>
        <w:ind w:left="422"/>
        <w:rPr>
          <w:rFonts w:ascii="宋体" w:hAnsi="宋体" w:eastAsia="宋体" w:cs="宋体"/>
          <w:sz w:val="24"/>
          <w:szCs w:val="24"/>
          <w:highlight w:val="none"/>
        </w:rPr>
      </w:pPr>
      <w:r>
        <w:rPr>
          <w:rFonts w:ascii="宋体" w:hAnsi="宋体" w:eastAsia="宋体" w:cs="宋体"/>
          <w:spacing w:val="-20"/>
          <w:sz w:val="24"/>
          <w:szCs w:val="24"/>
          <w:highlight w:val="none"/>
        </w:rPr>
        <w:t>日</w:t>
      </w:r>
      <w:r>
        <w:rPr>
          <w:rFonts w:ascii="宋体" w:hAnsi="宋体" w:eastAsia="宋体" w:cs="宋体"/>
          <w:spacing w:val="3"/>
          <w:sz w:val="24"/>
          <w:szCs w:val="24"/>
          <w:highlight w:val="none"/>
        </w:rPr>
        <w:t xml:space="preserve">    </w:t>
      </w:r>
      <w:r>
        <w:rPr>
          <w:rFonts w:ascii="宋体" w:hAnsi="宋体" w:eastAsia="宋体" w:cs="宋体"/>
          <w:spacing w:val="-20"/>
          <w:sz w:val="24"/>
          <w:szCs w:val="24"/>
          <w:highlight w:val="none"/>
        </w:rPr>
        <w:t>期</w:t>
      </w:r>
      <w:r>
        <w:rPr>
          <w:rFonts w:ascii="宋体" w:hAnsi="宋体" w:eastAsia="宋体" w:cs="宋体"/>
          <w:spacing w:val="-89"/>
          <w:sz w:val="24"/>
          <w:szCs w:val="24"/>
          <w:highlight w:val="none"/>
        </w:rPr>
        <w:t xml:space="preserve"> </w:t>
      </w:r>
      <w:r>
        <w:rPr>
          <w:rFonts w:ascii="宋体" w:hAnsi="宋体" w:eastAsia="宋体" w:cs="宋体"/>
          <w:spacing w:val="-20"/>
          <w:sz w:val="24"/>
          <w:szCs w:val="24"/>
          <w:highlight w:val="none"/>
        </w:rPr>
        <w:t>：</w:t>
      </w:r>
      <w:r>
        <w:rPr>
          <w:rFonts w:ascii="宋体" w:hAnsi="宋体" w:eastAsia="宋体" w:cs="宋体"/>
          <w:spacing w:val="3"/>
          <w:sz w:val="24"/>
          <w:szCs w:val="24"/>
          <w:highlight w:val="none"/>
        </w:rPr>
        <w:t xml:space="preserve">   </w:t>
      </w:r>
      <w:r>
        <w:rPr>
          <w:rFonts w:ascii="宋体" w:hAnsi="宋体" w:eastAsia="宋体" w:cs="宋体"/>
          <w:spacing w:val="-20"/>
          <w:sz w:val="24"/>
          <w:szCs w:val="24"/>
          <w:highlight w:val="none"/>
        </w:rPr>
        <w:t>年</w:t>
      </w:r>
      <w:r>
        <w:rPr>
          <w:rFonts w:ascii="宋体" w:hAnsi="宋体" w:eastAsia="宋体" w:cs="宋体"/>
          <w:spacing w:val="8"/>
          <w:sz w:val="24"/>
          <w:szCs w:val="24"/>
          <w:highlight w:val="none"/>
        </w:rPr>
        <w:t xml:space="preserve">  </w:t>
      </w:r>
      <w:r>
        <w:rPr>
          <w:rFonts w:ascii="宋体" w:hAnsi="宋体" w:eastAsia="宋体" w:cs="宋体"/>
          <w:spacing w:val="-20"/>
          <w:sz w:val="24"/>
          <w:szCs w:val="24"/>
          <w:highlight w:val="none"/>
        </w:rPr>
        <w:t>月</w:t>
      </w:r>
      <w:r>
        <w:rPr>
          <w:rFonts w:ascii="宋体" w:hAnsi="宋体" w:eastAsia="宋体" w:cs="宋体"/>
          <w:spacing w:val="25"/>
          <w:sz w:val="24"/>
          <w:szCs w:val="24"/>
          <w:highlight w:val="none"/>
        </w:rPr>
        <w:t xml:space="preserve">  </w:t>
      </w:r>
      <w:r>
        <w:rPr>
          <w:rFonts w:ascii="宋体" w:hAnsi="宋体" w:eastAsia="宋体" w:cs="宋体"/>
          <w:spacing w:val="-20"/>
          <w:sz w:val="24"/>
          <w:szCs w:val="24"/>
          <w:highlight w:val="none"/>
        </w:rPr>
        <w:t>日</w:t>
      </w:r>
    </w:p>
    <w:p w14:paraId="058E5392">
      <w:pPr>
        <w:spacing w:line="220" w:lineRule="auto"/>
        <w:rPr>
          <w:rFonts w:ascii="宋体" w:hAnsi="宋体" w:eastAsia="宋体" w:cs="宋体"/>
          <w:sz w:val="24"/>
          <w:szCs w:val="24"/>
          <w:highlight w:val="none"/>
        </w:rPr>
        <w:sectPr>
          <w:footerReference r:id="rId27" w:type="default"/>
          <w:pgSz w:w="11907" w:h="16840"/>
          <w:pgMar w:top="1169" w:right="1459" w:bottom="1199" w:left="1243" w:header="0" w:footer="984" w:gutter="0"/>
          <w:pgNumType w:fmt="decimal"/>
          <w:cols w:space="720" w:num="1"/>
        </w:sectPr>
      </w:pPr>
    </w:p>
    <w:p w14:paraId="4D06E33E">
      <w:pPr>
        <w:spacing w:before="48" w:line="219" w:lineRule="auto"/>
        <w:ind w:left="248"/>
        <w:rPr>
          <w:rFonts w:ascii="宋体" w:hAnsi="宋体" w:eastAsia="宋体" w:cs="宋体"/>
          <w:sz w:val="24"/>
          <w:szCs w:val="24"/>
          <w:highlight w:val="none"/>
        </w:rPr>
      </w:pPr>
      <w:r>
        <w:rPr>
          <w:rFonts w:ascii="宋体" w:hAnsi="宋体" w:eastAsia="宋体" w:cs="宋体"/>
          <w:b/>
          <w:bCs/>
          <w:spacing w:val="-14"/>
          <w:sz w:val="24"/>
          <w:szCs w:val="24"/>
          <w:highlight w:val="none"/>
        </w:rPr>
        <w:t>附件</w:t>
      </w:r>
      <w:r>
        <w:rPr>
          <w:rFonts w:ascii="宋体" w:hAnsi="宋体" w:eastAsia="宋体" w:cs="宋体"/>
          <w:spacing w:val="-41"/>
          <w:sz w:val="24"/>
          <w:szCs w:val="24"/>
          <w:highlight w:val="none"/>
        </w:rPr>
        <w:t xml:space="preserve"> </w:t>
      </w:r>
      <w:r>
        <w:rPr>
          <w:rFonts w:ascii="宋体" w:hAnsi="宋体" w:eastAsia="宋体" w:cs="宋体"/>
          <w:b/>
          <w:bCs/>
          <w:spacing w:val="-14"/>
          <w:sz w:val="24"/>
          <w:szCs w:val="24"/>
          <w:highlight w:val="none"/>
        </w:rPr>
        <w:t>5：</w:t>
      </w:r>
    </w:p>
    <w:p w14:paraId="0AFC70C0">
      <w:pPr>
        <w:spacing w:before="316" w:line="225" w:lineRule="auto"/>
        <w:ind w:left="3089"/>
        <w:rPr>
          <w:rFonts w:ascii="宋体" w:hAnsi="宋体" w:eastAsia="宋体" w:cs="宋体"/>
          <w:sz w:val="35"/>
          <w:szCs w:val="35"/>
          <w:highlight w:val="none"/>
        </w:rPr>
      </w:pPr>
      <w:r>
        <w:rPr>
          <w:rFonts w:ascii="宋体" w:hAnsi="宋体" w:eastAsia="宋体" w:cs="宋体"/>
          <w:b/>
          <w:bCs/>
          <w:spacing w:val="5"/>
          <w:sz w:val="35"/>
          <w:szCs w:val="35"/>
          <w:highlight w:val="none"/>
        </w:rPr>
        <w:t>本项目组织实施人员</w:t>
      </w:r>
    </w:p>
    <w:p w14:paraId="58D9A7FF">
      <w:pPr>
        <w:spacing w:before="265" w:line="219" w:lineRule="auto"/>
        <w:ind w:left="229"/>
        <w:rPr>
          <w:rFonts w:ascii="宋体" w:hAnsi="宋体" w:eastAsia="宋体" w:cs="宋体"/>
          <w:sz w:val="24"/>
          <w:szCs w:val="24"/>
          <w:highlight w:val="none"/>
        </w:rPr>
      </w:pPr>
      <w:r>
        <w:rPr>
          <w:rFonts w:hint="eastAsia" w:ascii="宋体" w:hAnsi="宋体" w:eastAsia="宋体" w:cs="宋体"/>
          <w:sz w:val="24"/>
          <w:szCs w:val="24"/>
          <w:highlight w:val="none"/>
        </w:rPr>
        <w:t>投标人名称</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 xml:space="preserve">    项目编号：</w:t>
      </w:r>
    </w:p>
    <w:p w14:paraId="725684E0">
      <w:pPr>
        <w:spacing w:line="112" w:lineRule="exact"/>
        <w:rPr>
          <w:highlight w:val="none"/>
        </w:rPr>
      </w:pPr>
    </w:p>
    <w:tbl>
      <w:tblPr>
        <w:tblStyle w:val="15"/>
        <w:tblW w:w="9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850"/>
        <w:gridCol w:w="1133"/>
        <w:gridCol w:w="1559"/>
        <w:gridCol w:w="1700"/>
        <w:gridCol w:w="1983"/>
        <w:gridCol w:w="991"/>
      </w:tblGrid>
      <w:tr w14:paraId="53E54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179" w:type="dxa"/>
            <w:gridSpan w:val="7"/>
            <w:vAlign w:val="top"/>
          </w:tcPr>
          <w:p w14:paraId="478F2333">
            <w:pPr>
              <w:pStyle w:val="16"/>
              <w:spacing w:before="135" w:line="220" w:lineRule="auto"/>
              <w:ind w:left="134"/>
              <w:rPr>
                <w:highlight w:val="none"/>
              </w:rPr>
            </w:pPr>
            <w:r>
              <w:rPr>
                <w:b/>
                <w:bCs/>
                <w:spacing w:val="-6"/>
                <w:highlight w:val="none"/>
              </w:rPr>
              <w:t>1.项目负责人</w:t>
            </w:r>
          </w:p>
        </w:tc>
      </w:tr>
      <w:tr w14:paraId="0A23F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63" w:type="dxa"/>
            <w:vAlign w:val="top"/>
          </w:tcPr>
          <w:p w14:paraId="567D1CC4">
            <w:pPr>
              <w:pStyle w:val="16"/>
              <w:spacing w:before="192" w:line="220" w:lineRule="auto"/>
              <w:ind w:left="248"/>
              <w:rPr>
                <w:highlight w:val="none"/>
              </w:rPr>
            </w:pPr>
            <w:r>
              <w:rPr>
                <w:spacing w:val="-5"/>
                <w:highlight w:val="none"/>
              </w:rPr>
              <w:t>姓名</w:t>
            </w:r>
          </w:p>
        </w:tc>
        <w:tc>
          <w:tcPr>
            <w:tcW w:w="850" w:type="dxa"/>
            <w:vAlign w:val="top"/>
          </w:tcPr>
          <w:p w14:paraId="41EE212C">
            <w:pPr>
              <w:pStyle w:val="16"/>
              <w:spacing w:before="192" w:line="220" w:lineRule="auto"/>
              <w:ind w:left="191"/>
              <w:rPr>
                <w:highlight w:val="none"/>
              </w:rPr>
            </w:pPr>
            <w:r>
              <w:rPr>
                <w:spacing w:val="-6"/>
                <w:highlight w:val="none"/>
              </w:rPr>
              <w:t>年龄</w:t>
            </w:r>
          </w:p>
        </w:tc>
        <w:tc>
          <w:tcPr>
            <w:tcW w:w="1133" w:type="dxa"/>
            <w:vAlign w:val="top"/>
          </w:tcPr>
          <w:p w14:paraId="0B2182E2">
            <w:pPr>
              <w:pStyle w:val="16"/>
              <w:spacing w:before="192" w:line="220" w:lineRule="auto"/>
              <w:ind w:left="332"/>
              <w:rPr>
                <w:highlight w:val="none"/>
              </w:rPr>
            </w:pPr>
            <w:r>
              <w:rPr>
                <w:spacing w:val="-6"/>
                <w:highlight w:val="none"/>
              </w:rPr>
              <w:t>职务</w:t>
            </w:r>
          </w:p>
        </w:tc>
        <w:tc>
          <w:tcPr>
            <w:tcW w:w="1559" w:type="dxa"/>
            <w:vAlign w:val="top"/>
          </w:tcPr>
          <w:p w14:paraId="66475A21">
            <w:pPr>
              <w:pStyle w:val="16"/>
              <w:spacing w:before="192" w:line="220" w:lineRule="auto"/>
              <w:ind w:left="255"/>
              <w:rPr>
                <w:highlight w:val="none"/>
              </w:rPr>
            </w:pPr>
            <w:r>
              <w:rPr>
                <w:spacing w:val="-4"/>
                <w:highlight w:val="none"/>
              </w:rPr>
              <w:t>资格/职称</w:t>
            </w:r>
          </w:p>
        </w:tc>
        <w:tc>
          <w:tcPr>
            <w:tcW w:w="1700" w:type="dxa"/>
            <w:vAlign w:val="top"/>
          </w:tcPr>
          <w:p w14:paraId="4E7DDE84">
            <w:pPr>
              <w:pStyle w:val="16"/>
              <w:spacing w:before="35" w:line="224" w:lineRule="auto"/>
              <w:ind w:left="380" w:right="126" w:hanging="243"/>
              <w:rPr>
                <w:highlight w:val="none"/>
              </w:rPr>
            </w:pPr>
            <w:r>
              <w:rPr>
                <w:spacing w:val="-2"/>
                <w:highlight w:val="none"/>
              </w:rPr>
              <w:t>在本行业从业</w:t>
            </w:r>
            <w:r>
              <w:rPr>
                <w:spacing w:val="-4"/>
                <w:highlight w:val="none"/>
              </w:rPr>
              <w:t>工作年限</w:t>
            </w:r>
          </w:p>
        </w:tc>
        <w:tc>
          <w:tcPr>
            <w:tcW w:w="2974" w:type="dxa"/>
            <w:gridSpan w:val="2"/>
            <w:vAlign w:val="top"/>
          </w:tcPr>
          <w:p w14:paraId="1A295777">
            <w:pPr>
              <w:pStyle w:val="16"/>
              <w:spacing w:before="192" w:line="221" w:lineRule="auto"/>
              <w:ind w:left="775"/>
              <w:rPr>
                <w:highlight w:val="none"/>
              </w:rPr>
            </w:pPr>
            <w:r>
              <w:rPr>
                <w:spacing w:val="-2"/>
                <w:highlight w:val="none"/>
              </w:rPr>
              <w:t>主要工作业绩</w:t>
            </w:r>
          </w:p>
        </w:tc>
      </w:tr>
      <w:tr w14:paraId="56A8A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271B2B83">
            <w:pPr>
              <w:rPr>
                <w:rFonts w:ascii="Arial"/>
                <w:sz w:val="21"/>
                <w:highlight w:val="none"/>
              </w:rPr>
            </w:pPr>
          </w:p>
        </w:tc>
        <w:tc>
          <w:tcPr>
            <w:tcW w:w="850" w:type="dxa"/>
            <w:vAlign w:val="top"/>
          </w:tcPr>
          <w:p w14:paraId="3A177523">
            <w:pPr>
              <w:rPr>
                <w:rFonts w:ascii="Arial"/>
                <w:sz w:val="21"/>
                <w:highlight w:val="none"/>
              </w:rPr>
            </w:pPr>
          </w:p>
        </w:tc>
        <w:tc>
          <w:tcPr>
            <w:tcW w:w="1133" w:type="dxa"/>
            <w:vAlign w:val="top"/>
          </w:tcPr>
          <w:p w14:paraId="77AFD443">
            <w:pPr>
              <w:rPr>
                <w:rFonts w:ascii="Arial"/>
                <w:sz w:val="21"/>
                <w:highlight w:val="none"/>
              </w:rPr>
            </w:pPr>
          </w:p>
        </w:tc>
        <w:tc>
          <w:tcPr>
            <w:tcW w:w="1559" w:type="dxa"/>
            <w:vAlign w:val="top"/>
          </w:tcPr>
          <w:p w14:paraId="725C8BD4">
            <w:pPr>
              <w:rPr>
                <w:rFonts w:ascii="Arial"/>
                <w:sz w:val="21"/>
                <w:highlight w:val="none"/>
              </w:rPr>
            </w:pPr>
          </w:p>
        </w:tc>
        <w:tc>
          <w:tcPr>
            <w:tcW w:w="1700" w:type="dxa"/>
            <w:vAlign w:val="top"/>
          </w:tcPr>
          <w:p w14:paraId="36127384">
            <w:pPr>
              <w:rPr>
                <w:rFonts w:ascii="Arial"/>
                <w:sz w:val="21"/>
                <w:highlight w:val="none"/>
              </w:rPr>
            </w:pPr>
          </w:p>
        </w:tc>
        <w:tc>
          <w:tcPr>
            <w:tcW w:w="2974" w:type="dxa"/>
            <w:gridSpan w:val="2"/>
            <w:vAlign w:val="top"/>
          </w:tcPr>
          <w:p w14:paraId="3CB18072">
            <w:pPr>
              <w:rPr>
                <w:rFonts w:ascii="Arial"/>
                <w:sz w:val="21"/>
                <w:highlight w:val="none"/>
              </w:rPr>
            </w:pPr>
          </w:p>
        </w:tc>
      </w:tr>
      <w:tr w14:paraId="650FB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64442F7E">
            <w:pPr>
              <w:rPr>
                <w:rFonts w:ascii="Arial"/>
                <w:sz w:val="21"/>
                <w:highlight w:val="none"/>
              </w:rPr>
            </w:pPr>
          </w:p>
        </w:tc>
        <w:tc>
          <w:tcPr>
            <w:tcW w:w="850" w:type="dxa"/>
            <w:vAlign w:val="top"/>
          </w:tcPr>
          <w:p w14:paraId="2E5C4076">
            <w:pPr>
              <w:rPr>
                <w:rFonts w:ascii="Arial"/>
                <w:sz w:val="21"/>
                <w:highlight w:val="none"/>
              </w:rPr>
            </w:pPr>
          </w:p>
        </w:tc>
        <w:tc>
          <w:tcPr>
            <w:tcW w:w="1133" w:type="dxa"/>
            <w:vAlign w:val="top"/>
          </w:tcPr>
          <w:p w14:paraId="3518C29A">
            <w:pPr>
              <w:rPr>
                <w:rFonts w:ascii="Arial"/>
                <w:sz w:val="21"/>
                <w:highlight w:val="none"/>
              </w:rPr>
            </w:pPr>
          </w:p>
        </w:tc>
        <w:tc>
          <w:tcPr>
            <w:tcW w:w="1559" w:type="dxa"/>
            <w:vAlign w:val="top"/>
          </w:tcPr>
          <w:p w14:paraId="2420824A">
            <w:pPr>
              <w:rPr>
                <w:rFonts w:ascii="Arial"/>
                <w:sz w:val="21"/>
                <w:highlight w:val="none"/>
              </w:rPr>
            </w:pPr>
          </w:p>
        </w:tc>
        <w:tc>
          <w:tcPr>
            <w:tcW w:w="1700" w:type="dxa"/>
            <w:vAlign w:val="top"/>
          </w:tcPr>
          <w:p w14:paraId="11E746DA">
            <w:pPr>
              <w:rPr>
                <w:rFonts w:ascii="Arial"/>
                <w:sz w:val="21"/>
                <w:highlight w:val="none"/>
              </w:rPr>
            </w:pPr>
          </w:p>
        </w:tc>
        <w:tc>
          <w:tcPr>
            <w:tcW w:w="2974" w:type="dxa"/>
            <w:gridSpan w:val="2"/>
            <w:vAlign w:val="top"/>
          </w:tcPr>
          <w:p w14:paraId="5750A298">
            <w:pPr>
              <w:rPr>
                <w:rFonts w:ascii="Arial"/>
                <w:sz w:val="21"/>
                <w:highlight w:val="none"/>
              </w:rPr>
            </w:pPr>
          </w:p>
        </w:tc>
      </w:tr>
      <w:tr w14:paraId="388D6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79" w:type="dxa"/>
            <w:gridSpan w:val="7"/>
            <w:vAlign w:val="top"/>
          </w:tcPr>
          <w:p w14:paraId="71D0A074">
            <w:pPr>
              <w:pStyle w:val="16"/>
              <w:spacing w:before="108" w:line="220" w:lineRule="auto"/>
              <w:ind w:left="119"/>
              <w:rPr>
                <w:highlight w:val="none"/>
              </w:rPr>
            </w:pPr>
            <w:r>
              <w:rPr>
                <w:b/>
                <w:bCs/>
                <w:spacing w:val="-4"/>
                <w:highlight w:val="none"/>
              </w:rPr>
              <w:t>2.管理人员</w:t>
            </w:r>
          </w:p>
        </w:tc>
      </w:tr>
      <w:tr w14:paraId="0053F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63" w:type="dxa"/>
            <w:vAlign w:val="top"/>
          </w:tcPr>
          <w:p w14:paraId="0FA416E0">
            <w:pPr>
              <w:pStyle w:val="16"/>
              <w:spacing w:before="193" w:line="220" w:lineRule="auto"/>
              <w:ind w:left="248"/>
              <w:rPr>
                <w:highlight w:val="none"/>
              </w:rPr>
            </w:pPr>
            <w:r>
              <w:rPr>
                <w:spacing w:val="-5"/>
                <w:highlight w:val="none"/>
              </w:rPr>
              <w:t>姓名</w:t>
            </w:r>
          </w:p>
        </w:tc>
        <w:tc>
          <w:tcPr>
            <w:tcW w:w="850" w:type="dxa"/>
            <w:vAlign w:val="top"/>
          </w:tcPr>
          <w:p w14:paraId="73C58988">
            <w:pPr>
              <w:pStyle w:val="16"/>
              <w:spacing w:before="193" w:line="220" w:lineRule="auto"/>
              <w:ind w:left="191"/>
              <w:rPr>
                <w:highlight w:val="none"/>
              </w:rPr>
            </w:pPr>
            <w:r>
              <w:rPr>
                <w:spacing w:val="-6"/>
                <w:highlight w:val="none"/>
              </w:rPr>
              <w:t>年龄</w:t>
            </w:r>
          </w:p>
        </w:tc>
        <w:tc>
          <w:tcPr>
            <w:tcW w:w="1133" w:type="dxa"/>
            <w:vAlign w:val="top"/>
          </w:tcPr>
          <w:p w14:paraId="37E77260">
            <w:pPr>
              <w:pStyle w:val="16"/>
              <w:spacing w:before="193" w:line="220" w:lineRule="auto"/>
              <w:ind w:left="332"/>
              <w:rPr>
                <w:highlight w:val="none"/>
              </w:rPr>
            </w:pPr>
            <w:r>
              <w:rPr>
                <w:spacing w:val="-6"/>
                <w:highlight w:val="none"/>
              </w:rPr>
              <w:t>职务</w:t>
            </w:r>
          </w:p>
        </w:tc>
        <w:tc>
          <w:tcPr>
            <w:tcW w:w="1559" w:type="dxa"/>
            <w:vAlign w:val="top"/>
          </w:tcPr>
          <w:p w14:paraId="50DE3AC7">
            <w:pPr>
              <w:pStyle w:val="16"/>
              <w:spacing w:before="193" w:line="220" w:lineRule="auto"/>
              <w:ind w:left="255"/>
              <w:rPr>
                <w:highlight w:val="none"/>
              </w:rPr>
            </w:pPr>
            <w:r>
              <w:rPr>
                <w:spacing w:val="-4"/>
                <w:highlight w:val="none"/>
              </w:rPr>
              <w:t>资格/职称</w:t>
            </w:r>
          </w:p>
        </w:tc>
        <w:tc>
          <w:tcPr>
            <w:tcW w:w="1700" w:type="dxa"/>
            <w:vAlign w:val="top"/>
          </w:tcPr>
          <w:p w14:paraId="569AF7A2">
            <w:pPr>
              <w:pStyle w:val="16"/>
              <w:spacing w:before="38" w:line="223" w:lineRule="auto"/>
              <w:ind w:left="380" w:right="126" w:hanging="243"/>
              <w:rPr>
                <w:highlight w:val="none"/>
              </w:rPr>
            </w:pPr>
            <w:r>
              <w:rPr>
                <w:spacing w:val="-2"/>
                <w:highlight w:val="none"/>
              </w:rPr>
              <w:t>在本行业从业</w:t>
            </w:r>
            <w:r>
              <w:rPr>
                <w:spacing w:val="-4"/>
                <w:highlight w:val="none"/>
              </w:rPr>
              <w:t>工作年限</w:t>
            </w:r>
          </w:p>
        </w:tc>
        <w:tc>
          <w:tcPr>
            <w:tcW w:w="1983" w:type="dxa"/>
            <w:vAlign w:val="top"/>
          </w:tcPr>
          <w:p w14:paraId="44C179E5">
            <w:pPr>
              <w:pStyle w:val="16"/>
              <w:spacing w:before="193" w:line="221" w:lineRule="auto"/>
              <w:ind w:left="280"/>
              <w:rPr>
                <w:highlight w:val="none"/>
              </w:rPr>
            </w:pPr>
            <w:r>
              <w:rPr>
                <w:spacing w:val="-2"/>
                <w:highlight w:val="none"/>
              </w:rPr>
              <w:t>主要工作业绩</w:t>
            </w:r>
          </w:p>
        </w:tc>
        <w:tc>
          <w:tcPr>
            <w:tcW w:w="991" w:type="dxa"/>
            <w:vAlign w:val="top"/>
          </w:tcPr>
          <w:p w14:paraId="4603A170">
            <w:pPr>
              <w:pStyle w:val="16"/>
              <w:spacing w:before="37" w:line="222" w:lineRule="auto"/>
              <w:ind w:left="276"/>
              <w:rPr>
                <w:highlight w:val="none"/>
              </w:rPr>
            </w:pPr>
            <w:r>
              <w:rPr>
                <w:spacing w:val="-13"/>
                <w:highlight w:val="none"/>
              </w:rPr>
              <w:t>当前</w:t>
            </w:r>
          </w:p>
          <w:p w14:paraId="2EEE329B">
            <w:pPr>
              <w:pStyle w:val="16"/>
              <w:spacing w:before="23" w:line="206" w:lineRule="auto"/>
              <w:ind w:left="264"/>
              <w:rPr>
                <w:highlight w:val="none"/>
              </w:rPr>
            </w:pPr>
            <w:r>
              <w:rPr>
                <w:spacing w:val="-7"/>
                <w:highlight w:val="none"/>
              </w:rPr>
              <w:t>分工</w:t>
            </w:r>
          </w:p>
        </w:tc>
      </w:tr>
      <w:tr w14:paraId="67409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0E57D2A9">
            <w:pPr>
              <w:rPr>
                <w:rFonts w:ascii="Arial"/>
                <w:sz w:val="21"/>
                <w:highlight w:val="none"/>
              </w:rPr>
            </w:pPr>
          </w:p>
        </w:tc>
        <w:tc>
          <w:tcPr>
            <w:tcW w:w="850" w:type="dxa"/>
            <w:vAlign w:val="top"/>
          </w:tcPr>
          <w:p w14:paraId="2AD51755">
            <w:pPr>
              <w:rPr>
                <w:rFonts w:ascii="Arial"/>
                <w:sz w:val="21"/>
                <w:highlight w:val="none"/>
              </w:rPr>
            </w:pPr>
          </w:p>
        </w:tc>
        <w:tc>
          <w:tcPr>
            <w:tcW w:w="1133" w:type="dxa"/>
            <w:vAlign w:val="top"/>
          </w:tcPr>
          <w:p w14:paraId="5D362B55">
            <w:pPr>
              <w:rPr>
                <w:rFonts w:ascii="Arial"/>
                <w:sz w:val="21"/>
                <w:highlight w:val="none"/>
              </w:rPr>
            </w:pPr>
          </w:p>
        </w:tc>
        <w:tc>
          <w:tcPr>
            <w:tcW w:w="1559" w:type="dxa"/>
            <w:vAlign w:val="top"/>
          </w:tcPr>
          <w:p w14:paraId="3462B370">
            <w:pPr>
              <w:rPr>
                <w:rFonts w:ascii="Arial"/>
                <w:sz w:val="21"/>
                <w:highlight w:val="none"/>
              </w:rPr>
            </w:pPr>
          </w:p>
        </w:tc>
        <w:tc>
          <w:tcPr>
            <w:tcW w:w="1700" w:type="dxa"/>
            <w:vAlign w:val="top"/>
          </w:tcPr>
          <w:p w14:paraId="5FD2F43C">
            <w:pPr>
              <w:rPr>
                <w:rFonts w:ascii="Arial"/>
                <w:sz w:val="21"/>
                <w:highlight w:val="none"/>
              </w:rPr>
            </w:pPr>
          </w:p>
        </w:tc>
        <w:tc>
          <w:tcPr>
            <w:tcW w:w="1983" w:type="dxa"/>
            <w:vAlign w:val="top"/>
          </w:tcPr>
          <w:p w14:paraId="2E5E43E5">
            <w:pPr>
              <w:rPr>
                <w:rFonts w:ascii="Arial"/>
                <w:sz w:val="21"/>
                <w:highlight w:val="none"/>
              </w:rPr>
            </w:pPr>
          </w:p>
        </w:tc>
        <w:tc>
          <w:tcPr>
            <w:tcW w:w="991" w:type="dxa"/>
            <w:vAlign w:val="top"/>
          </w:tcPr>
          <w:p w14:paraId="33700971">
            <w:pPr>
              <w:rPr>
                <w:rFonts w:ascii="Arial"/>
                <w:sz w:val="21"/>
                <w:highlight w:val="none"/>
              </w:rPr>
            </w:pPr>
          </w:p>
        </w:tc>
      </w:tr>
      <w:tr w14:paraId="78AD9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7D15C37C">
            <w:pPr>
              <w:rPr>
                <w:rFonts w:ascii="Arial"/>
                <w:sz w:val="21"/>
                <w:highlight w:val="none"/>
              </w:rPr>
            </w:pPr>
          </w:p>
        </w:tc>
        <w:tc>
          <w:tcPr>
            <w:tcW w:w="850" w:type="dxa"/>
            <w:vAlign w:val="top"/>
          </w:tcPr>
          <w:p w14:paraId="0F338B28">
            <w:pPr>
              <w:rPr>
                <w:rFonts w:ascii="Arial"/>
                <w:sz w:val="21"/>
                <w:highlight w:val="none"/>
              </w:rPr>
            </w:pPr>
          </w:p>
        </w:tc>
        <w:tc>
          <w:tcPr>
            <w:tcW w:w="1133" w:type="dxa"/>
            <w:vAlign w:val="top"/>
          </w:tcPr>
          <w:p w14:paraId="25360216">
            <w:pPr>
              <w:rPr>
                <w:rFonts w:ascii="Arial"/>
                <w:sz w:val="21"/>
                <w:highlight w:val="none"/>
              </w:rPr>
            </w:pPr>
          </w:p>
        </w:tc>
        <w:tc>
          <w:tcPr>
            <w:tcW w:w="1559" w:type="dxa"/>
            <w:vAlign w:val="top"/>
          </w:tcPr>
          <w:p w14:paraId="6B402237">
            <w:pPr>
              <w:rPr>
                <w:rFonts w:ascii="Arial"/>
                <w:sz w:val="21"/>
                <w:highlight w:val="none"/>
              </w:rPr>
            </w:pPr>
          </w:p>
        </w:tc>
        <w:tc>
          <w:tcPr>
            <w:tcW w:w="1700" w:type="dxa"/>
            <w:vAlign w:val="top"/>
          </w:tcPr>
          <w:p w14:paraId="12646078">
            <w:pPr>
              <w:rPr>
                <w:rFonts w:ascii="Arial"/>
                <w:sz w:val="21"/>
                <w:highlight w:val="none"/>
              </w:rPr>
            </w:pPr>
          </w:p>
        </w:tc>
        <w:tc>
          <w:tcPr>
            <w:tcW w:w="1983" w:type="dxa"/>
            <w:vAlign w:val="top"/>
          </w:tcPr>
          <w:p w14:paraId="2D17AEE9">
            <w:pPr>
              <w:rPr>
                <w:rFonts w:ascii="Arial"/>
                <w:sz w:val="21"/>
                <w:highlight w:val="none"/>
              </w:rPr>
            </w:pPr>
          </w:p>
        </w:tc>
        <w:tc>
          <w:tcPr>
            <w:tcW w:w="991" w:type="dxa"/>
            <w:vAlign w:val="top"/>
          </w:tcPr>
          <w:p w14:paraId="5E81BA97">
            <w:pPr>
              <w:rPr>
                <w:rFonts w:ascii="Arial"/>
                <w:sz w:val="21"/>
                <w:highlight w:val="none"/>
              </w:rPr>
            </w:pPr>
          </w:p>
        </w:tc>
      </w:tr>
      <w:tr w14:paraId="0FBCE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5B9C2AAB">
            <w:pPr>
              <w:rPr>
                <w:rFonts w:ascii="Arial"/>
                <w:sz w:val="21"/>
                <w:highlight w:val="none"/>
              </w:rPr>
            </w:pPr>
          </w:p>
        </w:tc>
        <w:tc>
          <w:tcPr>
            <w:tcW w:w="850" w:type="dxa"/>
            <w:vAlign w:val="top"/>
          </w:tcPr>
          <w:p w14:paraId="6A1CD33B">
            <w:pPr>
              <w:rPr>
                <w:rFonts w:ascii="Arial"/>
                <w:sz w:val="21"/>
                <w:highlight w:val="none"/>
              </w:rPr>
            </w:pPr>
          </w:p>
        </w:tc>
        <w:tc>
          <w:tcPr>
            <w:tcW w:w="1133" w:type="dxa"/>
            <w:vAlign w:val="top"/>
          </w:tcPr>
          <w:p w14:paraId="4B68660D">
            <w:pPr>
              <w:rPr>
                <w:rFonts w:ascii="Arial"/>
                <w:sz w:val="21"/>
                <w:highlight w:val="none"/>
              </w:rPr>
            </w:pPr>
          </w:p>
        </w:tc>
        <w:tc>
          <w:tcPr>
            <w:tcW w:w="1559" w:type="dxa"/>
            <w:vAlign w:val="top"/>
          </w:tcPr>
          <w:p w14:paraId="10EFAB65">
            <w:pPr>
              <w:rPr>
                <w:rFonts w:ascii="Arial"/>
                <w:sz w:val="21"/>
                <w:highlight w:val="none"/>
              </w:rPr>
            </w:pPr>
          </w:p>
        </w:tc>
        <w:tc>
          <w:tcPr>
            <w:tcW w:w="1700" w:type="dxa"/>
            <w:vAlign w:val="top"/>
          </w:tcPr>
          <w:p w14:paraId="05350271">
            <w:pPr>
              <w:rPr>
                <w:rFonts w:ascii="Arial"/>
                <w:sz w:val="21"/>
                <w:highlight w:val="none"/>
              </w:rPr>
            </w:pPr>
          </w:p>
        </w:tc>
        <w:tc>
          <w:tcPr>
            <w:tcW w:w="1983" w:type="dxa"/>
            <w:vAlign w:val="top"/>
          </w:tcPr>
          <w:p w14:paraId="2388B0AB">
            <w:pPr>
              <w:rPr>
                <w:rFonts w:ascii="Arial"/>
                <w:sz w:val="21"/>
                <w:highlight w:val="none"/>
              </w:rPr>
            </w:pPr>
          </w:p>
        </w:tc>
        <w:tc>
          <w:tcPr>
            <w:tcW w:w="991" w:type="dxa"/>
            <w:vAlign w:val="top"/>
          </w:tcPr>
          <w:p w14:paraId="374A3175">
            <w:pPr>
              <w:rPr>
                <w:rFonts w:ascii="Arial"/>
                <w:sz w:val="21"/>
                <w:highlight w:val="none"/>
              </w:rPr>
            </w:pPr>
          </w:p>
        </w:tc>
      </w:tr>
      <w:tr w14:paraId="79F97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179" w:type="dxa"/>
            <w:gridSpan w:val="7"/>
            <w:vAlign w:val="top"/>
          </w:tcPr>
          <w:p w14:paraId="1F9DB13A">
            <w:pPr>
              <w:pStyle w:val="16"/>
              <w:spacing w:before="39" w:line="206" w:lineRule="auto"/>
              <w:ind w:left="121"/>
              <w:rPr>
                <w:highlight w:val="none"/>
              </w:rPr>
            </w:pPr>
            <w:r>
              <w:rPr>
                <w:b/>
                <w:bCs/>
                <w:spacing w:val="-5"/>
                <w:highlight w:val="none"/>
              </w:rPr>
              <w:t>3.技术人员</w:t>
            </w:r>
          </w:p>
        </w:tc>
      </w:tr>
      <w:tr w14:paraId="2E04B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63" w:type="dxa"/>
            <w:vAlign w:val="top"/>
          </w:tcPr>
          <w:p w14:paraId="1CAD73D3">
            <w:pPr>
              <w:pStyle w:val="16"/>
              <w:spacing w:before="195" w:line="220" w:lineRule="auto"/>
              <w:ind w:left="248"/>
              <w:rPr>
                <w:highlight w:val="none"/>
              </w:rPr>
            </w:pPr>
            <w:r>
              <w:rPr>
                <w:spacing w:val="-5"/>
                <w:highlight w:val="none"/>
              </w:rPr>
              <w:t>姓名</w:t>
            </w:r>
          </w:p>
        </w:tc>
        <w:tc>
          <w:tcPr>
            <w:tcW w:w="850" w:type="dxa"/>
            <w:vAlign w:val="top"/>
          </w:tcPr>
          <w:p w14:paraId="2CFE19AD">
            <w:pPr>
              <w:pStyle w:val="16"/>
              <w:spacing w:before="195" w:line="220" w:lineRule="auto"/>
              <w:ind w:left="191"/>
              <w:rPr>
                <w:highlight w:val="none"/>
              </w:rPr>
            </w:pPr>
            <w:r>
              <w:rPr>
                <w:spacing w:val="-6"/>
                <w:highlight w:val="none"/>
              </w:rPr>
              <w:t>年龄</w:t>
            </w:r>
          </w:p>
        </w:tc>
        <w:tc>
          <w:tcPr>
            <w:tcW w:w="1133" w:type="dxa"/>
            <w:vAlign w:val="top"/>
          </w:tcPr>
          <w:p w14:paraId="179CCD4D">
            <w:pPr>
              <w:pStyle w:val="16"/>
              <w:spacing w:before="195" w:line="220" w:lineRule="auto"/>
              <w:ind w:left="332"/>
              <w:rPr>
                <w:highlight w:val="none"/>
              </w:rPr>
            </w:pPr>
            <w:r>
              <w:rPr>
                <w:spacing w:val="-6"/>
                <w:highlight w:val="none"/>
              </w:rPr>
              <w:t>职务</w:t>
            </w:r>
          </w:p>
        </w:tc>
        <w:tc>
          <w:tcPr>
            <w:tcW w:w="1559" w:type="dxa"/>
            <w:vAlign w:val="top"/>
          </w:tcPr>
          <w:p w14:paraId="6751D4A5">
            <w:pPr>
              <w:pStyle w:val="16"/>
              <w:spacing w:before="195" w:line="220" w:lineRule="auto"/>
              <w:ind w:left="255"/>
              <w:rPr>
                <w:highlight w:val="none"/>
              </w:rPr>
            </w:pPr>
            <w:r>
              <w:rPr>
                <w:spacing w:val="-4"/>
                <w:highlight w:val="none"/>
              </w:rPr>
              <w:t>资格/职称</w:t>
            </w:r>
          </w:p>
        </w:tc>
        <w:tc>
          <w:tcPr>
            <w:tcW w:w="1700" w:type="dxa"/>
            <w:vAlign w:val="top"/>
          </w:tcPr>
          <w:p w14:paraId="2CB7F75F">
            <w:pPr>
              <w:pStyle w:val="16"/>
              <w:spacing w:before="38" w:line="223" w:lineRule="auto"/>
              <w:ind w:left="380" w:right="126" w:hanging="243"/>
              <w:rPr>
                <w:highlight w:val="none"/>
              </w:rPr>
            </w:pPr>
            <w:r>
              <w:rPr>
                <w:spacing w:val="-2"/>
                <w:highlight w:val="none"/>
              </w:rPr>
              <w:t>在本行业从业</w:t>
            </w:r>
            <w:r>
              <w:rPr>
                <w:spacing w:val="-4"/>
                <w:highlight w:val="none"/>
              </w:rPr>
              <w:t>工作年限</w:t>
            </w:r>
          </w:p>
        </w:tc>
        <w:tc>
          <w:tcPr>
            <w:tcW w:w="1983" w:type="dxa"/>
            <w:vAlign w:val="top"/>
          </w:tcPr>
          <w:p w14:paraId="45E33BA8">
            <w:pPr>
              <w:pStyle w:val="16"/>
              <w:spacing w:before="194" w:line="221" w:lineRule="auto"/>
              <w:ind w:left="280"/>
              <w:rPr>
                <w:highlight w:val="none"/>
              </w:rPr>
            </w:pPr>
            <w:r>
              <w:rPr>
                <w:spacing w:val="-2"/>
                <w:highlight w:val="none"/>
              </w:rPr>
              <w:t>主要工作业绩</w:t>
            </w:r>
          </w:p>
        </w:tc>
        <w:tc>
          <w:tcPr>
            <w:tcW w:w="991" w:type="dxa"/>
            <w:vAlign w:val="top"/>
          </w:tcPr>
          <w:p w14:paraId="1DF3D53B">
            <w:pPr>
              <w:pStyle w:val="16"/>
              <w:spacing w:before="39" w:line="222" w:lineRule="auto"/>
              <w:ind w:left="276"/>
              <w:rPr>
                <w:highlight w:val="none"/>
              </w:rPr>
            </w:pPr>
            <w:r>
              <w:rPr>
                <w:spacing w:val="-13"/>
                <w:highlight w:val="none"/>
              </w:rPr>
              <w:t>当前</w:t>
            </w:r>
          </w:p>
          <w:p w14:paraId="4F73E6D7">
            <w:pPr>
              <w:pStyle w:val="16"/>
              <w:spacing w:before="23" w:line="205" w:lineRule="auto"/>
              <w:ind w:left="264"/>
              <w:rPr>
                <w:highlight w:val="none"/>
              </w:rPr>
            </w:pPr>
            <w:r>
              <w:rPr>
                <w:spacing w:val="-7"/>
                <w:highlight w:val="none"/>
              </w:rPr>
              <w:t>分工</w:t>
            </w:r>
          </w:p>
        </w:tc>
      </w:tr>
      <w:tr w14:paraId="135BF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1EC37864">
            <w:pPr>
              <w:rPr>
                <w:rFonts w:ascii="Arial"/>
                <w:sz w:val="21"/>
                <w:highlight w:val="none"/>
              </w:rPr>
            </w:pPr>
          </w:p>
        </w:tc>
        <w:tc>
          <w:tcPr>
            <w:tcW w:w="850" w:type="dxa"/>
            <w:vAlign w:val="top"/>
          </w:tcPr>
          <w:p w14:paraId="50EDD6A7">
            <w:pPr>
              <w:rPr>
                <w:rFonts w:ascii="Arial"/>
                <w:sz w:val="21"/>
                <w:highlight w:val="none"/>
              </w:rPr>
            </w:pPr>
          </w:p>
        </w:tc>
        <w:tc>
          <w:tcPr>
            <w:tcW w:w="1133" w:type="dxa"/>
            <w:vAlign w:val="top"/>
          </w:tcPr>
          <w:p w14:paraId="6B6F3DC8">
            <w:pPr>
              <w:rPr>
                <w:rFonts w:ascii="Arial"/>
                <w:sz w:val="21"/>
                <w:highlight w:val="none"/>
              </w:rPr>
            </w:pPr>
          </w:p>
        </w:tc>
        <w:tc>
          <w:tcPr>
            <w:tcW w:w="1559" w:type="dxa"/>
            <w:vAlign w:val="top"/>
          </w:tcPr>
          <w:p w14:paraId="665945ED">
            <w:pPr>
              <w:rPr>
                <w:rFonts w:ascii="Arial"/>
                <w:sz w:val="21"/>
                <w:highlight w:val="none"/>
              </w:rPr>
            </w:pPr>
          </w:p>
        </w:tc>
        <w:tc>
          <w:tcPr>
            <w:tcW w:w="1700" w:type="dxa"/>
            <w:vAlign w:val="top"/>
          </w:tcPr>
          <w:p w14:paraId="4105EA74">
            <w:pPr>
              <w:rPr>
                <w:rFonts w:ascii="Arial"/>
                <w:sz w:val="21"/>
                <w:highlight w:val="none"/>
              </w:rPr>
            </w:pPr>
          </w:p>
        </w:tc>
        <w:tc>
          <w:tcPr>
            <w:tcW w:w="1983" w:type="dxa"/>
            <w:vAlign w:val="top"/>
          </w:tcPr>
          <w:p w14:paraId="5E7DE700">
            <w:pPr>
              <w:rPr>
                <w:rFonts w:ascii="Arial"/>
                <w:sz w:val="21"/>
                <w:highlight w:val="none"/>
              </w:rPr>
            </w:pPr>
          </w:p>
        </w:tc>
        <w:tc>
          <w:tcPr>
            <w:tcW w:w="991" w:type="dxa"/>
            <w:vAlign w:val="top"/>
          </w:tcPr>
          <w:p w14:paraId="65781F8B">
            <w:pPr>
              <w:rPr>
                <w:rFonts w:ascii="Arial"/>
                <w:sz w:val="21"/>
                <w:highlight w:val="none"/>
              </w:rPr>
            </w:pPr>
          </w:p>
        </w:tc>
      </w:tr>
      <w:tr w14:paraId="707AC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13E53D0E">
            <w:pPr>
              <w:rPr>
                <w:rFonts w:ascii="Arial"/>
                <w:sz w:val="21"/>
                <w:highlight w:val="none"/>
              </w:rPr>
            </w:pPr>
          </w:p>
        </w:tc>
        <w:tc>
          <w:tcPr>
            <w:tcW w:w="850" w:type="dxa"/>
            <w:vAlign w:val="top"/>
          </w:tcPr>
          <w:p w14:paraId="44F2A629">
            <w:pPr>
              <w:rPr>
                <w:rFonts w:ascii="Arial"/>
                <w:sz w:val="21"/>
                <w:highlight w:val="none"/>
              </w:rPr>
            </w:pPr>
          </w:p>
        </w:tc>
        <w:tc>
          <w:tcPr>
            <w:tcW w:w="1133" w:type="dxa"/>
            <w:vAlign w:val="top"/>
          </w:tcPr>
          <w:p w14:paraId="12A5D2FE">
            <w:pPr>
              <w:rPr>
                <w:rFonts w:ascii="Arial"/>
                <w:sz w:val="21"/>
                <w:highlight w:val="none"/>
              </w:rPr>
            </w:pPr>
          </w:p>
        </w:tc>
        <w:tc>
          <w:tcPr>
            <w:tcW w:w="1559" w:type="dxa"/>
            <w:vAlign w:val="top"/>
          </w:tcPr>
          <w:p w14:paraId="4FDE91DC">
            <w:pPr>
              <w:rPr>
                <w:rFonts w:ascii="Arial"/>
                <w:sz w:val="21"/>
                <w:highlight w:val="none"/>
              </w:rPr>
            </w:pPr>
          </w:p>
        </w:tc>
        <w:tc>
          <w:tcPr>
            <w:tcW w:w="1700" w:type="dxa"/>
            <w:vAlign w:val="top"/>
          </w:tcPr>
          <w:p w14:paraId="7F8C8DB0">
            <w:pPr>
              <w:rPr>
                <w:rFonts w:ascii="Arial"/>
                <w:sz w:val="21"/>
                <w:highlight w:val="none"/>
              </w:rPr>
            </w:pPr>
          </w:p>
        </w:tc>
        <w:tc>
          <w:tcPr>
            <w:tcW w:w="1983" w:type="dxa"/>
            <w:vAlign w:val="top"/>
          </w:tcPr>
          <w:p w14:paraId="66099F10">
            <w:pPr>
              <w:rPr>
                <w:rFonts w:ascii="Arial"/>
                <w:sz w:val="21"/>
                <w:highlight w:val="none"/>
              </w:rPr>
            </w:pPr>
          </w:p>
        </w:tc>
        <w:tc>
          <w:tcPr>
            <w:tcW w:w="991" w:type="dxa"/>
            <w:vAlign w:val="top"/>
          </w:tcPr>
          <w:p w14:paraId="4ED397CB">
            <w:pPr>
              <w:rPr>
                <w:rFonts w:ascii="Arial"/>
                <w:sz w:val="21"/>
                <w:highlight w:val="none"/>
              </w:rPr>
            </w:pPr>
          </w:p>
        </w:tc>
      </w:tr>
      <w:tr w14:paraId="2E56C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4F667D1B">
            <w:pPr>
              <w:rPr>
                <w:rFonts w:ascii="Arial"/>
                <w:sz w:val="21"/>
                <w:highlight w:val="none"/>
              </w:rPr>
            </w:pPr>
          </w:p>
        </w:tc>
        <w:tc>
          <w:tcPr>
            <w:tcW w:w="850" w:type="dxa"/>
            <w:vAlign w:val="top"/>
          </w:tcPr>
          <w:p w14:paraId="53EF7CDB">
            <w:pPr>
              <w:rPr>
                <w:rFonts w:ascii="Arial"/>
                <w:sz w:val="21"/>
                <w:highlight w:val="none"/>
              </w:rPr>
            </w:pPr>
          </w:p>
        </w:tc>
        <w:tc>
          <w:tcPr>
            <w:tcW w:w="1133" w:type="dxa"/>
            <w:vAlign w:val="top"/>
          </w:tcPr>
          <w:p w14:paraId="187802E7">
            <w:pPr>
              <w:rPr>
                <w:rFonts w:ascii="Arial"/>
                <w:sz w:val="21"/>
                <w:highlight w:val="none"/>
              </w:rPr>
            </w:pPr>
          </w:p>
        </w:tc>
        <w:tc>
          <w:tcPr>
            <w:tcW w:w="1559" w:type="dxa"/>
            <w:vAlign w:val="top"/>
          </w:tcPr>
          <w:p w14:paraId="1CBB756E">
            <w:pPr>
              <w:rPr>
                <w:rFonts w:ascii="Arial"/>
                <w:sz w:val="21"/>
                <w:highlight w:val="none"/>
              </w:rPr>
            </w:pPr>
          </w:p>
        </w:tc>
        <w:tc>
          <w:tcPr>
            <w:tcW w:w="1700" w:type="dxa"/>
            <w:vAlign w:val="top"/>
          </w:tcPr>
          <w:p w14:paraId="68EE08F6">
            <w:pPr>
              <w:rPr>
                <w:rFonts w:ascii="Arial"/>
                <w:sz w:val="21"/>
                <w:highlight w:val="none"/>
              </w:rPr>
            </w:pPr>
          </w:p>
        </w:tc>
        <w:tc>
          <w:tcPr>
            <w:tcW w:w="1983" w:type="dxa"/>
            <w:vAlign w:val="top"/>
          </w:tcPr>
          <w:p w14:paraId="614A431B">
            <w:pPr>
              <w:rPr>
                <w:rFonts w:ascii="Arial"/>
                <w:sz w:val="21"/>
                <w:highlight w:val="none"/>
              </w:rPr>
            </w:pPr>
          </w:p>
        </w:tc>
        <w:tc>
          <w:tcPr>
            <w:tcW w:w="991" w:type="dxa"/>
            <w:vAlign w:val="top"/>
          </w:tcPr>
          <w:p w14:paraId="6FA423B6">
            <w:pPr>
              <w:rPr>
                <w:rFonts w:ascii="Arial"/>
                <w:sz w:val="21"/>
                <w:highlight w:val="none"/>
              </w:rPr>
            </w:pPr>
          </w:p>
        </w:tc>
      </w:tr>
      <w:tr w14:paraId="17614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179" w:type="dxa"/>
            <w:gridSpan w:val="7"/>
            <w:vAlign w:val="top"/>
          </w:tcPr>
          <w:p w14:paraId="12385A70">
            <w:pPr>
              <w:pStyle w:val="16"/>
              <w:spacing w:before="150" w:line="221" w:lineRule="auto"/>
              <w:ind w:left="115"/>
              <w:rPr>
                <w:highlight w:val="none"/>
              </w:rPr>
            </w:pPr>
            <w:r>
              <w:rPr>
                <w:b/>
                <w:bCs/>
                <w:spacing w:val="-4"/>
                <w:highlight w:val="none"/>
              </w:rPr>
              <w:t>4.辅助人员</w:t>
            </w:r>
          </w:p>
        </w:tc>
      </w:tr>
      <w:tr w14:paraId="1D69B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63" w:type="dxa"/>
            <w:vAlign w:val="top"/>
          </w:tcPr>
          <w:p w14:paraId="24BA3FE8">
            <w:pPr>
              <w:pStyle w:val="16"/>
              <w:spacing w:before="196" w:line="220" w:lineRule="auto"/>
              <w:ind w:left="248"/>
              <w:rPr>
                <w:highlight w:val="none"/>
              </w:rPr>
            </w:pPr>
            <w:r>
              <w:rPr>
                <w:spacing w:val="-5"/>
                <w:highlight w:val="none"/>
              </w:rPr>
              <w:t>姓名</w:t>
            </w:r>
          </w:p>
        </w:tc>
        <w:tc>
          <w:tcPr>
            <w:tcW w:w="850" w:type="dxa"/>
            <w:vAlign w:val="top"/>
          </w:tcPr>
          <w:p w14:paraId="5C921AA6">
            <w:pPr>
              <w:pStyle w:val="16"/>
              <w:spacing w:before="196" w:line="220" w:lineRule="auto"/>
              <w:ind w:left="191"/>
              <w:rPr>
                <w:highlight w:val="none"/>
              </w:rPr>
            </w:pPr>
            <w:r>
              <w:rPr>
                <w:spacing w:val="-6"/>
                <w:highlight w:val="none"/>
              </w:rPr>
              <w:t>年龄</w:t>
            </w:r>
          </w:p>
        </w:tc>
        <w:tc>
          <w:tcPr>
            <w:tcW w:w="1133" w:type="dxa"/>
            <w:vAlign w:val="top"/>
          </w:tcPr>
          <w:p w14:paraId="627149F7">
            <w:pPr>
              <w:pStyle w:val="16"/>
              <w:spacing w:before="196" w:line="220" w:lineRule="auto"/>
              <w:ind w:left="332"/>
              <w:rPr>
                <w:highlight w:val="none"/>
              </w:rPr>
            </w:pPr>
            <w:r>
              <w:rPr>
                <w:spacing w:val="-6"/>
                <w:highlight w:val="none"/>
              </w:rPr>
              <w:t>职务</w:t>
            </w:r>
          </w:p>
        </w:tc>
        <w:tc>
          <w:tcPr>
            <w:tcW w:w="1559" w:type="dxa"/>
            <w:vAlign w:val="top"/>
          </w:tcPr>
          <w:p w14:paraId="38021F50">
            <w:pPr>
              <w:pStyle w:val="16"/>
              <w:spacing w:before="196" w:line="220" w:lineRule="auto"/>
              <w:ind w:left="255"/>
              <w:rPr>
                <w:highlight w:val="none"/>
              </w:rPr>
            </w:pPr>
            <w:r>
              <w:rPr>
                <w:spacing w:val="-4"/>
                <w:highlight w:val="none"/>
              </w:rPr>
              <w:t>资格/职称</w:t>
            </w:r>
          </w:p>
        </w:tc>
        <w:tc>
          <w:tcPr>
            <w:tcW w:w="1700" w:type="dxa"/>
            <w:vAlign w:val="top"/>
          </w:tcPr>
          <w:p w14:paraId="2422FD33">
            <w:pPr>
              <w:pStyle w:val="16"/>
              <w:spacing w:before="40" w:line="222" w:lineRule="auto"/>
              <w:ind w:left="380" w:right="126" w:hanging="243"/>
              <w:rPr>
                <w:highlight w:val="none"/>
              </w:rPr>
            </w:pPr>
            <w:r>
              <w:rPr>
                <w:spacing w:val="-2"/>
                <w:highlight w:val="none"/>
              </w:rPr>
              <w:t>在本行业从业</w:t>
            </w:r>
            <w:r>
              <w:rPr>
                <w:spacing w:val="-4"/>
                <w:highlight w:val="none"/>
              </w:rPr>
              <w:t>工作年限</w:t>
            </w:r>
          </w:p>
        </w:tc>
        <w:tc>
          <w:tcPr>
            <w:tcW w:w="1983" w:type="dxa"/>
            <w:vAlign w:val="top"/>
          </w:tcPr>
          <w:p w14:paraId="3EEECF5F">
            <w:pPr>
              <w:pStyle w:val="16"/>
              <w:spacing w:before="196" w:line="221" w:lineRule="auto"/>
              <w:ind w:left="280"/>
              <w:rPr>
                <w:highlight w:val="none"/>
              </w:rPr>
            </w:pPr>
            <w:r>
              <w:rPr>
                <w:spacing w:val="-2"/>
                <w:highlight w:val="none"/>
              </w:rPr>
              <w:t>主要工作业绩</w:t>
            </w:r>
          </w:p>
        </w:tc>
        <w:tc>
          <w:tcPr>
            <w:tcW w:w="991" w:type="dxa"/>
            <w:vAlign w:val="top"/>
          </w:tcPr>
          <w:p w14:paraId="53FC4FC0">
            <w:pPr>
              <w:pStyle w:val="16"/>
              <w:spacing w:before="40" w:line="222" w:lineRule="auto"/>
              <w:ind w:left="276"/>
              <w:rPr>
                <w:highlight w:val="none"/>
              </w:rPr>
            </w:pPr>
            <w:r>
              <w:rPr>
                <w:spacing w:val="-13"/>
                <w:highlight w:val="none"/>
              </w:rPr>
              <w:t>当前</w:t>
            </w:r>
          </w:p>
          <w:p w14:paraId="59300F7D">
            <w:pPr>
              <w:pStyle w:val="16"/>
              <w:spacing w:before="23" w:line="204" w:lineRule="auto"/>
              <w:ind w:left="264"/>
              <w:rPr>
                <w:highlight w:val="none"/>
              </w:rPr>
            </w:pPr>
            <w:r>
              <w:rPr>
                <w:spacing w:val="-7"/>
                <w:highlight w:val="none"/>
              </w:rPr>
              <w:t>分工</w:t>
            </w:r>
          </w:p>
        </w:tc>
      </w:tr>
      <w:tr w14:paraId="5D0B7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7B4B3860">
            <w:pPr>
              <w:rPr>
                <w:rFonts w:ascii="Arial"/>
                <w:sz w:val="21"/>
                <w:highlight w:val="none"/>
              </w:rPr>
            </w:pPr>
          </w:p>
        </w:tc>
        <w:tc>
          <w:tcPr>
            <w:tcW w:w="850" w:type="dxa"/>
            <w:vAlign w:val="top"/>
          </w:tcPr>
          <w:p w14:paraId="51FBF011">
            <w:pPr>
              <w:rPr>
                <w:rFonts w:ascii="Arial"/>
                <w:sz w:val="21"/>
                <w:highlight w:val="none"/>
              </w:rPr>
            </w:pPr>
          </w:p>
        </w:tc>
        <w:tc>
          <w:tcPr>
            <w:tcW w:w="1133" w:type="dxa"/>
            <w:vAlign w:val="top"/>
          </w:tcPr>
          <w:p w14:paraId="6322858B">
            <w:pPr>
              <w:rPr>
                <w:rFonts w:ascii="Arial"/>
                <w:sz w:val="21"/>
                <w:highlight w:val="none"/>
              </w:rPr>
            </w:pPr>
          </w:p>
        </w:tc>
        <w:tc>
          <w:tcPr>
            <w:tcW w:w="1559" w:type="dxa"/>
            <w:vAlign w:val="top"/>
          </w:tcPr>
          <w:p w14:paraId="4009A277">
            <w:pPr>
              <w:rPr>
                <w:rFonts w:ascii="Arial"/>
                <w:sz w:val="21"/>
                <w:highlight w:val="none"/>
              </w:rPr>
            </w:pPr>
          </w:p>
        </w:tc>
        <w:tc>
          <w:tcPr>
            <w:tcW w:w="1700" w:type="dxa"/>
            <w:vAlign w:val="top"/>
          </w:tcPr>
          <w:p w14:paraId="55E59E62">
            <w:pPr>
              <w:rPr>
                <w:rFonts w:ascii="Arial"/>
                <w:sz w:val="21"/>
                <w:highlight w:val="none"/>
              </w:rPr>
            </w:pPr>
          </w:p>
        </w:tc>
        <w:tc>
          <w:tcPr>
            <w:tcW w:w="1983" w:type="dxa"/>
            <w:vAlign w:val="top"/>
          </w:tcPr>
          <w:p w14:paraId="60BE3516">
            <w:pPr>
              <w:rPr>
                <w:rFonts w:ascii="Arial"/>
                <w:sz w:val="21"/>
                <w:highlight w:val="none"/>
              </w:rPr>
            </w:pPr>
          </w:p>
        </w:tc>
        <w:tc>
          <w:tcPr>
            <w:tcW w:w="991" w:type="dxa"/>
            <w:vAlign w:val="top"/>
          </w:tcPr>
          <w:p w14:paraId="3BB96A4E">
            <w:pPr>
              <w:rPr>
                <w:rFonts w:ascii="Arial"/>
                <w:sz w:val="21"/>
                <w:highlight w:val="none"/>
              </w:rPr>
            </w:pPr>
          </w:p>
        </w:tc>
      </w:tr>
      <w:tr w14:paraId="630EC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3BBEFF2C">
            <w:pPr>
              <w:rPr>
                <w:rFonts w:ascii="Arial"/>
                <w:sz w:val="21"/>
                <w:highlight w:val="none"/>
              </w:rPr>
            </w:pPr>
          </w:p>
        </w:tc>
        <w:tc>
          <w:tcPr>
            <w:tcW w:w="850" w:type="dxa"/>
            <w:vAlign w:val="top"/>
          </w:tcPr>
          <w:p w14:paraId="01BE9BD1">
            <w:pPr>
              <w:rPr>
                <w:rFonts w:ascii="Arial"/>
                <w:sz w:val="21"/>
                <w:highlight w:val="none"/>
              </w:rPr>
            </w:pPr>
          </w:p>
        </w:tc>
        <w:tc>
          <w:tcPr>
            <w:tcW w:w="1133" w:type="dxa"/>
            <w:vAlign w:val="top"/>
          </w:tcPr>
          <w:p w14:paraId="5A0873E3">
            <w:pPr>
              <w:rPr>
                <w:rFonts w:ascii="Arial"/>
                <w:sz w:val="21"/>
                <w:highlight w:val="none"/>
              </w:rPr>
            </w:pPr>
          </w:p>
        </w:tc>
        <w:tc>
          <w:tcPr>
            <w:tcW w:w="1559" w:type="dxa"/>
            <w:vAlign w:val="top"/>
          </w:tcPr>
          <w:p w14:paraId="067AE5D0">
            <w:pPr>
              <w:rPr>
                <w:rFonts w:ascii="Arial"/>
                <w:sz w:val="21"/>
                <w:highlight w:val="none"/>
              </w:rPr>
            </w:pPr>
          </w:p>
        </w:tc>
        <w:tc>
          <w:tcPr>
            <w:tcW w:w="1700" w:type="dxa"/>
            <w:vAlign w:val="top"/>
          </w:tcPr>
          <w:p w14:paraId="78618863">
            <w:pPr>
              <w:rPr>
                <w:rFonts w:ascii="Arial"/>
                <w:sz w:val="21"/>
                <w:highlight w:val="none"/>
              </w:rPr>
            </w:pPr>
          </w:p>
        </w:tc>
        <w:tc>
          <w:tcPr>
            <w:tcW w:w="1983" w:type="dxa"/>
            <w:vAlign w:val="top"/>
          </w:tcPr>
          <w:p w14:paraId="5E7B00F4">
            <w:pPr>
              <w:rPr>
                <w:rFonts w:ascii="Arial"/>
                <w:sz w:val="21"/>
                <w:highlight w:val="none"/>
              </w:rPr>
            </w:pPr>
          </w:p>
        </w:tc>
        <w:tc>
          <w:tcPr>
            <w:tcW w:w="991" w:type="dxa"/>
            <w:vAlign w:val="top"/>
          </w:tcPr>
          <w:p w14:paraId="0E7D3BF6">
            <w:pPr>
              <w:rPr>
                <w:rFonts w:ascii="Arial"/>
                <w:sz w:val="21"/>
                <w:highlight w:val="none"/>
              </w:rPr>
            </w:pPr>
          </w:p>
        </w:tc>
      </w:tr>
      <w:tr w14:paraId="0209B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63" w:type="dxa"/>
            <w:vAlign w:val="top"/>
          </w:tcPr>
          <w:p w14:paraId="33B3CBAE">
            <w:pPr>
              <w:rPr>
                <w:rFonts w:ascii="Arial"/>
                <w:sz w:val="21"/>
                <w:highlight w:val="none"/>
              </w:rPr>
            </w:pPr>
          </w:p>
        </w:tc>
        <w:tc>
          <w:tcPr>
            <w:tcW w:w="850" w:type="dxa"/>
            <w:vAlign w:val="top"/>
          </w:tcPr>
          <w:p w14:paraId="3530F745">
            <w:pPr>
              <w:rPr>
                <w:rFonts w:ascii="Arial"/>
                <w:sz w:val="21"/>
                <w:highlight w:val="none"/>
              </w:rPr>
            </w:pPr>
          </w:p>
        </w:tc>
        <w:tc>
          <w:tcPr>
            <w:tcW w:w="1133" w:type="dxa"/>
            <w:vAlign w:val="top"/>
          </w:tcPr>
          <w:p w14:paraId="2E0F1214">
            <w:pPr>
              <w:rPr>
                <w:rFonts w:ascii="Arial"/>
                <w:sz w:val="21"/>
                <w:highlight w:val="none"/>
              </w:rPr>
            </w:pPr>
          </w:p>
        </w:tc>
        <w:tc>
          <w:tcPr>
            <w:tcW w:w="1559" w:type="dxa"/>
            <w:vAlign w:val="top"/>
          </w:tcPr>
          <w:p w14:paraId="14F931FB">
            <w:pPr>
              <w:rPr>
                <w:rFonts w:ascii="Arial"/>
                <w:sz w:val="21"/>
                <w:highlight w:val="none"/>
              </w:rPr>
            </w:pPr>
          </w:p>
        </w:tc>
        <w:tc>
          <w:tcPr>
            <w:tcW w:w="1700" w:type="dxa"/>
            <w:vAlign w:val="top"/>
          </w:tcPr>
          <w:p w14:paraId="6E910EB9">
            <w:pPr>
              <w:rPr>
                <w:rFonts w:ascii="Arial"/>
                <w:sz w:val="21"/>
                <w:highlight w:val="none"/>
              </w:rPr>
            </w:pPr>
          </w:p>
        </w:tc>
        <w:tc>
          <w:tcPr>
            <w:tcW w:w="1983" w:type="dxa"/>
            <w:vAlign w:val="top"/>
          </w:tcPr>
          <w:p w14:paraId="0521AC5C">
            <w:pPr>
              <w:rPr>
                <w:rFonts w:ascii="Arial"/>
                <w:sz w:val="21"/>
                <w:highlight w:val="none"/>
              </w:rPr>
            </w:pPr>
          </w:p>
        </w:tc>
        <w:tc>
          <w:tcPr>
            <w:tcW w:w="991" w:type="dxa"/>
            <w:vAlign w:val="top"/>
          </w:tcPr>
          <w:p w14:paraId="7EED3C9F">
            <w:pPr>
              <w:rPr>
                <w:rFonts w:ascii="Arial"/>
                <w:sz w:val="21"/>
                <w:highlight w:val="none"/>
              </w:rPr>
            </w:pPr>
          </w:p>
        </w:tc>
      </w:tr>
    </w:tbl>
    <w:p w14:paraId="0553E310">
      <w:pPr>
        <w:spacing w:before="35" w:line="220" w:lineRule="auto"/>
        <w:ind w:left="232"/>
        <w:rPr>
          <w:rFonts w:ascii="宋体" w:hAnsi="宋体" w:eastAsia="宋体" w:cs="宋体"/>
          <w:sz w:val="24"/>
          <w:szCs w:val="24"/>
          <w:highlight w:val="none"/>
        </w:rPr>
      </w:pPr>
      <w:r>
        <w:rPr>
          <w:rFonts w:ascii="宋体" w:hAnsi="宋体" w:eastAsia="宋体" w:cs="宋体"/>
          <w:spacing w:val="-5"/>
          <w:sz w:val="24"/>
          <w:szCs w:val="24"/>
          <w:highlight w:val="none"/>
        </w:rPr>
        <w:t>说明：</w:t>
      </w:r>
    </w:p>
    <w:p w14:paraId="1A6870B3">
      <w:pPr>
        <w:spacing w:before="27" w:line="219" w:lineRule="auto"/>
        <w:ind w:left="967"/>
        <w:rPr>
          <w:rFonts w:ascii="宋体" w:hAnsi="宋体" w:eastAsia="宋体" w:cs="宋体"/>
          <w:sz w:val="24"/>
          <w:szCs w:val="24"/>
          <w:highlight w:val="none"/>
        </w:rPr>
      </w:pPr>
      <w:r>
        <w:rPr>
          <w:rFonts w:ascii="宋体" w:hAnsi="宋体" w:eastAsia="宋体" w:cs="宋体"/>
          <w:spacing w:val="-3"/>
          <w:sz w:val="24"/>
          <w:szCs w:val="24"/>
          <w:highlight w:val="none"/>
        </w:rPr>
        <w:t>1.</w:t>
      </w:r>
      <w:r>
        <w:rPr>
          <w:rFonts w:ascii="宋体" w:hAnsi="宋体" w:eastAsia="宋体" w:cs="宋体"/>
          <w:spacing w:val="41"/>
          <w:sz w:val="24"/>
          <w:szCs w:val="24"/>
          <w:highlight w:val="none"/>
        </w:rPr>
        <w:t xml:space="preserve">  </w:t>
      </w:r>
      <w:r>
        <w:rPr>
          <w:rFonts w:ascii="宋体" w:hAnsi="宋体" w:eastAsia="宋体" w:cs="宋体"/>
          <w:spacing w:val="-3"/>
          <w:sz w:val="24"/>
          <w:szCs w:val="24"/>
          <w:highlight w:val="none"/>
        </w:rPr>
        <w:t>职务是指在本单位所担任的职务；</w:t>
      </w:r>
    </w:p>
    <w:p w14:paraId="70D89108">
      <w:pPr>
        <w:spacing w:before="27" w:line="219" w:lineRule="auto"/>
        <w:ind w:left="952"/>
        <w:rPr>
          <w:rFonts w:ascii="宋体" w:hAnsi="宋体" w:eastAsia="宋体" w:cs="宋体"/>
          <w:sz w:val="24"/>
          <w:szCs w:val="24"/>
          <w:highlight w:val="none"/>
        </w:rPr>
      </w:pPr>
      <w:r>
        <w:rPr>
          <w:rFonts w:ascii="宋体" w:hAnsi="宋体" w:eastAsia="宋体" w:cs="宋体"/>
          <w:spacing w:val="-3"/>
          <w:sz w:val="24"/>
          <w:szCs w:val="24"/>
          <w:highlight w:val="none"/>
        </w:rPr>
        <w:t>2.</w:t>
      </w:r>
      <w:r>
        <w:rPr>
          <w:rFonts w:ascii="宋体" w:hAnsi="宋体" w:eastAsia="宋体" w:cs="宋体"/>
          <w:spacing w:val="45"/>
          <w:sz w:val="24"/>
          <w:szCs w:val="24"/>
          <w:highlight w:val="none"/>
        </w:rPr>
        <w:t xml:space="preserve">  </w:t>
      </w:r>
      <w:r>
        <w:rPr>
          <w:rFonts w:ascii="宋体" w:hAnsi="宋体" w:eastAsia="宋体" w:cs="宋体"/>
          <w:spacing w:val="-3"/>
          <w:sz w:val="24"/>
          <w:szCs w:val="24"/>
          <w:highlight w:val="none"/>
        </w:rPr>
        <w:t>需要补充的材料可另纸说明。</w:t>
      </w:r>
    </w:p>
    <w:p w14:paraId="00FB2582">
      <w:pPr>
        <w:spacing w:before="27" w:line="219" w:lineRule="auto"/>
        <w:ind w:left="349"/>
        <w:rPr>
          <w:rFonts w:ascii="宋体" w:hAnsi="宋体" w:eastAsia="宋体" w:cs="宋体"/>
          <w:sz w:val="24"/>
          <w:szCs w:val="24"/>
          <w:highlight w:val="none"/>
        </w:rPr>
      </w:pPr>
      <w:r>
        <w:rPr>
          <w:rFonts w:hint="eastAsia" w:ascii="宋体" w:hAnsi="宋体" w:eastAsia="宋体" w:cs="宋体"/>
          <w:spacing w:val="-16"/>
          <w:sz w:val="24"/>
          <w:szCs w:val="24"/>
          <w:highlight w:val="none"/>
        </w:rPr>
        <w:t>投标人名称</w:t>
      </w:r>
      <w:r>
        <w:rPr>
          <w:rFonts w:ascii="宋体" w:hAnsi="宋体" w:eastAsia="宋体" w:cs="宋体"/>
          <w:spacing w:val="-16"/>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
          <w:sz w:val="24"/>
          <w:szCs w:val="24"/>
          <w:highlight w:val="none"/>
        </w:rPr>
        <w:t xml:space="preserve"> </w:t>
      </w:r>
      <w:r>
        <w:rPr>
          <w:rFonts w:ascii="宋体" w:hAnsi="宋体" w:eastAsia="宋体" w:cs="宋体"/>
          <w:spacing w:val="-16"/>
          <w:sz w:val="24"/>
          <w:szCs w:val="24"/>
          <w:highlight w:val="none"/>
        </w:rPr>
        <w:t>（</w:t>
      </w:r>
      <w:r>
        <w:rPr>
          <w:rFonts w:ascii="宋体" w:hAnsi="宋体" w:eastAsia="宋体" w:cs="宋体"/>
          <w:spacing w:val="2"/>
          <w:sz w:val="24"/>
          <w:szCs w:val="24"/>
          <w:highlight w:val="none"/>
        </w:rPr>
        <w:t>盖单位章）</w:t>
      </w:r>
    </w:p>
    <w:p w14:paraId="669AC6C1">
      <w:pPr>
        <w:pStyle w:val="5"/>
        <w:spacing w:line="256" w:lineRule="auto"/>
        <w:rPr>
          <w:highlight w:val="none"/>
        </w:rPr>
      </w:pPr>
    </w:p>
    <w:p w14:paraId="7F01B586">
      <w:pPr>
        <w:spacing w:before="79" w:line="220" w:lineRule="auto"/>
        <w:ind w:left="350"/>
        <w:outlineLvl w:val="1"/>
        <w:rPr>
          <w:rFonts w:ascii="宋体" w:hAnsi="宋体" w:eastAsia="宋体" w:cs="宋体"/>
          <w:sz w:val="24"/>
          <w:szCs w:val="24"/>
          <w:highlight w:val="none"/>
        </w:rPr>
      </w:pPr>
      <w:r>
        <w:rPr>
          <w:rFonts w:ascii="宋体" w:hAnsi="宋体" w:eastAsia="宋体" w:cs="宋体"/>
          <w:spacing w:val="1"/>
          <w:sz w:val="24"/>
          <w:szCs w:val="24"/>
          <w:highlight w:val="none"/>
        </w:rPr>
        <w:t>法定代表人或委托代理人</w:t>
      </w:r>
      <w:r>
        <w:rPr>
          <w:rFonts w:ascii="宋体" w:hAnsi="宋体" w:eastAsia="宋体" w:cs="宋体"/>
          <w:spacing w:val="-13"/>
          <w:sz w:val="24"/>
          <w:szCs w:val="24"/>
          <w:highlight w:val="none"/>
        </w:rPr>
        <w:t>：</w:t>
      </w:r>
      <w:r>
        <w:rPr>
          <w:rFonts w:ascii="宋体" w:hAnsi="宋体" w:eastAsia="宋体" w:cs="宋体"/>
          <w:spacing w:val="8"/>
          <w:sz w:val="24"/>
          <w:szCs w:val="24"/>
          <w:highlight w:val="none"/>
          <w:u w:val="single" w:color="auto"/>
        </w:rPr>
        <w:t xml:space="preserve">               </w:t>
      </w:r>
      <w:r>
        <w:rPr>
          <w:rFonts w:ascii="宋体" w:hAnsi="宋体" w:eastAsia="宋体" w:cs="宋体"/>
          <w:spacing w:val="-13"/>
          <w:sz w:val="24"/>
          <w:szCs w:val="24"/>
          <w:highlight w:val="none"/>
        </w:rPr>
        <w:t>（</w:t>
      </w:r>
      <w:r>
        <w:rPr>
          <w:rFonts w:ascii="宋体" w:hAnsi="宋体" w:eastAsia="宋体" w:cs="宋体"/>
          <w:spacing w:val="1"/>
          <w:sz w:val="24"/>
          <w:szCs w:val="24"/>
          <w:highlight w:val="none"/>
        </w:rPr>
        <w:t>签名）</w:t>
      </w:r>
    </w:p>
    <w:p w14:paraId="143D8077">
      <w:pPr>
        <w:pStyle w:val="5"/>
        <w:spacing w:line="258" w:lineRule="auto"/>
        <w:rPr>
          <w:highlight w:val="none"/>
        </w:rPr>
      </w:pPr>
    </w:p>
    <w:p w14:paraId="1F7B00C7">
      <w:pPr>
        <w:spacing w:before="79" w:line="220" w:lineRule="auto"/>
        <w:ind w:left="391"/>
        <w:rPr>
          <w:rFonts w:ascii="宋体" w:hAnsi="宋体" w:eastAsia="宋体" w:cs="宋体"/>
          <w:sz w:val="24"/>
          <w:szCs w:val="24"/>
          <w:highlight w:val="none"/>
        </w:rPr>
      </w:pPr>
      <w:r>
        <w:rPr>
          <w:rFonts w:ascii="宋体" w:hAnsi="宋体" w:eastAsia="宋体" w:cs="宋体"/>
          <w:spacing w:val="-20"/>
          <w:sz w:val="24"/>
          <w:szCs w:val="24"/>
          <w:highlight w:val="none"/>
        </w:rPr>
        <w:t>日</w:t>
      </w:r>
      <w:r>
        <w:rPr>
          <w:rFonts w:ascii="宋体" w:hAnsi="宋体" w:eastAsia="宋体" w:cs="宋体"/>
          <w:spacing w:val="3"/>
          <w:sz w:val="24"/>
          <w:szCs w:val="24"/>
          <w:highlight w:val="none"/>
        </w:rPr>
        <w:t xml:space="preserve">    </w:t>
      </w:r>
      <w:r>
        <w:rPr>
          <w:rFonts w:ascii="宋体" w:hAnsi="宋体" w:eastAsia="宋体" w:cs="宋体"/>
          <w:spacing w:val="-20"/>
          <w:sz w:val="24"/>
          <w:szCs w:val="24"/>
          <w:highlight w:val="none"/>
        </w:rPr>
        <w:t>期</w:t>
      </w:r>
      <w:r>
        <w:rPr>
          <w:rFonts w:ascii="宋体" w:hAnsi="宋体" w:eastAsia="宋体" w:cs="宋体"/>
          <w:spacing w:val="-89"/>
          <w:sz w:val="24"/>
          <w:szCs w:val="24"/>
          <w:highlight w:val="none"/>
        </w:rPr>
        <w:t xml:space="preserve"> </w:t>
      </w:r>
      <w:r>
        <w:rPr>
          <w:rFonts w:ascii="宋体" w:hAnsi="宋体" w:eastAsia="宋体" w:cs="宋体"/>
          <w:spacing w:val="-20"/>
          <w:sz w:val="24"/>
          <w:szCs w:val="24"/>
          <w:highlight w:val="none"/>
        </w:rPr>
        <w:t>：</w:t>
      </w:r>
      <w:r>
        <w:rPr>
          <w:rFonts w:ascii="宋体" w:hAnsi="宋体" w:eastAsia="宋体" w:cs="宋体"/>
          <w:spacing w:val="3"/>
          <w:sz w:val="24"/>
          <w:szCs w:val="24"/>
          <w:highlight w:val="none"/>
        </w:rPr>
        <w:t xml:space="preserve">   </w:t>
      </w:r>
      <w:r>
        <w:rPr>
          <w:rFonts w:ascii="宋体" w:hAnsi="宋体" w:eastAsia="宋体" w:cs="宋体"/>
          <w:spacing w:val="-20"/>
          <w:sz w:val="24"/>
          <w:szCs w:val="24"/>
          <w:highlight w:val="none"/>
        </w:rPr>
        <w:t>年</w:t>
      </w:r>
      <w:r>
        <w:rPr>
          <w:rFonts w:ascii="宋体" w:hAnsi="宋体" w:eastAsia="宋体" w:cs="宋体"/>
          <w:spacing w:val="8"/>
          <w:sz w:val="24"/>
          <w:szCs w:val="24"/>
          <w:highlight w:val="none"/>
        </w:rPr>
        <w:t xml:space="preserve">  </w:t>
      </w:r>
      <w:r>
        <w:rPr>
          <w:rFonts w:ascii="宋体" w:hAnsi="宋体" w:eastAsia="宋体" w:cs="宋体"/>
          <w:spacing w:val="-20"/>
          <w:sz w:val="24"/>
          <w:szCs w:val="24"/>
          <w:highlight w:val="none"/>
        </w:rPr>
        <w:t>月</w:t>
      </w:r>
      <w:r>
        <w:rPr>
          <w:rFonts w:ascii="宋体" w:hAnsi="宋体" w:eastAsia="宋体" w:cs="宋体"/>
          <w:spacing w:val="25"/>
          <w:sz w:val="24"/>
          <w:szCs w:val="24"/>
          <w:highlight w:val="none"/>
        </w:rPr>
        <w:t xml:space="preserve">  </w:t>
      </w:r>
      <w:r>
        <w:rPr>
          <w:rFonts w:ascii="宋体" w:hAnsi="宋体" w:eastAsia="宋体" w:cs="宋体"/>
          <w:spacing w:val="-20"/>
          <w:sz w:val="24"/>
          <w:szCs w:val="24"/>
          <w:highlight w:val="none"/>
        </w:rPr>
        <w:t>日</w:t>
      </w:r>
    </w:p>
    <w:p w14:paraId="3339C26D">
      <w:pPr>
        <w:spacing w:line="220" w:lineRule="auto"/>
        <w:rPr>
          <w:rFonts w:ascii="宋体" w:hAnsi="宋体" w:eastAsia="宋体" w:cs="宋体"/>
          <w:sz w:val="24"/>
          <w:szCs w:val="24"/>
          <w:highlight w:val="none"/>
        </w:rPr>
        <w:sectPr>
          <w:footerReference r:id="rId28" w:type="default"/>
          <w:pgSz w:w="11907" w:h="16840"/>
          <w:pgMar w:top="1169" w:right="1469" w:bottom="1199" w:left="1253" w:header="0" w:footer="984" w:gutter="0"/>
          <w:pgNumType w:fmt="decimal"/>
          <w:cols w:space="720" w:num="1"/>
        </w:sectPr>
      </w:pPr>
    </w:p>
    <w:p w14:paraId="62248C8D">
      <w:pPr>
        <w:spacing w:before="48" w:line="219" w:lineRule="auto"/>
        <w:ind w:left="150"/>
        <w:rPr>
          <w:rFonts w:ascii="宋体" w:hAnsi="宋体" w:eastAsia="宋体" w:cs="宋体"/>
          <w:sz w:val="24"/>
          <w:szCs w:val="24"/>
          <w:highlight w:val="none"/>
        </w:rPr>
      </w:pPr>
      <w:r>
        <w:rPr>
          <w:rFonts w:ascii="宋体" w:hAnsi="宋体" w:eastAsia="宋体" w:cs="宋体"/>
          <w:b/>
          <w:bCs/>
          <w:spacing w:val="-13"/>
          <w:sz w:val="24"/>
          <w:szCs w:val="24"/>
          <w:highlight w:val="none"/>
        </w:rPr>
        <w:t>附表</w:t>
      </w:r>
      <w:r>
        <w:rPr>
          <w:rFonts w:ascii="宋体" w:hAnsi="宋体" w:eastAsia="宋体" w:cs="宋体"/>
          <w:spacing w:val="-45"/>
          <w:sz w:val="24"/>
          <w:szCs w:val="24"/>
          <w:highlight w:val="none"/>
        </w:rPr>
        <w:t xml:space="preserve"> </w:t>
      </w:r>
      <w:r>
        <w:rPr>
          <w:rFonts w:ascii="宋体" w:hAnsi="宋体" w:eastAsia="宋体" w:cs="宋体"/>
          <w:b/>
          <w:bCs/>
          <w:spacing w:val="-13"/>
          <w:sz w:val="24"/>
          <w:szCs w:val="24"/>
          <w:highlight w:val="none"/>
        </w:rPr>
        <w:t>6：</w:t>
      </w:r>
    </w:p>
    <w:p w14:paraId="33261681">
      <w:pPr>
        <w:pStyle w:val="5"/>
        <w:spacing w:line="281" w:lineRule="auto"/>
        <w:rPr>
          <w:highlight w:val="none"/>
        </w:rPr>
      </w:pPr>
    </w:p>
    <w:p w14:paraId="46BD4203">
      <w:pPr>
        <w:spacing w:before="114" w:line="226" w:lineRule="auto"/>
        <w:ind w:left="3710"/>
        <w:outlineLvl w:val="1"/>
        <w:rPr>
          <w:rFonts w:ascii="宋体" w:hAnsi="宋体" w:eastAsia="宋体" w:cs="宋体"/>
          <w:sz w:val="35"/>
          <w:szCs w:val="35"/>
          <w:highlight w:val="none"/>
        </w:rPr>
      </w:pPr>
      <w:r>
        <w:rPr>
          <w:rFonts w:ascii="宋体" w:hAnsi="宋体" w:eastAsia="宋体" w:cs="宋体"/>
          <w:b/>
          <w:bCs/>
          <w:spacing w:val="4"/>
          <w:sz w:val="35"/>
          <w:szCs w:val="35"/>
          <w:highlight w:val="none"/>
        </w:rPr>
        <w:t>业绩一览表</w:t>
      </w:r>
    </w:p>
    <w:p w14:paraId="1A78CBCD">
      <w:pPr>
        <w:pStyle w:val="5"/>
        <w:spacing w:line="255" w:lineRule="auto"/>
        <w:rPr>
          <w:highlight w:val="none"/>
        </w:rPr>
      </w:pPr>
    </w:p>
    <w:p w14:paraId="5BF1C5BB">
      <w:pPr>
        <w:spacing w:before="78" w:line="219" w:lineRule="auto"/>
        <w:ind w:left="371"/>
        <w:outlineLvl w:val="1"/>
        <w:rPr>
          <w:rFonts w:ascii="宋体" w:hAnsi="宋体" w:eastAsia="宋体" w:cs="宋体"/>
          <w:sz w:val="24"/>
          <w:szCs w:val="24"/>
          <w:highlight w:val="none"/>
        </w:rPr>
      </w:pPr>
      <w:r>
        <w:rPr>
          <w:rFonts w:hint="eastAsia" w:ascii="宋体" w:hAnsi="宋体" w:eastAsia="宋体" w:cs="宋体"/>
          <w:sz w:val="24"/>
          <w:szCs w:val="24"/>
          <w:highlight w:val="none"/>
        </w:rPr>
        <w:t>投标人名称</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 xml:space="preserve">      单位：万元</w:t>
      </w:r>
    </w:p>
    <w:p w14:paraId="0590B8ED">
      <w:pPr>
        <w:spacing w:line="122" w:lineRule="exact"/>
        <w:rPr>
          <w:highlight w:val="none"/>
        </w:rPr>
      </w:pPr>
    </w:p>
    <w:tbl>
      <w:tblPr>
        <w:tblStyle w:val="15"/>
        <w:tblW w:w="92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615"/>
        <w:gridCol w:w="1592"/>
        <w:gridCol w:w="1284"/>
        <w:gridCol w:w="1432"/>
        <w:gridCol w:w="1436"/>
        <w:gridCol w:w="1000"/>
      </w:tblGrid>
      <w:tr w14:paraId="459A0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912" w:type="dxa"/>
            <w:tcBorders>
              <w:top w:val="single" w:color="000000" w:sz="10" w:space="0"/>
              <w:left w:val="single" w:color="000000" w:sz="10" w:space="0"/>
            </w:tcBorders>
            <w:vAlign w:val="top"/>
          </w:tcPr>
          <w:p w14:paraId="00028791">
            <w:pPr>
              <w:pStyle w:val="16"/>
              <w:spacing w:before="235" w:line="220" w:lineRule="auto"/>
              <w:ind w:left="208"/>
              <w:rPr>
                <w:highlight w:val="none"/>
              </w:rPr>
            </w:pPr>
            <w:r>
              <w:rPr>
                <w:b/>
                <w:bCs/>
                <w:spacing w:val="-8"/>
                <w:highlight w:val="none"/>
              </w:rPr>
              <w:t>年份</w:t>
            </w:r>
          </w:p>
        </w:tc>
        <w:tc>
          <w:tcPr>
            <w:tcW w:w="1615" w:type="dxa"/>
            <w:tcBorders>
              <w:top w:val="single" w:color="000000" w:sz="10" w:space="0"/>
            </w:tcBorders>
            <w:vAlign w:val="top"/>
          </w:tcPr>
          <w:p w14:paraId="12D78C5C">
            <w:pPr>
              <w:pStyle w:val="16"/>
              <w:spacing w:before="234" w:line="221" w:lineRule="auto"/>
              <w:ind w:left="327"/>
              <w:rPr>
                <w:highlight w:val="none"/>
              </w:rPr>
            </w:pPr>
            <w:r>
              <w:rPr>
                <w:b/>
                <w:bCs/>
                <w:spacing w:val="-5"/>
                <w:highlight w:val="none"/>
              </w:rPr>
              <w:t>用户名称</w:t>
            </w:r>
          </w:p>
        </w:tc>
        <w:tc>
          <w:tcPr>
            <w:tcW w:w="1592" w:type="dxa"/>
            <w:tcBorders>
              <w:top w:val="single" w:color="000000" w:sz="10" w:space="0"/>
            </w:tcBorders>
            <w:vAlign w:val="top"/>
          </w:tcPr>
          <w:p w14:paraId="10C7CCB4">
            <w:pPr>
              <w:pStyle w:val="16"/>
              <w:spacing w:before="234" w:line="221" w:lineRule="auto"/>
              <w:ind w:left="322"/>
              <w:rPr>
                <w:highlight w:val="none"/>
              </w:rPr>
            </w:pPr>
            <w:r>
              <w:rPr>
                <w:b/>
                <w:bCs/>
                <w:spacing w:val="-6"/>
                <w:highlight w:val="none"/>
              </w:rPr>
              <w:t>项目名称</w:t>
            </w:r>
          </w:p>
        </w:tc>
        <w:tc>
          <w:tcPr>
            <w:tcW w:w="1284" w:type="dxa"/>
            <w:tcBorders>
              <w:top w:val="single" w:color="000000" w:sz="10" w:space="0"/>
            </w:tcBorders>
            <w:vAlign w:val="top"/>
          </w:tcPr>
          <w:p w14:paraId="55BF8F24">
            <w:pPr>
              <w:pStyle w:val="16"/>
              <w:spacing w:before="235" w:line="220" w:lineRule="auto"/>
              <w:ind w:left="169"/>
              <w:rPr>
                <w:highlight w:val="none"/>
              </w:rPr>
            </w:pPr>
            <w:r>
              <w:rPr>
                <w:b/>
                <w:bCs/>
                <w:spacing w:val="-5"/>
                <w:highlight w:val="none"/>
              </w:rPr>
              <w:t>合同金额</w:t>
            </w:r>
          </w:p>
        </w:tc>
        <w:tc>
          <w:tcPr>
            <w:tcW w:w="1432" w:type="dxa"/>
            <w:tcBorders>
              <w:top w:val="single" w:color="000000" w:sz="10" w:space="0"/>
            </w:tcBorders>
            <w:vAlign w:val="top"/>
          </w:tcPr>
          <w:p w14:paraId="1452A8CA">
            <w:pPr>
              <w:pStyle w:val="16"/>
              <w:spacing w:before="235" w:line="220" w:lineRule="auto"/>
              <w:ind w:left="247"/>
              <w:rPr>
                <w:highlight w:val="none"/>
              </w:rPr>
            </w:pPr>
            <w:r>
              <w:rPr>
                <w:b/>
                <w:bCs/>
                <w:spacing w:val="-5"/>
                <w:highlight w:val="none"/>
              </w:rPr>
              <w:t>完成时间</w:t>
            </w:r>
          </w:p>
        </w:tc>
        <w:tc>
          <w:tcPr>
            <w:tcW w:w="1436" w:type="dxa"/>
            <w:tcBorders>
              <w:top w:val="single" w:color="000000" w:sz="10" w:space="0"/>
            </w:tcBorders>
            <w:vAlign w:val="top"/>
          </w:tcPr>
          <w:p w14:paraId="078053BB">
            <w:pPr>
              <w:pStyle w:val="16"/>
              <w:spacing w:before="235" w:line="220" w:lineRule="auto"/>
              <w:ind w:left="252"/>
              <w:rPr>
                <w:highlight w:val="none"/>
              </w:rPr>
            </w:pPr>
            <w:r>
              <w:rPr>
                <w:b/>
                <w:bCs/>
                <w:spacing w:val="-5"/>
                <w:highlight w:val="none"/>
              </w:rPr>
              <w:t>完成质量</w:t>
            </w:r>
          </w:p>
        </w:tc>
        <w:tc>
          <w:tcPr>
            <w:tcW w:w="1000" w:type="dxa"/>
            <w:tcBorders>
              <w:top w:val="single" w:color="000000" w:sz="10" w:space="0"/>
              <w:right w:val="single" w:color="000000" w:sz="10" w:space="0"/>
            </w:tcBorders>
            <w:vAlign w:val="top"/>
          </w:tcPr>
          <w:p w14:paraId="76225A72">
            <w:pPr>
              <w:pStyle w:val="16"/>
              <w:spacing w:before="234" w:line="222" w:lineRule="auto"/>
              <w:ind w:left="274"/>
              <w:rPr>
                <w:highlight w:val="none"/>
              </w:rPr>
            </w:pPr>
            <w:r>
              <w:rPr>
                <w:b/>
                <w:bCs/>
                <w:spacing w:val="-9"/>
                <w:highlight w:val="none"/>
              </w:rPr>
              <w:t>备注</w:t>
            </w:r>
          </w:p>
        </w:tc>
      </w:tr>
      <w:tr w14:paraId="454EB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12" w:type="dxa"/>
            <w:tcBorders>
              <w:left w:val="single" w:color="000000" w:sz="10" w:space="0"/>
            </w:tcBorders>
            <w:vAlign w:val="top"/>
          </w:tcPr>
          <w:p w14:paraId="65836C79">
            <w:pPr>
              <w:rPr>
                <w:rFonts w:ascii="Arial"/>
                <w:sz w:val="21"/>
                <w:highlight w:val="none"/>
              </w:rPr>
            </w:pPr>
          </w:p>
        </w:tc>
        <w:tc>
          <w:tcPr>
            <w:tcW w:w="1615" w:type="dxa"/>
            <w:vAlign w:val="top"/>
          </w:tcPr>
          <w:p w14:paraId="26BC14CB">
            <w:pPr>
              <w:rPr>
                <w:rFonts w:ascii="Arial"/>
                <w:sz w:val="21"/>
                <w:highlight w:val="none"/>
              </w:rPr>
            </w:pPr>
          </w:p>
        </w:tc>
        <w:tc>
          <w:tcPr>
            <w:tcW w:w="1592" w:type="dxa"/>
            <w:vAlign w:val="top"/>
          </w:tcPr>
          <w:p w14:paraId="28A4AF0D">
            <w:pPr>
              <w:rPr>
                <w:rFonts w:ascii="Arial"/>
                <w:sz w:val="21"/>
                <w:highlight w:val="none"/>
              </w:rPr>
            </w:pPr>
          </w:p>
        </w:tc>
        <w:tc>
          <w:tcPr>
            <w:tcW w:w="1284" w:type="dxa"/>
            <w:vAlign w:val="top"/>
          </w:tcPr>
          <w:p w14:paraId="4C5D5CE1">
            <w:pPr>
              <w:rPr>
                <w:rFonts w:ascii="Arial"/>
                <w:sz w:val="21"/>
                <w:highlight w:val="none"/>
              </w:rPr>
            </w:pPr>
          </w:p>
        </w:tc>
        <w:tc>
          <w:tcPr>
            <w:tcW w:w="1432" w:type="dxa"/>
            <w:vAlign w:val="top"/>
          </w:tcPr>
          <w:p w14:paraId="47784328">
            <w:pPr>
              <w:rPr>
                <w:rFonts w:ascii="Arial"/>
                <w:sz w:val="21"/>
                <w:highlight w:val="none"/>
              </w:rPr>
            </w:pPr>
          </w:p>
        </w:tc>
        <w:tc>
          <w:tcPr>
            <w:tcW w:w="1436" w:type="dxa"/>
            <w:vAlign w:val="top"/>
          </w:tcPr>
          <w:p w14:paraId="3E1D17B9">
            <w:pPr>
              <w:rPr>
                <w:rFonts w:ascii="Arial"/>
                <w:sz w:val="21"/>
                <w:highlight w:val="none"/>
              </w:rPr>
            </w:pPr>
          </w:p>
        </w:tc>
        <w:tc>
          <w:tcPr>
            <w:tcW w:w="1000" w:type="dxa"/>
            <w:tcBorders>
              <w:right w:val="single" w:color="000000" w:sz="10" w:space="0"/>
            </w:tcBorders>
            <w:vAlign w:val="top"/>
          </w:tcPr>
          <w:p w14:paraId="3B4A83A4">
            <w:pPr>
              <w:rPr>
                <w:rFonts w:ascii="Arial"/>
                <w:sz w:val="21"/>
                <w:highlight w:val="none"/>
              </w:rPr>
            </w:pPr>
          </w:p>
        </w:tc>
      </w:tr>
      <w:tr w14:paraId="7DB72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12" w:type="dxa"/>
            <w:tcBorders>
              <w:left w:val="single" w:color="000000" w:sz="10" w:space="0"/>
            </w:tcBorders>
            <w:vAlign w:val="top"/>
          </w:tcPr>
          <w:p w14:paraId="7E53FD49">
            <w:pPr>
              <w:rPr>
                <w:rFonts w:ascii="Arial"/>
                <w:sz w:val="21"/>
                <w:highlight w:val="none"/>
              </w:rPr>
            </w:pPr>
          </w:p>
        </w:tc>
        <w:tc>
          <w:tcPr>
            <w:tcW w:w="1615" w:type="dxa"/>
            <w:vAlign w:val="top"/>
          </w:tcPr>
          <w:p w14:paraId="023D2C25">
            <w:pPr>
              <w:rPr>
                <w:rFonts w:ascii="Arial"/>
                <w:sz w:val="21"/>
                <w:highlight w:val="none"/>
              </w:rPr>
            </w:pPr>
          </w:p>
        </w:tc>
        <w:tc>
          <w:tcPr>
            <w:tcW w:w="1592" w:type="dxa"/>
            <w:vAlign w:val="top"/>
          </w:tcPr>
          <w:p w14:paraId="0154FD9C">
            <w:pPr>
              <w:rPr>
                <w:rFonts w:ascii="Arial"/>
                <w:sz w:val="21"/>
                <w:highlight w:val="none"/>
              </w:rPr>
            </w:pPr>
          </w:p>
        </w:tc>
        <w:tc>
          <w:tcPr>
            <w:tcW w:w="1284" w:type="dxa"/>
            <w:vAlign w:val="top"/>
          </w:tcPr>
          <w:p w14:paraId="376E3923">
            <w:pPr>
              <w:rPr>
                <w:rFonts w:ascii="Arial"/>
                <w:sz w:val="21"/>
                <w:highlight w:val="none"/>
              </w:rPr>
            </w:pPr>
          </w:p>
        </w:tc>
        <w:tc>
          <w:tcPr>
            <w:tcW w:w="1432" w:type="dxa"/>
            <w:vAlign w:val="top"/>
          </w:tcPr>
          <w:p w14:paraId="3B01F023">
            <w:pPr>
              <w:rPr>
                <w:rFonts w:ascii="Arial"/>
                <w:sz w:val="21"/>
                <w:highlight w:val="none"/>
              </w:rPr>
            </w:pPr>
          </w:p>
        </w:tc>
        <w:tc>
          <w:tcPr>
            <w:tcW w:w="1436" w:type="dxa"/>
            <w:vAlign w:val="top"/>
          </w:tcPr>
          <w:p w14:paraId="72F9A8D6">
            <w:pPr>
              <w:rPr>
                <w:rFonts w:ascii="Arial"/>
                <w:sz w:val="21"/>
                <w:highlight w:val="none"/>
              </w:rPr>
            </w:pPr>
          </w:p>
        </w:tc>
        <w:tc>
          <w:tcPr>
            <w:tcW w:w="1000" w:type="dxa"/>
            <w:tcBorders>
              <w:right w:val="single" w:color="000000" w:sz="10" w:space="0"/>
            </w:tcBorders>
            <w:vAlign w:val="top"/>
          </w:tcPr>
          <w:p w14:paraId="33586102">
            <w:pPr>
              <w:rPr>
                <w:rFonts w:ascii="Arial"/>
                <w:sz w:val="21"/>
                <w:highlight w:val="none"/>
              </w:rPr>
            </w:pPr>
          </w:p>
        </w:tc>
      </w:tr>
      <w:tr w14:paraId="61D02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12" w:type="dxa"/>
            <w:tcBorders>
              <w:left w:val="single" w:color="000000" w:sz="10" w:space="0"/>
            </w:tcBorders>
            <w:vAlign w:val="top"/>
          </w:tcPr>
          <w:p w14:paraId="4A71CC4A">
            <w:pPr>
              <w:rPr>
                <w:rFonts w:ascii="Arial"/>
                <w:sz w:val="21"/>
                <w:highlight w:val="none"/>
              </w:rPr>
            </w:pPr>
          </w:p>
        </w:tc>
        <w:tc>
          <w:tcPr>
            <w:tcW w:w="1615" w:type="dxa"/>
            <w:vAlign w:val="top"/>
          </w:tcPr>
          <w:p w14:paraId="3ACC282B">
            <w:pPr>
              <w:rPr>
                <w:rFonts w:ascii="Arial"/>
                <w:sz w:val="21"/>
                <w:highlight w:val="none"/>
              </w:rPr>
            </w:pPr>
          </w:p>
        </w:tc>
        <w:tc>
          <w:tcPr>
            <w:tcW w:w="1592" w:type="dxa"/>
            <w:vAlign w:val="top"/>
          </w:tcPr>
          <w:p w14:paraId="5A586BF4">
            <w:pPr>
              <w:rPr>
                <w:rFonts w:ascii="Arial"/>
                <w:sz w:val="21"/>
                <w:highlight w:val="none"/>
              </w:rPr>
            </w:pPr>
          </w:p>
        </w:tc>
        <w:tc>
          <w:tcPr>
            <w:tcW w:w="1284" w:type="dxa"/>
            <w:vAlign w:val="top"/>
          </w:tcPr>
          <w:p w14:paraId="59250F66">
            <w:pPr>
              <w:rPr>
                <w:rFonts w:ascii="Arial"/>
                <w:sz w:val="21"/>
                <w:highlight w:val="none"/>
              </w:rPr>
            </w:pPr>
          </w:p>
        </w:tc>
        <w:tc>
          <w:tcPr>
            <w:tcW w:w="1432" w:type="dxa"/>
            <w:vAlign w:val="top"/>
          </w:tcPr>
          <w:p w14:paraId="637132BA">
            <w:pPr>
              <w:rPr>
                <w:rFonts w:ascii="Arial"/>
                <w:sz w:val="21"/>
                <w:highlight w:val="none"/>
              </w:rPr>
            </w:pPr>
          </w:p>
        </w:tc>
        <w:tc>
          <w:tcPr>
            <w:tcW w:w="1436" w:type="dxa"/>
            <w:vAlign w:val="top"/>
          </w:tcPr>
          <w:p w14:paraId="551E382A">
            <w:pPr>
              <w:rPr>
                <w:rFonts w:ascii="Arial"/>
                <w:sz w:val="21"/>
                <w:highlight w:val="none"/>
              </w:rPr>
            </w:pPr>
          </w:p>
        </w:tc>
        <w:tc>
          <w:tcPr>
            <w:tcW w:w="1000" w:type="dxa"/>
            <w:tcBorders>
              <w:right w:val="single" w:color="000000" w:sz="10" w:space="0"/>
            </w:tcBorders>
            <w:vAlign w:val="top"/>
          </w:tcPr>
          <w:p w14:paraId="1AD917C4">
            <w:pPr>
              <w:rPr>
                <w:rFonts w:ascii="Arial"/>
                <w:sz w:val="21"/>
                <w:highlight w:val="none"/>
              </w:rPr>
            </w:pPr>
          </w:p>
        </w:tc>
      </w:tr>
      <w:tr w14:paraId="14AED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12" w:type="dxa"/>
            <w:tcBorders>
              <w:left w:val="single" w:color="000000" w:sz="10" w:space="0"/>
            </w:tcBorders>
            <w:vAlign w:val="top"/>
          </w:tcPr>
          <w:p w14:paraId="6E07C2B4">
            <w:pPr>
              <w:rPr>
                <w:rFonts w:ascii="Arial"/>
                <w:sz w:val="21"/>
                <w:highlight w:val="none"/>
              </w:rPr>
            </w:pPr>
          </w:p>
        </w:tc>
        <w:tc>
          <w:tcPr>
            <w:tcW w:w="1615" w:type="dxa"/>
            <w:vAlign w:val="top"/>
          </w:tcPr>
          <w:p w14:paraId="3198DB03">
            <w:pPr>
              <w:rPr>
                <w:rFonts w:ascii="Arial"/>
                <w:sz w:val="21"/>
                <w:highlight w:val="none"/>
              </w:rPr>
            </w:pPr>
          </w:p>
        </w:tc>
        <w:tc>
          <w:tcPr>
            <w:tcW w:w="1592" w:type="dxa"/>
            <w:vAlign w:val="top"/>
          </w:tcPr>
          <w:p w14:paraId="2D0E477F">
            <w:pPr>
              <w:rPr>
                <w:rFonts w:ascii="Arial"/>
                <w:sz w:val="21"/>
                <w:highlight w:val="none"/>
              </w:rPr>
            </w:pPr>
          </w:p>
        </w:tc>
        <w:tc>
          <w:tcPr>
            <w:tcW w:w="1284" w:type="dxa"/>
            <w:vAlign w:val="top"/>
          </w:tcPr>
          <w:p w14:paraId="319F74AC">
            <w:pPr>
              <w:rPr>
                <w:rFonts w:ascii="Arial"/>
                <w:sz w:val="21"/>
                <w:highlight w:val="none"/>
              </w:rPr>
            </w:pPr>
          </w:p>
        </w:tc>
        <w:tc>
          <w:tcPr>
            <w:tcW w:w="1432" w:type="dxa"/>
            <w:vAlign w:val="top"/>
          </w:tcPr>
          <w:p w14:paraId="44E056B7">
            <w:pPr>
              <w:rPr>
                <w:rFonts w:ascii="Arial"/>
                <w:sz w:val="21"/>
                <w:highlight w:val="none"/>
              </w:rPr>
            </w:pPr>
          </w:p>
        </w:tc>
        <w:tc>
          <w:tcPr>
            <w:tcW w:w="1436" w:type="dxa"/>
            <w:vAlign w:val="top"/>
          </w:tcPr>
          <w:p w14:paraId="41B99E13">
            <w:pPr>
              <w:rPr>
                <w:rFonts w:ascii="Arial"/>
                <w:sz w:val="21"/>
                <w:highlight w:val="none"/>
              </w:rPr>
            </w:pPr>
          </w:p>
        </w:tc>
        <w:tc>
          <w:tcPr>
            <w:tcW w:w="1000" w:type="dxa"/>
            <w:tcBorders>
              <w:right w:val="single" w:color="000000" w:sz="10" w:space="0"/>
            </w:tcBorders>
            <w:vAlign w:val="top"/>
          </w:tcPr>
          <w:p w14:paraId="697B459A">
            <w:pPr>
              <w:rPr>
                <w:rFonts w:ascii="Arial"/>
                <w:sz w:val="21"/>
                <w:highlight w:val="none"/>
              </w:rPr>
            </w:pPr>
          </w:p>
        </w:tc>
      </w:tr>
      <w:tr w14:paraId="50182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12" w:type="dxa"/>
            <w:tcBorders>
              <w:left w:val="single" w:color="000000" w:sz="10" w:space="0"/>
            </w:tcBorders>
            <w:vAlign w:val="top"/>
          </w:tcPr>
          <w:p w14:paraId="65F45AFE">
            <w:pPr>
              <w:rPr>
                <w:rFonts w:ascii="Arial"/>
                <w:sz w:val="21"/>
                <w:highlight w:val="none"/>
              </w:rPr>
            </w:pPr>
          </w:p>
        </w:tc>
        <w:tc>
          <w:tcPr>
            <w:tcW w:w="1615" w:type="dxa"/>
            <w:vAlign w:val="top"/>
          </w:tcPr>
          <w:p w14:paraId="2445FCDA">
            <w:pPr>
              <w:rPr>
                <w:rFonts w:ascii="Arial"/>
                <w:sz w:val="21"/>
                <w:highlight w:val="none"/>
              </w:rPr>
            </w:pPr>
          </w:p>
        </w:tc>
        <w:tc>
          <w:tcPr>
            <w:tcW w:w="1592" w:type="dxa"/>
            <w:vAlign w:val="top"/>
          </w:tcPr>
          <w:p w14:paraId="6AC4EE3C">
            <w:pPr>
              <w:rPr>
                <w:rFonts w:ascii="Arial"/>
                <w:sz w:val="21"/>
                <w:highlight w:val="none"/>
              </w:rPr>
            </w:pPr>
          </w:p>
        </w:tc>
        <w:tc>
          <w:tcPr>
            <w:tcW w:w="1284" w:type="dxa"/>
            <w:vAlign w:val="top"/>
          </w:tcPr>
          <w:p w14:paraId="0F057037">
            <w:pPr>
              <w:rPr>
                <w:rFonts w:ascii="Arial"/>
                <w:sz w:val="21"/>
                <w:highlight w:val="none"/>
              </w:rPr>
            </w:pPr>
          </w:p>
        </w:tc>
        <w:tc>
          <w:tcPr>
            <w:tcW w:w="1432" w:type="dxa"/>
            <w:vAlign w:val="top"/>
          </w:tcPr>
          <w:p w14:paraId="1BCC666E">
            <w:pPr>
              <w:rPr>
                <w:rFonts w:ascii="Arial"/>
                <w:sz w:val="21"/>
                <w:highlight w:val="none"/>
              </w:rPr>
            </w:pPr>
          </w:p>
        </w:tc>
        <w:tc>
          <w:tcPr>
            <w:tcW w:w="1436" w:type="dxa"/>
            <w:vAlign w:val="top"/>
          </w:tcPr>
          <w:p w14:paraId="21BFE1BD">
            <w:pPr>
              <w:rPr>
                <w:rFonts w:ascii="Arial"/>
                <w:sz w:val="21"/>
                <w:highlight w:val="none"/>
              </w:rPr>
            </w:pPr>
          </w:p>
        </w:tc>
        <w:tc>
          <w:tcPr>
            <w:tcW w:w="1000" w:type="dxa"/>
            <w:tcBorders>
              <w:right w:val="single" w:color="000000" w:sz="10" w:space="0"/>
            </w:tcBorders>
            <w:vAlign w:val="top"/>
          </w:tcPr>
          <w:p w14:paraId="47F57E64">
            <w:pPr>
              <w:rPr>
                <w:rFonts w:ascii="Arial"/>
                <w:sz w:val="21"/>
                <w:highlight w:val="none"/>
              </w:rPr>
            </w:pPr>
          </w:p>
        </w:tc>
      </w:tr>
      <w:tr w14:paraId="6D127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12" w:type="dxa"/>
            <w:tcBorders>
              <w:left w:val="single" w:color="000000" w:sz="10" w:space="0"/>
            </w:tcBorders>
            <w:vAlign w:val="top"/>
          </w:tcPr>
          <w:p w14:paraId="5F95B13E">
            <w:pPr>
              <w:rPr>
                <w:rFonts w:ascii="Arial"/>
                <w:sz w:val="21"/>
                <w:highlight w:val="none"/>
              </w:rPr>
            </w:pPr>
          </w:p>
        </w:tc>
        <w:tc>
          <w:tcPr>
            <w:tcW w:w="1615" w:type="dxa"/>
            <w:vAlign w:val="top"/>
          </w:tcPr>
          <w:p w14:paraId="38C289FB">
            <w:pPr>
              <w:rPr>
                <w:rFonts w:ascii="Arial"/>
                <w:sz w:val="21"/>
                <w:highlight w:val="none"/>
              </w:rPr>
            </w:pPr>
          </w:p>
        </w:tc>
        <w:tc>
          <w:tcPr>
            <w:tcW w:w="1592" w:type="dxa"/>
            <w:vAlign w:val="top"/>
          </w:tcPr>
          <w:p w14:paraId="6660FF5F">
            <w:pPr>
              <w:rPr>
                <w:rFonts w:ascii="Arial"/>
                <w:sz w:val="21"/>
                <w:highlight w:val="none"/>
              </w:rPr>
            </w:pPr>
          </w:p>
        </w:tc>
        <w:tc>
          <w:tcPr>
            <w:tcW w:w="1284" w:type="dxa"/>
            <w:vAlign w:val="top"/>
          </w:tcPr>
          <w:p w14:paraId="3DD575ED">
            <w:pPr>
              <w:rPr>
                <w:rFonts w:ascii="Arial"/>
                <w:sz w:val="21"/>
                <w:highlight w:val="none"/>
              </w:rPr>
            </w:pPr>
          </w:p>
        </w:tc>
        <w:tc>
          <w:tcPr>
            <w:tcW w:w="1432" w:type="dxa"/>
            <w:vAlign w:val="top"/>
          </w:tcPr>
          <w:p w14:paraId="7FB24C1C">
            <w:pPr>
              <w:rPr>
                <w:rFonts w:ascii="Arial"/>
                <w:sz w:val="21"/>
                <w:highlight w:val="none"/>
              </w:rPr>
            </w:pPr>
          </w:p>
        </w:tc>
        <w:tc>
          <w:tcPr>
            <w:tcW w:w="1436" w:type="dxa"/>
            <w:vAlign w:val="top"/>
          </w:tcPr>
          <w:p w14:paraId="011BC62D">
            <w:pPr>
              <w:rPr>
                <w:rFonts w:ascii="Arial"/>
                <w:sz w:val="21"/>
                <w:highlight w:val="none"/>
              </w:rPr>
            </w:pPr>
          </w:p>
        </w:tc>
        <w:tc>
          <w:tcPr>
            <w:tcW w:w="1000" w:type="dxa"/>
            <w:tcBorders>
              <w:right w:val="single" w:color="000000" w:sz="10" w:space="0"/>
            </w:tcBorders>
            <w:vAlign w:val="top"/>
          </w:tcPr>
          <w:p w14:paraId="1A7A8944">
            <w:pPr>
              <w:rPr>
                <w:rFonts w:ascii="Arial"/>
                <w:sz w:val="21"/>
                <w:highlight w:val="none"/>
              </w:rPr>
            </w:pPr>
          </w:p>
        </w:tc>
      </w:tr>
      <w:tr w14:paraId="568BA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12" w:type="dxa"/>
            <w:tcBorders>
              <w:left w:val="single" w:color="000000" w:sz="10" w:space="0"/>
            </w:tcBorders>
            <w:vAlign w:val="top"/>
          </w:tcPr>
          <w:p w14:paraId="04B41679">
            <w:pPr>
              <w:rPr>
                <w:rFonts w:ascii="Arial"/>
                <w:sz w:val="21"/>
                <w:highlight w:val="none"/>
              </w:rPr>
            </w:pPr>
          </w:p>
        </w:tc>
        <w:tc>
          <w:tcPr>
            <w:tcW w:w="1615" w:type="dxa"/>
            <w:vAlign w:val="top"/>
          </w:tcPr>
          <w:p w14:paraId="10838C66">
            <w:pPr>
              <w:rPr>
                <w:rFonts w:ascii="Arial"/>
                <w:sz w:val="21"/>
                <w:highlight w:val="none"/>
              </w:rPr>
            </w:pPr>
          </w:p>
        </w:tc>
        <w:tc>
          <w:tcPr>
            <w:tcW w:w="1592" w:type="dxa"/>
            <w:vAlign w:val="top"/>
          </w:tcPr>
          <w:p w14:paraId="115E9E19">
            <w:pPr>
              <w:rPr>
                <w:rFonts w:ascii="Arial"/>
                <w:sz w:val="21"/>
                <w:highlight w:val="none"/>
              </w:rPr>
            </w:pPr>
          </w:p>
        </w:tc>
        <w:tc>
          <w:tcPr>
            <w:tcW w:w="1284" w:type="dxa"/>
            <w:vAlign w:val="top"/>
          </w:tcPr>
          <w:p w14:paraId="5A793755">
            <w:pPr>
              <w:rPr>
                <w:rFonts w:ascii="Arial"/>
                <w:sz w:val="21"/>
                <w:highlight w:val="none"/>
              </w:rPr>
            </w:pPr>
          </w:p>
        </w:tc>
        <w:tc>
          <w:tcPr>
            <w:tcW w:w="1432" w:type="dxa"/>
            <w:vAlign w:val="top"/>
          </w:tcPr>
          <w:p w14:paraId="28E25E20">
            <w:pPr>
              <w:rPr>
                <w:rFonts w:ascii="Arial"/>
                <w:sz w:val="21"/>
                <w:highlight w:val="none"/>
              </w:rPr>
            </w:pPr>
          </w:p>
        </w:tc>
        <w:tc>
          <w:tcPr>
            <w:tcW w:w="1436" w:type="dxa"/>
            <w:vAlign w:val="top"/>
          </w:tcPr>
          <w:p w14:paraId="027C9714">
            <w:pPr>
              <w:rPr>
                <w:rFonts w:ascii="Arial"/>
                <w:sz w:val="21"/>
                <w:highlight w:val="none"/>
              </w:rPr>
            </w:pPr>
          </w:p>
        </w:tc>
        <w:tc>
          <w:tcPr>
            <w:tcW w:w="1000" w:type="dxa"/>
            <w:tcBorders>
              <w:right w:val="single" w:color="000000" w:sz="10" w:space="0"/>
            </w:tcBorders>
            <w:vAlign w:val="top"/>
          </w:tcPr>
          <w:p w14:paraId="77C9A885">
            <w:pPr>
              <w:rPr>
                <w:rFonts w:ascii="Arial"/>
                <w:sz w:val="21"/>
                <w:highlight w:val="none"/>
              </w:rPr>
            </w:pPr>
          </w:p>
        </w:tc>
      </w:tr>
      <w:tr w14:paraId="5EF46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12" w:type="dxa"/>
            <w:tcBorders>
              <w:left w:val="single" w:color="000000" w:sz="10" w:space="0"/>
            </w:tcBorders>
            <w:vAlign w:val="top"/>
          </w:tcPr>
          <w:p w14:paraId="667F24D2">
            <w:pPr>
              <w:rPr>
                <w:rFonts w:ascii="Arial"/>
                <w:sz w:val="21"/>
                <w:highlight w:val="none"/>
              </w:rPr>
            </w:pPr>
          </w:p>
        </w:tc>
        <w:tc>
          <w:tcPr>
            <w:tcW w:w="1615" w:type="dxa"/>
            <w:vAlign w:val="top"/>
          </w:tcPr>
          <w:p w14:paraId="2D35FAA7">
            <w:pPr>
              <w:rPr>
                <w:rFonts w:ascii="Arial"/>
                <w:sz w:val="21"/>
                <w:highlight w:val="none"/>
              </w:rPr>
            </w:pPr>
          </w:p>
        </w:tc>
        <w:tc>
          <w:tcPr>
            <w:tcW w:w="1592" w:type="dxa"/>
            <w:vAlign w:val="top"/>
          </w:tcPr>
          <w:p w14:paraId="211FF69D">
            <w:pPr>
              <w:rPr>
                <w:rFonts w:ascii="Arial"/>
                <w:sz w:val="21"/>
                <w:highlight w:val="none"/>
              </w:rPr>
            </w:pPr>
          </w:p>
        </w:tc>
        <w:tc>
          <w:tcPr>
            <w:tcW w:w="1284" w:type="dxa"/>
            <w:vAlign w:val="top"/>
          </w:tcPr>
          <w:p w14:paraId="4076531A">
            <w:pPr>
              <w:rPr>
                <w:rFonts w:ascii="Arial"/>
                <w:sz w:val="21"/>
                <w:highlight w:val="none"/>
              </w:rPr>
            </w:pPr>
          </w:p>
        </w:tc>
        <w:tc>
          <w:tcPr>
            <w:tcW w:w="1432" w:type="dxa"/>
            <w:vAlign w:val="top"/>
          </w:tcPr>
          <w:p w14:paraId="2DD21E69">
            <w:pPr>
              <w:rPr>
                <w:rFonts w:ascii="Arial"/>
                <w:sz w:val="21"/>
                <w:highlight w:val="none"/>
              </w:rPr>
            </w:pPr>
          </w:p>
        </w:tc>
        <w:tc>
          <w:tcPr>
            <w:tcW w:w="1436" w:type="dxa"/>
            <w:vAlign w:val="top"/>
          </w:tcPr>
          <w:p w14:paraId="5FA4B20A">
            <w:pPr>
              <w:rPr>
                <w:rFonts w:ascii="Arial"/>
                <w:sz w:val="21"/>
                <w:highlight w:val="none"/>
              </w:rPr>
            </w:pPr>
          </w:p>
        </w:tc>
        <w:tc>
          <w:tcPr>
            <w:tcW w:w="1000" w:type="dxa"/>
            <w:tcBorders>
              <w:right w:val="single" w:color="000000" w:sz="10" w:space="0"/>
            </w:tcBorders>
            <w:vAlign w:val="top"/>
          </w:tcPr>
          <w:p w14:paraId="3C3CBEB7">
            <w:pPr>
              <w:rPr>
                <w:rFonts w:ascii="Arial"/>
                <w:sz w:val="21"/>
                <w:highlight w:val="none"/>
              </w:rPr>
            </w:pPr>
          </w:p>
        </w:tc>
      </w:tr>
      <w:tr w14:paraId="1B6C9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12" w:type="dxa"/>
            <w:tcBorders>
              <w:left w:val="single" w:color="000000" w:sz="10" w:space="0"/>
            </w:tcBorders>
            <w:vAlign w:val="top"/>
          </w:tcPr>
          <w:p w14:paraId="1B3EF781">
            <w:pPr>
              <w:rPr>
                <w:rFonts w:ascii="Arial"/>
                <w:sz w:val="21"/>
                <w:highlight w:val="none"/>
              </w:rPr>
            </w:pPr>
          </w:p>
        </w:tc>
        <w:tc>
          <w:tcPr>
            <w:tcW w:w="1615" w:type="dxa"/>
            <w:vAlign w:val="top"/>
          </w:tcPr>
          <w:p w14:paraId="3E36143F">
            <w:pPr>
              <w:rPr>
                <w:rFonts w:ascii="Arial"/>
                <w:sz w:val="21"/>
                <w:highlight w:val="none"/>
              </w:rPr>
            </w:pPr>
          </w:p>
        </w:tc>
        <w:tc>
          <w:tcPr>
            <w:tcW w:w="1592" w:type="dxa"/>
            <w:vAlign w:val="top"/>
          </w:tcPr>
          <w:p w14:paraId="16E7E01A">
            <w:pPr>
              <w:rPr>
                <w:rFonts w:ascii="Arial"/>
                <w:sz w:val="21"/>
                <w:highlight w:val="none"/>
              </w:rPr>
            </w:pPr>
          </w:p>
        </w:tc>
        <w:tc>
          <w:tcPr>
            <w:tcW w:w="1284" w:type="dxa"/>
            <w:vAlign w:val="top"/>
          </w:tcPr>
          <w:p w14:paraId="193F9C5C">
            <w:pPr>
              <w:rPr>
                <w:rFonts w:ascii="Arial"/>
                <w:sz w:val="21"/>
                <w:highlight w:val="none"/>
              </w:rPr>
            </w:pPr>
          </w:p>
        </w:tc>
        <w:tc>
          <w:tcPr>
            <w:tcW w:w="1432" w:type="dxa"/>
            <w:vAlign w:val="top"/>
          </w:tcPr>
          <w:p w14:paraId="05CBE40A">
            <w:pPr>
              <w:rPr>
                <w:rFonts w:ascii="Arial"/>
                <w:sz w:val="21"/>
                <w:highlight w:val="none"/>
              </w:rPr>
            </w:pPr>
          </w:p>
        </w:tc>
        <w:tc>
          <w:tcPr>
            <w:tcW w:w="1436" w:type="dxa"/>
            <w:vAlign w:val="top"/>
          </w:tcPr>
          <w:p w14:paraId="5A7250FA">
            <w:pPr>
              <w:rPr>
                <w:rFonts w:ascii="Arial"/>
                <w:sz w:val="21"/>
                <w:highlight w:val="none"/>
              </w:rPr>
            </w:pPr>
          </w:p>
        </w:tc>
        <w:tc>
          <w:tcPr>
            <w:tcW w:w="1000" w:type="dxa"/>
            <w:tcBorders>
              <w:right w:val="single" w:color="000000" w:sz="10" w:space="0"/>
            </w:tcBorders>
            <w:vAlign w:val="top"/>
          </w:tcPr>
          <w:p w14:paraId="3707CEAE">
            <w:pPr>
              <w:rPr>
                <w:rFonts w:ascii="Arial"/>
                <w:sz w:val="21"/>
                <w:highlight w:val="none"/>
              </w:rPr>
            </w:pPr>
          </w:p>
        </w:tc>
      </w:tr>
      <w:tr w14:paraId="30A4C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12" w:type="dxa"/>
            <w:tcBorders>
              <w:left w:val="single" w:color="000000" w:sz="10" w:space="0"/>
            </w:tcBorders>
            <w:vAlign w:val="top"/>
          </w:tcPr>
          <w:p w14:paraId="7A455FC6">
            <w:pPr>
              <w:rPr>
                <w:rFonts w:ascii="Arial"/>
                <w:sz w:val="21"/>
                <w:highlight w:val="none"/>
              </w:rPr>
            </w:pPr>
          </w:p>
        </w:tc>
        <w:tc>
          <w:tcPr>
            <w:tcW w:w="1615" w:type="dxa"/>
            <w:vAlign w:val="top"/>
          </w:tcPr>
          <w:p w14:paraId="41C67760">
            <w:pPr>
              <w:rPr>
                <w:rFonts w:ascii="Arial"/>
                <w:sz w:val="21"/>
                <w:highlight w:val="none"/>
              </w:rPr>
            </w:pPr>
          </w:p>
        </w:tc>
        <w:tc>
          <w:tcPr>
            <w:tcW w:w="1592" w:type="dxa"/>
            <w:vAlign w:val="top"/>
          </w:tcPr>
          <w:p w14:paraId="4AFC9747">
            <w:pPr>
              <w:rPr>
                <w:rFonts w:ascii="Arial"/>
                <w:sz w:val="21"/>
                <w:highlight w:val="none"/>
              </w:rPr>
            </w:pPr>
          </w:p>
        </w:tc>
        <w:tc>
          <w:tcPr>
            <w:tcW w:w="1284" w:type="dxa"/>
            <w:vAlign w:val="top"/>
          </w:tcPr>
          <w:p w14:paraId="496D05A4">
            <w:pPr>
              <w:rPr>
                <w:rFonts w:ascii="Arial"/>
                <w:sz w:val="21"/>
                <w:highlight w:val="none"/>
              </w:rPr>
            </w:pPr>
          </w:p>
        </w:tc>
        <w:tc>
          <w:tcPr>
            <w:tcW w:w="1432" w:type="dxa"/>
            <w:vAlign w:val="top"/>
          </w:tcPr>
          <w:p w14:paraId="2FF9B36B">
            <w:pPr>
              <w:rPr>
                <w:rFonts w:ascii="Arial"/>
                <w:sz w:val="21"/>
                <w:highlight w:val="none"/>
              </w:rPr>
            </w:pPr>
          </w:p>
        </w:tc>
        <w:tc>
          <w:tcPr>
            <w:tcW w:w="1436" w:type="dxa"/>
            <w:vAlign w:val="top"/>
          </w:tcPr>
          <w:p w14:paraId="0AE62808">
            <w:pPr>
              <w:rPr>
                <w:rFonts w:ascii="Arial"/>
                <w:sz w:val="21"/>
                <w:highlight w:val="none"/>
              </w:rPr>
            </w:pPr>
          </w:p>
        </w:tc>
        <w:tc>
          <w:tcPr>
            <w:tcW w:w="1000" w:type="dxa"/>
            <w:tcBorders>
              <w:right w:val="single" w:color="000000" w:sz="10" w:space="0"/>
            </w:tcBorders>
            <w:vAlign w:val="top"/>
          </w:tcPr>
          <w:p w14:paraId="7FFE61F5">
            <w:pPr>
              <w:rPr>
                <w:rFonts w:ascii="Arial"/>
                <w:sz w:val="21"/>
                <w:highlight w:val="none"/>
              </w:rPr>
            </w:pPr>
          </w:p>
        </w:tc>
      </w:tr>
      <w:tr w14:paraId="0CF79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12" w:type="dxa"/>
            <w:tcBorders>
              <w:left w:val="single" w:color="000000" w:sz="10" w:space="0"/>
            </w:tcBorders>
            <w:vAlign w:val="top"/>
          </w:tcPr>
          <w:p w14:paraId="60289231">
            <w:pPr>
              <w:rPr>
                <w:rFonts w:ascii="Arial"/>
                <w:sz w:val="21"/>
                <w:highlight w:val="none"/>
              </w:rPr>
            </w:pPr>
          </w:p>
        </w:tc>
        <w:tc>
          <w:tcPr>
            <w:tcW w:w="1615" w:type="dxa"/>
            <w:vAlign w:val="top"/>
          </w:tcPr>
          <w:p w14:paraId="43C6DBBD">
            <w:pPr>
              <w:rPr>
                <w:rFonts w:ascii="Arial"/>
                <w:sz w:val="21"/>
                <w:highlight w:val="none"/>
              </w:rPr>
            </w:pPr>
          </w:p>
        </w:tc>
        <w:tc>
          <w:tcPr>
            <w:tcW w:w="1592" w:type="dxa"/>
            <w:vAlign w:val="top"/>
          </w:tcPr>
          <w:p w14:paraId="0746C16D">
            <w:pPr>
              <w:rPr>
                <w:rFonts w:ascii="Arial"/>
                <w:sz w:val="21"/>
                <w:highlight w:val="none"/>
              </w:rPr>
            </w:pPr>
          </w:p>
        </w:tc>
        <w:tc>
          <w:tcPr>
            <w:tcW w:w="1284" w:type="dxa"/>
            <w:vAlign w:val="top"/>
          </w:tcPr>
          <w:p w14:paraId="4E7FE2FC">
            <w:pPr>
              <w:rPr>
                <w:rFonts w:ascii="Arial"/>
                <w:sz w:val="21"/>
                <w:highlight w:val="none"/>
              </w:rPr>
            </w:pPr>
          </w:p>
        </w:tc>
        <w:tc>
          <w:tcPr>
            <w:tcW w:w="1432" w:type="dxa"/>
            <w:vAlign w:val="top"/>
          </w:tcPr>
          <w:p w14:paraId="77BDC05A">
            <w:pPr>
              <w:rPr>
                <w:rFonts w:ascii="Arial"/>
                <w:sz w:val="21"/>
                <w:highlight w:val="none"/>
              </w:rPr>
            </w:pPr>
          </w:p>
        </w:tc>
        <w:tc>
          <w:tcPr>
            <w:tcW w:w="1436" w:type="dxa"/>
            <w:vAlign w:val="top"/>
          </w:tcPr>
          <w:p w14:paraId="782C0309">
            <w:pPr>
              <w:rPr>
                <w:rFonts w:ascii="Arial"/>
                <w:sz w:val="21"/>
                <w:highlight w:val="none"/>
              </w:rPr>
            </w:pPr>
          </w:p>
        </w:tc>
        <w:tc>
          <w:tcPr>
            <w:tcW w:w="1000" w:type="dxa"/>
            <w:tcBorders>
              <w:right w:val="single" w:color="000000" w:sz="10" w:space="0"/>
            </w:tcBorders>
            <w:vAlign w:val="top"/>
          </w:tcPr>
          <w:p w14:paraId="6A5E214C">
            <w:pPr>
              <w:rPr>
                <w:rFonts w:ascii="Arial"/>
                <w:sz w:val="21"/>
                <w:highlight w:val="none"/>
              </w:rPr>
            </w:pPr>
          </w:p>
        </w:tc>
      </w:tr>
      <w:tr w14:paraId="1C7F5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12" w:type="dxa"/>
            <w:tcBorders>
              <w:left w:val="single" w:color="000000" w:sz="10" w:space="0"/>
              <w:bottom w:val="single" w:color="000000" w:sz="10" w:space="0"/>
            </w:tcBorders>
            <w:vAlign w:val="top"/>
          </w:tcPr>
          <w:p w14:paraId="703F5B6C">
            <w:pPr>
              <w:rPr>
                <w:rFonts w:ascii="Arial"/>
                <w:sz w:val="21"/>
                <w:highlight w:val="none"/>
              </w:rPr>
            </w:pPr>
          </w:p>
        </w:tc>
        <w:tc>
          <w:tcPr>
            <w:tcW w:w="1615" w:type="dxa"/>
            <w:tcBorders>
              <w:bottom w:val="single" w:color="000000" w:sz="10" w:space="0"/>
            </w:tcBorders>
            <w:vAlign w:val="top"/>
          </w:tcPr>
          <w:p w14:paraId="1A2F9B52">
            <w:pPr>
              <w:rPr>
                <w:rFonts w:ascii="Arial"/>
                <w:sz w:val="21"/>
                <w:highlight w:val="none"/>
              </w:rPr>
            </w:pPr>
          </w:p>
        </w:tc>
        <w:tc>
          <w:tcPr>
            <w:tcW w:w="1592" w:type="dxa"/>
            <w:tcBorders>
              <w:bottom w:val="single" w:color="000000" w:sz="10" w:space="0"/>
            </w:tcBorders>
            <w:vAlign w:val="top"/>
          </w:tcPr>
          <w:p w14:paraId="79157A9B">
            <w:pPr>
              <w:rPr>
                <w:rFonts w:ascii="Arial"/>
                <w:sz w:val="21"/>
                <w:highlight w:val="none"/>
              </w:rPr>
            </w:pPr>
          </w:p>
        </w:tc>
        <w:tc>
          <w:tcPr>
            <w:tcW w:w="1284" w:type="dxa"/>
            <w:tcBorders>
              <w:bottom w:val="single" w:color="000000" w:sz="10" w:space="0"/>
            </w:tcBorders>
            <w:vAlign w:val="top"/>
          </w:tcPr>
          <w:p w14:paraId="4A1325DA">
            <w:pPr>
              <w:rPr>
                <w:rFonts w:ascii="Arial"/>
                <w:sz w:val="21"/>
                <w:highlight w:val="none"/>
              </w:rPr>
            </w:pPr>
          </w:p>
        </w:tc>
        <w:tc>
          <w:tcPr>
            <w:tcW w:w="1432" w:type="dxa"/>
            <w:tcBorders>
              <w:bottom w:val="single" w:color="000000" w:sz="10" w:space="0"/>
            </w:tcBorders>
            <w:vAlign w:val="top"/>
          </w:tcPr>
          <w:p w14:paraId="120390DF">
            <w:pPr>
              <w:rPr>
                <w:rFonts w:ascii="Arial"/>
                <w:sz w:val="21"/>
                <w:highlight w:val="none"/>
              </w:rPr>
            </w:pPr>
          </w:p>
        </w:tc>
        <w:tc>
          <w:tcPr>
            <w:tcW w:w="1436" w:type="dxa"/>
            <w:tcBorders>
              <w:bottom w:val="single" w:color="000000" w:sz="10" w:space="0"/>
            </w:tcBorders>
            <w:vAlign w:val="top"/>
          </w:tcPr>
          <w:p w14:paraId="7BB83B9D">
            <w:pPr>
              <w:rPr>
                <w:rFonts w:ascii="Arial"/>
                <w:sz w:val="21"/>
                <w:highlight w:val="none"/>
              </w:rPr>
            </w:pPr>
          </w:p>
        </w:tc>
        <w:tc>
          <w:tcPr>
            <w:tcW w:w="1000" w:type="dxa"/>
            <w:tcBorders>
              <w:bottom w:val="single" w:color="000000" w:sz="10" w:space="0"/>
              <w:right w:val="single" w:color="000000" w:sz="10" w:space="0"/>
            </w:tcBorders>
            <w:vAlign w:val="top"/>
          </w:tcPr>
          <w:p w14:paraId="2E6F8BD6">
            <w:pPr>
              <w:rPr>
                <w:rFonts w:ascii="Arial"/>
                <w:sz w:val="21"/>
                <w:highlight w:val="none"/>
              </w:rPr>
            </w:pPr>
          </w:p>
        </w:tc>
      </w:tr>
    </w:tbl>
    <w:p w14:paraId="6C43A7E4">
      <w:pPr>
        <w:pStyle w:val="5"/>
        <w:spacing w:line="277" w:lineRule="auto"/>
        <w:rPr>
          <w:highlight w:val="none"/>
        </w:rPr>
      </w:pPr>
    </w:p>
    <w:p w14:paraId="203C7F28">
      <w:pPr>
        <w:spacing w:before="65" w:line="377" w:lineRule="auto"/>
        <w:ind w:left="129" w:right="215" w:firstLine="3"/>
        <w:jc w:val="both"/>
        <w:rPr>
          <w:rFonts w:ascii="宋体" w:hAnsi="宋体" w:eastAsia="宋体" w:cs="宋体"/>
          <w:sz w:val="20"/>
          <w:szCs w:val="20"/>
          <w:highlight w:val="none"/>
        </w:rPr>
      </w:pPr>
      <w:r>
        <w:rPr>
          <w:rFonts w:ascii="宋体" w:hAnsi="宋体" w:eastAsia="宋体" w:cs="宋体"/>
          <w:spacing w:val="11"/>
          <w:sz w:val="20"/>
          <w:szCs w:val="20"/>
          <w:highlight w:val="none"/>
        </w:rPr>
        <w:t>说明</w:t>
      </w:r>
      <w:r>
        <w:rPr>
          <w:rFonts w:ascii="宋体" w:hAnsi="宋体" w:eastAsia="宋体" w:cs="宋体"/>
          <w:spacing w:val="-4"/>
          <w:sz w:val="20"/>
          <w:szCs w:val="20"/>
          <w:highlight w:val="none"/>
        </w:rPr>
        <w:t>：（</w:t>
      </w:r>
      <w:r>
        <w:rPr>
          <w:rFonts w:ascii="宋体" w:hAnsi="宋体" w:eastAsia="宋体" w:cs="宋体"/>
          <w:spacing w:val="11"/>
          <w:sz w:val="20"/>
          <w:szCs w:val="20"/>
          <w:highlight w:val="none"/>
        </w:rPr>
        <w:t>1）提供类似项目业绩证明材料。是指与采购项目在服务类型、使用功能等方面相同或相</w:t>
      </w:r>
      <w:r>
        <w:rPr>
          <w:rFonts w:ascii="宋体" w:hAnsi="宋体" w:eastAsia="宋体" w:cs="宋体"/>
          <w:spacing w:val="14"/>
          <w:sz w:val="20"/>
          <w:szCs w:val="20"/>
          <w:highlight w:val="none"/>
        </w:rPr>
        <w:t>近的项目</w:t>
      </w:r>
      <w:r>
        <w:rPr>
          <w:rFonts w:ascii="宋体" w:hAnsi="宋体" w:eastAsia="宋体" w:cs="宋体"/>
          <w:spacing w:val="-13"/>
          <w:sz w:val="20"/>
          <w:szCs w:val="20"/>
          <w:highlight w:val="none"/>
        </w:rPr>
        <w:t>；</w:t>
      </w:r>
      <w:r>
        <w:rPr>
          <w:rFonts w:ascii="宋体" w:hAnsi="宋体" w:eastAsia="宋体" w:cs="宋体"/>
          <w:spacing w:val="-79"/>
          <w:sz w:val="20"/>
          <w:szCs w:val="20"/>
          <w:highlight w:val="none"/>
        </w:rPr>
        <w:t xml:space="preserve"> </w:t>
      </w:r>
      <w:r>
        <w:rPr>
          <w:rFonts w:ascii="宋体" w:hAnsi="宋体" w:eastAsia="宋体" w:cs="宋体"/>
          <w:spacing w:val="-13"/>
          <w:sz w:val="20"/>
          <w:szCs w:val="20"/>
          <w:highlight w:val="none"/>
        </w:rPr>
        <w:t>（</w:t>
      </w:r>
      <w:r>
        <w:rPr>
          <w:rFonts w:ascii="宋体" w:hAnsi="宋体" w:eastAsia="宋体" w:cs="宋体"/>
          <w:spacing w:val="14"/>
          <w:sz w:val="20"/>
          <w:szCs w:val="20"/>
          <w:highlight w:val="none"/>
        </w:rPr>
        <w:t>2）提供中标（成交）通知书或合同协议书</w:t>
      </w:r>
      <w:r>
        <w:rPr>
          <w:rFonts w:ascii="宋体" w:hAnsi="宋体" w:eastAsia="宋体" w:cs="宋体"/>
          <w:spacing w:val="13"/>
          <w:sz w:val="20"/>
          <w:szCs w:val="20"/>
          <w:highlight w:val="none"/>
        </w:rPr>
        <w:t>复印件并加盖单位公章（3）未按上述要</w:t>
      </w:r>
      <w:r>
        <w:rPr>
          <w:rFonts w:ascii="宋体" w:hAnsi="宋体" w:eastAsia="宋体" w:cs="宋体"/>
          <w:spacing w:val="8"/>
          <w:sz w:val="20"/>
          <w:szCs w:val="20"/>
          <w:highlight w:val="none"/>
        </w:rPr>
        <w:t>求提供、填写的，评标时不予加分。</w:t>
      </w:r>
    </w:p>
    <w:p w14:paraId="5AB121BF">
      <w:pPr>
        <w:pStyle w:val="5"/>
        <w:spacing w:line="285" w:lineRule="auto"/>
        <w:rPr>
          <w:highlight w:val="none"/>
        </w:rPr>
      </w:pPr>
    </w:p>
    <w:p w14:paraId="32CBF465">
      <w:pPr>
        <w:spacing w:before="78" w:line="219" w:lineRule="auto"/>
        <w:ind w:left="134"/>
        <w:rPr>
          <w:rFonts w:ascii="宋体" w:hAnsi="宋体" w:eastAsia="宋体" w:cs="宋体"/>
          <w:sz w:val="24"/>
          <w:szCs w:val="24"/>
          <w:highlight w:val="none"/>
        </w:rPr>
      </w:pPr>
      <w:r>
        <w:rPr>
          <w:rFonts w:hint="eastAsia" w:ascii="宋体" w:hAnsi="宋体" w:eastAsia="宋体" w:cs="宋体"/>
          <w:spacing w:val="-32"/>
          <w:sz w:val="24"/>
          <w:szCs w:val="24"/>
          <w:highlight w:val="none"/>
        </w:rPr>
        <w:t>投标人名称</w:t>
      </w:r>
      <w:r>
        <w:rPr>
          <w:rFonts w:ascii="宋体" w:hAnsi="宋体" w:eastAsia="宋体" w:cs="宋体"/>
          <w:spacing w:val="-32"/>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32"/>
          <w:sz w:val="24"/>
          <w:szCs w:val="24"/>
          <w:highlight w:val="none"/>
        </w:rPr>
        <w:t>（</w:t>
      </w:r>
      <w:r>
        <w:rPr>
          <w:rFonts w:ascii="宋体" w:hAnsi="宋体" w:eastAsia="宋体" w:cs="宋体"/>
          <w:spacing w:val="5"/>
          <w:sz w:val="24"/>
          <w:szCs w:val="24"/>
          <w:highlight w:val="none"/>
        </w:rPr>
        <w:t>单位盖章）</w:t>
      </w:r>
    </w:p>
    <w:p w14:paraId="23A9B48A">
      <w:pPr>
        <w:pStyle w:val="5"/>
        <w:spacing w:line="304" w:lineRule="auto"/>
        <w:rPr>
          <w:highlight w:val="none"/>
        </w:rPr>
      </w:pPr>
    </w:p>
    <w:p w14:paraId="144EBC53">
      <w:pPr>
        <w:spacing w:before="78" w:line="220" w:lineRule="auto"/>
        <w:ind w:left="132"/>
        <w:rPr>
          <w:rFonts w:ascii="宋体" w:hAnsi="宋体" w:eastAsia="宋体" w:cs="宋体"/>
          <w:sz w:val="24"/>
          <w:szCs w:val="24"/>
          <w:highlight w:val="none"/>
        </w:rPr>
      </w:pPr>
      <w:r>
        <w:rPr>
          <w:rFonts w:ascii="宋体" w:hAnsi="宋体" w:eastAsia="宋体" w:cs="宋体"/>
          <w:sz w:val="24"/>
          <w:szCs w:val="24"/>
          <w:highlight w:val="none"/>
        </w:rPr>
        <w:t>法定代表人或委托代理人</w:t>
      </w:r>
      <w:r>
        <w:rPr>
          <w:rFonts w:ascii="宋体" w:hAnsi="宋体" w:eastAsia="宋体" w:cs="宋体"/>
          <w:sz w:val="24"/>
          <w:szCs w:val="24"/>
          <w:highlight w:val="none"/>
          <w:u w:val="single" w:color="auto"/>
        </w:rPr>
        <w:t xml:space="preserve">        </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（签名）</w:t>
      </w:r>
    </w:p>
    <w:p w14:paraId="1155B6D6">
      <w:pPr>
        <w:pStyle w:val="5"/>
        <w:spacing w:line="306" w:lineRule="auto"/>
        <w:rPr>
          <w:highlight w:val="none"/>
        </w:rPr>
      </w:pPr>
    </w:p>
    <w:p w14:paraId="0B4EE8D4">
      <w:pPr>
        <w:spacing w:before="79" w:line="220" w:lineRule="auto"/>
        <w:ind w:left="172"/>
        <w:rPr>
          <w:rFonts w:ascii="宋体" w:hAnsi="宋体" w:eastAsia="宋体" w:cs="宋体"/>
          <w:sz w:val="24"/>
          <w:szCs w:val="24"/>
          <w:highlight w:val="none"/>
        </w:rPr>
      </w:pPr>
      <w:r>
        <w:rPr>
          <w:rFonts w:ascii="宋体" w:hAnsi="宋体" w:eastAsia="宋体" w:cs="宋体"/>
          <w:spacing w:val="-15"/>
          <w:sz w:val="24"/>
          <w:szCs w:val="24"/>
          <w:highlight w:val="none"/>
        </w:rPr>
        <w:t>日</w:t>
      </w:r>
      <w:r>
        <w:rPr>
          <w:rFonts w:ascii="宋体" w:hAnsi="宋体" w:eastAsia="宋体" w:cs="宋体"/>
          <w:spacing w:val="3"/>
          <w:sz w:val="24"/>
          <w:szCs w:val="24"/>
          <w:highlight w:val="none"/>
        </w:rPr>
        <w:t xml:space="preserve">    </w:t>
      </w:r>
      <w:r>
        <w:rPr>
          <w:rFonts w:ascii="宋体" w:hAnsi="宋体" w:eastAsia="宋体" w:cs="宋体"/>
          <w:spacing w:val="-15"/>
          <w:sz w:val="24"/>
          <w:szCs w:val="24"/>
          <w:highlight w:val="none"/>
        </w:rPr>
        <w:t>期:</w:t>
      </w:r>
      <w:r>
        <w:rPr>
          <w:rFonts w:ascii="宋体" w:hAnsi="宋体" w:eastAsia="宋体" w:cs="宋体"/>
          <w:spacing w:val="2"/>
          <w:sz w:val="24"/>
          <w:szCs w:val="24"/>
          <w:highlight w:val="none"/>
        </w:rPr>
        <w:t xml:space="preserve">     </w:t>
      </w:r>
      <w:r>
        <w:rPr>
          <w:rFonts w:ascii="宋体" w:hAnsi="宋体" w:eastAsia="宋体" w:cs="宋体"/>
          <w:spacing w:val="-15"/>
          <w:sz w:val="24"/>
          <w:szCs w:val="24"/>
          <w:highlight w:val="none"/>
        </w:rPr>
        <w:t>年</w:t>
      </w:r>
      <w:r>
        <w:rPr>
          <w:rFonts w:ascii="宋体" w:hAnsi="宋体" w:eastAsia="宋体" w:cs="宋体"/>
          <w:spacing w:val="5"/>
          <w:sz w:val="24"/>
          <w:szCs w:val="24"/>
          <w:highlight w:val="none"/>
        </w:rPr>
        <w:t xml:space="preserve">   </w:t>
      </w:r>
      <w:r>
        <w:rPr>
          <w:rFonts w:ascii="宋体" w:hAnsi="宋体" w:eastAsia="宋体" w:cs="宋体"/>
          <w:spacing w:val="-15"/>
          <w:sz w:val="24"/>
          <w:szCs w:val="24"/>
          <w:highlight w:val="none"/>
        </w:rPr>
        <w:t>月</w:t>
      </w:r>
      <w:r>
        <w:rPr>
          <w:rFonts w:ascii="宋体" w:hAnsi="宋体" w:eastAsia="宋体" w:cs="宋体"/>
          <w:spacing w:val="17"/>
          <w:sz w:val="24"/>
          <w:szCs w:val="24"/>
          <w:highlight w:val="none"/>
        </w:rPr>
        <w:t xml:space="preserve">   </w:t>
      </w:r>
      <w:r>
        <w:rPr>
          <w:rFonts w:ascii="宋体" w:hAnsi="宋体" w:eastAsia="宋体" w:cs="宋体"/>
          <w:spacing w:val="-15"/>
          <w:sz w:val="24"/>
          <w:szCs w:val="24"/>
          <w:highlight w:val="none"/>
        </w:rPr>
        <w:t>日</w:t>
      </w:r>
    </w:p>
    <w:p w14:paraId="2FAD0630">
      <w:pPr>
        <w:spacing w:line="220" w:lineRule="auto"/>
        <w:rPr>
          <w:rFonts w:ascii="宋体" w:hAnsi="宋体" w:eastAsia="宋体" w:cs="宋体"/>
          <w:sz w:val="24"/>
          <w:szCs w:val="24"/>
          <w:highlight w:val="none"/>
        </w:rPr>
        <w:sectPr>
          <w:footerReference r:id="rId29" w:type="default"/>
          <w:pgSz w:w="11907" w:h="16840"/>
          <w:pgMar w:top="1169" w:right="1258" w:bottom="1199" w:left="1351" w:header="0" w:footer="984" w:gutter="0"/>
          <w:pgNumType w:fmt="decimal"/>
          <w:cols w:space="720" w:num="1"/>
        </w:sectPr>
      </w:pPr>
    </w:p>
    <w:p w14:paraId="7CAB2009">
      <w:pPr>
        <w:spacing w:before="71" w:line="225" w:lineRule="auto"/>
        <w:ind w:left="1519"/>
        <w:rPr>
          <w:rFonts w:ascii="宋体" w:hAnsi="宋体" w:eastAsia="宋体" w:cs="宋体"/>
          <w:sz w:val="35"/>
          <w:szCs w:val="35"/>
          <w:highlight w:val="none"/>
        </w:rPr>
      </w:pPr>
      <w:r>
        <w:rPr>
          <w:rFonts w:ascii="宋体" w:hAnsi="宋体" w:eastAsia="宋体" w:cs="宋体"/>
          <w:b/>
          <w:bCs/>
          <w:spacing w:val="6"/>
          <w:sz w:val="35"/>
          <w:szCs w:val="35"/>
          <w:highlight w:val="none"/>
        </w:rPr>
        <w:t>3、享受政府采购优惠政策的证明材料</w:t>
      </w:r>
    </w:p>
    <w:p w14:paraId="37E3D444">
      <w:pPr>
        <w:pStyle w:val="5"/>
        <w:spacing w:line="392" w:lineRule="auto"/>
        <w:rPr>
          <w:highlight w:val="none"/>
        </w:rPr>
      </w:pPr>
    </w:p>
    <w:p w14:paraId="5DC0A329">
      <w:pPr>
        <w:spacing w:before="72" w:line="225" w:lineRule="auto"/>
        <w:ind w:left="1894"/>
        <w:rPr>
          <w:rFonts w:ascii="宋体" w:hAnsi="宋体" w:eastAsia="宋体" w:cs="宋体"/>
          <w:sz w:val="35"/>
          <w:szCs w:val="35"/>
          <w:highlight w:val="none"/>
        </w:rPr>
      </w:pPr>
      <w:r>
        <w:rPr>
          <w:rFonts w:ascii="宋体" w:hAnsi="宋体" w:eastAsia="宋体" w:cs="宋体"/>
          <w:b/>
          <w:bCs/>
          <w:spacing w:val="4"/>
          <w:sz w:val="35"/>
          <w:szCs w:val="35"/>
          <w:highlight w:val="none"/>
        </w:rPr>
        <w:t>（1）.</w:t>
      </w:r>
      <w:r>
        <w:rPr>
          <w:rFonts w:ascii="宋体" w:hAnsi="宋体" w:eastAsia="宋体" w:cs="宋体"/>
          <w:b/>
          <w:bCs/>
          <w:spacing w:val="15"/>
          <w:sz w:val="35"/>
          <w:szCs w:val="35"/>
          <w:highlight w:val="none"/>
        </w:rPr>
        <w:t>残疾人福利性单位声明函</w:t>
      </w:r>
    </w:p>
    <w:p w14:paraId="395AFD77">
      <w:pPr>
        <w:pStyle w:val="5"/>
        <w:spacing w:line="436" w:lineRule="auto"/>
        <w:rPr>
          <w:highlight w:val="none"/>
        </w:rPr>
      </w:pPr>
    </w:p>
    <w:p w14:paraId="2133F95C">
      <w:pPr>
        <w:spacing w:before="78" w:line="360" w:lineRule="auto"/>
        <w:ind w:left="8" w:right="11" w:firstLine="506"/>
        <w:jc w:val="both"/>
        <w:rPr>
          <w:rFonts w:ascii="宋体" w:hAnsi="宋体" w:eastAsia="宋体" w:cs="宋体"/>
          <w:sz w:val="24"/>
          <w:szCs w:val="24"/>
          <w:highlight w:val="none"/>
        </w:rPr>
      </w:pPr>
      <w:r>
        <w:rPr>
          <w:rFonts w:ascii="宋体" w:hAnsi="宋体" w:eastAsia="宋体" w:cs="宋体"/>
          <w:spacing w:val="14"/>
          <w:sz w:val="24"/>
          <w:szCs w:val="24"/>
          <w:highlight w:val="none"/>
        </w:rPr>
        <w:t>本单位郑重声明，根据《财政部、</w:t>
      </w:r>
      <w:r>
        <w:rPr>
          <w:rFonts w:ascii="宋体" w:hAnsi="宋体" w:eastAsia="宋体" w:cs="宋体"/>
          <w:spacing w:val="-71"/>
          <w:sz w:val="24"/>
          <w:szCs w:val="24"/>
          <w:highlight w:val="none"/>
        </w:rPr>
        <w:t xml:space="preserve"> </w:t>
      </w:r>
      <w:r>
        <w:rPr>
          <w:rFonts w:ascii="宋体" w:hAnsi="宋体" w:eastAsia="宋体" w:cs="宋体"/>
          <w:spacing w:val="14"/>
          <w:sz w:val="24"/>
          <w:szCs w:val="24"/>
          <w:highlight w:val="none"/>
        </w:rPr>
        <w:t>民政部、中国残疾人联合会关于促进残疾</w:t>
      </w:r>
      <w:r>
        <w:rPr>
          <w:rFonts w:ascii="宋体" w:hAnsi="宋体" w:eastAsia="宋体" w:cs="宋体"/>
          <w:spacing w:val="12"/>
          <w:sz w:val="24"/>
          <w:szCs w:val="24"/>
          <w:highlight w:val="none"/>
        </w:rPr>
        <w:t>人就业政府采购政策的通知》</w:t>
      </w:r>
      <w:r>
        <w:rPr>
          <w:rFonts w:ascii="宋体" w:hAnsi="宋体" w:eastAsia="宋体" w:cs="宋体"/>
          <w:spacing w:val="-72"/>
          <w:sz w:val="24"/>
          <w:szCs w:val="24"/>
          <w:highlight w:val="none"/>
        </w:rPr>
        <w:t xml:space="preserve"> </w:t>
      </w:r>
      <w:r>
        <w:rPr>
          <w:rFonts w:ascii="宋体" w:hAnsi="宋体" w:eastAsia="宋体" w:cs="宋体"/>
          <w:spacing w:val="12"/>
          <w:sz w:val="24"/>
          <w:szCs w:val="24"/>
          <w:highlight w:val="none"/>
        </w:rPr>
        <w:t>（财库〔2017〕141</w:t>
      </w:r>
      <w:r>
        <w:rPr>
          <w:rFonts w:ascii="宋体" w:hAnsi="宋体" w:eastAsia="宋体" w:cs="宋体"/>
          <w:spacing w:val="-36"/>
          <w:sz w:val="24"/>
          <w:szCs w:val="24"/>
          <w:highlight w:val="none"/>
        </w:rPr>
        <w:t xml:space="preserve"> </w:t>
      </w:r>
      <w:r>
        <w:rPr>
          <w:rFonts w:ascii="宋体" w:hAnsi="宋体" w:eastAsia="宋体" w:cs="宋体"/>
          <w:spacing w:val="12"/>
          <w:sz w:val="24"/>
          <w:szCs w:val="24"/>
          <w:highlight w:val="none"/>
        </w:rPr>
        <w:t>号）</w:t>
      </w:r>
      <w:r>
        <w:rPr>
          <w:rFonts w:ascii="宋体" w:hAnsi="宋体" w:eastAsia="宋体" w:cs="宋体"/>
          <w:spacing w:val="-50"/>
          <w:sz w:val="24"/>
          <w:szCs w:val="24"/>
          <w:highlight w:val="none"/>
        </w:rPr>
        <w:t xml:space="preserve"> </w:t>
      </w:r>
      <w:r>
        <w:rPr>
          <w:rFonts w:ascii="宋体" w:hAnsi="宋体" w:eastAsia="宋体" w:cs="宋体"/>
          <w:spacing w:val="12"/>
          <w:sz w:val="24"/>
          <w:szCs w:val="24"/>
          <w:highlight w:val="none"/>
        </w:rPr>
        <w:t>的规定，本单位从业人员</w:t>
      </w:r>
      <w:r>
        <w:rPr>
          <w:rFonts w:ascii="宋体" w:hAnsi="宋体" w:eastAsia="宋体" w:cs="宋体"/>
          <w:spacing w:val="11"/>
          <w:sz w:val="24"/>
          <w:szCs w:val="24"/>
          <w:highlight w:val="none"/>
        </w:rPr>
        <w:t>人，其中残疾人</w:t>
      </w:r>
      <w:r>
        <w:rPr>
          <w:rFonts w:ascii="宋体" w:hAnsi="宋体" w:eastAsia="宋体" w:cs="宋体"/>
          <w:spacing w:val="-92"/>
          <w:sz w:val="24"/>
          <w:szCs w:val="24"/>
          <w:highlight w:val="none"/>
        </w:rPr>
        <w:t xml:space="preserve"> </w:t>
      </w:r>
      <w:r>
        <w:rPr>
          <w:rFonts w:ascii="宋体" w:hAnsi="宋体" w:eastAsia="宋体" w:cs="宋体"/>
          <w:spacing w:val="14"/>
          <w:sz w:val="24"/>
          <w:szCs w:val="24"/>
          <w:highlight w:val="none"/>
          <w:u w:val="single" w:color="auto"/>
        </w:rPr>
        <w:t xml:space="preserve">      </w:t>
      </w:r>
      <w:r>
        <w:rPr>
          <w:rFonts w:ascii="宋体" w:hAnsi="宋体" w:eastAsia="宋体" w:cs="宋体"/>
          <w:spacing w:val="-104"/>
          <w:sz w:val="24"/>
          <w:szCs w:val="24"/>
          <w:highlight w:val="none"/>
        </w:rPr>
        <w:t xml:space="preserve"> </w:t>
      </w:r>
      <w:r>
        <w:rPr>
          <w:rFonts w:ascii="宋体" w:hAnsi="宋体" w:eastAsia="宋体" w:cs="宋体"/>
          <w:spacing w:val="11"/>
          <w:sz w:val="24"/>
          <w:szCs w:val="24"/>
          <w:highlight w:val="none"/>
        </w:rPr>
        <w:t>人，为符合条件的残疾人福利性单位，且本单位参加（</w:t>
      </w:r>
      <w:r>
        <w:rPr>
          <w:rFonts w:ascii="宋体" w:hAnsi="宋体" w:eastAsia="宋体" w:cs="宋体"/>
          <w:spacing w:val="-62"/>
          <w:sz w:val="24"/>
          <w:szCs w:val="24"/>
          <w:highlight w:val="none"/>
        </w:rPr>
        <w:t xml:space="preserve"> </w:t>
      </w:r>
      <w:r>
        <w:rPr>
          <w:rFonts w:ascii="宋体" w:hAnsi="宋体" w:eastAsia="宋体" w:cs="宋体"/>
          <w:spacing w:val="11"/>
          <w:sz w:val="24"/>
          <w:szCs w:val="24"/>
          <w:highlight w:val="none"/>
          <w:u w:val="single" w:color="auto"/>
        </w:rPr>
        <w:t>采</w:t>
      </w:r>
      <w:r>
        <w:rPr>
          <w:rFonts w:ascii="宋体" w:hAnsi="宋体" w:eastAsia="宋体" w:cs="宋体"/>
          <w:spacing w:val="1"/>
          <w:sz w:val="24"/>
          <w:szCs w:val="24"/>
          <w:highlight w:val="none"/>
          <w:u w:val="single" w:color="auto"/>
        </w:rPr>
        <w:t>购</w:t>
      </w:r>
      <w:r>
        <w:rPr>
          <w:rFonts w:ascii="宋体" w:hAnsi="宋体" w:eastAsia="宋体" w:cs="宋体"/>
          <w:spacing w:val="35"/>
          <w:sz w:val="24"/>
          <w:szCs w:val="24"/>
          <w:highlight w:val="none"/>
          <w:u w:val="single" w:color="auto"/>
        </w:rPr>
        <w:t xml:space="preserve"> </w:t>
      </w:r>
      <w:r>
        <w:rPr>
          <w:rFonts w:ascii="宋体" w:hAnsi="宋体" w:eastAsia="宋体" w:cs="宋体"/>
          <w:spacing w:val="1"/>
          <w:sz w:val="24"/>
          <w:szCs w:val="24"/>
          <w:highlight w:val="none"/>
          <w:u w:val="single" w:color="auto"/>
        </w:rPr>
        <w:t>人</w:t>
      </w:r>
      <w:r>
        <w:rPr>
          <w:rFonts w:ascii="宋体" w:hAnsi="宋体" w:eastAsia="宋体" w:cs="宋体"/>
          <w:spacing w:val="36"/>
          <w:sz w:val="24"/>
          <w:szCs w:val="24"/>
          <w:highlight w:val="none"/>
          <w:u w:val="single" w:color="auto"/>
        </w:rPr>
        <w:t xml:space="preserve"> </w:t>
      </w:r>
      <w:r>
        <w:rPr>
          <w:rFonts w:ascii="宋体" w:hAnsi="宋体" w:eastAsia="宋体" w:cs="宋体"/>
          <w:spacing w:val="1"/>
          <w:sz w:val="24"/>
          <w:szCs w:val="24"/>
          <w:highlight w:val="none"/>
          <w:u w:val="single" w:color="auto"/>
        </w:rPr>
        <w:t>名</w:t>
      </w:r>
      <w:r>
        <w:rPr>
          <w:rFonts w:ascii="宋体" w:hAnsi="宋体" w:eastAsia="宋体" w:cs="宋体"/>
          <w:spacing w:val="33"/>
          <w:sz w:val="24"/>
          <w:szCs w:val="24"/>
          <w:highlight w:val="none"/>
          <w:u w:val="single" w:color="auto"/>
        </w:rPr>
        <w:t xml:space="preserve"> </w:t>
      </w:r>
      <w:r>
        <w:rPr>
          <w:rFonts w:ascii="宋体" w:hAnsi="宋体" w:eastAsia="宋体" w:cs="宋体"/>
          <w:spacing w:val="1"/>
          <w:sz w:val="24"/>
          <w:szCs w:val="24"/>
          <w:highlight w:val="none"/>
          <w:u w:val="single" w:color="auto"/>
        </w:rPr>
        <w:t>称）</w:t>
      </w:r>
      <w:r>
        <w:rPr>
          <w:rFonts w:ascii="宋体" w:hAnsi="宋体" w:eastAsia="宋体" w:cs="宋体"/>
          <w:spacing w:val="35"/>
          <w:sz w:val="24"/>
          <w:szCs w:val="24"/>
          <w:highlight w:val="none"/>
          <w:u w:val="single" w:color="auto"/>
        </w:rPr>
        <w:t xml:space="preserve"> </w:t>
      </w:r>
      <w:r>
        <w:rPr>
          <w:rFonts w:ascii="宋体" w:hAnsi="宋体" w:eastAsia="宋体" w:cs="宋体"/>
          <w:spacing w:val="-90"/>
          <w:sz w:val="24"/>
          <w:szCs w:val="24"/>
          <w:highlight w:val="none"/>
        </w:rPr>
        <w:t xml:space="preserve"> </w:t>
      </w:r>
      <w:r>
        <w:rPr>
          <w:rFonts w:ascii="宋体" w:hAnsi="宋体" w:eastAsia="宋体" w:cs="宋体"/>
          <w:spacing w:val="1"/>
          <w:sz w:val="24"/>
          <w:szCs w:val="24"/>
          <w:highlight w:val="none"/>
        </w:rPr>
        <w:t>的（</w:t>
      </w:r>
      <w:r>
        <w:rPr>
          <w:rFonts w:ascii="宋体" w:hAnsi="宋体" w:eastAsia="宋体" w:cs="宋体"/>
          <w:spacing w:val="-60"/>
          <w:sz w:val="24"/>
          <w:szCs w:val="24"/>
          <w:highlight w:val="none"/>
        </w:rPr>
        <w:t xml:space="preserve"> </w:t>
      </w:r>
      <w:r>
        <w:rPr>
          <w:rFonts w:ascii="宋体" w:hAnsi="宋体" w:eastAsia="宋体" w:cs="宋体"/>
          <w:spacing w:val="1"/>
          <w:sz w:val="24"/>
          <w:szCs w:val="24"/>
          <w:highlight w:val="none"/>
          <w:u w:val="single" w:color="auto"/>
        </w:rPr>
        <w:t>项</w:t>
      </w:r>
      <w:r>
        <w:rPr>
          <w:rFonts w:ascii="宋体" w:hAnsi="宋体" w:eastAsia="宋体" w:cs="宋体"/>
          <w:spacing w:val="79"/>
          <w:sz w:val="24"/>
          <w:szCs w:val="24"/>
          <w:highlight w:val="none"/>
          <w:u w:val="single" w:color="auto"/>
        </w:rPr>
        <w:t xml:space="preserve"> </w:t>
      </w:r>
      <w:r>
        <w:rPr>
          <w:rFonts w:ascii="宋体" w:hAnsi="宋体" w:eastAsia="宋体" w:cs="宋体"/>
          <w:spacing w:val="1"/>
          <w:sz w:val="24"/>
          <w:szCs w:val="24"/>
          <w:highlight w:val="none"/>
          <w:u w:val="single" w:color="auto"/>
        </w:rPr>
        <w:t>目</w:t>
      </w:r>
      <w:r>
        <w:rPr>
          <w:rFonts w:ascii="宋体" w:hAnsi="宋体" w:eastAsia="宋体" w:cs="宋体"/>
          <w:spacing w:val="36"/>
          <w:sz w:val="24"/>
          <w:szCs w:val="24"/>
          <w:highlight w:val="none"/>
          <w:u w:val="single" w:color="auto"/>
        </w:rPr>
        <w:t xml:space="preserve"> </w:t>
      </w:r>
      <w:r>
        <w:rPr>
          <w:rFonts w:ascii="宋体" w:hAnsi="宋体" w:eastAsia="宋体" w:cs="宋体"/>
          <w:spacing w:val="1"/>
          <w:sz w:val="24"/>
          <w:szCs w:val="24"/>
          <w:highlight w:val="none"/>
          <w:u w:val="single" w:color="auto"/>
        </w:rPr>
        <w:t>名  称</w:t>
      </w:r>
      <w:r>
        <w:rPr>
          <w:rFonts w:ascii="宋体" w:hAnsi="宋体" w:eastAsia="宋体" w:cs="宋体"/>
          <w:spacing w:val="1"/>
          <w:sz w:val="24"/>
          <w:szCs w:val="24"/>
          <w:highlight w:val="none"/>
        </w:rPr>
        <w:t>）采购活动由</w:t>
      </w:r>
      <w:r>
        <w:rPr>
          <w:rFonts w:ascii="宋体" w:hAnsi="宋体" w:eastAsia="宋体" w:cs="宋体"/>
          <w:sz w:val="24"/>
          <w:szCs w:val="24"/>
          <w:highlight w:val="none"/>
        </w:rPr>
        <w:t>本单位提供服务。</w:t>
      </w:r>
    </w:p>
    <w:p w14:paraId="1FD00616">
      <w:pPr>
        <w:spacing w:before="170" w:line="99" w:lineRule="exact"/>
        <w:ind w:left="520"/>
        <w:rPr>
          <w:rFonts w:ascii="宋体" w:hAnsi="宋体" w:eastAsia="宋体" w:cs="宋体"/>
          <w:sz w:val="24"/>
          <w:szCs w:val="24"/>
          <w:highlight w:val="none"/>
        </w:rPr>
      </w:pPr>
      <w:r>
        <w:rPr>
          <w:rFonts w:ascii="宋体" w:hAnsi="宋体" w:eastAsia="宋体" w:cs="宋体"/>
          <w:spacing w:val="4"/>
          <w:position w:val="1"/>
          <w:sz w:val="24"/>
          <w:szCs w:val="24"/>
          <w:highlight w:val="none"/>
        </w:rPr>
        <w:t>......</w:t>
      </w:r>
    </w:p>
    <w:p w14:paraId="5F4E1FA7">
      <w:pPr>
        <w:pStyle w:val="5"/>
        <w:spacing w:line="260" w:lineRule="auto"/>
        <w:rPr>
          <w:highlight w:val="none"/>
        </w:rPr>
      </w:pPr>
    </w:p>
    <w:p w14:paraId="1682414C">
      <w:pPr>
        <w:pStyle w:val="5"/>
        <w:spacing w:line="260" w:lineRule="auto"/>
        <w:rPr>
          <w:highlight w:val="none"/>
        </w:rPr>
      </w:pPr>
    </w:p>
    <w:p w14:paraId="207EC8A5">
      <w:pPr>
        <w:pStyle w:val="5"/>
        <w:spacing w:line="260" w:lineRule="auto"/>
        <w:rPr>
          <w:highlight w:val="none"/>
        </w:rPr>
      </w:pPr>
    </w:p>
    <w:p w14:paraId="24D9FA66">
      <w:pPr>
        <w:pStyle w:val="5"/>
        <w:spacing w:line="261" w:lineRule="auto"/>
        <w:rPr>
          <w:highlight w:val="none"/>
        </w:rPr>
      </w:pPr>
    </w:p>
    <w:p w14:paraId="4E59BC56">
      <w:pPr>
        <w:spacing w:before="78" w:line="219" w:lineRule="auto"/>
        <w:ind w:left="514"/>
        <w:rPr>
          <w:rFonts w:ascii="宋体" w:hAnsi="宋体" w:eastAsia="宋体" w:cs="宋体"/>
          <w:sz w:val="24"/>
          <w:szCs w:val="24"/>
          <w:highlight w:val="none"/>
        </w:rPr>
      </w:pPr>
      <w:r>
        <w:rPr>
          <w:rFonts w:ascii="宋体" w:hAnsi="宋体" w:eastAsia="宋体" w:cs="宋体"/>
          <w:spacing w:val="11"/>
          <w:sz w:val="24"/>
          <w:szCs w:val="24"/>
          <w:highlight w:val="none"/>
        </w:rPr>
        <w:t>本单位对上述声明的真实性负责。如有虚假，将依法承</w:t>
      </w:r>
      <w:r>
        <w:rPr>
          <w:rFonts w:ascii="宋体" w:hAnsi="宋体" w:eastAsia="宋体" w:cs="宋体"/>
          <w:spacing w:val="10"/>
          <w:sz w:val="24"/>
          <w:szCs w:val="24"/>
          <w:highlight w:val="none"/>
        </w:rPr>
        <w:t>担相应责任。</w:t>
      </w:r>
    </w:p>
    <w:p w14:paraId="77A3D68A">
      <w:pPr>
        <w:pStyle w:val="5"/>
        <w:spacing w:line="257" w:lineRule="auto"/>
        <w:rPr>
          <w:highlight w:val="none"/>
        </w:rPr>
      </w:pPr>
    </w:p>
    <w:p w14:paraId="398557DF">
      <w:pPr>
        <w:pStyle w:val="5"/>
        <w:spacing w:line="257" w:lineRule="auto"/>
        <w:rPr>
          <w:highlight w:val="none"/>
        </w:rPr>
      </w:pPr>
    </w:p>
    <w:p w14:paraId="637E05AE">
      <w:pPr>
        <w:pStyle w:val="5"/>
        <w:spacing w:line="258" w:lineRule="auto"/>
        <w:rPr>
          <w:highlight w:val="none"/>
        </w:rPr>
      </w:pPr>
    </w:p>
    <w:p w14:paraId="4B5104E8">
      <w:pPr>
        <w:pStyle w:val="5"/>
        <w:spacing w:line="258" w:lineRule="auto"/>
        <w:rPr>
          <w:highlight w:val="none"/>
        </w:rPr>
      </w:pPr>
    </w:p>
    <w:p w14:paraId="5A2C482B">
      <w:pPr>
        <w:spacing w:before="79" w:line="219" w:lineRule="auto"/>
        <w:ind w:left="515"/>
        <w:rPr>
          <w:rFonts w:ascii="宋体" w:hAnsi="宋体" w:eastAsia="宋体" w:cs="宋体"/>
          <w:sz w:val="24"/>
          <w:szCs w:val="24"/>
          <w:highlight w:val="none"/>
        </w:rPr>
      </w:pPr>
      <w:r>
        <w:rPr>
          <w:rFonts w:ascii="宋体" w:hAnsi="宋体" w:eastAsia="宋体" w:cs="宋体"/>
          <w:spacing w:val="11"/>
          <w:sz w:val="24"/>
          <w:szCs w:val="24"/>
          <w:highlight w:val="none"/>
        </w:rPr>
        <w:t>单位名称</w:t>
      </w:r>
      <w:r>
        <w:rPr>
          <w:rFonts w:ascii="宋体" w:hAnsi="宋体" w:eastAsia="宋体" w:cs="宋体"/>
          <w:spacing w:val="-14"/>
          <w:sz w:val="24"/>
          <w:szCs w:val="24"/>
          <w:highlight w:val="none"/>
        </w:rPr>
        <w:t>：</w:t>
      </w:r>
      <w:r>
        <w:rPr>
          <w:rFonts w:ascii="宋体" w:hAnsi="宋体" w:eastAsia="宋体" w:cs="宋体"/>
          <w:spacing w:val="-96"/>
          <w:sz w:val="24"/>
          <w:szCs w:val="24"/>
          <w:highlight w:val="none"/>
        </w:rPr>
        <w:t xml:space="preserve"> </w:t>
      </w:r>
      <w:r>
        <w:rPr>
          <w:rFonts w:ascii="宋体" w:hAnsi="宋体" w:eastAsia="宋体" w:cs="宋体"/>
          <w:spacing w:val="3"/>
          <w:sz w:val="24"/>
          <w:szCs w:val="24"/>
          <w:highlight w:val="none"/>
          <w:u w:val="single" w:color="auto"/>
        </w:rPr>
        <w:t xml:space="preserve">               </w:t>
      </w:r>
      <w:r>
        <w:rPr>
          <w:rFonts w:ascii="宋体" w:hAnsi="宋体" w:eastAsia="宋体" w:cs="宋体"/>
          <w:spacing w:val="-14"/>
          <w:sz w:val="24"/>
          <w:szCs w:val="24"/>
          <w:highlight w:val="none"/>
        </w:rPr>
        <w:t>（</w:t>
      </w:r>
      <w:r>
        <w:rPr>
          <w:rFonts w:ascii="宋体" w:hAnsi="宋体" w:eastAsia="宋体" w:cs="宋体"/>
          <w:spacing w:val="11"/>
          <w:sz w:val="24"/>
          <w:szCs w:val="24"/>
          <w:highlight w:val="none"/>
        </w:rPr>
        <w:t>盖单位章）</w:t>
      </w:r>
    </w:p>
    <w:p w14:paraId="5B0A9283">
      <w:pPr>
        <w:pStyle w:val="5"/>
        <w:spacing w:line="283" w:lineRule="auto"/>
        <w:rPr>
          <w:highlight w:val="none"/>
        </w:rPr>
      </w:pPr>
    </w:p>
    <w:p w14:paraId="1804F1C7">
      <w:pPr>
        <w:pStyle w:val="5"/>
        <w:spacing w:line="284" w:lineRule="auto"/>
        <w:rPr>
          <w:highlight w:val="none"/>
        </w:rPr>
      </w:pPr>
    </w:p>
    <w:p w14:paraId="3DB37987">
      <w:pPr>
        <w:spacing w:before="78" w:line="220" w:lineRule="auto"/>
        <w:ind w:left="555"/>
        <w:rPr>
          <w:rFonts w:ascii="宋体" w:hAnsi="宋体" w:eastAsia="宋体" w:cs="宋体"/>
          <w:sz w:val="24"/>
          <w:szCs w:val="24"/>
          <w:highlight w:val="none"/>
        </w:rPr>
      </w:pPr>
      <w:r>
        <w:rPr>
          <w:rFonts w:ascii="宋体" w:hAnsi="宋体" w:eastAsia="宋体" w:cs="宋体"/>
          <w:spacing w:val="-10"/>
          <w:sz w:val="24"/>
          <w:szCs w:val="24"/>
          <w:highlight w:val="none"/>
        </w:rPr>
        <w:t>日      期：</w:t>
      </w:r>
      <w:r>
        <w:rPr>
          <w:rFonts w:ascii="宋体" w:hAnsi="宋体" w:eastAsia="宋体" w:cs="宋体"/>
          <w:spacing w:val="19"/>
          <w:sz w:val="24"/>
          <w:szCs w:val="24"/>
          <w:highlight w:val="none"/>
        </w:rPr>
        <w:t xml:space="preserve">    </w:t>
      </w:r>
      <w:r>
        <w:rPr>
          <w:rFonts w:ascii="宋体" w:hAnsi="宋体" w:eastAsia="宋体" w:cs="宋体"/>
          <w:spacing w:val="-10"/>
          <w:sz w:val="24"/>
          <w:szCs w:val="24"/>
          <w:highlight w:val="none"/>
        </w:rPr>
        <w:t>年</w:t>
      </w:r>
      <w:r>
        <w:rPr>
          <w:rFonts w:ascii="宋体" w:hAnsi="宋体" w:eastAsia="宋体" w:cs="宋体"/>
          <w:spacing w:val="21"/>
          <w:sz w:val="24"/>
          <w:szCs w:val="24"/>
          <w:highlight w:val="none"/>
        </w:rPr>
        <w:t xml:space="preserve">   </w:t>
      </w:r>
      <w:r>
        <w:rPr>
          <w:rFonts w:ascii="宋体" w:hAnsi="宋体" w:eastAsia="宋体" w:cs="宋体"/>
          <w:spacing w:val="-10"/>
          <w:sz w:val="24"/>
          <w:szCs w:val="24"/>
          <w:highlight w:val="none"/>
        </w:rPr>
        <w:t>月</w:t>
      </w:r>
      <w:r>
        <w:rPr>
          <w:rFonts w:ascii="宋体" w:hAnsi="宋体" w:eastAsia="宋体" w:cs="宋体"/>
          <w:spacing w:val="43"/>
          <w:sz w:val="24"/>
          <w:szCs w:val="24"/>
          <w:highlight w:val="none"/>
        </w:rPr>
        <w:t xml:space="preserve">  </w:t>
      </w:r>
      <w:r>
        <w:rPr>
          <w:rFonts w:ascii="宋体" w:hAnsi="宋体" w:eastAsia="宋体" w:cs="宋体"/>
          <w:spacing w:val="-10"/>
          <w:sz w:val="24"/>
          <w:szCs w:val="24"/>
          <w:highlight w:val="none"/>
        </w:rPr>
        <w:t>日</w:t>
      </w:r>
    </w:p>
    <w:p w14:paraId="66571906">
      <w:pPr>
        <w:pStyle w:val="5"/>
        <w:spacing w:line="246" w:lineRule="auto"/>
        <w:rPr>
          <w:highlight w:val="none"/>
        </w:rPr>
      </w:pPr>
    </w:p>
    <w:p w14:paraId="60158BB5">
      <w:pPr>
        <w:pStyle w:val="5"/>
        <w:spacing w:line="246" w:lineRule="auto"/>
        <w:rPr>
          <w:highlight w:val="none"/>
        </w:rPr>
      </w:pPr>
    </w:p>
    <w:p w14:paraId="68F4C69E">
      <w:pPr>
        <w:pStyle w:val="5"/>
        <w:spacing w:line="246" w:lineRule="auto"/>
        <w:rPr>
          <w:highlight w:val="none"/>
        </w:rPr>
      </w:pPr>
    </w:p>
    <w:p w14:paraId="4D450BF3">
      <w:pPr>
        <w:pStyle w:val="5"/>
        <w:spacing w:line="246" w:lineRule="auto"/>
        <w:rPr>
          <w:highlight w:val="none"/>
        </w:rPr>
      </w:pPr>
    </w:p>
    <w:p w14:paraId="037ABB7F">
      <w:pPr>
        <w:pStyle w:val="5"/>
        <w:spacing w:line="246" w:lineRule="auto"/>
        <w:rPr>
          <w:highlight w:val="none"/>
        </w:rPr>
      </w:pPr>
    </w:p>
    <w:p w14:paraId="6D70DF49">
      <w:pPr>
        <w:pStyle w:val="5"/>
        <w:spacing w:line="246" w:lineRule="auto"/>
        <w:rPr>
          <w:highlight w:val="none"/>
        </w:rPr>
      </w:pPr>
    </w:p>
    <w:p w14:paraId="1C1255F9">
      <w:pPr>
        <w:pStyle w:val="5"/>
        <w:spacing w:line="246" w:lineRule="auto"/>
        <w:rPr>
          <w:highlight w:val="none"/>
        </w:rPr>
      </w:pPr>
    </w:p>
    <w:p w14:paraId="3C4F2E9B">
      <w:pPr>
        <w:pStyle w:val="5"/>
        <w:spacing w:line="246" w:lineRule="auto"/>
        <w:rPr>
          <w:highlight w:val="none"/>
        </w:rPr>
      </w:pPr>
    </w:p>
    <w:p w14:paraId="7A748644">
      <w:pPr>
        <w:pStyle w:val="5"/>
        <w:spacing w:line="246" w:lineRule="auto"/>
        <w:rPr>
          <w:highlight w:val="none"/>
        </w:rPr>
      </w:pPr>
    </w:p>
    <w:p w14:paraId="02C3877E">
      <w:pPr>
        <w:pStyle w:val="5"/>
        <w:spacing w:line="246" w:lineRule="auto"/>
        <w:rPr>
          <w:highlight w:val="none"/>
        </w:rPr>
      </w:pPr>
    </w:p>
    <w:p w14:paraId="7CC5E4B8">
      <w:pPr>
        <w:pStyle w:val="5"/>
        <w:spacing w:line="246" w:lineRule="auto"/>
        <w:rPr>
          <w:highlight w:val="none"/>
        </w:rPr>
      </w:pPr>
    </w:p>
    <w:p w14:paraId="62C46860">
      <w:pPr>
        <w:pStyle w:val="5"/>
        <w:spacing w:line="246" w:lineRule="auto"/>
        <w:rPr>
          <w:highlight w:val="none"/>
        </w:rPr>
      </w:pPr>
    </w:p>
    <w:p w14:paraId="63A47CBC">
      <w:pPr>
        <w:pStyle w:val="5"/>
        <w:spacing w:line="247" w:lineRule="auto"/>
        <w:rPr>
          <w:highlight w:val="none"/>
        </w:rPr>
      </w:pPr>
      <w:r>
        <w:rPr>
          <w:highlight w:val="none"/>
        </w:rPr>
        <w:pict>
          <v:shape id="_x0000_s1027" o:spid="_x0000_s1027" style="position:absolute;left:0pt;margin-left:0.3pt;margin-top:12.4pt;height:0.6pt;width:447.95pt;z-index:251660288;mso-width-relative:page;mso-height-relative:page;" filled="f" stroked="t" coordsize="8959,12" path="m0,5l8958,5e">
            <v:fill on="f" focussize="0,0"/>
            <v:stroke weight="0.6pt" color="#000000" miterlimit="2" joinstyle="bevel"/>
            <v:imagedata o:title=""/>
            <o:lock v:ext="edit"/>
          </v:shape>
        </w:pict>
      </w:r>
    </w:p>
    <w:p w14:paraId="19594C5C">
      <w:pPr>
        <w:spacing w:before="78" w:line="220" w:lineRule="auto"/>
        <w:ind w:left="12"/>
        <w:rPr>
          <w:rFonts w:ascii="宋体" w:hAnsi="宋体" w:eastAsia="宋体" w:cs="宋体"/>
          <w:sz w:val="24"/>
          <w:szCs w:val="24"/>
          <w:highlight w:val="none"/>
        </w:rPr>
      </w:pPr>
      <w:r>
        <w:rPr>
          <w:rFonts w:ascii="宋体" w:hAnsi="宋体" w:eastAsia="宋体" w:cs="宋体"/>
          <w:spacing w:val="-5"/>
          <w:sz w:val="24"/>
          <w:szCs w:val="24"/>
          <w:highlight w:val="none"/>
        </w:rPr>
        <w:t>说明：</w:t>
      </w:r>
    </w:p>
    <w:p w14:paraId="5C19C0AE">
      <w:pPr>
        <w:spacing w:before="72" w:line="248" w:lineRule="auto"/>
        <w:ind w:left="11" w:right="11" w:firstLine="609"/>
        <w:rPr>
          <w:rFonts w:ascii="宋体" w:hAnsi="宋体" w:eastAsia="宋体" w:cs="宋体"/>
          <w:sz w:val="24"/>
          <w:szCs w:val="24"/>
          <w:highlight w:val="none"/>
        </w:rPr>
      </w:pPr>
      <w:r>
        <w:rPr>
          <w:rFonts w:ascii="宋体" w:hAnsi="宋体" w:eastAsia="宋体" w:cs="宋体"/>
          <w:spacing w:val="8"/>
          <w:sz w:val="24"/>
          <w:szCs w:val="24"/>
          <w:highlight w:val="none"/>
        </w:rPr>
        <w:t>（1）填报前请认真阅读《财政部、民政部、中国残疾人联合会关于促进残疾</w:t>
      </w:r>
      <w:r>
        <w:rPr>
          <w:rFonts w:ascii="宋体" w:hAnsi="宋体" w:eastAsia="宋体" w:cs="宋体"/>
          <w:spacing w:val="4"/>
          <w:sz w:val="24"/>
          <w:szCs w:val="24"/>
          <w:highlight w:val="none"/>
        </w:rPr>
        <w:t>人就业政府采购政策的通知》</w:t>
      </w:r>
      <w:r>
        <w:rPr>
          <w:rFonts w:ascii="宋体" w:hAnsi="宋体" w:eastAsia="宋体" w:cs="宋体"/>
          <w:spacing w:val="-85"/>
          <w:sz w:val="24"/>
          <w:szCs w:val="24"/>
          <w:highlight w:val="none"/>
        </w:rPr>
        <w:t xml:space="preserve"> </w:t>
      </w:r>
      <w:r>
        <w:rPr>
          <w:rFonts w:ascii="宋体" w:hAnsi="宋体" w:eastAsia="宋体" w:cs="宋体"/>
          <w:spacing w:val="4"/>
          <w:sz w:val="24"/>
          <w:szCs w:val="24"/>
          <w:highlight w:val="none"/>
        </w:rPr>
        <w:t>（财库〔2017〕141</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号）</w:t>
      </w:r>
      <w:r>
        <w:rPr>
          <w:rFonts w:ascii="宋体" w:hAnsi="宋体" w:eastAsia="宋体" w:cs="宋体"/>
          <w:spacing w:val="-67"/>
          <w:sz w:val="24"/>
          <w:szCs w:val="24"/>
          <w:highlight w:val="none"/>
        </w:rPr>
        <w:t xml:space="preserve"> </w:t>
      </w:r>
      <w:r>
        <w:rPr>
          <w:rFonts w:ascii="宋体" w:hAnsi="宋体" w:eastAsia="宋体" w:cs="宋体"/>
          <w:spacing w:val="4"/>
          <w:sz w:val="24"/>
          <w:szCs w:val="24"/>
          <w:highlight w:val="none"/>
        </w:rPr>
        <w:t>的规定。</w:t>
      </w:r>
    </w:p>
    <w:p w14:paraId="33BE4491">
      <w:pPr>
        <w:spacing w:before="74" w:line="248" w:lineRule="auto"/>
        <w:ind w:left="13" w:right="55" w:firstLine="607"/>
        <w:rPr>
          <w:rFonts w:ascii="宋体" w:hAnsi="宋体" w:eastAsia="宋体" w:cs="宋体"/>
          <w:sz w:val="24"/>
          <w:szCs w:val="24"/>
          <w:highlight w:val="none"/>
        </w:rPr>
      </w:pPr>
      <w:r>
        <w:rPr>
          <w:rFonts w:ascii="宋体" w:hAnsi="宋体" w:eastAsia="宋体" w:cs="宋体"/>
          <w:sz w:val="24"/>
          <w:szCs w:val="24"/>
          <w:highlight w:val="none"/>
        </w:rPr>
        <w:t>（2）供应商属于残疾人福利性单位的，必须填报有关数据，未按要求提供的，</w:t>
      </w:r>
      <w:r>
        <w:rPr>
          <w:rFonts w:ascii="宋体" w:hAnsi="宋体" w:eastAsia="宋体" w:cs="宋体"/>
          <w:spacing w:val="-1"/>
          <w:sz w:val="24"/>
          <w:szCs w:val="24"/>
          <w:highlight w:val="none"/>
        </w:rPr>
        <w:t>不享受报价扣除优惠政策。供应商不享受报价扣除优惠政策的可不提供</w:t>
      </w:r>
    </w:p>
    <w:p w14:paraId="3F6FD87C">
      <w:pPr>
        <w:spacing w:before="76" w:line="220" w:lineRule="auto"/>
        <w:ind w:left="621"/>
        <w:rPr>
          <w:rFonts w:ascii="宋体" w:hAnsi="宋体" w:eastAsia="宋体" w:cs="宋体"/>
          <w:sz w:val="24"/>
          <w:szCs w:val="24"/>
          <w:highlight w:val="none"/>
        </w:rPr>
      </w:pPr>
      <w:r>
        <w:rPr>
          <w:rFonts w:ascii="宋体" w:hAnsi="宋体" w:eastAsia="宋体" w:cs="宋体"/>
          <w:spacing w:val="-1"/>
          <w:sz w:val="24"/>
          <w:szCs w:val="24"/>
          <w:highlight w:val="none"/>
        </w:rPr>
        <w:t>（3）横线以下只做填报说明，响应文件可不要。</w:t>
      </w:r>
    </w:p>
    <w:p w14:paraId="5F4CAF74">
      <w:pPr>
        <w:spacing w:line="220" w:lineRule="auto"/>
        <w:rPr>
          <w:rFonts w:ascii="宋体" w:hAnsi="宋体" w:eastAsia="宋体" w:cs="宋体"/>
          <w:sz w:val="24"/>
          <w:szCs w:val="24"/>
          <w:highlight w:val="none"/>
        </w:rPr>
        <w:sectPr>
          <w:footerReference r:id="rId30" w:type="default"/>
          <w:pgSz w:w="11907" w:h="16840"/>
          <w:pgMar w:top="1270" w:right="1475" w:bottom="1199" w:left="1473" w:header="0" w:footer="984" w:gutter="0"/>
          <w:pgNumType w:fmt="decimal"/>
          <w:cols w:space="720" w:num="1"/>
        </w:sectPr>
      </w:pPr>
    </w:p>
    <w:p w14:paraId="4E3978E0">
      <w:pPr>
        <w:spacing w:before="72" w:line="225" w:lineRule="auto"/>
        <w:ind w:left="2868"/>
        <w:rPr>
          <w:rFonts w:ascii="宋体" w:hAnsi="宋体" w:eastAsia="宋体" w:cs="宋体"/>
          <w:sz w:val="35"/>
          <w:szCs w:val="35"/>
          <w:highlight w:val="none"/>
        </w:rPr>
      </w:pPr>
      <w:r>
        <w:rPr>
          <w:rFonts w:ascii="宋体" w:hAnsi="宋体" w:eastAsia="宋体" w:cs="宋体"/>
          <w:b/>
          <w:bCs/>
          <w:spacing w:val="3"/>
          <w:sz w:val="35"/>
          <w:szCs w:val="35"/>
          <w:highlight w:val="none"/>
        </w:rPr>
        <w:t>（</w:t>
      </w:r>
      <w:r>
        <w:rPr>
          <w:rFonts w:hint="eastAsia" w:ascii="宋体" w:hAnsi="宋体" w:eastAsia="宋体" w:cs="宋体"/>
          <w:b/>
          <w:bCs/>
          <w:spacing w:val="3"/>
          <w:sz w:val="35"/>
          <w:szCs w:val="35"/>
          <w:highlight w:val="none"/>
          <w:lang w:val="en-US" w:eastAsia="zh-CN"/>
        </w:rPr>
        <w:t>2</w:t>
      </w:r>
      <w:r>
        <w:rPr>
          <w:rFonts w:ascii="宋体" w:hAnsi="宋体" w:eastAsia="宋体" w:cs="宋体"/>
          <w:b/>
          <w:bCs/>
          <w:spacing w:val="3"/>
          <w:sz w:val="35"/>
          <w:szCs w:val="35"/>
          <w:highlight w:val="none"/>
        </w:rPr>
        <w:t>）.监狱企业证明</w:t>
      </w:r>
    </w:p>
    <w:p w14:paraId="17DD5AF6">
      <w:pPr>
        <w:pStyle w:val="5"/>
        <w:spacing w:line="416" w:lineRule="auto"/>
        <w:rPr>
          <w:highlight w:val="none"/>
        </w:rPr>
      </w:pPr>
    </w:p>
    <w:p w14:paraId="0846AF6E">
      <w:pPr>
        <w:spacing w:before="78" w:line="220" w:lineRule="auto"/>
        <w:rPr>
          <w:rFonts w:ascii="宋体" w:hAnsi="宋体" w:eastAsia="宋体" w:cs="宋体"/>
          <w:sz w:val="24"/>
          <w:szCs w:val="24"/>
          <w:highlight w:val="none"/>
        </w:rPr>
      </w:pPr>
      <w:r>
        <w:rPr>
          <w:rFonts w:ascii="宋体" w:hAnsi="宋体" w:eastAsia="宋体" w:cs="宋体"/>
          <w:spacing w:val="-5"/>
          <w:sz w:val="24"/>
          <w:szCs w:val="24"/>
          <w:highlight w:val="none"/>
        </w:rPr>
        <w:t>说明：</w:t>
      </w:r>
    </w:p>
    <w:p w14:paraId="6F55D868">
      <w:pPr>
        <w:spacing w:before="72" w:line="248" w:lineRule="auto"/>
        <w:ind w:left="1" w:right="11" w:firstLine="607"/>
        <w:rPr>
          <w:rFonts w:ascii="宋体" w:hAnsi="宋体" w:eastAsia="宋体" w:cs="宋体"/>
          <w:sz w:val="24"/>
          <w:szCs w:val="24"/>
          <w:highlight w:val="none"/>
        </w:rPr>
      </w:pPr>
      <w:r>
        <w:rPr>
          <w:rFonts w:ascii="宋体" w:hAnsi="宋体" w:eastAsia="宋体" w:cs="宋体"/>
          <w:spacing w:val="8"/>
          <w:sz w:val="24"/>
          <w:szCs w:val="24"/>
          <w:highlight w:val="none"/>
        </w:rPr>
        <w:t>（1）填报前请认真阅读《财政部、司法部关于政府采购支持监狱企业发展有</w:t>
      </w:r>
      <w:r>
        <w:rPr>
          <w:rFonts w:ascii="宋体" w:hAnsi="宋体" w:eastAsia="宋体" w:cs="宋体"/>
          <w:spacing w:val="2"/>
          <w:sz w:val="24"/>
          <w:szCs w:val="24"/>
          <w:highlight w:val="none"/>
        </w:rPr>
        <w:t>关问题的通知》</w:t>
      </w:r>
      <w:r>
        <w:rPr>
          <w:rFonts w:ascii="宋体" w:hAnsi="宋体" w:eastAsia="宋体" w:cs="宋体"/>
          <w:spacing w:val="-83"/>
          <w:sz w:val="24"/>
          <w:szCs w:val="24"/>
          <w:highlight w:val="none"/>
        </w:rPr>
        <w:t xml:space="preserve"> </w:t>
      </w:r>
      <w:r>
        <w:rPr>
          <w:rFonts w:ascii="宋体" w:hAnsi="宋体" w:eastAsia="宋体" w:cs="宋体"/>
          <w:spacing w:val="2"/>
          <w:sz w:val="24"/>
          <w:szCs w:val="24"/>
          <w:highlight w:val="none"/>
        </w:rPr>
        <w:t>（财库〔2014〕68</w:t>
      </w:r>
      <w:r>
        <w:rPr>
          <w:rFonts w:ascii="宋体" w:hAnsi="宋体" w:eastAsia="宋体" w:cs="宋体"/>
          <w:spacing w:val="-45"/>
          <w:sz w:val="24"/>
          <w:szCs w:val="24"/>
          <w:highlight w:val="none"/>
        </w:rPr>
        <w:t xml:space="preserve"> </w:t>
      </w:r>
      <w:r>
        <w:rPr>
          <w:rFonts w:ascii="宋体" w:hAnsi="宋体" w:eastAsia="宋体" w:cs="宋体"/>
          <w:spacing w:val="2"/>
          <w:sz w:val="24"/>
          <w:szCs w:val="24"/>
          <w:highlight w:val="none"/>
        </w:rPr>
        <w:t>号）</w:t>
      </w:r>
      <w:r>
        <w:rPr>
          <w:rFonts w:ascii="宋体" w:hAnsi="宋体" w:eastAsia="宋体" w:cs="宋体"/>
          <w:spacing w:val="-67"/>
          <w:sz w:val="24"/>
          <w:szCs w:val="24"/>
          <w:highlight w:val="none"/>
        </w:rPr>
        <w:t xml:space="preserve"> </w:t>
      </w:r>
      <w:r>
        <w:rPr>
          <w:rFonts w:ascii="宋体" w:hAnsi="宋体" w:eastAsia="宋体" w:cs="宋体"/>
          <w:spacing w:val="2"/>
          <w:sz w:val="24"/>
          <w:szCs w:val="24"/>
          <w:highlight w:val="none"/>
        </w:rPr>
        <w:t>的规定。</w:t>
      </w:r>
    </w:p>
    <w:p w14:paraId="7CAFC5EF">
      <w:pPr>
        <w:spacing w:before="74" w:line="248" w:lineRule="auto"/>
        <w:ind w:firstLine="537"/>
        <w:rPr>
          <w:rFonts w:ascii="宋体" w:hAnsi="宋体" w:eastAsia="宋体" w:cs="宋体"/>
          <w:sz w:val="24"/>
          <w:szCs w:val="24"/>
          <w:highlight w:val="none"/>
        </w:rPr>
      </w:pPr>
      <w:r>
        <w:rPr>
          <w:rFonts w:ascii="宋体" w:hAnsi="宋体" w:eastAsia="宋体" w:cs="宋体"/>
          <w:spacing w:val="4"/>
          <w:sz w:val="24"/>
          <w:szCs w:val="24"/>
          <w:highlight w:val="none"/>
        </w:rPr>
        <w:t>（2）证明文件无格式要求，由出具监狱企业证明的单</w:t>
      </w:r>
      <w:r>
        <w:rPr>
          <w:rFonts w:ascii="宋体" w:hAnsi="宋体" w:eastAsia="宋体" w:cs="宋体"/>
          <w:spacing w:val="3"/>
          <w:sz w:val="24"/>
          <w:szCs w:val="24"/>
          <w:highlight w:val="none"/>
        </w:rPr>
        <w:t>位自行拟定，出具证明的</w:t>
      </w:r>
      <w:r>
        <w:rPr>
          <w:rFonts w:ascii="宋体" w:hAnsi="宋体" w:eastAsia="宋体" w:cs="宋体"/>
          <w:spacing w:val="-3"/>
          <w:sz w:val="24"/>
          <w:szCs w:val="24"/>
          <w:highlight w:val="none"/>
        </w:rPr>
        <w:t>单位应符合“供应商须知</w:t>
      </w:r>
      <w:r>
        <w:rPr>
          <w:rFonts w:ascii="宋体" w:hAnsi="宋体" w:eastAsia="宋体" w:cs="宋体"/>
          <w:spacing w:val="-80"/>
          <w:sz w:val="24"/>
          <w:szCs w:val="24"/>
          <w:highlight w:val="none"/>
        </w:rPr>
        <w:t xml:space="preserve"> </w:t>
      </w:r>
      <w:r>
        <w:rPr>
          <w:rFonts w:ascii="宋体" w:hAnsi="宋体" w:eastAsia="宋体" w:cs="宋体"/>
          <w:spacing w:val="-3"/>
          <w:sz w:val="24"/>
          <w:szCs w:val="24"/>
          <w:highlight w:val="none"/>
        </w:rPr>
        <w:t>”第</w:t>
      </w:r>
      <w:r>
        <w:rPr>
          <w:rFonts w:ascii="宋体" w:hAnsi="宋体" w:eastAsia="宋体" w:cs="宋体"/>
          <w:spacing w:val="-46"/>
          <w:sz w:val="24"/>
          <w:szCs w:val="24"/>
          <w:highlight w:val="none"/>
        </w:rPr>
        <w:t xml:space="preserve"> </w:t>
      </w:r>
      <w:r>
        <w:rPr>
          <w:rFonts w:ascii="宋体" w:hAnsi="宋体" w:eastAsia="宋体" w:cs="宋体"/>
          <w:spacing w:val="-3"/>
          <w:sz w:val="24"/>
          <w:szCs w:val="24"/>
          <w:highlight w:val="none"/>
        </w:rPr>
        <w:t>3.4.2.3</w:t>
      </w:r>
      <w:r>
        <w:rPr>
          <w:rFonts w:ascii="宋体" w:hAnsi="宋体" w:eastAsia="宋体" w:cs="宋体"/>
          <w:spacing w:val="-49"/>
          <w:sz w:val="24"/>
          <w:szCs w:val="24"/>
          <w:highlight w:val="none"/>
        </w:rPr>
        <w:t xml:space="preserve"> </w:t>
      </w:r>
      <w:r>
        <w:rPr>
          <w:rFonts w:ascii="宋体" w:hAnsi="宋体" w:eastAsia="宋体" w:cs="宋体"/>
          <w:spacing w:val="-3"/>
          <w:sz w:val="24"/>
          <w:szCs w:val="24"/>
          <w:highlight w:val="none"/>
        </w:rPr>
        <w:t>条款的规定。</w:t>
      </w:r>
    </w:p>
    <w:p w14:paraId="50C577B9">
      <w:pPr>
        <w:spacing w:before="74" w:line="248" w:lineRule="auto"/>
        <w:ind w:firstLine="609"/>
        <w:rPr>
          <w:rFonts w:ascii="宋体" w:hAnsi="宋体" w:eastAsia="宋体" w:cs="宋体"/>
          <w:sz w:val="24"/>
          <w:szCs w:val="24"/>
          <w:highlight w:val="none"/>
        </w:rPr>
      </w:pPr>
      <w:r>
        <w:rPr>
          <w:rFonts w:ascii="宋体" w:hAnsi="宋体" w:eastAsia="宋体" w:cs="宋体"/>
          <w:spacing w:val="9"/>
          <w:sz w:val="24"/>
          <w:szCs w:val="24"/>
          <w:highlight w:val="none"/>
        </w:rPr>
        <w:t>（3）供应商属于监狱企业的，未按上述要求提供的，不</w:t>
      </w:r>
      <w:r>
        <w:rPr>
          <w:rFonts w:ascii="宋体" w:hAnsi="宋体" w:eastAsia="宋体" w:cs="宋体"/>
          <w:spacing w:val="8"/>
          <w:sz w:val="24"/>
          <w:szCs w:val="24"/>
          <w:highlight w:val="none"/>
        </w:rPr>
        <w:t>享受报价扣除优惠政</w:t>
      </w:r>
      <w:r>
        <w:rPr>
          <w:rFonts w:ascii="宋体" w:hAnsi="宋体" w:eastAsia="宋体" w:cs="宋体"/>
          <w:spacing w:val="-1"/>
          <w:sz w:val="24"/>
          <w:szCs w:val="24"/>
          <w:highlight w:val="none"/>
        </w:rPr>
        <w:t>策。供应商不享受报价扣除优惠政策的可不提供</w:t>
      </w:r>
    </w:p>
    <w:p w14:paraId="0A79937E">
      <w:pPr>
        <w:spacing w:line="248" w:lineRule="auto"/>
        <w:rPr>
          <w:rFonts w:ascii="宋体" w:hAnsi="宋体" w:eastAsia="宋体" w:cs="宋体"/>
          <w:sz w:val="24"/>
          <w:szCs w:val="24"/>
          <w:highlight w:val="none"/>
        </w:rPr>
        <w:sectPr>
          <w:footerReference r:id="rId31" w:type="default"/>
          <w:pgSz w:w="11907" w:h="16840"/>
          <w:pgMar w:top="1213" w:right="1474" w:bottom="1199" w:left="1484" w:header="0" w:footer="984" w:gutter="0"/>
          <w:pgNumType w:fmt="decimal"/>
          <w:cols w:space="720" w:num="1"/>
        </w:sectPr>
      </w:pPr>
    </w:p>
    <w:p w14:paraId="672F8F3A">
      <w:pPr>
        <w:spacing w:before="71" w:line="225" w:lineRule="auto"/>
        <w:ind w:left="3125"/>
        <w:outlineLvl w:val="1"/>
        <w:rPr>
          <w:rFonts w:ascii="宋体" w:hAnsi="宋体" w:eastAsia="宋体" w:cs="宋体"/>
          <w:sz w:val="35"/>
          <w:szCs w:val="35"/>
          <w:highlight w:val="none"/>
        </w:rPr>
      </w:pPr>
      <w:r>
        <w:rPr>
          <w:rFonts w:ascii="宋体" w:hAnsi="宋体" w:eastAsia="宋体" w:cs="宋体"/>
          <w:b/>
          <w:bCs/>
          <w:spacing w:val="5"/>
          <w:sz w:val="35"/>
          <w:szCs w:val="35"/>
          <w:highlight w:val="none"/>
        </w:rPr>
        <w:t>4、其他证明材料</w:t>
      </w:r>
    </w:p>
    <w:p w14:paraId="6D4E7812">
      <w:pPr>
        <w:pStyle w:val="5"/>
        <w:spacing w:line="417" w:lineRule="auto"/>
        <w:rPr>
          <w:highlight w:val="none"/>
        </w:rPr>
      </w:pPr>
    </w:p>
    <w:p w14:paraId="77842C0F">
      <w:pPr>
        <w:spacing w:before="78" w:line="220" w:lineRule="auto"/>
        <w:rPr>
          <w:rFonts w:ascii="宋体" w:hAnsi="宋体" w:eastAsia="宋体" w:cs="宋体"/>
          <w:sz w:val="24"/>
          <w:szCs w:val="24"/>
          <w:highlight w:val="none"/>
        </w:rPr>
      </w:pPr>
      <w:r>
        <w:rPr>
          <w:rFonts w:ascii="宋体" w:hAnsi="宋体" w:eastAsia="宋体" w:cs="宋体"/>
          <w:spacing w:val="-5"/>
          <w:sz w:val="24"/>
          <w:szCs w:val="24"/>
          <w:highlight w:val="none"/>
        </w:rPr>
        <w:t>说明：</w:t>
      </w:r>
    </w:p>
    <w:p w14:paraId="0187012D">
      <w:pPr>
        <w:spacing w:before="182" w:line="219" w:lineRule="auto"/>
        <w:ind w:left="502"/>
        <w:rPr>
          <w:rFonts w:ascii="宋体" w:hAnsi="宋体" w:eastAsia="宋体" w:cs="宋体"/>
          <w:sz w:val="24"/>
          <w:szCs w:val="24"/>
          <w:highlight w:val="none"/>
        </w:rPr>
      </w:pPr>
      <w:r>
        <w:rPr>
          <w:rFonts w:ascii="宋体" w:hAnsi="宋体" w:eastAsia="宋体" w:cs="宋体"/>
          <w:spacing w:val="11"/>
          <w:sz w:val="24"/>
          <w:szCs w:val="24"/>
          <w:highlight w:val="none"/>
        </w:rPr>
        <w:t>其他证明材料，非供应商的必备证明材料，仅</w:t>
      </w:r>
      <w:r>
        <w:rPr>
          <w:rFonts w:ascii="宋体" w:hAnsi="宋体" w:eastAsia="宋体" w:cs="宋体"/>
          <w:spacing w:val="10"/>
          <w:sz w:val="24"/>
          <w:szCs w:val="24"/>
          <w:highlight w:val="none"/>
        </w:rPr>
        <w:t>作为评审的因素。</w:t>
      </w:r>
    </w:p>
    <w:p w14:paraId="0A78DE1C">
      <w:pPr>
        <w:spacing w:line="219" w:lineRule="auto"/>
        <w:rPr>
          <w:rFonts w:ascii="宋体" w:hAnsi="宋体" w:eastAsia="宋体" w:cs="宋体"/>
          <w:sz w:val="24"/>
          <w:szCs w:val="24"/>
          <w:highlight w:val="none"/>
        </w:rPr>
        <w:sectPr>
          <w:footerReference r:id="rId32" w:type="default"/>
          <w:pgSz w:w="11907" w:h="16840"/>
          <w:pgMar w:top="1162" w:right="1786" w:bottom="1199" w:left="1485" w:header="0" w:footer="984" w:gutter="0"/>
          <w:pgNumType w:fmt="decimal"/>
          <w:cols w:space="720" w:num="1"/>
        </w:sectPr>
      </w:pPr>
    </w:p>
    <w:p w14:paraId="243D3574">
      <w:pPr>
        <w:spacing w:before="72" w:line="225" w:lineRule="auto"/>
        <w:ind w:left="3168"/>
        <w:rPr>
          <w:rFonts w:ascii="宋体" w:hAnsi="宋体" w:eastAsia="宋体" w:cs="宋体"/>
          <w:sz w:val="35"/>
          <w:szCs w:val="35"/>
          <w:highlight w:val="none"/>
        </w:rPr>
      </w:pPr>
      <w:r>
        <w:rPr>
          <w:rFonts w:ascii="宋体" w:hAnsi="宋体" w:eastAsia="宋体" w:cs="宋体"/>
          <w:b/>
          <w:bCs/>
          <w:spacing w:val="6"/>
          <w:sz w:val="35"/>
          <w:szCs w:val="35"/>
          <w:highlight w:val="none"/>
        </w:rPr>
        <w:t>七、服务要求偏离表</w:t>
      </w:r>
    </w:p>
    <w:p w14:paraId="193F9F8F">
      <w:pPr>
        <w:pStyle w:val="5"/>
        <w:spacing w:line="297" w:lineRule="auto"/>
        <w:rPr>
          <w:highlight w:val="none"/>
        </w:rPr>
      </w:pPr>
    </w:p>
    <w:p w14:paraId="69DB4405">
      <w:pPr>
        <w:spacing w:before="78" w:line="219" w:lineRule="auto"/>
        <w:ind w:left="311"/>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投标人名称</w:t>
      </w:r>
      <w:r>
        <w:rPr>
          <w:rFonts w:ascii="宋体" w:hAnsi="宋体" w:eastAsia="宋体" w:cs="宋体"/>
          <w:sz w:val="24"/>
          <w:szCs w:val="24"/>
          <w:highlight w:val="none"/>
        </w:rPr>
        <w:t>：                          项目编号：</w:t>
      </w:r>
    </w:p>
    <w:p w14:paraId="15BB54F4">
      <w:pPr>
        <w:spacing w:line="111" w:lineRule="exact"/>
        <w:rPr>
          <w:highlight w:val="none"/>
        </w:rPr>
      </w:pPr>
    </w:p>
    <w:tbl>
      <w:tblPr>
        <w:tblStyle w:val="15"/>
        <w:tblW w:w="93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84"/>
        <w:gridCol w:w="1878"/>
        <w:gridCol w:w="2560"/>
        <w:gridCol w:w="846"/>
        <w:gridCol w:w="1710"/>
      </w:tblGrid>
      <w:tr w14:paraId="62440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861" w:type="dxa"/>
            <w:tcBorders>
              <w:top w:val="single" w:color="000000" w:sz="10" w:space="0"/>
              <w:left w:val="single" w:color="000000" w:sz="10" w:space="0"/>
            </w:tcBorders>
            <w:vAlign w:val="top"/>
          </w:tcPr>
          <w:p w14:paraId="69EA38D1">
            <w:pPr>
              <w:pStyle w:val="16"/>
              <w:spacing w:before="233" w:line="222" w:lineRule="auto"/>
              <w:ind w:left="170"/>
              <w:rPr>
                <w:highlight w:val="none"/>
              </w:rPr>
            </w:pPr>
            <w:r>
              <w:rPr>
                <w:b/>
                <w:bCs/>
                <w:spacing w:val="-7"/>
                <w:highlight w:val="none"/>
              </w:rPr>
              <w:t>序号</w:t>
            </w:r>
          </w:p>
        </w:tc>
        <w:tc>
          <w:tcPr>
            <w:tcW w:w="1484" w:type="dxa"/>
            <w:tcBorders>
              <w:top w:val="single" w:color="000000" w:sz="10" w:space="0"/>
            </w:tcBorders>
            <w:vAlign w:val="top"/>
          </w:tcPr>
          <w:p w14:paraId="4721688E">
            <w:pPr>
              <w:pStyle w:val="16"/>
              <w:spacing w:before="234" w:line="220" w:lineRule="auto"/>
              <w:ind w:left="128"/>
              <w:rPr>
                <w:highlight w:val="none"/>
              </w:rPr>
            </w:pPr>
            <w:r>
              <w:rPr>
                <w:b/>
                <w:bCs/>
                <w:spacing w:val="-4"/>
                <w:highlight w:val="none"/>
              </w:rPr>
              <w:t>文件条目号</w:t>
            </w:r>
          </w:p>
        </w:tc>
        <w:tc>
          <w:tcPr>
            <w:tcW w:w="1878" w:type="dxa"/>
            <w:tcBorders>
              <w:top w:val="single" w:color="000000" w:sz="10" w:space="0"/>
            </w:tcBorders>
            <w:vAlign w:val="top"/>
          </w:tcPr>
          <w:p w14:paraId="0918C057">
            <w:pPr>
              <w:pStyle w:val="16"/>
              <w:spacing w:before="234" w:line="219" w:lineRule="auto"/>
              <w:ind w:left="206"/>
              <w:rPr>
                <w:highlight w:val="none"/>
              </w:rPr>
            </w:pPr>
            <w:r>
              <w:rPr>
                <w:b/>
                <w:bCs/>
                <w:spacing w:val="-4"/>
                <w:highlight w:val="none"/>
              </w:rPr>
              <w:t>采购服务要求</w:t>
            </w:r>
          </w:p>
        </w:tc>
        <w:tc>
          <w:tcPr>
            <w:tcW w:w="2560" w:type="dxa"/>
            <w:tcBorders>
              <w:top w:val="single" w:color="000000" w:sz="10" w:space="0"/>
            </w:tcBorders>
            <w:vAlign w:val="top"/>
          </w:tcPr>
          <w:p w14:paraId="05DE975F">
            <w:pPr>
              <w:pStyle w:val="16"/>
              <w:spacing w:before="234" w:line="220" w:lineRule="auto"/>
              <w:ind w:left="566"/>
              <w:rPr>
                <w:highlight w:val="none"/>
              </w:rPr>
            </w:pPr>
            <w:r>
              <w:rPr>
                <w:b/>
                <w:bCs/>
                <w:spacing w:val="-6"/>
                <w:highlight w:val="none"/>
              </w:rPr>
              <w:t>响应文件应答</w:t>
            </w:r>
          </w:p>
        </w:tc>
        <w:tc>
          <w:tcPr>
            <w:tcW w:w="846" w:type="dxa"/>
            <w:tcBorders>
              <w:top w:val="single" w:color="000000" w:sz="10" w:space="0"/>
            </w:tcBorders>
            <w:vAlign w:val="top"/>
          </w:tcPr>
          <w:p w14:paraId="4AB0B297">
            <w:pPr>
              <w:pStyle w:val="16"/>
              <w:spacing w:before="234" w:line="220" w:lineRule="auto"/>
              <w:ind w:left="185"/>
              <w:rPr>
                <w:highlight w:val="none"/>
              </w:rPr>
            </w:pPr>
            <w:r>
              <w:rPr>
                <w:b/>
                <w:bCs/>
                <w:spacing w:val="-8"/>
                <w:highlight w:val="none"/>
              </w:rPr>
              <w:t>偏离</w:t>
            </w:r>
          </w:p>
        </w:tc>
        <w:tc>
          <w:tcPr>
            <w:tcW w:w="1710" w:type="dxa"/>
            <w:tcBorders>
              <w:top w:val="single" w:color="000000" w:sz="10" w:space="0"/>
              <w:right w:val="single" w:color="000000" w:sz="10" w:space="0"/>
            </w:tcBorders>
            <w:vAlign w:val="top"/>
          </w:tcPr>
          <w:p w14:paraId="19E06FBC">
            <w:pPr>
              <w:pStyle w:val="16"/>
              <w:spacing w:before="234" w:line="220" w:lineRule="auto"/>
              <w:ind w:left="131"/>
              <w:rPr>
                <w:highlight w:val="none"/>
              </w:rPr>
            </w:pPr>
            <w:r>
              <w:rPr>
                <w:b/>
                <w:bCs/>
                <w:spacing w:val="-4"/>
                <w:highlight w:val="none"/>
              </w:rPr>
              <w:t>偏离及其影响</w:t>
            </w:r>
          </w:p>
        </w:tc>
      </w:tr>
      <w:tr w14:paraId="42BE3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61" w:type="dxa"/>
            <w:tcBorders>
              <w:left w:val="single" w:color="000000" w:sz="10" w:space="0"/>
            </w:tcBorders>
            <w:vAlign w:val="top"/>
          </w:tcPr>
          <w:p w14:paraId="59C871BD">
            <w:pPr>
              <w:rPr>
                <w:rFonts w:ascii="Arial"/>
                <w:sz w:val="21"/>
                <w:highlight w:val="none"/>
              </w:rPr>
            </w:pPr>
          </w:p>
        </w:tc>
        <w:tc>
          <w:tcPr>
            <w:tcW w:w="1484" w:type="dxa"/>
            <w:vAlign w:val="top"/>
          </w:tcPr>
          <w:p w14:paraId="59E81AFA">
            <w:pPr>
              <w:rPr>
                <w:rFonts w:ascii="Arial"/>
                <w:sz w:val="21"/>
                <w:highlight w:val="none"/>
              </w:rPr>
            </w:pPr>
          </w:p>
        </w:tc>
        <w:tc>
          <w:tcPr>
            <w:tcW w:w="1878" w:type="dxa"/>
            <w:vAlign w:val="top"/>
          </w:tcPr>
          <w:p w14:paraId="4125459E">
            <w:pPr>
              <w:rPr>
                <w:rFonts w:ascii="Arial"/>
                <w:sz w:val="21"/>
                <w:highlight w:val="none"/>
              </w:rPr>
            </w:pPr>
          </w:p>
        </w:tc>
        <w:tc>
          <w:tcPr>
            <w:tcW w:w="2560" w:type="dxa"/>
            <w:vAlign w:val="top"/>
          </w:tcPr>
          <w:p w14:paraId="293C51B9">
            <w:pPr>
              <w:rPr>
                <w:rFonts w:ascii="Arial"/>
                <w:sz w:val="21"/>
                <w:highlight w:val="none"/>
              </w:rPr>
            </w:pPr>
          </w:p>
        </w:tc>
        <w:tc>
          <w:tcPr>
            <w:tcW w:w="846" w:type="dxa"/>
            <w:vAlign w:val="top"/>
          </w:tcPr>
          <w:p w14:paraId="4F537B82">
            <w:pPr>
              <w:rPr>
                <w:rFonts w:ascii="Arial"/>
                <w:sz w:val="21"/>
                <w:highlight w:val="none"/>
              </w:rPr>
            </w:pPr>
          </w:p>
        </w:tc>
        <w:tc>
          <w:tcPr>
            <w:tcW w:w="1710" w:type="dxa"/>
            <w:tcBorders>
              <w:right w:val="single" w:color="000000" w:sz="10" w:space="0"/>
            </w:tcBorders>
            <w:vAlign w:val="top"/>
          </w:tcPr>
          <w:p w14:paraId="2E650672">
            <w:pPr>
              <w:rPr>
                <w:rFonts w:ascii="Arial"/>
                <w:sz w:val="21"/>
                <w:highlight w:val="none"/>
              </w:rPr>
            </w:pPr>
          </w:p>
        </w:tc>
      </w:tr>
      <w:tr w14:paraId="2C797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61" w:type="dxa"/>
            <w:tcBorders>
              <w:left w:val="single" w:color="000000" w:sz="10" w:space="0"/>
            </w:tcBorders>
            <w:vAlign w:val="top"/>
          </w:tcPr>
          <w:p w14:paraId="510747DB">
            <w:pPr>
              <w:rPr>
                <w:rFonts w:ascii="Arial"/>
                <w:sz w:val="21"/>
                <w:highlight w:val="none"/>
              </w:rPr>
            </w:pPr>
          </w:p>
        </w:tc>
        <w:tc>
          <w:tcPr>
            <w:tcW w:w="1484" w:type="dxa"/>
            <w:vAlign w:val="top"/>
          </w:tcPr>
          <w:p w14:paraId="71DB1602">
            <w:pPr>
              <w:rPr>
                <w:rFonts w:ascii="Arial"/>
                <w:sz w:val="21"/>
                <w:highlight w:val="none"/>
              </w:rPr>
            </w:pPr>
          </w:p>
        </w:tc>
        <w:tc>
          <w:tcPr>
            <w:tcW w:w="1878" w:type="dxa"/>
            <w:vAlign w:val="top"/>
          </w:tcPr>
          <w:p w14:paraId="1A3B11FC">
            <w:pPr>
              <w:rPr>
                <w:rFonts w:ascii="Arial"/>
                <w:sz w:val="21"/>
                <w:highlight w:val="none"/>
              </w:rPr>
            </w:pPr>
          </w:p>
        </w:tc>
        <w:tc>
          <w:tcPr>
            <w:tcW w:w="2560" w:type="dxa"/>
            <w:vAlign w:val="top"/>
          </w:tcPr>
          <w:p w14:paraId="6ED7F237">
            <w:pPr>
              <w:rPr>
                <w:rFonts w:ascii="Arial"/>
                <w:sz w:val="21"/>
                <w:highlight w:val="none"/>
              </w:rPr>
            </w:pPr>
          </w:p>
        </w:tc>
        <w:tc>
          <w:tcPr>
            <w:tcW w:w="846" w:type="dxa"/>
            <w:vAlign w:val="top"/>
          </w:tcPr>
          <w:p w14:paraId="15950108">
            <w:pPr>
              <w:rPr>
                <w:rFonts w:ascii="Arial"/>
                <w:sz w:val="21"/>
                <w:highlight w:val="none"/>
              </w:rPr>
            </w:pPr>
          </w:p>
        </w:tc>
        <w:tc>
          <w:tcPr>
            <w:tcW w:w="1710" w:type="dxa"/>
            <w:tcBorders>
              <w:right w:val="single" w:color="000000" w:sz="10" w:space="0"/>
            </w:tcBorders>
            <w:vAlign w:val="top"/>
          </w:tcPr>
          <w:p w14:paraId="5BBCBBC0">
            <w:pPr>
              <w:rPr>
                <w:rFonts w:ascii="Arial"/>
                <w:sz w:val="21"/>
                <w:highlight w:val="none"/>
              </w:rPr>
            </w:pPr>
          </w:p>
        </w:tc>
      </w:tr>
      <w:tr w14:paraId="4D931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61" w:type="dxa"/>
            <w:tcBorders>
              <w:left w:val="single" w:color="000000" w:sz="10" w:space="0"/>
            </w:tcBorders>
            <w:vAlign w:val="top"/>
          </w:tcPr>
          <w:p w14:paraId="6E2411CE">
            <w:pPr>
              <w:rPr>
                <w:rFonts w:ascii="Arial"/>
                <w:sz w:val="21"/>
                <w:highlight w:val="none"/>
              </w:rPr>
            </w:pPr>
          </w:p>
        </w:tc>
        <w:tc>
          <w:tcPr>
            <w:tcW w:w="1484" w:type="dxa"/>
            <w:vAlign w:val="top"/>
          </w:tcPr>
          <w:p w14:paraId="787D8201">
            <w:pPr>
              <w:rPr>
                <w:rFonts w:ascii="Arial"/>
                <w:sz w:val="21"/>
                <w:highlight w:val="none"/>
              </w:rPr>
            </w:pPr>
          </w:p>
        </w:tc>
        <w:tc>
          <w:tcPr>
            <w:tcW w:w="1878" w:type="dxa"/>
            <w:vAlign w:val="top"/>
          </w:tcPr>
          <w:p w14:paraId="0929BA5E">
            <w:pPr>
              <w:rPr>
                <w:rFonts w:ascii="Arial"/>
                <w:sz w:val="21"/>
                <w:highlight w:val="none"/>
              </w:rPr>
            </w:pPr>
          </w:p>
        </w:tc>
        <w:tc>
          <w:tcPr>
            <w:tcW w:w="2560" w:type="dxa"/>
            <w:vAlign w:val="top"/>
          </w:tcPr>
          <w:p w14:paraId="7FE8CEDC">
            <w:pPr>
              <w:rPr>
                <w:rFonts w:ascii="Arial"/>
                <w:sz w:val="21"/>
                <w:highlight w:val="none"/>
              </w:rPr>
            </w:pPr>
          </w:p>
        </w:tc>
        <w:tc>
          <w:tcPr>
            <w:tcW w:w="846" w:type="dxa"/>
            <w:vAlign w:val="top"/>
          </w:tcPr>
          <w:p w14:paraId="73526DC0">
            <w:pPr>
              <w:rPr>
                <w:rFonts w:ascii="Arial"/>
                <w:sz w:val="21"/>
                <w:highlight w:val="none"/>
              </w:rPr>
            </w:pPr>
          </w:p>
        </w:tc>
        <w:tc>
          <w:tcPr>
            <w:tcW w:w="1710" w:type="dxa"/>
            <w:tcBorders>
              <w:right w:val="single" w:color="000000" w:sz="10" w:space="0"/>
            </w:tcBorders>
            <w:vAlign w:val="top"/>
          </w:tcPr>
          <w:p w14:paraId="179B644A">
            <w:pPr>
              <w:rPr>
                <w:rFonts w:ascii="Arial"/>
                <w:sz w:val="21"/>
                <w:highlight w:val="none"/>
              </w:rPr>
            </w:pPr>
          </w:p>
        </w:tc>
      </w:tr>
      <w:tr w14:paraId="568BF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61" w:type="dxa"/>
            <w:tcBorders>
              <w:left w:val="single" w:color="000000" w:sz="10" w:space="0"/>
            </w:tcBorders>
            <w:vAlign w:val="top"/>
          </w:tcPr>
          <w:p w14:paraId="1CE52125">
            <w:pPr>
              <w:rPr>
                <w:rFonts w:ascii="Arial"/>
                <w:sz w:val="21"/>
                <w:highlight w:val="none"/>
              </w:rPr>
            </w:pPr>
          </w:p>
        </w:tc>
        <w:tc>
          <w:tcPr>
            <w:tcW w:w="1484" w:type="dxa"/>
            <w:vAlign w:val="top"/>
          </w:tcPr>
          <w:p w14:paraId="7EF00E8D">
            <w:pPr>
              <w:rPr>
                <w:rFonts w:ascii="Arial"/>
                <w:sz w:val="21"/>
                <w:highlight w:val="none"/>
              </w:rPr>
            </w:pPr>
          </w:p>
        </w:tc>
        <w:tc>
          <w:tcPr>
            <w:tcW w:w="1878" w:type="dxa"/>
            <w:vAlign w:val="top"/>
          </w:tcPr>
          <w:p w14:paraId="495DEA2B">
            <w:pPr>
              <w:rPr>
                <w:rFonts w:ascii="Arial"/>
                <w:sz w:val="21"/>
                <w:highlight w:val="none"/>
              </w:rPr>
            </w:pPr>
          </w:p>
        </w:tc>
        <w:tc>
          <w:tcPr>
            <w:tcW w:w="2560" w:type="dxa"/>
            <w:vAlign w:val="top"/>
          </w:tcPr>
          <w:p w14:paraId="4271DB32">
            <w:pPr>
              <w:rPr>
                <w:rFonts w:ascii="Arial"/>
                <w:sz w:val="21"/>
                <w:highlight w:val="none"/>
              </w:rPr>
            </w:pPr>
          </w:p>
        </w:tc>
        <w:tc>
          <w:tcPr>
            <w:tcW w:w="846" w:type="dxa"/>
            <w:vAlign w:val="top"/>
          </w:tcPr>
          <w:p w14:paraId="432D3C9F">
            <w:pPr>
              <w:rPr>
                <w:rFonts w:ascii="Arial"/>
                <w:sz w:val="21"/>
                <w:highlight w:val="none"/>
              </w:rPr>
            </w:pPr>
          </w:p>
        </w:tc>
        <w:tc>
          <w:tcPr>
            <w:tcW w:w="1710" w:type="dxa"/>
            <w:tcBorders>
              <w:right w:val="single" w:color="000000" w:sz="10" w:space="0"/>
            </w:tcBorders>
            <w:vAlign w:val="top"/>
          </w:tcPr>
          <w:p w14:paraId="61712537">
            <w:pPr>
              <w:rPr>
                <w:rFonts w:ascii="Arial"/>
                <w:sz w:val="21"/>
                <w:highlight w:val="none"/>
              </w:rPr>
            </w:pPr>
          </w:p>
        </w:tc>
      </w:tr>
      <w:tr w14:paraId="7114C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61" w:type="dxa"/>
            <w:tcBorders>
              <w:left w:val="single" w:color="000000" w:sz="10" w:space="0"/>
            </w:tcBorders>
            <w:vAlign w:val="top"/>
          </w:tcPr>
          <w:p w14:paraId="3DC0B958">
            <w:pPr>
              <w:rPr>
                <w:rFonts w:ascii="Arial"/>
                <w:sz w:val="21"/>
                <w:highlight w:val="none"/>
              </w:rPr>
            </w:pPr>
          </w:p>
        </w:tc>
        <w:tc>
          <w:tcPr>
            <w:tcW w:w="1484" w:type="dxa"/>
            <w:vAlign w:val="top"/>
          </w:tcPr>
          <w:p w14:paraId="2579E0D8">
            <w:pPr>
              <w:rPr>
                <w:rFonts w:ascii="Arial"/>
                <w:sz w:val="21"/>
                <w:highlight w:val="none"/>
              </w:rPr>
            </w:pPr>
          </w:p>
        </w:tc>
        <w:tc>
          <w:tcPr>
            <w:tcW w:w="1878" w:type="dxa"/>
            <w:vAlign w:val="top"/>
          </w:tcPr>
          <w:p w14:paraId="16B52628">
            <w:pPr>
              <w:rPr>
                <w:rFonts w:ascii="Arial"/>
                <w:sz w:val="21"/>
                <w:highlight w:val="none"/>
              </w:rPr>
            </w:pPr>
          </w:p>
        </w:tc>
        <w:tc>
          <w:tcPr>
            <w:tcW w:w="2560" w:type="dxa"/>
            <w:vAlign w:val="top"/>
          </w:tcPr>
          <w:p w14:paraId="45EF115E">
            <w:pPr>
              <w:rPr>
                <w:rFonts w:ascii="Arial"/>
                <w:sz w:val="21"/>
                <w:highlight w:val="none"/>
              </w:rPr>
            </w:pPr>
          </w:p>
        </w:tc>
        <w:tc>
          <w:tcPr>
            <w:tcW w:w="846" w:type="dxa"/>
            <w:vAlign w:val="top"/>
          </w:tcPr>
          <w:p w14:paraId="3FFDFBC5">
            <w:pPr>
              <w:rPr>
                <w:rFonts w:ascii="Arial"/>
                <w:sz w:val="21"/>
                <w:highlight w:val="none"/>
              </w:rPr>
            </w:pPr>
          </w:p>
        </w:tc>
        <w:tc>
          <w:tcPr>
            <w:tcW w:w="1710" w:type="dxa"/>
            <w:tcBorders>
              <w:right w:val="single" w:color="000000" w:sz="10" w:space="0"/>
            </w:tcBorders>
            <w:vAlign w:val="top"/>
          </w:tcPr>
          <w:p w14:paraId="22323BB8">
            <w:pPr>
              <w:rPr>
                <w:rFonts w:ascii="Arial"/>
                <w:sz w:val="21"/>
                <w:highlight w:val="none"/>
              </w:rPr>
            </w:pPr>
          </w:p>
        </w:tc>
      </w:tr>
      <w:tr w14:paraId="461A8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61" w:type="dxa"/>
            <w:tcBorders>
              <w:left w:val="single" w:color="000000" w:sz="10" w:space="0"/>
            </w:tcBorders>
            <w:vAlign w:val="top"/>
          </w:tcPr>
          <w:p w14:paraId="7AB46E34">
            <w:pPr>
              <w:rPr>
                <w:rFonts w:ascii="Arial"/>
                <w:sz w:val="21"/>
                <w:highlight w:val="none"/>
              </w:rPr>
            </w:pPr>
          </w:p>
        </w:tc>
        <w:tc>
          <w:tcPr>
            <w:tcW w:w="1484" w:type="dxa"/>
            <w:vAlign w:val="top"/>
          </w:tcPr>
          <w:p w14:paraId="0E5C8114">
            <w:pPr>
              <w:rPr>
                <w:rFonts w:ascii="Arial"/>
                <w:sz w:val="21"/>
                <w:highlight w:val="none"/>
              </w:rPr>
            </w:pPr>
          </w:p>
        </w:tc>
        <w:tc>
          <w:tcPr>
            <w:tcW w:w="1878" w:type="dxa"/>
            <w:vAlign w:val="top"/>
          </w:tcPr>
          <w:p w14:paraId="2E1B40AC">
            <w:pPr>
              <w:rPr>
                <w:rFonts w:ascii="Arial"/>
                <w:sz w:val="21"/>
                <w:highlight w:val="none"/>
              </w:rPr>
            </w:pPr>
          </w:p>
        </w:tc>
        <w:tc>
          <w:tcPr>
            <w:tcW w:w="2560" w:type="dxa"/>
            <w:vAlign w:val="top"/>
          </w:tcPr>
          <w:p w14:paraId="42A817E1">
            <w:pPr>
              <w:rPr>
                <w:rFonts w:ascii="Arial"/>
                <w:sz w:val="21"/>
                <w:highlight w:val="none"/>
              </w:rPr>
            </w:pPr>
          </w:p>
        </w:tc>
        <w:tc>
          <w:tcPr>
            <w:tcW w:w="846" w:type="dxa"/>
            <w:vAlign w:val="top"/>
          </w:tcPr>
          <w:p w14:paraId="7546F39F">
            <w:pPr>
              <w:rPr>
                <w:rFonts w:ascii="Arial"/>
                <w:sz w:val="21"/>
                <w:highlight w:val="none"/>
              </w:rPr>
            </w:pPr>
          </w:p>
        </w:tc>
        <w:tc>
          <w:tcPr>
            <w:tcW w:w="1710" w:type="dxa"/>
            <w:tcBorders>
              <w:right w:val="single" w:color="000000" w:sz="10" w:space="0"/>
            </w:tcBorders>
            <w:vAlign w:val="top"/>
          </w:tcPr>
          <w:p w14:paraId="39932B0E">
            <w:pPr>
              <w:rPr>
                <w:rFonts w:ascii="Arial"/>
                <w:sz w:val="21"/>
                <w:highlight w:val="none"/>
              </w:rPr>
            </w:pPr>
          </w:p>
        </w:tc>
      </w:tr>
      <w:tr w14:paraId="630FA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61" w:type="dxa"/>
            <w:tcBorders>
              <w:left w:val="single" w:color="000000" w:sz="10" w:space="0"/>
            </w:tcBorders>
            <w:vAlign w:val="top"/>
          </w:tcPr>
          <w:p w14:paraId="78F114CD">
            <w:pPr>
              <w:rPr>
                <w:rFonts w:ascii="Arial"/>
                <w:sz w:val="21"/>
                <w:highlight w:val="none"/>
              </w:rPr>
            </w:pPr>
          </w:p>
        </w:tc>
        <w:tc>
          <w:tcPr>
            <w:tcW w:w="1484" w:type="dxa"/>
            <w:vAlign w:val="top"/>
          </w:tcPr>
          <w:p w14:paraId="192EA4B9">
            <w:pPr>
              <w:rPr>
                <w:rFonts w:ascii="Arial"/>
                <w:sz w:val="21"/>
                <w:highlight w:val="none"/>
              </w:rPr>
            </w:pPr>
          </w:p>
        </w:tc>
        <w:tc>
          <w:tcPr>
            <w:tcW w:w="1878" w:type="dxa"/>
            <w:vAlign w:val="top"/>
          </w:tcPr>
          <w:p w14:paraId="0F5E19E9">
            <w:pPr>
              <w:rPr>
                <w:rFonts w:ascii="Arial"/>
                <w:sz w:val="21"/>
                <w:highlight w:val="none"/>
              </w:rPr>
            </w:pPr>
          </w:p>
        </w:tc>
        <w:tc>
          <w:tcPr>
            <w:tcW w:w="2560" w:type="dxa"/>
            <w:vAlign w:val="top"/>
          </w:tcPr>
          <w:p w14:paraId="55EF761A">
            <w:pPr>
              <w:rPr>
                <w:rFonts w:ascii="Arial"/>
                <w:sz w:val="21"/>
                <w:highlight w:val="none"/>
              </w:rPr>
            </w:pPr>
          </w:p>
        </w:tc>
        <w:tc>
          <w:tcPr>
            <w:tcW w:w="846" w:type="dxa"/>
            <w:vAlign w:val="top"/>
          </w:tcPr>
          <w:p w14:paraId="0B67F3EF">
            <w:pPr>
              <w:rPr>
                <w:rFonts w:ascii="Arial"/>
                <w:sz w:val="21"/>
                <w:highlight w:val="none"/>
              </w:rPr>
            </w:pPr>
          </w:p>
        </w:tc>
        <w:tc>
          <w:tcPr>
            <w:tcW w:w="1710" w:type="dxa"/>
            <w:tcBorders>
              <w:right w:val="single" w:color="000000" w:sz="10" w:space="0"/>
            </w:tcBorders>
            <w:vAlign w:val="top"/>
          </w:tcPr>
          <w:p w14:paraId="0A1B959F">
            <w:pPr>
              <w:rPr>
                <w:rFonts w:ascii="Arial"/>
                <w:sz w:val="21"/>
                <w:highlight w:val="none"/>
              </w:rPr>
            </w:pPr>
          </w:p>
        </w:tc>
      </w:tr>
      <w:tr w14:paraId="4E3C7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61" w:type="dxa"/>
            <w:tcBorders>
              <w:left w:val="single" w:color="000000" w:sz="10" w:space="0"/>
            </w:tcBorders>
            <w:vAlign w:val="top"/>
          </w:tcPr>
          <w:p w14:paraId="476A17E9">
            <w:pPr>
              <w:rPr>
                <w:rFonts w:ascii="Arial"/>
                <w:sz w:val="21"/>
                <w:highlight w:val="none"/>
              </w:rPr>
            </w:pPr>
          </w:p>
        </w:tc>
        <w:tc>
          <w:tcPr>
            <w:tcW w:w="1484" w:type="dxa"/>
            <w:vAlign w:val="top"/>
          </w:tcPr>
          <w:p w14:paraId="1C2E9825">
            <w:pPr>
              <w:rPr>
                <w:rFonts w:ascii="Arial"/>
                <w:sz w:val="21"/>
                <w:highlight w:val="none"/>
              </w:rPr>
            </w:pPr>
          </w:p>
        </w:tc>
        <w:tc>
          <w:tcPr>
            <w:tcW w:w="1878" w:type="dxa"/>
            <w:vAlign w:val="top"/>
          </w:tcPr>
          <w:p w14:paraId="65C62F16">
            <w:pPr>
              <w:rPr>
                <w:rFonts w:ascii="Arial"/>
                <w:sz w:val="21"/>
                <w:highlight w:val="none"/>
              </w:rPr>
            </w:pPr>
          </w:p>
        </w:tc>
        <w:tc>
          <w:tcPr>
            <w:tcW w:w="2560" w:type="dxa"/>
            <w:vAlign w:val="top"/>
          </w:tcPr>
          <w:p w14:paraId="61949AA1">
            <w:pPr>
              <w:rPr>
                <w:rFonts w:ascii="Arial"/>
                <w:sz w:val="21"/>
                <w:highlight w:val="none"/>
              </w:rPr>
            </w:pPr>
          </w:p>
        </w:tc>
        <w:tc>
          <w:tcPr>
            <w:tcW w:w="846" w:type="dxa"/>
            <w:vAlign w:val="top"/>
          </w:tcPr>
          <w:p w14:paraId="1FE837B2">
            <w:pPr>
              <w:rPr>
                <w:rFonts w:ascii="Arial"/>
                <w:sz w:val="21"/>
                <w:highlight w:val="none"/>
              </w:rPr>
            </w:pPr>
          </w:p>
        </w:tc>
        <w:tc>
          <w:tcPr>
            <w:tcW w:w="1710" w:type="dxa"/>
            <w:tcBorders>
              <w:right w:val="single" w:color="000000" w:sz="10" w:space="0"/>
            </w:tcBorders>
            <w:vAlign w:val="top"/>
          </w:tcPr>
          <w:p w14:paraId="76844D5D">
            <w:pPr>
              <w:rPr>
                <w:rFonts w:ascii="Arial"/>
                <w:sz w:val="21"/>
                <w:highlight w:val="none"/>
              </w:rPr>
            </w:pPr>
          </w:p>
        </w:tc>
      </w:tr>
      <w:tr w14:paraId="4D078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61" w:type="dxa"/>
            <w:tcBorders>
              <w:left w:val="single" w:color="000000" w:sz="10" w:space="0"/>
            </w:tcBorders>
            <w:vAlign w:val="top"/>
          </w:tcPr>
          <w:p w14:paraId="00BA8D0E">
            <w:pPr>
              <w:rPr>
                <w:rFonts w:ascii="Arial"/>
                <w:sz w:val="21"/>
                <w:highlight w:val="none"/>
              </w:rPr>
            </w:pPr>
          </w:p>
        </w:tc>
        <w:tc>
          <w:tcPr>
            <w:tcW w:w="1484" w:type="dxa"/>
            <w:vAlign w:val="top"/>
          </w:tcPr>
          <w:p w14:paraId="1FAD0F6A">
            <w:pPr>
              <w:rPr>
                <w:rFonts w:ascii="Arial"/>
                <w:sz w:val="21"/>
                <w:highlight w:val="none"/>
              </w:rPr>
            </w:pPr>
          </w:p>
        </w:tc>
        <w:tc>
          <w:tcPr>
            <w:tcW w:w="1878" w:type="dxa"/>
            <w:vAlign w:val="top"/>
          </w:tcPr>
          <w:p w14:paraId="446C4F05">
            <w:pPr>
              <w:rPr>
                <w:rFonts w:ascii="Arial"/>
                <w:sz w:val="21"/>
                <w:highlight w:val="none"/>
              </w:rPr>
            </w:pPr>
          </w:p>
        </w:tc>
        <w:tc>
          <w:tcPr>
            <w:tcW w:w="2560" w:type="dxa"/>
            <w:vAlign w:val="top"/>
          </w:tcPr>
          <w:p w14:paraId="0C74BEB7">
            <w:pPr>
              <w:rPr>
                <w:rFonts w:ascii="Arial"/>
                <w:sz w:val="21"/>
                <w:highlight w:val="none"/>
              </w:rPr>
            </w:pPr>
          </w:p>
        </w:tc>
        <w:tc>
          <w:tcPr>
            <w:tcW w:w="846" w:type="dxa"/>
            <w:vAlign w:val="top"/>
          </w:tcPr>
          <w:p w14:paraId="6E942831">
            <w:pPr>
              <w:rPr>
                <w:rFonts w:ascii="Arial"/>
                <w:sz w:val="21"/>
                <w:highlight w:val="none"/>
              </w:rPr>
            </w:pPr>
          </w:p>
        </w:tc>
        <w:tc>
          <w:tcPr>
            <w:tcW w:w="1710" w:type="dxa"/>
            <w:tcBorders>
              <w:right w:val="single" w:color="000000" w:sz="10" w:space="0"/>
            </w:tcBorders>
            <w:vAlign w:val="top"/>
          </w:tcPr>
          <w:p w14:paraId="51DAD327">
            <w:pPr>
              <w:rPr>
                <w:rFonts w:ascii="Arial"/>
                <w:sz w:val="21"/>
                <w:highlight w:val="none"/>
              </w:rPr>
            </w:pPr>
          </w:p>
        </w:tc>
      </w:tr>
      <w:tr w14:paraId="30593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61" w:type="dxa"/>
            <w:tcBorders>
              <w:left w:val="single" w:color="000000" w:sz="10" w:space="0"/>
            </w:tcBorders>
            <w:vAlign w:val="top"/>
          </w:tcPr>
          <w:p w14:paraId="798A9AD4">
            <w:pPr>
              <w:rPr>
                <w:rFonts w:ascii="Arial"/>
                <w:sz w:val="21"/>
                <w:highlight w:val="none"/>
              </w:rPr>
            </w:pPr>
          </w:p>
        </w:tc>
        <w:tc>
          <w:tcPr>
            <w:tcW w:w="1484" w:type="dxa"/>
            <w:vAlign w:val="top"/>
          </w:tcPr>
          <w:p w14:paraId="72D17B33">
            <w:pPr>
              <w:rPr>
                <w:rFonts w:ascii="Arial"/>
                <w:sz w:val="21"/>
                <w:highlight w:val="none"/>
              </w:rPr>
            </w:pPr>
          </w:p>
        </w:tc>
        <w:tc>
          <w:tcPr>
            <w:tcW w:w="1878" w:type="dxa"/>
            <w:vAlign w:val="top"/>
          </w:tcPr>
          <w:p w14:paraId="6FA9E050">
            <w:pPr>
              <w:rPr>
                <w:rFonts w:ascii="Arial"/>
                <w:sz w:val="21"/>
                <w:highlight w:val="none"/>
              </w:rPr>
            </w:pPr>
          </w:p>
        </w:tc>
        <w:tc>
          <w:tcPr>
            <w:tcW w:w="2560" w:type="dxa"/>
            <w:vAlign w:val="top"/>
          </w:tcPr>
          <w:p w14:paraId="5DDC3C65">
            <w:pPr>
              <w:rPr>
                <w:rFonts w:ascii="Arial"/>
                <w:sz w:val="21"/>
                <w:highlight w:val="none"/>
              </w:rPr>
            </w:pPr>
          </w:p>
        </w:tc>
        <w:tc>
          <w:tcPr>
            <w:tcW w:w="846" w:type="dxa"/>
            <w:vAlign w:val="top"/>
          </w:tcPr>
          <w:p w14:paraId="776E5DC3">
            <w:pPr>
              <w:rPr>
                <w:rFonts w:ascii="Arial"/>
                <w:sz w:val="21"/>
                <w:highlight w:val="none"/>
              </w:rPr>
            </w:pPr>
          </w:p>
        </w:tc>
        <w:tc>
          <w:tcPr>
            <w:tcW w:w="1710" w:type="dxa"/>
            <w:tcBorders>
              <w:right w:val="single" w:color="000000" w:sz="10" w:space="0"/>
            </w:tcBorders>
            <w:vAlign w:val="top"/>
          </w:tcPr>
          <w:p w14:paraId="595F8E07">
            <w:pPr>
              <w:rPr>
                <w:rFonts w:ascii="Arial"/>
                <w:sz w:val="21"/>
                <w:highlight w:val="none"/>
              </w:rPr>
            </w:pPr>
          </w:p>
        </w:tc>
      </w:tr>
      <w:tr w14:paraId="1C219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61" w:type="dxa"/>
            <w:tcBorders>
              <w:left w:val="single" w:color="000000" w:sz="10" w:space="0"/>
              <w:bottom w:val="single" w:color="000000" w:sz="10" w:space="0"/>
            </w:tcBorders>
            <w:vAlign w:val="top"/>
          </w:tcPr>
          <w:p w14:paraId="4E1561B2">
            <w:pPr>
              <w:rPr>
                <w:rFonts w:ascii="Arial"/>
                <w:sz w:val="21"/>
                <w:highlight w:val="none"/>
              </w:rPr>
            </w:pPr>
          </w:p>
        </w:tc>
        <w:tc>
          <w:tcPr>
            <w:tcW w:w="1484" w:type="dxa"/>
            <w:tcBorders>
              <w:bottom w:val="single" w:color="000000" w:sz="10" w:space="0"/>
            </w:tcBorders>
            <w:vAlign w:val="top"/>
          </w:tcPr>
          <w:p w14:paraId="7E55B3A0">
            <w:pPr>
              <w:rPr>
                <w:rFonts w:ascii="Arial"/>
                <w:sz w:val="21"/>
                <w:highlight w:val="none"/>
              </w:rPr>
            </w:pPr>
          </w:p>
        </w:tc>
        <w:tc>
          <w:tcPr>
            <w:tcW w:w="1878" w:type="dxa"/>
            <w:tcBorders>
              <w:bottom w:val="single" w:color="000000" w:sz="10" w:space="0"/>
            </w:tcBorders>
            <w:vAlign w:val="top"/>
          </w:tcPr>
          <w:p w14:paraId="4691FE75">
            <w:pPr>
              <w:rPr>
                <w:rFonts w:ascii="Arial"/>
                <w:sz w:val="21"/>
                <w:highlight w:val="none"/>
              </w:rPr>
            </w:pPr>
          </w:p>
        </w:tc>
        <w:tc>
          <w:tcPr>
            <w:tcW w:w="2560" w:type="dxa"/>
            <w:tcBorders>
              <w:bottom w:val="single" w:color="000000" w:sz="10" w:space="0"/>
            </w:tcBorders>
            <w:vAlign w:val="top"/>
          </w:tcPr>
          <w:p w14:paraId="158D4C46">
            <w:pPr>
              <w:rPr>
                <w:rFonts w:ascii="Arial"/>
                <w:sz w:val="21"/>
                <w:highlight w:val="none"/>
              </w:rPr>
            </w:pPr>
          </w:p>
        </w:tc>
        <w:tc>
          <w:tcPr>
            <w:tcW w:w="846" w:type="dxa"/>
            <w:tcBorders>
              <w:bottom w:val="single" w:color="000000" w:sz="10" w:space="0"/>
            </w:tcBorders>
            <w:vAlign w:val="top"/>
          </w:tcPr>
          <w:p w14:paraId="5D631DE7">
            <w:pPr>
              <w:rPr>
                <w:rFonts w:ascii="Arial"/>
                <w:sz w:val="21"/>
                <w:highlight w:val="none"/>
              </w:rPr>
            </w:pPr>
          </w:p>
        </w:tc>
        <w:tc>
          <w:tcPr>
            <w:tcW w:w="1710" w:type="dxa"/>
            <w:tcBorders>
              <w:bottom w:val="single" w:color="000000" w:sz="10" w:space="0"/>
              <w:right w:val="single" w:color="000000" w:sz="10" w:space="0"/>
            </w:tcBorders>
            <w:vAlign w:val="top"/>
          </w:tcPr>
          <w:p w14:paraId="5E748B60">
            <w:pPr>
              <w:rPr>
                <w:rFonts w:ascii="Arial"/>
                <w:sz w:val="21"/>
                <w:highlight w:val="none"/>
              </w:rPr>
            </w:pPr>
          </w:p>
        </w:tc>
      </w:tr>
    </w:tbl>
    <w:p w14:paraId="54D9CE10">
      <w:pPr>
        <w:spacing w:before="140" w:line="228" w:lineRule="auto"/>
        <w:ind w:left="343"/>
        <w:rPr>
          <w:rFonts w:ascii="宋体" w:hAnsi="宋体" w:eastAsia="宋体" w:cs="宋体"/>
          <w:sz w:val="20"/>
          <w:szCs w:val="20"/>
          <w:highlight w:val="none"/>
        </w:rPr>
      </w:pPr>
      <w:r>
        <w:rPr>
          <w:rFonts w:ascii="宋体" w:hAnsi="宋体" w:eastAsia="宋体" w:cs="宋体"/>
          <w:spacing w:val="2"/>
          <w:sz w:val="20"/>
          <w:szCs w:val="20"/>
          <w:highlight w:val="none"/>
        </w:rPr>
        <w:t>说明：</w:t>
      </w:r>
    </w:p>
    <w:p w14:paraId="3885C31A">
      <w:pPr>
        <w:spacing w:before="84" w:line="268" w:lineRule="auto"/>
        <w:ind w:left="83" w:right="105" w:firstLine="534"/>
        <w:rPr>
          <w:rFonts w:ascii="宋体" w:hAnsi="宋体" w:eastAsia="宋体" w:cs="宋体"/>
          <w:sz w:val="20"/>
          <w:szCs w:val="20"/>
          <w:highlight w:val="none"/>
        </w:rPr>
      </w:pPr>
      <w:r>
        <w:rPr>
          <w:rFonts w:ascii="宋体" w:hAnsi="宋体" w:eastAsia="宋体" w:cs="宋体"/>
          <w:spacing w:val="13"/>
          <w:sz w:val="20"/>
          <w:szCs w:val="20"/>
          <w:highlight w:val="none"/>
        </w:rPr>
        <w:t>（1）本表只填写响应文件中与征集文件有偏离的内容，响应文件中的指标响应与征集文件要求完全一致的，不用在此表中列出，但必须提交空白表；如不提供此表，则视为供应商不满足征集</w:t>
      </w:r>
      <w:r>
        <w:rPr>
          <w:rFonts w:ascii="宋体" w:hAnsi="宋体" w:eastAsia="宋体" w:cs="宋体"/>
          <w:spacing w:val="9"/>
          <w:sz w:val="20"/>
          <w:szCs w:val="20"/>
          <w:highlight w:val="none"/>
        </w:rPr>
        <w:t>文件的所有服务要求条款要求，按无效响应文件处理。</w:t>
      </w:r>
    </w:p>
    <w:p w14:paraId="5107497C">
      <w:pPr>
        <w:spacing w:before="64" w:line="228" w:lineRule="auto"/>
        <w:ind w:left="617"/>
        <w:rPr>
          <w:rFonts w:ascii="宋体" w:hAnsi="宋体" w:eastAsia="宋体" w:cs="宋体"/>
          <w:sz w:val="20"/>
          <w:szCs w:val="20"/>
          <w:highlight w:val="none"/>
        </w:rPr>
      </w:pPr>
      <w:r>
        <w:rPr>
          <w:rFonts w:ascii="宋体" w:hAnsi="宋体" w:eastAsia="宋体" w:cs="宋体"/>
          <w:spacing w:val="9"/>
          <w:sz w:val="20"/>
          <w:szCs w:val="20"/>
          <w:highlight w:val="none"/>
        </w:rPr>
        <w:t>（2）供应商必须据实填写，不得虚假响应，否则将取消其投标或中标</w:t>
      </w:r>
      <w:r>
        <w:rPr>
          <w:rFonts w:ascii="宋体" w:hAnsi="宋体" w:eastAsia="宋体" w:cs="宋体"/>
          <w:spacing w:val="8"/>
          <w:sz w:val="20"/>
          <w:szCs w:val="20"/>
          <w:highlight w:val="none"/>
        </w:rPr>
        <w:t>资格。</w:t>
      </w:r>
    </w:p>
    <w:p w14:paraId="7EBCB054">
      <w:pPr>
        <w:pStyle w:val="5"/>
        <w:spacing w:line="274" w:lineRule="auto"/>
        <w:rPr>
          <w:highlight w:val="none"/>
        </w:rPr>
      </w:pPr>
    </w:p>
    <w:p w14:paraId="6E51681D">
      <w:pPr>
        <w:pStyle w:val="5"/>
        <w:spacing w:line="275" w:lineRule="auto"/>
        <w:rPr>
          <w:highlight w:val="none"/>
        </w:rPr>
      </w:pPr>
    </w:p>
    <w:p w14:paraId="447CE43C">
      <w:pPr>
        <w:pStyle w:val="5"/>
        <w:spacing w:line="275" w:lineRule="auto"/>
        <w:rPr>
          <w:highlight w:val="none"/>
        </w:rPr>
      </w:pPr>
    </w:p>
    <w:p w14:paraId="78B10FF9">
      <w:pPr>
        <w:spacing w:before="79" w:line="219" w:lineRule="auto"/>
        <w:ind w:left="734"/>
        <w:rPr>
          <w:rFonts w:ascii="宋体" w:hAnsi="宋体" w:eastAsia="宋体" w:cs="宋体"/>
          <w:sz w:val="24"/>
          <w:szCs w:val="24"/>
          <w:highlight w:val="none"/>
        </w:rPr>
      </w:pPr>
      <w:r>
        <w:rPr>
          <w:rFonts w:hint="eastAsia" w:ascii="宋体" w:hAnsi="宋体" w:eastAsia="宋体" w:cs="宋体"/>
          <w:spacing w:val="-32"/>
          <w:sz w:val="24"/>
          <w:szCs w:val="24"/>
          <w:highlight w:val="none"/>
        </w:rPr>
        <w:t>投标人名称</w:t>
      </w:r>
      <w:r>
        <w:rPr>
          <w:rFonts w:ascii="宋体" w:hAnsi="宋体" w:eastAsia="宋体" w:cs="宋体"/>
          <w:spacing w:val="-32"/>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32"/>
          <w:sz w:val="24"/>
          <w:szCs w:val="24"/>
          <w:highlight w:val="none"/>
        </w:rPr>
        <w:t>（</w:t>
      </w:r>
      <w:r>
        <w:rPr>
          <w:rFonts w:ascii="宋体" w:hAnsi="宋体" w:eastAsia="宋体" w:cs="宋体"/>
          <w:spacing w:val="5"/>
          <w:sz w:val="24"/>
          <w:szCs w:val="24"/>
          <w:highlight w:val="none"/>
        </w:rPr>
        <w:t>单位盖章）</w:t>
      </w:r>
    </w:p>
    <w:p w14:paraId="4DE048D9">
      <w:pPr>
        <w:pStyle w:val="5"/>
        <w:spacing w:line="316" w:lineRule="auto"/>
        <w:rPr>
          <w:highlight w:val="none"/>
        </w:rPr>
      </w:pPr>
    </w:p>
    <w:p w14:paraId="13139A3E">
      <w:pPr>
        <w:spacing w:before="78" w:line="220" w:lineRule="auto"/>
        <w:ind w:left="732"/>
        <w:rPr>
          <w:rFonts w:ascii="宋体" w:hAnsi="宋体" w:eastAsia="宋体" w:cs="宋体"/>
          <w:sz w:val="24"/>
          <w:szCs w:val="24"/>
          <w:highlight w:val="none"/>
        </w:rPr>
      </w:pPr>
      <w:r>
        <w:rPr>
          <w:rFonts w:ascii="宋体" w:hAnsi="宋体" w:eastAsia="宋体" w:cs="宋体"/>
          <w:spacing w:val="1"/>
          <w:sz w:val="24"/>
          <w:szCs w:val="24"/>
          <w:highlight w:val="none"/>
        </w:rPr>
        <w:t>法定代表人或委托代理人</w:t>
      </w:r>
      <w:r>
        <w:rPr>
          <w:rFonts w:ascii="宋体" w:hAnsi="宋体" w:eastAsia="宋体" w:cs="宋体"/>
          <w:spacing w:val="-13"/>
          <w:sz w:val="24"/>
          <w:szCs w:val="24"/>
          <w:highlight w:val="none"/>
        </w:rPr>
        <w:t>：</w:t>
      </w:r>
      <w:r>
        <w:rPr>
          <w:rFonts w:ascii="宋体" w:hAnsi="宋体" w:eastAsia="宋体" w:cs="宋体"/>
          <w:spacing w:val="12"/>
          <w:sz w:val="24"/>
          <w:szCs w:val="24"/>
          <w:highlight w:val="none"/>
          <w:u w:val="single" w:color="auto"/>
        </w:rPr>
        <w:t xml:space="preserve">          </w:t>
      </w:r>
      <w:r>
        <w:rPr>
          <w:rFonts w:ascii="宋体" w:hAnsi="宋体" w:eastAsia="宋体" w:cs="宋体"/>
          <w:spacing w:val="-13"/>
          <w:sz w:val="24"/>
          <w:szCs w:val="24"/>
          <w:highlight w:val="none"/>
        </w:rPr>
        <w:t>（</w:t>
      </w:r>
      <w:r>
        <w:rPr>
          <w:rFonts w:ascii="宋体" w:hAnsi="宋体" w:eastAsia="宋体" w:cs="宋体"/>
          <w:spacing w:val="1"/>
          <w:sz w:val="24"/>
          <w:szCs w:val="24"/>
          <w:highlight w:val="none"/>
        </w:rPr>
        <w:t>签名）</w:t>
      </w:r>
    </w:p>
    <w:p w14:paraId="276E8630">
      <w:pPr>
        <w:pStyle w:val="5"/>
        <w:spacing w:line="461" w:lineRule="auto"/>
        <w:rPr>
          <w:highlight w:val="none"/>
        </w:rPr>
      </w:pPr>
    </w:p>
    <w:p w14:paraId="1074C831">
      <w:pPr>
        <w:spacing w:before="79" w:line="220" w:lineRule="auto"/>
        <w:ind w:left="832"/>
        <w:rPr>
          <w:rFonts w:ascii="宋体" w:hAnsi="宋体" w:eastAsia="宋体" w:cs="宋体"/>
          <w:sz w:val="24"/>
          <w:szCs w:val="24"/>
          <w:highlight w:val="none"/>
        </w:rPr>
      </w:pPr>
      <w:r>
        <w:rPr>
          <w:rFonts w:ascii="宋体" w:hAnsi="宋体" w:eastAsia="宋体" w:cs="宋体"/>
          <w:spacing w:val="-15"/>
          <w:sz w:val="24"/>
          <w:szCs w:val="24"/>
          <w:highlight w:val="none"/>
        </w:rPr>
        <w:t>日</w:t>
      </w:r>
      <w:r>
        <w:rPr>
          <w:rFonts w:ascii="宋体" w:hAnsi="宋体" w:eastAsia="宋体" w:cs="宋体"/>
          <w:spacing w:val="4"/>
          <w:sz w:val="24"/>
          <w:szCs w:val="24"/>
          <w:highlight w:val="none"/>
        </w:rPr>
        <w:t xml:space="preserve">   </w:t>
      </w:r>
      <w:r>
        <w:rPr>
          <w:rFonts w:ascii="宋体" w:hAnsi="宋体" w:eastAsia="宋体" w:cs="宋体"/>
          <w:spacing w:val="-15"/>
          <w:sz w:val="24"/>
          <w:szCs w:val="24"/>
          <w:highlight w:val="none"/>
        </w:rPr>
        <w:t>期:</w:t>
      </w:r>
      <w:r>
        <w:rPr>
          <w:rFonts w:ascii="宋体" w:hAnsi="宋体" w:eastAsia="宋体" w:cs="宋体"/>
          <w:spacing w:val="3"/>
          <w:sz w:val="24"/>
          <w:szCs w:val="24"/>
          <w:highlight w:val="none"/>
        </w:rPr>
        <w:t xml:space="preserve">   </w:t>
      </w:r>
      <w:r>
        <w:rPr>
          <w:rFonts w:ascii="宋体" w:hAnsi="宋体" w:eastAsia="宋体" w:cs="宋体"/>
          <w:spacing w:val="-15"/>
          <w:sz w:val="24"/>
          <w:szCs w:val="24"/>
          <w:highlight w:val="none"/>
        </w:rPr>
        <w:t>年</w:t>
      </w:r>
      <w:r>
        <w:rPr>
          <w:rFonts w:ascii="宋体" w:hAnsi="宋体" w:eastAsia="宋体" w:cs="宋体"/>
          <w:spacing w:val="8"/>
          <w:sz w:val="24"/>
          <w:szCs w:val="24"/>
          <w:highlight w:val="none"/>
        </w:rPr>
        <w:t xml:space="preserve">  </w:t>
      </w:r>
      <w:r>
        <w:rPr>
          <w:rFonts w:ascii="宋体" w:hAnsi="宋体" w:eastAsia="宋体" w:cs="宋体"/>
          <w:spacing w:val="-15"/>
          <w:sz w:val="24"/>
          <w:szCs w:val="24"/>
          <w:highlight w:val="none"/>
        </w:rPr>
        <w:t>月</w:t>
      </w:r>
      <w:r>
        <w:rPr>
          <w:rFonts w:ascii="宋体" w:hAnsi="宋体" w:eastAsia="宋体" w:cs="宋体"/>
          <w:spacing w:val="26"/>
          <w:sz w:val="24"/>
          <w:szCs w:val="24"/>
          <w:highlight w:val="none"/>
        </w:rPr>
        <w:t xml:space="preserve">  </w:t>
      </w:r>
      <w:r>
        <w:rPr>
          <w:rFonts w:ascii="宋体" w:hAnsi="宋体" w:eastAsia="宋体" w:cs="宋体"/>
          <w:spacing w:val="-15"/>
          <w:sz w:val="24"/>
          <w:szCs w:val="24"/>
          <w:highlight w:val="none"/>
        </w:rPr>
        <w:t>日</w:t>
      </w:r>
    </w:p>
    <w:p w14:paraId="6A4ABA95">
      <w:pPr>
        <w:spacing w:line="220" w:lineRule="auto"/>
        <w:rPr>
          <w:rFonts w:ascii="宋体" w:hAnsi="宋体" w:eastAsia="宋体" w:cs="宋体"/>
          <w:sz w:val="24"/>
          <w:szCs w:val="24"/>
          <w:highlight w:val="none"/>
        </w:rPr>
        <w:sectPr>
          <w:footerReference r:id="rId33" w:type="default"/>
          <w:pgSz w:w="11907" w:h="16840"/>
          <w:pgMar w:top="1162" w:right="1370" w:bottom="1199" w:left="1171" w:header="0" w:footer="984" w:gutter="0"/>
          <w:pgNumType w:fmt="decimal"/>
          <w:cols w:space="720" w:num="1"/>
        </w:sectPr>
      </w:pPr>
    </w:p>
    <w:p w14:paraId="1400AECC">
      <w:pPr>
        <w:spacing w:before="71" w:line="225" w:lineRule="auto"/>
        <w:ind w:left="1113"/>
        <w:rPr>
          <w:rFonts w:ascii="宋体" w:hAnsi="宋体" w:eastAsia="宋体" w:cs="宋体"/>
          <w:sz w:val="35"/>
          <w:szCs w:val="35"/>
          <w:highlight w:val="none"/>
        </w:rPr>
      </w:pPr>
      <w:r>
        <w:rPr>
          <w:rFonts w:ascii="宋体" w:hAnsi="宋体" w:eastAsia="宋体" w:cs="宋体"/>
          <w:b/>
          <w:bCs/>
          <w:spacing w:val="6"/>
          <w:sz w:val="35"/>
          <w:szCs w:val="35"/>
          <w:highlight w:val="none"/>
        </w:rPr>
        <w:t>八、供应商认为有必要补充说明的事项</w:t>
      </w:r>
    </w:p>
    <w:sectPr>
      <w:footerReference r:id="rId34" w:type="default"/>
      <w:pgSz w:w="11907" w:h="16840"/>
      <w:pgMar w:top="1162" w:right="1786" w:bottom="1199" w:left="1786" w:header="0" w:footer="984"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6DE82">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CB751">
    <w:pPr>
      <w:pStyle w:val="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0580F">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8B0580F">
                    <w:pPr>
                      <w:pStyle w:val="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76A28">
    <w:pPr>
      <w:pStyle w:val="7"/>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632C1">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F8632C1">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2A96B">
    <w:pPr>
      <w:pStyle w:val="7"/>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183BD">
                          <w:pPr>
                            <w:pStyle w:val="7"/>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E1183BD">
                    <w:pPr>
                      <w:pStyle w:val="7"/>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BA276">
    <w:pPr>
      <w:pStyle w:val="7"/>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C3CC1">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13C3CC1">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82CE4">
    <w:pPr>
      <w:pStyle w:val="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92B3D">
                          <w:pPr>
                            <w:pStyle w:val="7"/>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6992B3D">
                    <w:pPr>
                      <w:pStyle w:val="7"/>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53F22">
    <w:pPr>
      <w:pStyle w:val="7"/>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241AC">
                          <w:pPr>
                            <w:pStyle w:val="7"/>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16241AC">
                    <w:pPr>
                      <w:pStyle w:val="7"/>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1FF78">
    <w:pPr>
      <w:pStyle w:val="7"/>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86F87">
                          <w:pPr>
                            <w:pStyle w:val="7"/>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5186F87">
                    <w:pPr>
                      <w:pStyle w:val="7"/>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8DB00">
    <w:pPr>
      <w:pStyle w:val="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D18A0">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7DD18A0">
                    <w:pPr>
                      <w:pStyle w:val="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050FC">
    <w:pPr>
      <w:pStyle w:val="7"/>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2ADF1">
                          <w:pPr>
                            <w:pStyle w:val="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BE2ADF1">
                    <w:pPr>
                      <w:pStyle w:val="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BA99C">
    <w:pPr>
      <w:pStyle w:val="7"/>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DAA9E4">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51DAA9E4">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55C82">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43466">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204346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E1CA8">
    <w:pPr>
      <w:pStyle w:val="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15F1F">
                          <w:pPr>
                            <w:pStyle w:val="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4515F1F">
                    <w:pPr>
                      <w:pStyle w:val="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16DD1">
    <w:pPr>
      <w:pStyle w:val="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43504">
                          <w:pPr>
                            <w:pStyle w:val="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B143504">
                    <w:pPr>
                      <w:pStyle w:val="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10669">
    <w:pPr>
      <w:pStyle w:val="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95898">
                          <w:pPr>
                            <w:pStyle w:val="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22E95898">
                    <w:pPr>
                      <w:pStyle w:val="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9C711">
    <w:pPr>
      <w:pStyle w:val="7"/>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74376">
                          <w:pPr>
                            <w:pStyle w:val="7"/>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7874376">
                    <w:pPr>
                      <w:pStyle w:val="7"/>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8060D">
    <w:pPr>
      <w:pStyle w:val="7"/>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57B69">
                          <w:pPr>
                            <w:pStyle w:val="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08057B69">
                    <w:pPr>
                      <w:pStyle w:val="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C8207">
    <w:pPr>
      <w:pStyle w:val="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F1FBB">
                          <w:pPr>
                            <w:pStyle w:val="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38F1FBB">
                    <w:pPr>
                      <w:pStyle w:val="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4DC2B">
    <w:pPr>
      <w:pStyle w:val="7"/>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2F484">
                          <w:pPr>
                            <w:pStyle w:val="7"/>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F32F484">
                    <w:pPr>
                      <w:pStyle w:val="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78371">
    <w:pPr>
      <w:pStyle w:val="7"/>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02C61">
                          <w:pPr>
                            <w:pStyle w:val="7"/>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32A02C61">
                    <w:pPr>
                      <w:pStyle w:val="7"/>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D6CDE">
    <w:pPr>
      <w:pStyle w:val="7"/>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19FB3">
                          <w:pPr>
                            <w:pStyle w:val="7"/>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50C19FB3">
                    <w:pPr>
                      <w:pStyle w:val="7"/>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4CEDD">
    <w:pPr>
      <w:pStyle w:val="7"/>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2F937">
                          <w:pPr>
                            <w:pStyle w:val="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7B42F937">
                    <w:pPr>
                      <w:pStyle w:val="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7E316">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D5DA7">
                          <w:pPr>
                            <w:pStyle w:val="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ABD5DA7">
                    <w:pPr>
                      <w:pStyle w:val="7"/>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98E32">
    <w:pPr>
      <w:pStyle w:val="7"/>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62464">
                          <w:pPr>
                            <w:pStyle w:val="7"/>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40C62464">
                    <w:pPr>
                      <w:pStyle w:val="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4566A">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F3550">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6AF3550">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882C8">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F1000">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D9F1000">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FC5CC">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4ED66">
                          <w:pPr>
                            <w:pStyle w:val="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D74ED66">
                    <w:pPr>
                      <w:pStyle w:val="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DD72">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7D31B">
                          <w:pPr>
                            <w:pStyle w:val="7"/>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517D31B">
                    <w:pPr>
                      <w:pStyle w:val="7"/>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5CAE3">
    <w:pPr>
      <w:pStyle w:val="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D8A2C">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DDD8A2C">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94220">
    <w:pPr>
      <w:pStyle w:val="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FF318">
                          <w:pPr>
                            <w:pStyle w:val="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B2FF318">
                    <w:pPr>
                      <w:pStyle w:val="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BF23E09"/>
    <w:rsid w:val="10527511"/>
    <w:rsid w:val="12322B77"/>
    <w:rsid w:val="134F601C"/>
    <w:rsid w:val="19D1310F"/>
    <w:rsid w:val="1CA86C51"/>
    <w:rsid w:val="1CB37F2E"/>
    <w:rsid w:val="20243BA6"/>
    <w:rsid w:val="21050CE9"/>
    <w:rsid w:val="2CDE39F8"/>
    <w:rsid w:val="317000E0"/>
    <w:rsid w:val="323B5795"/>
    <w:rsid w:val="3EA805F4"/>
    <w:rsid w:val="3F7E590D"/>
    <w:rsid w:val="49E666A5"/>
    <w:rsid w:val="4AB9612F"/>
    <w:rsid w:val="4F1B0FC7"/>
    <w:rsid w:val="510C3DF6"/>
    <w:rsid w:val="53E66088"/>
    <w:rsid w:val="5A2C276E"/>
    <w:rsid w:val="61DE41DE"/>
    <w:rsid w:val="63F278B2"/>
    <w:rsid w:val="748A6A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99"/>
    <w:pPr>
      <w:keepNext/>
      <w:keepLines/>
      <w:spacing w:before="260" w:after="260" w:line="416" w:lineRule="auto"/>
      <w:jc w:val="left"/>
      <w:outlineLvl w:val="1"/>
    </w:pPr>
    <w:rPr>
      <w:rFonts w:ascii="Cambria" w:hAnsi="Cambria" w:cs="Cambria"/>
      <w:b/>
      <w:bCs/>
      <w:sz w:val="32"/>
      <w:szCs w:val="32"/>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Plain Text"/>
    <w:basedOn w:val="1"/>
    <w:qFormat/>
    <w:uiPriority w:val="99"/>
    <w:rPr>
      <w:rFonts w:ascii="宋体" w:hAnsi="Courier New" w:cs="宋体"/>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宋体" w:hAnsi="宋体" w:eastAsia="宋体" w:cs="宋体"/>
      <w:sz w:val="24"/>
      <w:szCs w:val="24"/>
      <w:lang w:val="en-US" w:eastAsia="en-US" w:bidi="ar-SA"/>
    </w:rPr>
  </w:style>
  <w:style w:type="paragraph" w:customStyle="1" w:styleId="17">
    <w:name w:val="列出段落11"/>
    <w:basedOn w:val="1"/>
    <w:qFormat/>
    <w:uiPriority w:val="34"/>
    <w:pPr>
      <w:ind w:firstLine="420" w:firstLineChars="200"/>
    </w:pPr>
    <w:rPr>
      <w:rFonts w:ascii="Calibri" w:hAnsi="Calibri"/>
    </w:rPr>
  </w:style>
  <w:style w:type="character" w:customStyle="1" w:styleId="18">
    <w:name w:val="font11"/>
    <w:basedOn w:val="13"/>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endnotes" Target="endnotes.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91</Pages>
  <Words>2806</Words>
  <Characters>3206</Characters>
  <TotalTime>10</TotalTime>
  <ScaleCrop>false</ScaleCrop>
  <LinksUpToDate>false</LinksUpToDate>
  <CharactersWithSpaces>3283</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2023-09-07T16:25:00Z</dcterms:created>
  <dc:creator>张寒冰</dc:creator>
  <cp:lastModifiedBy>lenovo</cp:lastModifiedBy>
  <dcterms:modified xsi:type="dcterms:W3CDTF">2026-04-02T09:42:33Z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2025-12-04T09:03:57Z</vt:filetime>
  </property>
  <property fmtid="{D5CDD505-2E9C-101B-9397-08002B2CF9AE}" pid="4" name="KSOProductBuildVer">
    <vt:lpwstr>2052-12.1.0.25225</vt:lpwstr>
  </property>
  <property fmtid="{D5CDD505-2E9C-101B-9397-08002B2CF9AE}" pid="5" name="ICV">
    <vt:lpwstr>45DECB755E7149249D11F50B1352BC85_13</vt:lpwstr>
  </property>
  <property fmtid="{D5CDD505-2E9C-101B-9397-08002B2CF9AE}" pid="6" name="KSOTemplateDocerSaveRecord">
    <vt:lpwstr>eyJoZGlkIjoiMTM2MmExZmM3MjhmNDhmZjI1MDBiNWQ3ODkxODIzZGEiLCJ1c2VySWQiOiI0Nzc1NTUxODkifQ==</vt:lpwstr>
  </property>
</Properties>
</file>